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253B5">
      <w:pPr>
        <w:pStyle w:val="116"/>
        <w:rPr>
          <w:rFonts w:ascii="宋体" w:hAnsi="宋体" w:eastAsia="宋体" w:cs="宋体"/>
          <w:color w:val="auto"/>
          <w:highlight w:val="none"/>
        </w:rPr>
      </w:pPr>
    </w:p>
    <w:p w14:paraId="4FD1FA3B">
      <w:pPr>
        <w:pStyle w:val="116"/>
        <w:rPr>
          <w:rFonts w:ascii="宋体" w:hAnsi="宋体" w:eastAsia="宋体" w:cs="宋体"/>
          <w:b/>
          <w:bCs/>
          <w:color w:val="auto"/>
          <w:highlight w:val="none"/>
        </w:rPr>
      </w:pPr>
    </w:p>
    <w:p w14:paraId="45797B1B">
      <w:pPr>
        <w:jc w:val="center"/>
        <w:rPr>
          <w:color w:val="auto"/>
          <w:highlight w:val="none"/>
        </w:rPr>
      </w:pPr>
      <w:bookmarkStart w:id="0" w:name="_Toc23945"/>
      <w:bookmarkStart w:id="1" w:name="_Toc10223"/>
      <w:r>
        <w:rPr>
          <w:rFonts w:hint="eastAsia" w:ascii="宋体" w:hAnsi="宋体" w:cs="宋体"/>
          <w:b/>
          <w:bCs/>
          <w:color w:val="auto"/>
          <w:sz w:val="52"/>
          <w:szCs w:val="52"/>
          <w:highlight w:val="none"/>
        </w:rPr>
        <w:t>汾西县武装部办公楼、档案局大楼消防专项整治项目</w:t>
      </w:r>
    </w:p>
    <w:p w14:paraId="60749432">
      <w:pPr>
        <w:pStyle w:val="64"/>
        <w:spacing w:after="0"/>
        <w:ind w:firstLine="80"/>
        <w:jc w:val="center"/>
        <w:rPr>
          <w:rFonts w:ascii="宋体" w:hAnsi="宋体" w:cs="宋体"/>
          <w:b/>
          <w:bCs/>
          <w:color w:val="auto"/>
          <w:sz w:val="4"/>
          <w:szCs w:val="4"/>
          <w:highlight w:val="none"/>
        </w:rPr>
      </w:pPr>
    </w:p>
    <w:p w14:paraId="736636C0">
      <w:pPr>
        <w:spacing w:before="475" w:beforeLines="150" w:after="158" w:afterLines="50"/>
        <w:jc w:val="center"/>
        <w:outlineLvl w:val="0"/>
        <w:rPr>
          <w:rFonts w:ascii="宋体" w:cs="宋体"/>
          <w:b/>
          <w:bCs/>
          <w:color w:val="auto"/>
          <w:sz w:val="96"/>
          <w:szCs w:val="86"/>
          <w:highlight w:val="none"/>
        </w:rPr>
      </w:pPr>
      <w:bookmarkStart w:id="2" w:name="_Toc19190"/>
      <w:bookmarkStart w:id="3" w:name="_Toc31624"/>
      <w:bookmarkStart w:id="4" w:name="_Toc23144"/>
      <w:bookmarkStart w:id="5" w:name="_Toc9315"/>
      <w:r>
        <w:rPr>
          <w:rFonts w:hint="eastAsia" w:ascii="宋体" w:hAnsi="宋体" w:cs="宋体"/>
          <w:b/>
          <w:bCs/>
          <w:color w:val="auto"/>
          <w:sz w:val="96"/>
          <w:szCs w:val="86"/>
          <w:highlight w:val="none"/>
        </w:rPr>
        <w:t>竞争性磋商文件</w:t>
      </w:r>
      <w:bookmarkEnd w:id="0"/>
      <w:bookmarkEnd w:id="1"/>
      <w:bookmarkEnd w:id="2"/>
      <w:bookmarkEnd w:id="3"/>
      <w:bookmarkEnd w:id="4"/>
      <w:bookmarkEnd w:id="5"/>
    </w:p>
    <w:p w14:paraId="334F55DE">
      <w:pPr>
        <w:adjustRightInd w:val="0"/>
        <w:snapToGrid w:val="0"/>
        <w:spacing w:line="480" w:lineRule="auto"/>
        <w:ind w:firstLine="2400"/>
        <w:jc w:val="left"/>
        <w:rPr>
          <w:rFonts w:ascii="宋体" w:cs="宋体"/>
          <w:b/>
          <w:bCs/>
          <w:color w:val="auto"/>
          <w:sz w:val="30"/>
          <w:szCs w:val="30"/>
          <w:highlight w:val="none"/>
        </w:rPr>
      </w:pPr>
    </w:p>
    <w:p w14:paraId="059DF1B4">
      <w:pPr>
        <w:adjustRightInd w:val="0"/>
        <w:snapToGrid w:val="0"/>
        <w:spacing w:line="480" w:lineRule="auto"/>
        <w:jc w:val="center"/>
        <w:outlineLvl w:val="0"/>
        <w:rPr>
          <w:rFonts w:hint="eastAsia" w:ascii="宋体" w:eastAsia="宋体" w:cs="宋体"/>
          <w:b/>
          <w:bCs/>
          <w:color w:val="auto"/>
          <w:sz w:val="36"/>
          <w:szCs w:val="36"/>
          <w:highlight w:val="none"/>
          <w:lang w:eastAsia="zh-CN"/>
        </w:rPr>
      </w:pPr>
      <w:bookmarkStart w:id="6" w:name="_Toc15112"/>
      <w:bookmarkStart w:id="7" w:name="_Toc5771"/>
      <w:r>
        <w:rPr>
          <w:rFonts w:hint="eastAsia" w:ascii="宋体" w:hAnsi="宋体" w:cs="宋体"/>
          <w:b/>
          <w:bCs/>
          <w:color w:val="auto"/>
          <w:sz w:val="36"/>
          <w:szCs w:val="36"/>
          <w:highlight w:val="none"/>
        </w:rPr>
        <w:t>项目编号:</w:t>
      </w:r>
      <w:bookmarkEnd w:id="6"/>
      <w:bookmarkEnd w:id="7"/>
      <w:r>
        <w:rPr>
          <w:rFonts w:hint="eastAsia" w:ascii="宋体" w:hAnsi="宋体" w:cs="宋体"/>
          <w:b/>
          <w:bCs/>
          <w:color w:val="auto"/>
          <w:sz w:val="36"/>
          <w:szCs w:val="36"/>
          <w:highlight w:val="none"/>
        </w:rPr>
        <w:t xml:space="preserve"> </w:t>
      </w:r>
      <w:bookmarkStart w:id="1222" w:name="_GoBack"/>
      <w:bookmarkEnd w:id="1222"/>
      <w:r>
        <w:rPr>
          <w:rFonts w:hint="eastAsia" w:ascii="宋体" w:hAnsi="宋体" w:cs="宋体"/>
          <w:b/>
          <w:bCs/>
          <w:color w:val="auto"/>
          <w:sz w:val="36"/>
          <w:szCs w:val="36"/>
          <w:highlight w:val="none"/>
          <w:lang w:eastAsia="zh-CN"/>
        </w:rPr>
        <w:t>1410342026BCS00029</w:t>
      </w:r>
    </w:p>
    <w:p w14:paraId="174E47E1">
      <w:pPr>
        <w:adjustRightInd w:val="0"/>
        <w:snapToGrid w:val="0"/>
        <w:spacing w:line="480" w:lineRule="auto"/>
        <w:ind w:left="886" w:leftChars="422" w:firstLine="2400"/>
        <w:jc w:val="left"/>
        <w:rPr>
          <w:rFonts w:ascii="宋体" w:cs="宋体"/>
          <w:b/>
          <w:bCs/>
          <w:color w:val="auto"/>
          <w:sz w:val="30"/>
          <w:szCs w:val="30"/>
          <w:highlight w:val="none"/>
        </w:rPr>
      </w:pPr>
    </w:p>
    <w:p w14:paraId="31285323">
      <w:pPr>
        <w:adjustRightInd w:val="0"/>
        <w:snapToGrid w:val="0"/>
        <w:spacing w:line="480" w:lineRule="auto"/>
        <w:ind w:left="886" w:leftChars="422" w:firstLine="2400"/>
        <w:jc w:val="left"/>
        <w:rPr>
          <w:rFonts w:ascii="宋体" w:cs="宋体"/>
          <w:b/>
          <w:bCs/>
          <w:color w:val="auto"/>
          <w:sz w:val="30"/>
          <w:szCs w:val="30"/>
          <w:highlight w:val="none"/>
        </w:rPr>
      </w:pPr>
    </w:p>
    <w:p w14:paraId="730A3BBB">
      <w:pPr>
        <w:adjustRightInd w:val="0"/>
        <w:snapToGrid w:val="0"/>
        <w:spacing w:line="480" w:lineRule="auto"/>
        <w:ind w:firstLine="2400"/>
        <w:jc w:val="left"/>
        <w:rPr>
          <w:rFonts w:ascii="宋体" w:cs="宋体"/>
          <w:b/>
          <w:bCs/>
          <w:color w:val="auto"/>
          <w:sz w:val="30"/>
          <w:szCs w:val="30"/>
          <w:highlight w:val="none"/>
        </w:rPr>
      </w:pPr>
    </w:p>
    <w:p w14:paraId="6AA262DA">
      <w:pPr>
        <w:pStyle w:val="64"/>
        <w:ind w:left="0" w:leftChars="0" w:firstLine="0" w:firstLineChars="0"/>
        <w:rPr>
          <w:rFonts w:ascii="宋体" w:cs="宋体"/>
          <w:b/>
          <w:bCs/>
          <w:color w:val="auto"/>
          <w:sz w:val="30"/>
          <w:szCs w:val="30"/>
          <w:highlight w:val="none"/>
        </w:rPr>
      </w:pPr>
    </w:p>
    <w:p w14:paraId="72B73104">
      <w:pPr>
        <w:pStyle w:val="64"/>
        <w:ind w:left="0" w:leftChars="0" w:firstLine="0" w:firstLineChars="0"/>
        <w:rPr>
          <w:rFonts w:ascii="宋体" w:cs="宋体"/>
          <w:b/>
          <w:bCs/>
          <w:color w:val="auto"/>
          <w:sz w:val="30"/>
          <w:szCs w:val="30"/>
          <w:highlight w:val="none"/>
        </w:rPr>
      </w:pPr>
    </w:p>
    <w:p w14:paraId="78E04EE6">
      <w:pPr>
        <w:adjustRightInd w:val="0"/>
        <w:spacing w:line="720" w:lineRule="auto"/>
        <w:ind w:firstLine="1687" w:firstLineChars="525"/>
        <w:outlineLvl w:val="0"/>
        <w:rPr>
          <w:rFonts w:ascii="宋体" w:cs="宋体"/>
          <w:b/>
          <w:bCs/>
          <w:color w:val="auto"/>
          <w:sz w:val="32"/>
          <w:szCs w:val="32"/>
          <w:highlight w:val="none"/>
        </w:rPr>
      </w:pPr>
      <w:bookmarkStart w:id="8" w:name="_Toc19386"/>
      <w:bookmarkStart w:id="9" w:name="_Toc2026"/>
      <w:bookmarkStart w:id="10" w:name="_Toc32241"/>
      <w:bookmarkStart w:id="11" w:name="_Toc30261"/>
      <w:bookmarkStart w:id="12" w:name="_Toc5910"/>
      <w:bookmarkStart w:id="13" w:name="_Toc16305"/>
      <w:r>
        <w:rPr>
          <w:rFonts w:hint="eastAsia" w:ascii="宋体" w:hAnsi="宋体" w:cs="宋体"/>
          <w:b/>
          <w:bCs/>
          <w:color w:val="auto"/>
          <w:sz w:val="32"/>
          <w:szCs w:val="32"/>
          <w:highlight w:val="none"/>
        </w:rPr>
        <w:t>采</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购</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人：</w:t>
      </w:r>
      <w:bookmarkEnd w:id="8"/>
      <w:bookmarkEnd w:id="9"/>
      <w:bookmarkEnd w:id="10"/>
      <w:bookmarkEnd w:id="11"/>
      <w:bookmarkEnd w:id="12"/>
      <w:bookmarkEnd w:id="13"/>
      <w:r>
        <w:rPr>
          <w:rFonts w:hint="eastAsia" w:ascii="宋体" w:hAnsi="宋体" w:cs="宋体"/>
          <w:b/>
          <w:bCs/>
          <w:color w:val="auto"/>
          <w:sz w:val="32"/>
          <w:szCs w:val="32"/>
          <w:highlight w:val="none"/>
        </w:rPr>
        <w:t>汾西县机关事务服务中心</w:t>
      </w:r>
    </w:p>
    <w:p w14:paraId="503FD5D9">
      <w:pPr>
        <w:adjustRightInd w:val="0"/>
        <w:spacing w:line="720" w:lineRule="auto"/>
        <w:ind w:firstLine="1687" w:firstLineChars="525"/>
        <w:outlineLvl w:val="0"/>
        <w:rPr>
          <w:rFonts w:ascii="宋体" w:cs="宋体"/>
          <w:b/>
          <w:bCs/>
          <w:color w:val="auto"/>
          <w:sz w:val="32"/>
          <w:szCs w:val="32"/>
          <w:highlight w:val="none"/>
        </w:rPr>
      </w:pPr>
      <w:bookmarkStart w:id="14" w:name="_Toc29567"/>
      <w:bookmarkStart w:id="15" w:name="_Toc20753"/>
      <w:bookmarkStart w:id="16" w:name="_Toc22285"/>
      <w:bookmarkStart w:id="17" w:name="_Toc10845"/>
      <w:bookmarkStart w:id="18" w:name="_Toc502"/>
      <w:bookmarkStart w:id="19" w:name="_Toc18242"/>
      <w:r>
        <w:rPr>
          <w:rFonts w:hint="eastAsia" w:ascii="宋体" w:hAnsi="宋体" w:cs="宋体"/>
          <w:b/>
          <w:bCs/>
          <w:color w:val="auto"/>
          <w:sz w:val="32"/>
          <w:szCs w:val="32"/>
          <w:highlight w:val="none"/>
        </w:rPr>
        <w:t>代理机构：</w:t>
      </w:r>
      <w:bookmarkEnd w:id="14"/>
      <w:bookmarkEnd w:id="15"/>
      <w:bookmarkEnd w:id="16"/>
      <w:bookmarkEnd w:id="17"/>
      <w:bookmarkEnd w:id="18"/>
      <w:bookmarkEnd w:id="19"/>
      <w:r>
        <w:rPr>
          <w:rFonts w:hint="eastAsia" w:ascii="宋体" w:hAnsi="宋体" w:cs="宋体"/>
          <w:b/>
          <w:bCs/>
          <w:color w:val="auto"/>
          <w:sz w:val="32"/>
          <w:szCs w:val="32"/>
          <w:highlight w:val="none"/>
        </w:rPr>
        <w:t>山西中鑫招标代理有限公司</w:t>
      </w:r>
    </w:p>
    <w:p w14:paraId="3BFBCF42">
      <w:pPr>
        <w:adjustRightInd w:val="0"/>
        <w:spacing w:line="720" w:lineRule="auto"/>
        <w:ind w:firstLine="2570"/>
        <w:jc w:val="both"/>
        <w:outlineLvl w:val="0"/>
        <w:rPr>
          <w:rFonts w:ascii="宋体" w:cs="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17" w:bottom="1440" w:left="1417" w:header="850" w:footer="992" w:gutter="0"/>
          <w:pgNumType w:start="0"/>
          <w:cols w:space="0" w:num="1"/>
          <w:docGrid w:type="lines" w:linePitch="317" w:charSpace="0"/>
        </w:sectPr>
      </w:pPr>
      <w:bookmarkStart w:id="20" w:name="_Toc15030"/>
      <w:bookmarkStart w:id="21" w:name="_Toc28583"/>
      <w:bookmarkStart w:id="22" w:name="_Toc5278"/>
      <w:bookmarkStart w:id="23" w:name="_Toc5707"/>
      <w:bookmarkStart w:id="24" w:name="_Toc3244"/>
      <w:bookmarkStart w:id="25" w:name="_Toc17286"/>
      <w:r>
        <w:rPr>
          <w:rFonts w:hint="eastAsia" w:ascii="宋体" w:hAnsi="宋体" w:cs="宋体"/>
          <w:b/>
          <w:bCs/>
          <w:color w:val="auto"/>
          <w:sz w:val="32"/>
          <w:szCs w:val="32"/>
          <w:highlight w:val="none"/>
        </w:rPr>
        <w:t>日</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期：</w:t>
      </w:r>
      <w:bookmarkEnd w:id="20"/>
      <w:bookmarkEnd w:id="21"/>
      <w:bookmarkEnd w:id="22"/>
      <w:bookmarkEnd w:id="23"/>
      <w:bookmarkEnd w:id="24"/>
      <w:bookmarkEnd w:id="25"/>
      <w:r>
        <w:rPr>
          <w:rFonts w:hint="eastAsia" w:ascii="宋体" w:hAnsi="宋体" w:cs="宋体"/>
          <w:b/>
          <w:bCs/>
          <w:color w:val="auto"/>
          <w:sz w:val="32"/>
          <w:szCs w:val="32"/>
          <w:highlight w:val="none"/>
        </w:rPr>
        <w:t>2026年</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rPr>
        <w:t>月</w:t>
      </w:r>
    </w:p>
    <w:p w14:paraId="464AE04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color w:val="auto"/>
          <w:highlight w:val="none"/>
        </w:rPr>
      </w:pPr>
      <w:r>
        <w:rPr>
          <w:rFonts w:ascii="宋体" w:hAnsi="宋体"/>
          <w:b/>
          <w:bCs/>
          <w:color w:val="auto"/>
          <w:sz w:val="40"/>
          <w:szCs w:val="44"/>
          <w:highlight w:val="none"/>
        </w:rPr>
        <w:t>目</w:t>
      </w:r>
      <w:r>
        <w:rPr>
          <w:rFonts w:hint="eastAsia" w:ascii="宋体" w:hAnsi="宋体"/>
          <w:b/>
          <w:bCs/>
          <w:color w:val="auto"/>
          <w:sz w:val="40"/>
          <w:szCs w:val="44"/>
          <w:highlight w:val="none"/>
        </w:rPr>
        <w:t xml:space="preserve">  </w:t>
      </w:r>
      <w:r>
        <w:rPr>
          <w:rFonts w:ascii="宋体" w:hAnsi="宋体"/>
          <w:b/>
          <w:bCs/>
          <w:color w:val="auto"/>
          <w:sz w:val="40"/>
          <w:szCs w:val="44"/>
          <w:highlight w:val="none"/>
        </w:rPr>
        <w:t>录</w:t>
      </w:r>
    </w:p>
    <w:p w14:paraId="418A102E">
      <w:pPr>
        <w:pStyle w:val="44"/>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jc w:val="left"/>
        <w:textAlignment w:val="auto"/>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689B8422">
      <w:pPr>
        <w:pStyle w:val="44"/>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jc w:val="left"/>
        <w:textAlignment w:val="auto"/>
        <w:rPr>
          <w:color w:val="auto"/>
          <w:highlight w:val="none"/>
        </w:rPr>
      </w:pPr>
      <w:r>
        <w:rPr>
          <w:color w:val="auto"/>
          <w:highlight w:val="none"/>
        </w:rPr>
        <w:fldChar w:fldCharType="begin"/>
      </w:r>
      <w:r>
        <w:rPr>
          <w:color w:val="auto"/>
          <w:highlight w:val="none"/>
        </w:rPr>
        <w:instrText xml:space="preserve"> HYPERLINK \l "_Toc13804" </w:instrText>
      </w:r>
      <w:r>
        <w:rPr>
          <w:color w:val="auto"/>
          <w:highlight w:val="none"/>
        </w:rPr>
        <w:fldChar w:fldCharType="separate"/>
      </w:r>
      <w:r>
        <w:rPr>
          <w:rFonts w:hint="eastAsia" w:ascii="宋体" w:hAnsi="宋体" w:eastAsia="宋体" w:cs="宋体"/>
          <w:color w:val="auto"/>
          <w:kern w:val="44"/>
          <w:szCs w:val="44"/>
          <w:highlight w:val="none"/>
        </w:rPr>
        <w:t>第一章</w:t>
      </w:r>
      <w:r>
        <w:rPr>
          <w:rFonts w:ascii="宋体" w:hAnsi="宋体" w:eastAsia="宋体" w:cs="宋体"/>
          <w:color w:val="auto"/>
          <w:kern w:val="44"/>
          <w:szCs w:val="44"/>
          <w:highlight w:val="none"/>
        </w:rPr>
        <w:t xml:space="preserve">  </w:t>
      </w:r>
      <w:r>
        <w:rPr>
          <w:rFonts w:hint="eastAsia" w:ascii="宋体" w:hAnsi="宋体" w:eastAsia="宋体" w:cs="宋体"/>
          <w:color w:val="auto"/>
          <w:kern w:val="44"/>
          <w:szCs w:val="44"/>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_Toc13804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128FADF">
      <w:pPr>
        <w:pStyle w:val="44"/>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jc w:val="left"/>
        <w:textAlignment w:val="auto"/>
        <w:rPr>
          <w:color w:val="auto"/>
          <w:highlight w:val="none"/>
        </w:rPr>
      </w:pPr>
      <w:r>
        <w:rPr>
          <w:color w:val="auto"/>
          <w:highlight w:val="none"/>
        </w:rPr>
        <w:fldChar w:fldCharType="begin"/>
      </w:r>
      <w:r>
        <w:rPr>
          <w:color w:val="auto"/>
          <w:highlight w:val="none"/>
        </w:rPr>
        <w:instrText xml:space="preserve"> HYPERLINK \l "_Toc26099" </w:instrText>
      </w:r>
      <w:r>
        <w:rPr>
          <w:color w:val="auto"/>
          <w:highlight w:val="none"/>
        </w:rPr>
        <w:fldChar w:fldCharType="separate"/>
      </w:r>
      <w:r>
        <w:rPr>
          <w:rFonts w:hint="eastAsia" w:ascii="宋体" w:hAnsi="宋体" w:eastAsia="宋体" w:cs="宋体"/>
          <w:color w:val="auto"/>
          <w:kern w:val="44"/>
          <w:szCs w:val="44"/>
          <w:highlight w:val="none"/>
        </w:rPr>
        <w:t>第二章</w:t>
      </w:r>
      <w:r>
        <w:rPr>
          <w:rFonts w:ascii="宋体" w:hAnsi="宋体" w:eastAsia="宋体" w:cs="宋体"/>
          <w:color w:val="auto"/>
          <w:kern w:val="44"/>
          <w:szCs w:val="44"/>
          <w:highlight w:val="none"/>
        </w:rPr>
        <w:t xml:space="preserve"> </w:t>
      </w:r>
      <w:r>
        <w:rPr>
          <w:rFonts w:hint="eastAsia" w:ascii="宋体" w:hAnsi="宋体" w:eastAsia="宋体" w:cs="宋体"/>
          <w:color w:val="auto"/>
          <w:kern w:val="44"/>
          <w:szCs w:val="44"/>
          <w:highlight w:val="none"/>
        </w:rPr>
        <w:t xml:space="preserve"> 磋商须知及前附表</w:t>
      </w:r>
      <w:r>
        <w:rPr>
          <w:color w:val="auto"/>
          <w:highlight w:val="none"/>
        </w:rPr>
        <w:tab/>
      </w:r>
      <w:r>
        <w:rPr>
          <w:color w:val="auto"/>
          <w:highlight w:val="none"/>
        </w:rPr>
        <w:fldChar w:fldCharType="begin"/>
      </w:r>
      <w:r>
        <w:rPr>
          <w:color w:val="auto"/>
          <w:highlight w:val="none"/>
        </w:rPr>
        <w:instrText xml:space="preserve"> PAGEREF _Toc26099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C2D13C8">
      <w:pPr>
        <w:pStyle w:val="44"/>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jc w:val="left"/>
        <w:textAlignment w:val="auto"/>
        <w:rPr>
          <w:color w:val="auto"/>
          <w:highlight w:val="none"/>
        </w:rPr>
      </w:pPr>
      <w:r>
        <w:rPr>
          <w:color w:val="auto"/>
          <w:highlight w:val="none"/>
        </w:rPr>
        <w:fldChar w:fldCharType="begin"/>
      </w:r>
      <w:r>
        <w:rPr>
          <w:color w:val="auto"/>
          <w:highlight w:val="none"/>
        </w:rPr>
        <w:instrText xml:space="preserve"> HYPERLINK \l "_Toc17891" </w:instrText>
      </w:r>
      <w:r>
        <w:rPr>
          <w:color w:val="auto"/>
          <w:highlight w:val="none"/>
        </w:rPr>
        <w:fldChar w:fldCharType="separate"/>
      </w:r>
      <w:r>
        <w:rPr>
          <w:rFonts w:hint="eastAsia" w:ascii="宋体" w:hAnsi="宋体" w:eastAsia="宋体" w:cs="宋体"/>
          <w:color w:val="auto"/>
          <w:kern w:val="44"/>
          <w:szCs w:val="44"/>
          <w:highlight w:val="none"/>
        </w:rPr>
        <w:t>第三章</w:t>
      </w:r>
      <w:r>
        <w:rPr>
          <w:rFonts w:ascii="宋体" w:hAnsi="宋体" w:eastAsia="宋体" w:cs="宋体"/>
          <w:color w:val="auto"/>
          <w:kern w:val="44"/>
          <w:szCs w:val="44"/>
          <w:highlight w:val="none"/>
        </w:rPr>
        <w:t xml:space="preserve">  </w:t>
      </w:r>
      <w:r>
        <w:rPr>
          <w:rFonts w:hint="eastAsia" w:ascii="宋体" w:hAnsi="宋体" w:eastAsia="宋体" w:cs="宋体"/>
          <w:color w:val="auto"/>
          <w:kern w:val="44"/>
          <w:szCs w:val="44"/>
          <w:highlight w:val="none"/>
        </w:rPr>
        <w:t>采购内容</w:t>
      </w:r>
      <w:r>
        <w:rPr>
          <w:color w:val="auto"/>
          <w:highlight w:val="none"/>
        </w:rPr>
        <w:tab/>
      </w:r>
      <w:r>
        <w:rPr>
          <w:color w:val="auto"/>
          <w:highlight w:val="none"/>
        </w:rPr>
        <w:fldChar w:fldCharType="begin"/>
      </w:r>
      <w:r>
        <w:rPr>
          <w:color w:val="auto"/>
          <w:highlight w:val="none"/>
        </w:rPr>
        <w:instrText xml:space="preserve"> PAGEREF _Toc17891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385CA02C">
      <w:pPr>
        <w:pStyle w:val="44"/>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jc w:val="left"/>
        <w:textAlignment w:val="auto"/>
        <w:rPr>
          <w:color w:val="auto"/>
          <w:highlight w:val="none"/>
        </w:rPr>
      </w:pPr>
      <w:r>
        <w:rPr>
          <w:color w:val="auto"/>
          <w:highlight w:val="none"/>
        </w:rPr>
        <w:fldChar w:fldCharType="begin"/>
      </w:r>
      <w:r>
        <w:rPr>
          <w:color w:val="auto"/>
          <w:highlight w:val="none"/>
        </w:rPr>
        <w:instrText xml:space="preserve"> HYPERLINK \l "_Toc25937" </w:instrText>
      </w:r>
      <w:r>
        <w:rPr>
          <w:color w:val="auto"/>
          <w:highlight w:val="none"/>
        </w:rPr>
        <w:fldChar w:fldCharType="separate"/>
      </w:r>
      <w:r>
        <w:rPr>
          <w:rFonts w:hint="eastAsia" w:ascii="宋体" w:hAnsi="宋体" w:eastAsia="宋体" w:cs="宋体"/>
          <w:color w:val="auto"/>
          <w:kern w:val="44"/>
          <w:szCs w:val="44"/>
          <w:highlight w:val="none"/>
        </w:rPr>
        <w:t>第四章</w:t>
      </w:r>
      <w:r>
        <w:rPr>
          <w:rFonts w:ascii="宋体" w:hAnsi="宋体" w:eastAsia="宋体" w:cs="宋体"/>
          <w:color w:val="auto"/>
          <w:kern w:val="44"/>
          <w:szCs w:val="44"/>
          <w:highlight w:val="none"/>
        </w:rPr>
        <w:t xml:space="preserve"> </w:t>
      </w:r>
      <w:r>
        <w:rPr>
          <w:rFonts w:hint="eastAsia" w:ascii="宋体" w:hAnsi="宋体" w:eastAsia="宋体" w:cs="宋体"/>
          <w:color w:val="auto"/>
          <w:kern w:val="44"/>
          <w:szCs w:val="44"/>
          <w:highlight w:val="none"/>
        </w:rPr>
        <w:t xml:space="preserve"> 合同</w:t>
      </w:r>
      <w:r>
        <w:rPr>
          <w:color w:val="auto"/>
          <w:highlight w:val="none"/>
        </w:rPr>
        <w:tab/>
      </w:r>
      <w:r>
        <w:rPr>
          <w:color w:val="auto"/>
          <w:highlight w:val="none"/>
        </w:rPr>
        <w:fldChar w:fldCharType="begin"/>
      </w:r>
      <w:r>
        <w:rPr>
          <w:color w:val="auto"/>
          <w:highlight w:val="none"/>
        </w:rPr>
        <w:instrText xml:space="preserve"> PAGEREF _Toc25937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54797A85">
      <w:pPr>
        <w:pStyle w:val="44"/>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jc w:val="left"/>
        <w:textAlignment w:val="auto"/>
        <w:rPr>
          <w:color w:val="auto"/>
          <w:highlight w:val="none"/>
        </w:rPr>
      </w:pPr>
      <w:r>
        <w:rPr>
          <w:color w:val="auto"/>
          <w:highlight w:val="none"/>
        </w:rPr>
        <w:fldChar w:fldCharType="begin"/>
      </w:r>
      <w:r>
        <w:rPr>
          <w:color w:val="auto"/>
          <w:highlight w:val="none"/>
        </w:rPr>
        <w:instrText xml:space="preserve"> HYPERLINK \l "_Toc8471" </w:instrText>
      </w:r>
      <w:r>
        <w:rPr>
          <w:color w:val="auto"/>
          <w:highlight w:val="none"/>
        </w:rPr>
        <w:fldChar w:fldCharType="separate"/>
      </w:r>
      <w:r>
        <w:rPr>
          <w:rFonts w:hint="eastAsia" w:ascii="宋体" w:hAnsi="宋体" w:eastAsia="宋体" w:cs="宋体"/>
          <w:color w:val="auto"/>
          <w:kern w:val="44"/>
          <w:szCs w:val="44"/>
          <w:highlight w:val="none"/>
        </w:rPr>
        <w:t>第五章</w:t>
      </w:r>
      <w:r>
        <w:rPr>
          <w:rFonts w:ascii="宋体" w:hAnsi="宋体" w:eastAsia="宋体" w:cs="宋体"/>
          <w:color w:val="auto"/>
          <w:kern w:val="44"/>
          <w:szCs w:val="44"/>
          <w:highlight w:val="none"/>
        </w:rPr>
        <w:t xml:space="preserve">  </w:t>
      </w:r>
      <w:r>
        <w:rPr>
          <w:rFonts w:hint="eastAsia" w:ascii="宋体" w:hAnsi="宋体" w:eastAsia="宋体" w:cs="宋体"/>
          <w:color w:val="auto"/>
          <w:kern w:val="44"/>
          <w:szCs w:val="44"/>
          <w:highlight w:val="none"/>
        </w:rPr>
        <w:t>磋商响应文件格式</w:t>
      </w:r>
      <w:r>
        <w:rPr>
          <w:color w:val="auto"/>
          <w:highlight w:val="none"/>
        </w:rPr>
        <w:tab/>
      </w:r>
      <w:r>
        <w:rPr>
          <w:color w:val="auto"/>
          <w:highlight w:val="none"/>
        </w:rPr>
        <w:fldChar w:fldCharType="begin"/>
      </w:r>
      <w:r>
        <w:rPr>
          <w:color w:val="auto"/>
          <w:highlight w:val="none"/>
        </w:rPr>
        <w:instrText xml:space="preserve"> PAGEREF _Toc8471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535E258B">
      <w:pPr>
        <w:pStyle w:val="44"/>
        <w:keepNext w:val="0"/>
        <w:keepLines w:val="0"/>
        <w:pageBreakBefore w:val="0"/>
        <w:widowControl w:val="0"/>
        <w:tabs>
          <w:tab w:val="right" w:leader="dot" w:pos="9072"/>
        </w:tabs>
        <w:kinsoku/>
        <w:wordWrap/>
        <w:overflowPunct/>
        <w:topLinePunct w:val="0"/>
        <w:autoSpaceDE/>
        <w:autoSpaceDN/>
        <w:bidi w:val="0"/>
        <w:adjustRightInd/>
        <w:snapToGrid/>
        <w:ind w:left="0" w:leftChars="0" w:firstLine="0" w:firstLineChars="0"/>
        <w:jc w:val="left"/>
        <w:textAlignment w:val="auto"/>
        <w:rPr>
          <w:color w:val="auto"/>
          <w:highlight w:val="none"/>
        </w:rPr>
      </w:pPr>
      <w:r>
        <w:rPr>
          <w:color w:val="auto"/>
          <w:highlight w:val="none"/>
        </w:rPr>
        <w:fldChar w:fldCharType="begin"/>
      </w:r>
      <w:r>
        <w:rPr>
          <w:color w:val="auto"/>
          <w:highlight w:val="none"/>
        </w:rPr>
        <w:instrText xml:space="preserve"> HYPERLINK \l "_Toc9179" </w:instrText>
      </w:r>
      <w:r>
        <w:rPr>
          <w:color w:val="auto"/>
          <w:highlight w:val="none"/>
        </w:rPr>
        <w:fldChar w:fldCharType="separate"/>
      </w:r>
      <w:r>
        <w:rPr>
          <w:rFonts w:hint="eastAsia" w:ascii="宋体" w:hAnsi="宋体" w:eastAsia="宋体" w:cs="宋体"/>
          <w:color w:val="auto"/>
          <w:highlight w:val="none"/>
        </w:rPr>
        <w:t>第六章</w:t>
      </w:r>
      <w:r>
        <w:rPr>
          <w:rFonts w:ascii="宋体" w:hAnsi="宋体" w:eastAsia="宋体" w:cs="宋体"/>
          <w:color w:val="auto"/>
          <w:highlight w:val="none"/>
        </w:rPr>
        <w:t xml:space="preserve">  </w:t>
      </w:r>
      <w:r>
        <w:rPr>
          <w:rFonts w:hint="eastAsia" w:ascii="宋体" w:hAnsi="宋体" w:eastAsia="宋体" w:cs="宋体"/>
          <w:color w:val="auto"/>
          <w:highlight w:val="none"/>
        </w:rPr>
        <w:t>评审办法</w:t>
      </w:r>
      <w:r>
        <w:rPr>
          <w:color w:val="auto"/>
          <w:highlight w:val="none"/>
        </w:rPr>
        <w:tab/>
      </w:r>
      <w:r>
        <w:rPr>
          <w:color w:val="auto"/>
          <w:highlight w:val="none"/>
        </w:rPr>
        <w:fldChar w:fldCharType="begin"/>
      </w:r>
      <w:r>
        <w:rPr>
          <w:color w:val="auto"/>
          <w:highlight w:val="none"/>
        </w:rPr>
        <w:instrText xml:space="preserve"> PAGEREF _Toc9179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5DD32E8B">
      <w:pPr>
        <w:pStyle w:val="6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color w:val="auto"/>
          <w:highlight w:val="none"/>
        </w:rPr>
        <w:sectPr>
          <w:headerReference r:id="rId8" w:type="first"/>
          <w:footerReference r:id="rId10" w:type="first"/>
          <w:footerReference r:id="rId9" w:type="default"/>
          <w:pgSz w:w="11906" w:h="16838"/>
          <w:pgMar w:top="1440" w:right="1417" w:bottom="1440" w:left="1417" w:header="850" w:footer="992" w:gutter="0"/>
          <w:pgNumType w:start="0"/>
          <w:cols w:space="0" w:num="1"/>
          <w:docGrid w:type="lines" w:linePitch="317" w:charSpace="0"/>
        </w:sectPr>
      </w:pPr>
      <w:r>
        <w:rPr>
          <w:color w:val="auto"/>
          <w:highlight w:val="none"/>
        </w:rPr>
        <w:fldChar w:fldCharType="end"/>
      </w:r>
    </w:p>
    <w:p w14:paraId="09AD7DAA">
      <w:pPr>
        <w:pStyle w:val="2"/>
        <w:widowControl/>
        <w:snapToGrid w:val="0"/>
        <w:spacing w:line="300" w:lineRule="auto"/>
        <w:jc w:val="center"/>
        <w:rPr>
          <w:rFonts w:ascii="宋体" w:hAnsi="宋体" w:eastAsia="宋体" w:cs="宋体"/>
          <w:bCs w:val="0"/>
          <w:color w:val="auto"/>
          <w:sz w:val="24"/>
          <w:highlight w:val="none"/>
        </w:rPr>
      </w:pPr>
      <w:bookmarkStart w:id="26" w:name="_Toc293343927"/>
      <w:bookmarkStart w:id="27" w:name="_Toc5879"/>
      <w:bookmarkStart w:id="28" w:name="_Toc21583"/>
      <w:bookmarkStart w:id="29" w:name="_Toc13804"/>
      <w:bookmarkStart w:id="30" w:name="_Toc81341315"/>
      <w:bookmarkStart w:id="31" w:name="_Toc24449"/>
      <w:r>
        <w:rPr>
          <w:rFonts w:hint="eastAsia" w:ascii="宋体" w:hAnsi="宋体" w:eastAsia="宋体" w:cs="宋体"/>
          <w:color w:val="auto"/>
          <w:kern w:val="44"/>
          <w:sz w:val="44"/>
          <w:szCs w:val="44"/>
          <w:highlight w:val="none"/>
        </w:rPr>
        <w:t>第一章</w:t>
      </w:r>
      <w:r>
        <w:rPr>
          <w:rFonts w:ascii="宋体" w:hAnsi="宋体" w:eastAsia="宋体" w:cs="宋体"/>
          <w:color w:val="auto"/>
          <w:kern w:val="44"/>
          <w:sz w:val="44"/>
          <w:szCs w:val="44"/>
          <w:highlight w:val="none"/>
        </w:rPr>
        <w:t xml:space="preserve">  </w:t>
      </w:r>
      <w:bookmarkEnd w:id="26"/>
      <w:r>
        <w:rPr>
          <w:rFonts w:hint="eastAsia" w:ascii="宋体" w:hAnsi="宋体" w:eastAsia="宋体" w:cs="宋体"/>
          <w:color w:val="auto"/>
          <w:kern w:val="44"/>
          <w:sz w:val="44"/>
          <w:szCs w:val="44"/>
          <w:highlight w:val="none"/>
        </w:rPr>
        <w:t>竞争性磋商公告</w:t>
      </w:r>
      <w:bookmarkEnd w:id="27"/>
      <w:bookmarkEnd w:id="28"/>
      <w:bookmarkEnd w:id="29"/>
      <w:bookmarkEnd w:id="30"/>
      <w:bookmarkEnd w:id="31"/>
    </w:p>
    <w:p w14:paraId="6D41BD4F">
      <w:pPr>
        <w:pStyle w:val="58"/>
        <w:pBdr>
          <w:top w:val="single" w:color="auto" w:sz="4" w:space="0"/>
          <w:left w:val="single" w:color="auto" w:sz="4" w:space="0"/>
          <w:bottom w:val="single" w:color="auto" w:sz="4" w:space="0"/>
          <w:right w:val="single" w:color="auto" w:sz="4" w:space="0"/>
        </w:pBdr>
        <w:spacing w:before="0" w:beforeAutospacing="0" w:after="0" w:afterAutospacing="0" w:line="408" w:lineRule="auto"/>
        <w:ind w:right="53" w:rightChars="25"/>
        <w:rPr>
          <w:rStyle w:val="70"/>
          <w:rFonts w:hint="eastAsia" w:cs="宋体"/>
          <w:bCs/>
          <w:color w:val="auto"/>
          <w:sz w:val="21"/>
          <w:szCs w:val="21"/>
          <w:highlight w:val="none"/>
        </w:rPr>
      </w:pPr>
      <w:r>
        <w:rPr>
          <w:rStyle w:val="70"/>
          <w:rFonts w:hint="eastAsia" w:cs="宋体"/>
          <w:bCs/>
          <w:color w:val="auto"/>
          <w:sz w:val="21"/>
          <w:szCs w:val="21"/>
          <w:highlight w:val="none"/>
        </w:rPr>
        <w:t>项目概况</w:t>
      </w:r>
    </w:p>
    <w:p w14:paraId="152DA172">
      <w:pPr>
        <w:pStyle w:val="58"/>
        <w:pBdr>
          <w:top w:val="single" w:color="auto" w:sz="4" w:space="0"/>
          <w:left w:val="single" w:color="auto" w:sz="4" w:space="0"/>
          <w:bottom w:val="single" w:color="auto" w:sz="4" w:space="0"/>
          <w:right w:val="single" w:color="auto" w:sz="4" w:space="0"/>
        </w:pBdr>
        <w:spacing w:before="0" w:beforeAutospacing="0" w:after="0" w:afterAutospacing="0" w:line="408" w:lineRule="auto"/>
        <w:ind w:right="53" w:rightChars="25" w:firstLine="420" w:firstLineChars="200"/>
        <w:rPr>
          <w:rStyle w:val="70"/>
          <w:rFonts w:cs="宋体"/>
          <w:b w:val="0"/>
          <w:color w:val="auto"/>
          <w:sz w:val="21"/>
          <w:szCs w:val="21"/>
          <w:highlight w:val="none"/>
        </w:rPr>
      </w:pPr>
      <w:r>
        <w:rPr>
          <w:rStyle w:val="70"/>
          <w:rFonts w:hint="eastAsia" w:cs="宋体"/>
          <w:b w:val="0"/>
          <w:color w:val="auto"/>
          <w:sz w:val="21"/>
          <w:szCs w:val="21"/>
          <w:highlight w:val="none"/>
        </w:rPr>
        <w:t>汾西县武装部办公楼、档案局大楼消防专项整治项目的潜在供应商应在政采云平台线上获取获取采购文件，并于2026年</w:t>
      </w:r>
      <w:r>
        <w:rPr>
          <w:rStyle w:val="70"/>
          <w:rFonts w:hint="eastAsia" w:cs="宋体"/>
          <w:b w:val="0"/>
          <w:color w:val="auto"/>
          <w:sz w:val="21"/>
          <w:szCs w:val="21"/>
          <w:highlight w:val="none"/>
          <w:lang w:val="en-US" w:eastAsia="zh-CN"/>
        </w:rPr>
        <w:t>5</w:t>
      </w:r>
      <w:r>
        <w:rPr>
          <w:rStyle w:val="70"/>
          <w:rFonts w:hint="eastAsia" w:cs="宋体"/>
          <w:b w:val="0"/>
          <w:color w:val="auto"/>
          <w:sz w:val="21"/>
          <w:szCs w:val="21"/>
          <w:highlight w:val="none"/>
        </w:rPr>
        <w:t>月</w:t>
      </w:r>
      <w:r>
        <w:rPr>
          <w:rStyle w:val="70"/>
          <w:rFonts w:hint="eastAsia" w:cs="宋体"/>
          <w:b w:val="0"/>
          <w:color w:val="auto"/>
          <w:sz w:val="21"/>
          <w:szCs w:val="21"/>
          <w:highlight w:val="none"/>
          <w:lang w:val="en-US" w:eastAsia="zh-CN"/>
        </w:rPr>
        <w:t>19</w:t>
      </w:r>
      <w:r>
        <w:rPr>
          <w:rStyle w:val="70"/>
          <w:rFonts w:hint="eastAsia" w:cs="宋体"/>
          <w:b w:val="0"/>
          <w:color w:val="auto"/>
          <w:sz w:val="21"/>
          <w:szCs w:val="21"/>
          <w:highlight w:val="none"/>
        </w:rPr>
        <w:t>日</w:t>
      </w:r>
      <w:r>
        <w:rPr>
          <w:rStyle w:val="70"/>
          <w:rFonts w:hint="eastAsia" w:cs="宋体"/>
          <w:b w:val="0"/>
          <w:color w:val="auto"/>
          <w:sz w:val="21"/>
          <w:szCs w:val="21"/>
          <w:highlight w:val="none"/>
          <w:lang w:val="en-US" w:eastAsia="zh-CN"/>
        </w:rPr>
        <w:t>15</w:t>
      </w:r>
      <w:r>
        <w:rPr>
          <w:rStyle w:val="70"/>
          <w:rFonts w:hint="eastAsia" w:cs="宋体"/>
          <w:b w:val="0"/>
          <w:color w:val="auto"/>
          <w:sz w:val="21"/>
          <w:szCs w:val="21"/>
          <w:highlight w:val="none"/>
        </w:rPr>
        <w:t>:00（北京时间）前提交响应文件。</w:t>
      </w:r>
    </w:p>
    <w:p w14:paraId="129745D1">
      <w:pPr>
        <w:pStyle w:val="58"/>
        <w:spacing w:before="0" w:beforeAutospacing="0" w:after="0" w:afterAutospacing="0" w:line="408" w:lineRule="auto"/>
        <w:ind w:firstLine="422" w:firstLineChars="200"/>
        <w:rPr>
          <w:color w:val="auto"/>
          <w:sz w:val="21"/>
          <w:szCs w:val="21"/>
          <w:highlight w:val="none"/>
        </w:rPr>
      </w:pPr>
      <w:r>
        <w:rPr>
          <w:rStyle w:val="70"/>
          <w:rFonts w:hint="eastAsia" w:cs="宋体"/>
          <w:bCs/>
          <w:color w:val="auto"/>
          <w:sz w:val="21"/>
          <w:szCs w:val="21"/>
          <w:highlight w:val="none"/>
        </w:rPr>
        <w:t>一、项目基本情况</w:t>
      </w:r>
    </w:p>
    <w:p w14:paraId="505E2DA1">
      <w:pPr>
        <w:pStyle w:val="58"/>
        <w:spacing w:before="0" w:beforeAutospacing="0" w:after="0" w:afterAutospacing="0" w:line="408"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项目编号：</w:t>
      </w:r>
      <w:r>
        <w:rPr>
          <w:rFonts w:hint="eastAsia"/>
          <w:color w:val="auto"/>
          <w:sz w:val="21"/>
          <w:szCs w:val="21"/>
          <w:highlight w:val="none"/>
          <w:lang w:eastAsia="zh-CN"/>
        </w:rPr>
        <w:t>1410342026BCS00029</w:t>
      </w:r>
    </w:p>
    <w:p w14:paraId="48095700">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项目名称：</w:t>
      </w:r>
      <w:r>
        <w:rPr>
          <w:rStyle w:val="70"/>
          <w:rFonts w:hint="eastAsia" w:cs="宋体"/>
          <w:b w:val="0"/>
          <w:color w:val="auto"/>
          <w:sz w:val="21"/>
          <w:szCs w:val="21"/>
          <w:highlight w:val="none"/>
        </w:rPr>
        <w:t>汾西县武装部办公楼、档案局大楼消防专项整治项目</w:t>
      </w:r>
    </w:p>
    <w:p w14:paraId="295B68DA">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采购方式：竞争性磋商</w:t>
      </w:r>
    </w:p>
    <w:p w14:paraId="32D24278">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预算金额（万元）：128.6</w:t>
      </w:r>
    </w:p>
    <w:p w14:paraId="474CD62D">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最高限价（万元）：128.6</w:t>
      </w:r>
    </w:p>
    <w:p w14:paraId="69C15B5B">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采购需求：</w:t>
      </w:r>
    </w:p>
    <w:p w14:paraId="39DA9830">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标项名称：</w:t>
      </w:r>
      <w:r>
        <w:rPr>
          <w:rStyle w:val="70"/>
          <w:rFonts w:hint="eastAsia" w:cs="宋体"/>
          <w:b w:val="0"/>
          <w:color w:val="auto"/>
          <w:sz w:val="21"/>
          <w:szCs w:val="21"/>
          <w:highlight w:val="none"/>
        </w:rPr>
        <w:t>汾西县武装部办公楼、档案局大楼消防专项整治项目</w:t>
      </w:r>
    </w:p>
    <w:p w14:paraId="120D3305">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数量：1</w:t>
      </w:r>
    </w:p>
    <w:p w14:paraId="1F6B0888">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预算金额（万元）：128.6</w:t>
      </w:r>
    </w:p>
    <w:p w14:paraId="68330858">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单位：</w:t>
      </w:r>
    </w:p>
    <w:p w14:paraId="08D407FE">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简要规格描述：</w:t>
      </w:r>
      <w:r>
        <w:rPr>
          <w:rStyle w:val="70"/>
          <w:rFonts w:hint="eastAsia" w:cs="宋体"/>
          <w:b w:val="0"/>
          <w:color w:val="auto"/>
          <w:sz w:val="21"/>
          <w:szCs w:val="21"/>
          <w:highlight w:val="none"/>
        </w:rPr>
        <w:t>汾西县武装部办公楼、档案局大楼消防专项整治项目</w:t>
      </w:r>
      <w:r>
        <w:rPr>
          <w:rFonts w:hint="eastAsia"/>
          <w:color w:val="auto"/>
          <w:sz w:val="21"/>
          <w:szCs w:val="21"/>
          <w:highlight w:val="none"/>
        </w:rPr>
        <w:t>。具体内容详见工程量清单及施工图纸。</w:t>
      </w:r>
    </w:p>
    <w:p w14:paraId="49433D97">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 xml:space="preserve">备注：无    </w:t>
      </w:r>
    </w:p>
    <w:p w14:paraId="339EAB0A">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合同履行期限：包1，100日历天。</w:t>
      </w:r>
    </w:p>
    <w:p w14:paraId="691468A9">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本项目（否）接受联合体投标。</w:t>
      </w:r>
    </w:p>
    <w:p w14:paraId="4F0006EB">
      <w:pPr>
        <w:pStyle w:val="58"/>
        <w:spacing w:before="0" w:beforeAutospacing="0" w:after="0" w:afterAutospacing="0" w:line="408" w:lineRule="auto"/>
        <w:ind w:firstLine="422" w:firstLineChars="200"/>
        <w:rPr>
          <w:rStyle w:val="70"/>
          <w:rFonts w:cs="宋体"/>
          <w:bCs/>
          <w:color w:val="auto"/>
          <w:sz w:val="21"/>
          <w:szCs w:val="21"/>
          <w:highlight w:val="none"/>
        </w:rPr>
      </w:pPr>
      <w:r>
        <w:rPr>
          <w:rStyle w:val="70"/>
          <w:rFonts w:hint="eastAsia" w:cs="宋体"/>
          <w:bCs/>
          <w:color w:val="auto"/>
          <w:sz w:val="21"/>
          <w:szCs w:val="21"/>
          <w:highlight w:val="none"/>
        </w:rPr>
        <w:t>二、申请人的资格要求：</w:t>
      </w:r>
    </w:p>
    <w:p w14:paraId="4F1631F2">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1.满足《中华人民共和国政府采购法》第二十二条规定。</w:t>
      </w:r>
    </w:p>
    <w:p w14:paraId="2187032F">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2.落实政府采购政策需满足的资格要求：包1：</w:t>
      </w:r>
      <w:r>
        <w:rPr>
          <w:rFonts w:hint="eastAsia" w:cs="宋体"/>
          <w:color w:val="auto"/>
          <w:sz w:val="21"/>
          <w:szCs w:val="21"/>
          <w:highlight w:val="none"/>
          <w:lang w:val="en-US" w:eastAsia="zh-CN"/>
        </w:rPr>
        <w:t>本项目专门面向中小企业</w:t>
      </w:r>
      <w:r>
        <w:rPr>
          <w:rFonts w:hint="eastAsia"/>
          <w:color w:val="auto"/>
          <w:sz w:val="21"/>
          <w:szCs w:val="21"/>
          <w:highlight w:val="none"/>
          <w:lang w:val="zh-CN"/>
        </w:rPr>
        <w:t>。</w:t>
      </w:r>
    </w:p>
    <w:p w14:paraId="5391D5A0">
      <w:pPr>
        <w:pStyle w:val="58"/>
        <w:spacing w:before="0" w:beforeAutospacing="0" w:after="0" w:afterAutospacing="0" w:line="408" w:lineRule="auto"/>
        <w:ind w:firstLine="420" w:firstLineChars="200"/>
        <w:rPr>
          <w:bCs/>
          <w:color w:val="auto"/>
          <w:sz w:val="21"/>
          <w:szCs w:val="21"/>
          <w:highlight w:val="none"/>
        </w:rPr>
      </w:pPr>
      <w:r>
        <w:rPr>
          <w:rFonts w:hint="eastAsia"/>
          <w:color w:val="auto"/>
          <w:sz w:val="21"/>
          <w:szCs w:val="21"/>
          <w:highlight w:val="none"/>
        </w:rPr>
        <w:t>3.本项目的特定资格要求：</w:t>
      </w:r>
      <w:r>
        <w:rPr>
          <w:rFonts w:hint="eastAsia"/>
          <w:bCs/>
          <w:color w:val="auto"/>
          <w:sz w:val="21"/>
          <w:szCs w:val="21"/>
          <w:highlight w:val="none"/>
        </w:rPr>
        <w:t>包1：供应商须具备有效的消防设施工程专业承包贰级及以上资质，有效营业执照、安全生产许可证，并在人员、设备、资金等方面具有相应的施工能力，其中，拟派项目负责人须具备机电工程贰级及以上注册建造师执业资格，具备有效的安全生产考核合格证书（B证），且未担任其它在建工程项目的项目经理，技术负责人需具备相关专业中级及以上职称。</w:t>
      </w:r>
    </w:p>
    <w:p w14:paraId="1CBD33C5">
      <w:pPr>
        <w:pStyle w:val="58"/>
        <w:spacing w:before="0" w:beforeAutospacing="0" w:after="0" w:afterAutospacing="0" w:line="408" w:lineRule="auto"/>
        <w:ind w:firstLine="420" w:firstLineChars="200"/>
        <w:rPr>
          <w:color w:val="auto"/>
          <w:sz w:val="21"/>
          <w:szCs w:val="21"/>
          <w:highlight w:val="none"/>
        </w:rPr>
      </w:pPr>
      <w:r>
        <w:rPr>
          <w:rFonts w:hint="eastAsia"/>
          <w:bCs/>
          <w:color w:val="auto"/>
          <w:sz w:val="21"/>
          <w:szCs w:val="21"/>
          <w:highlight w:val="none"/>
        </w:rPr>
        <w:t>4.</w:t>
      </w:r>
      <w:r>
        <w:rPr>
          <w:rFonts w:hint="eastAsia"/>
          <w:color w:val="auto"/>
          <w:sz w:val="21"/>
          <w:szCs w:val="21"/>
          <w:highlight w:val="none"/>
        </w:rPr>
        <w:t>未被“信用中国”（www.creditchina.gov.cn）列入失信被执行人、重大税收违法失信主体、</w:t>
      </w:r>
      <w:r>
        <w:rPr>
          <w:color w:val="auto"/>
          <w:sz w:val="21"/>
          <w:szCs w:val="21"/>
          <w:highlight w:val="none"/>
        </w:rPr>
        <w:t>政府采购严重违法失信行为记录名单</w:t>
      </w:r>
      <w:r>
        <w:rPr>
          <w:rFonts w:hint="eastAsia"/>
          <w:color w:val="auto"/>
          <w:sz w:val="21"/>
          <w:szCs w:val="21"/>
          <w:highlight w:val="none"/>
        </w:rPr>
        <w:t>；未被中国政府采购网（www.ccgp.gov.cn）列入政府采购严重违法失信行为记录名单。</w:t>
      </w:r>
    </w:p>
    <w:p w14:paraId="2177BB79">
      <w:pPr>
        <w:pStyle w:val="58"/>
        <w:spacing w:before="0" w:beforeAutospacing="0" w:after="0" w:afterAutospacing="0" w:line="408" w:lineRule="auto"/>
        <w:ind w:firstLine="422" w:firstLineChars="200"/>
        <w:rPr>
          <w:rStyle w:val="70"/>
          <w:rFonts w:cs="宋体"/>
          <w:bCs/>
          <w:color w:val="auto"/>
          <w:sz w:val="21"/>
          <w:szCs w:val="21"/>
          <w:highlight w:val="none"/>
        </w:rPr>
      </w:pPr>
      <w:r>
        <w:rPr>
          <w:rStyle w:val="70"/>
          <w:rFonts w:hint="eastAsia" w:cs="宋体"/>
          <w:bCs/>
          <w:color w:val="auto"/>
          <w:sz w:val="21"/>
          <w:szCs w:val="21"/>
          <w:highlight w:val="none"/>
        </w:rPr>
        <w:t>三、获取采购文件</w:t>
      </w:r>
    </w:p>
    <w:p w14:paraId="095FDF8F">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时间：2026年</w:t>
      </w:r>
      <w:r>
        <w:rPr>
          <w:rFonts w:hint="eastAsia"/>
          <w:color w:val="auto"/>
          <w:sz w:val="21"/>
          <w:szCs w:val="21"/>
          <w:highlight w:val="none"/>
          <w:lang w:val="en-US" w:eastAsia="zh-CN"/>
        </w:rPr>
        <w:t>5</w:t>
      </w:r>
      <w:r>
        <w:rPr>
          <w:rFonts w:hint="eastAsia"/>
          <w:color w:val="auto"/>
          <w:sz w:val="21"/>
          <w:szCs w:val="21"/>
          <w:highlight w:val="none"/>
        </w:rPr>
        <w:t>月</w:t>
      </w:r>
      <w:r>
        <w:rPr>
          <w:rFonts w:hint="eastAsia"/>
          <w:color w:val="auto"/>
          <w:sz w:val="21"/>
          <w:szCs w:val="21"/>
          <w:highlight w:val="none"/>
          <w:lang w:val="en-US" w:eastAsia="zh-CN"/>
        </w:rPr>
        <w:t>6</w:t>
      </w:r>
      <w:r>
        <w:rPr>
          <w:rFonts w:hint="eastAsia"/>
          <w:color w:val="auto"/>
          <w:sz w:val="21"/>
          <w:szCs w:val="21"/>
          <w:highlight w:val="none"/>
        </w:rPr>
        <w:t>日至2026年</w:t>
      </w:r>
      <w:r>
        <w:rPr>
          <w:rFonts w:hint="eastAsia"/>
          <w:color w:val="auto"/>
          <w:sz w:val="21"/>
          <w:szCs w:val="21"/>
          <w:highlight w:val="none"/>
          <w:lang w:val="en-US" w:eastAsia="zh-CN"/>
        </w:rPr>
        <w:t>5</w:t>
      </w:r>
      <w:r>
        <w:rPr>
          <w:rFonts w:hint="eastAsia"/>
          <w:color w:val="auto"/>
          <w:sz w:val="21"/>
          <w:szCs w:val="21"/>
          <w:highlight w:val="none"/>
        </w:rPr>
        <w:t>月</w:t>
      </w:r>
      <w:r>
        <w:rPr>
          <w:rFonts w:hint="eastAsia"/>
          <w:color w:val="auto"/>
          <w:sz w:val="21"/>
          <w:szCs w:val="21"/>
          <w:highlight w:val="none"/>
          <w:lang w:val="en-US" w:eastAsia="zh-CN"/>
        </w:rPr>
        <w:t>12</w:t>
      </w:r>
      <w:r>
        <w:rPr>
          <w:rFonts w:hint="eastAsia"/>
          <w:color w:val="auto"/>
          <w:sz w:val="21"/>
          <w:szCs w:val="21"/>
          <w:highlight w:val="none"/>
        </w:rPr>
        <w:t xml:space="preserve">日，每天上午00:00至12:00，下午12:00至23:59（北京时间，法定节假日除外）        </w:t>
      </w:r>
    </w:p>
    <w:p w14:paraId="3E10392E">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 xml:space="preserve">地点：政采云平台线上获取      </w:t>
      </w:r>
    </w:p>
    <w:p w14:paraId="0F6E7773">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 xml:space="preserve">方式：在线获取       </w:t>
      </w:r>
    </w:p>
    <w:p w14:paraId="1BE9332C">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 xml:space="preserve">售价（元）：0 </w:t>
      </w:r>
    </w:p>
    <w:p w14:paraId="5C5CE1E5">
      <w:pPr>
        <w:pStyle w:val="58"/>
        <w:spacing w:before="0" w:beforeAutospacing="0" w:after="0" w:afterAutospacing="0" w:line="408" w:lineRule="auto"/>
        <w:ind w:firstLine="422" w:firstLineChars="200"/>
        <w:rPr>
          <w:rStyle w:val="70"/>
          <w:rFonts w:cs="宋体"/>
          <w:bCs/>
          <w:color w:val="auto"/>
          <w:sz w:val="21"/>
          <w:szCs w:val="21"/>
          <w:highlight w:val="none"/>
        </w:rPr>
      </w:pPr>
      <w:r>
        <w:rPr>
          <w:rStyle w:val="70"/>
          <w:rFonts w:hint="eastAsia" w:cs="宋体"/>
          <w:bCs/>
          <w:color w:val="auto"/>
          <w:sz w:val="21"/>
          <w:szCs w:val="21"/>
          <w:highlight w:val="none"/>
        </w:rPr>
        <w:t>四、响应文件提交</w:t>
      </w:r>
    </w:p>
    <w:p w14:paraId="7252EFE5">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截止时间：2026年</w:t>
      </w:r>
      <w:r>
        <w:rPr>
          <w:rFonts w:hint="eastAsia"/>
          <w:color w:val="auto"/>
          <w:sz w:val="21"/>
          <w:szCs w:val="21"/>
          <w:highlight w:val="none"/>
          <w:lang w:val="en-US" w:eastAsia="zh-CN"/>
        </w:rPr>
        <w:t>5</w:t>
      </w:r>
      <w:r>
        <w:rPr>
          <w:rFonts w:hint="eastAsia"/>
          <w:color w:val="auto"/>
          <w:sz w:val="21"/>
          <w:szCs w:val="21"/>
          <w:highlight w:val="none"/>
        </w:rPr>
        <w:t>月</w:t>
      </w:r>
      <w:r>
        <w:rPr>
          <w:rFonts w:hint="eastAsia"/>
          <w:color w:val="auto"/>
          <w:sz w:val="21"/>
          <w:szCs w:val="21"/>
          <w:highlight w:val="none"/>
          <w:lang w:val="en-US" w:eastAsia="zh-CN"/>
        </w:rPr>
        <w:t>19</w:t>
      </w:r>
      <w:r>
        <w:rPr>
          <w:rFonts w:hint="eastAsia"/>
          <w:color w:val="auto"/>
          <w:sz w:val="21"/>
          <w:szCs w:val="21"/>
          <w:highlight w:val="none"/>
        </w:rPr>
        <w:t>日</w:t>
      </w:r>
      <w:r>
        <w:rPr>
          <w:rFonts w:hint="eastAsia"/>
          <w:color w:val="auto"/>
          <w:sz w:val="21"/>
          <w:szCs w:val="21"/>
          <w:highlight w:val="none"/>
          <w:lang w:val="en-US" w:eastAsia="zh-CN"/>
        </w:rPr>
        <w:t>15</w:t>
      </w:r>
      <w:r>
        <w:rPr>
          <w:rFonts w:hint="eastAsia"/>
          <w:color w:val="auto"/>
          <w:sz w:val="21"/>
          <w:szCs w:val="21"/>
          <w:highlight w:val="none"/>
        </w:rPr>
        <w:t xml:space="preserve">：00（北京时间）        </w:t>
      </w:r>
    </w:p>
    <w:p w14:paraId="72CA1EFF">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地点：请登录政采云投标客户端投标</w:t>
      </w:r>
    </w:p>
    <w:p w14:paraId="4F1411C0">
      <w:pPr>
        <w:pStyle w:val="58"/>
        <w:spacing w:before="0" w:beforeAutospacing="0" w:after="0" w:afterAutospacing="0" w:line="408" w:lineRule="auto"/>
        <w:ind w:firstLine="422" w:firstLineChars="200"/>
        <w:rPr>
          <w:rStyle w:val="70"/>
          <w:rFonts w:cs="宋体"/>
          <w:bCs/>
          <w:color w:val="auto"/>
          <w:sz w:val="21"/>
          <w:szCs w:val="21"/>
          <w:highlight w:val="none"/>
        </w:rPr>
      </w:pPr>
      <w:r>
        <w:rPr>
          <w:rStyle w:val="70"/>
          <w:rFonts w:hint="eastAsia" w:cs="宋体"/>
          <w:bCs/>
          <w:color w:val="auto"/>
          <w:sz w:val="21"/>
          <w:szCs w:val="21"/>
          <w:highlight w:val="none"/>
        </w:rPr>
        <w:t>五、响应文件开启</w:t>
      </w:r>
    </w:p>
    <w:p w14:paraId="4FF9C8FE">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开启时间：2026年</w:t>
      </w:r>
      <w:r>
        <w:rPr>
          <w:rFonts w:hint="eastAsia"/>
          <w:color w:val="auto"/>
          <w:sz w:val="21"/>
          <w:szCs w:val="21"/>
          <w:highlight w:val="none"/>
          <w:lang w:val="en-US" w:eastAsia="zh-CN"/>
        </w:rPr>
        <w:t>5</w:t>
      </w:r>
      <w:r>
        <w:rPr>
          <w:rFonts w:hint="eastAsia"/>
          <w:color w:val="auto"/>
          <w:sz w:val="21"/>
          <w:szCs w:val="21"/>
          <w:highlight w:val="none"/>
        </w:rPr>
        <w:t>月</w:t>
      </w:r>
      <w:r>
        <w:rPr>
          <w:rFonts w:hint="eastAsia"/>
          <w:color w:val="auto"/>
          <w:sz w:val="21"/>
          <w:szCs w:val="21"/>
          <w:highlight w:val="none"/>
          <w:lang w:val="en-US" w:eastAsia="zh-CN"/>
        </w:rPr>
        <w:t>19</w:t>
      </w:r>
      <w:r>
        <w:rPr>
          <w:rFonts w:hint="eastAsia"/>
          <w:color w:val="auto"/>
          <w:sz w:val="21"/>
          <w:szCs w:val="21"/>
          <w:highlight w:val="none"/>
        </w:rPr>
        <w:t>日</w:t>
      </w:r>
      <w:r>
        <w:rPr>
          <w:rFonts w:hint="eastAsia"/>
          <w:color w:val="auto"/>
          <w:sz w:val="21"/>
          <w:szCs w:val="21"/>
          <w:highlight w:val="none"/>
          <w:lang w:val="en-US" w:eastAsia="zh-CN"/>
        </w:rPr>
        <w:t>15</w:t>
      </w:r>
      <w:r>
        <w:rPr>
          <w:rFonts w:hint="eastAsia"/>
          <w:color w:val="auto"/>
          <w:sz w:val="21"/>
          <w:szCs w:val="21"/>
          <w:highlight w:val="none"/>
        </w:rPr>
        <w:t xml:space="preserve">：00（北京时间）        </w:t>
      </w:r>
    </w:p>
    <w:p w14:paraId="3CA094BC">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地点：线上开启</w:t>
      </w:r>
    </w:p>
    <w:p w14:paraId="7776CFAD">
      <w:pPr>
        <w:pStyle w:val="58"/>
        <w:spacing w:before="0" w:beforeAutospacing="0" w:after="0" w:afterAutospacing="0" w:line="408" w:lineRule="auto"/>
        <w:ind w:firstLine="422" w:firstLineChars="200"/>
        <w:rPr>
          <w:rStyle w:val="70"/>
          <w:rFonts w:cs="宋体"/>
          <w:bCs/>
          <w:color w:val="auto"/>
          <w:sz w:val="21"/>
          <w:szCs w:val="21"/>
          <w:highlight w:val="none"/>
        </w:rPr>
      </w:pPr>
      <w:r>
        <w:rPr>
          <w:rStyle w:val="70"/>
          <w:rFonts w:hint="eastAsia" w:cs="宋体"/>
          <w:bCs/>
          <w:color w:val="auto"/>
          <w:sz w:val="21"/>
          <w:szCs w:val="21"/>
          <w:highlight w:val="none"/>
        </w:rPr>
        <w:t>六、公告期限</w:t>
      </w:r>
    </w:p>
    <w:p w14:paraId="240A28D2">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自本公告发布之日起3个工作日。</w:t>
      </w:r>
    </w:p>
    <w:p w14:paraId="34CCB544">
      <w:pPr>
        <w:pStyle w:val="58"/>
        <w:spacing w:before="0" w:beforeAutospacing="0" w:after="0" w:afterAutospacing="0" w:line="408" w:lineRule="auto"/>
        <w:ind w:firstLine="422" w:firstLineChars="200"/>
        <w:rPr>
          <w:rStyle w:val="70"/>
          <w:rFonts w:cs="宋体"/>
          <w:bCs/>
          <w:color w:val="auto"/>
          <w:sz w:val="21"/>
          <w:szCs w:val="21"/>
          <w:highlight w:val="none"/>
        </w:rPr>
      </w:pPr>
      <w:r>
        <w:rPr>
          <w:rStyle w:val="70"/>
          <w:rFonts w:hint="eastAsia" w:cs="宋体"/>
          <w:bCs/>
          <w:color w:val="auto"/>
          <w:sz w:val="21"/>
          <w:szCs w:val="21"/>
          <w:highlight w:val="none"/>
        </w:rPr>
        <w:t>七、其他补充事宜</w:t>
      </w:r>
    </w:p>
    <w:p w14:paraId="2C52B54A">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7C01AB93">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 xml:space="preserve">代理费支付方式： 供应商支付 </w:t>
      </w:r>
    </w:p>
    <w:p w14:paraId="6720227B">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 xml:space="preserve">代理费收费标准： 参照国家计委计价格（[2002]1980号、及国家发改委发改价格[2003]857号、《国家发展改革委关于降低部分建设项目收费标准规范收费行为等有关问题的通知》（发改价格[2011]534号）文件规定收取。  </w:t>
      </w:r>
    </w:p>
    <w:p w14:paraId="56D7C118">
      <w:pPr>
        <w:pStyle w:val="58"/>
        <w:spacing w:before="0" w:beforeAutospacing="0" w:after="0" w:afterAutospacing="0" w:line="408" w:lineRule="auto"/>
        <w:ind w:firstLine="420" w:firstLineChars="200"/>
        <w:rPr>
          <w:color w:val="auto"/>
          <w:sz w:val="21"/>
          <w:szCs w:val="21"/>
          <w:highlight w:val="none"/>
        </w:rPr>
      </w:pPr>
      <w:r>
        <w:rPr>
          <w:rFonts w:hint="eastAsia"/>
          <w:color w:val="auto"/>
          <w:sz w:val="21"/>
          <w:szCs w:val="21"/>
          <w:highlight w:val="none"/>
        </w:rPr>
        <w:t>代理费收费金额（元）： / 。</w:t>
      </w:r>
    </w:p>
    <w:p w14:paraId="2E178B97">
      <w:pPr>
        <w:pStyle w:val="58"/>
        <w:spacing w:before="0" w:beforeAutospacing="0" w:after="0" w:afterAutospacing="0" w:line="408" w:lineRule="auto"/>
        <w:ind w:firstLine="422" w:firstLineChars="200"/>
        <w:rPr>
          <w:color w:val="auto"/>
          <w:sz w:val="21"/>
          <w:szCs w:val="21"/>
          <w:highlight w:val="none"/>
        </w:rPr>
      </w:pPr>
      <w:r>
        <w:rPr>
          <w:rStyle w:val="70"/>
          <w:rFonts w:hint="eastAsia" w:cs="宋体"/>
          <w:bCs/>
          <w:color w:val="auto"/>
          <w:sz w:val="21"/>
          <w:szCs w:val="21"/>
          <w:highlight w:val="none"/>
        </w:rPr>
        <w:t>八、凡对本次采购提出询问，请按以下方式联系</w:t>
      </w:r>
    </w:p>
    <w:p w14:paraId="5852D979">
      <w:pPr>
        <w:spacing w:line="40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7D6DEAF1">
      <w:pPr>
        <w:pStyle w:val="25"/>
        <w:spacing w:after="0" w:line="40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名    称：汾西县机关事务服务中心</w:t>
      </w:r>
    </w:p>
    <w:p w14:paraId="7CDB26A5">
      <w:pPr>
        <w:pStyle w:val="25"/>
        <w:spacing w:after="0" w:line="40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地    址：汾西县政府大院东楼</w:t>
      </w:r>
    </w:p>
    <w:p w14:paraId="7E6674F5">
      <w:pPr>
        <w:pStyle w:val="25"/>
        <w:spacing w:after="0" w:line="408"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联 系 人：赵先生</w:t>
      </w:r>
    </w:p>
    <w:p w14:paraId="3BA1E64C">
      <w:pPr>
        <w:pStyle w:val="25"/>
        <w:spacing w:after="0" w:line="408"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    话：13081037925</w:t>
      </w:r>
    </w:p>
    <w:p w14:paraId="4D0CBEDC">
      <w:pPr>
        <w:spacing w:line="40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p>
    <w:p w14:paraId="7D02E22C">
      <w:pPr>
        <w:spacing w:line="40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称：山西中鑫招标代理有限公司</w:t>
      </w:r>
    </w:p>
    <w:p w14:paraId="72ABB388">
      <w:pPr>
        <w:spacing w:line="40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址：山西省临汾市尧都区五一东路尧都农村商业银行东关支行4楼</w:t>
      </w:r>
    </w:p>
    <w:p w14:paraId="40136ADB">
      <w:pPr>
        <w:spacing w:line="40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联系方式：0357-2229989</w:t>
      </w:r>
    </w:p>
    <w:p w14:paraId="43F7368A">
      <w:pPr>
        <w:spacing w:line="40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3.项目联系方式</w:t>
      </w:r>
    </w:p>
    <w:p w14:paraId="7DF423F2">
      <w:pPr>
        <w:pStyle w:val="33"/>
        <w:wordWrap w:val="0"/>
        <w:spacing w:beforeLines="0" w:afterLines="0" w:line="408" w:lineRule="auto"/>
        <w:ind w:firstLine="420" w:firstLineChars="200"/>
        <w:jc w:val="left"/>
        <w:rPr>
          <w:rFonts w:hAnsi="宋体" w:cs="宋体"/>
          <w:color w:val="auto"/>
          <w:sz w:val="21"/>
          <w:szCs w:val="21"/>
          <w:highlight w:val="none"/>
        </w:rPr>
      </w:pPr>
      <w:r>
        <w:rPr>
          <w:rFonts w:hint="eastAsia" w:hAnsi="宋体" w:cs="宋体"/>
          <w:color w:val="auto"/>
          <w:sz w:val="21"/>
          <w:szCs w:val="21"/>
          <w:highlight w:val="none"/>
        </w:rPr>
        <w:t>项目联系人：</w:t>
      </w:r>
      <w:r>
        <w:rPr>
          <w:rFonts w:hint="eastAsia" w:hAnsi="宋体" w:cs="宋体"/>
          <w:color w:val="auto"/>
          <w:sz w:val="21"/>
          <w:szCs w:val="21"/>
          <w:highlight w:val="none"/>
          <w:lang w:val="en-US" w:eastAsia="zh-CN"/>
        </w:rPr>
        <w:t>史</w:t>
      </w:r>
      <w:r>
        <w:rPr>
          <w:rFonts w:hint="eastAsia" w:hAnsi="宋体" w:cs="宋体"/>
          <w:color w:val="auto"/>
          <w:sz w:val="21"/>
          <w:szCs w:val="21"/>
          <w:highlight w:val="none"/>
        </w:rPr>
        <w:t>女士</w:t>
      </w:r>
    </w:p>
    <w:p w14:paraId="1A13F6A0">
      <w:pPr>
        <w:spacing w:line="408" w:lineRule="auto"/>
        <w:ind w:firstLine="420" w:firstLineChars="200"/>
        <w:rPr>
          <w:rFonts w:ascii="宋体" w:hAnsi="宋体" w:cs="宋体"/>
          <w:color w:val="auto"/>
          <w:szCs w:val="21"/>
          <w:highlight w:val="none"/>
        </w:rPr>
      </w:pPr>
      <w:bookmarkStart w:id="32" w:name="_Toc81341316"/>
      <w:bookmarkStart w:id="33" w:name="_Toc273624872"/>
      <w:bookmarkStart w:id="34" w:name="_Toc20347"/>
      <w:bookmarkStart w:id="35" w:name="_Toc82873316"/>
      <w:bookmarkStart w:id="36" w:name="_Toc82338233"/>
      <w:bookmarkStart w:id="37" w:name="_Toc211745565"/>
      <w:r>
        <w:rPr>
          <w:rFonts w:hint="eastAsia" w:ascii="宋体" w:hAnsi="宋体" w:cs="宋体"/>
          <w:color w:val="auto"/>
          <w:szCs w:val="21"/>
          <w:highlight w:val="none"/>
        </w:rPr>
        <w:t>联系方式：0357-2229989</w:t>
      </w:r>
    </w:p>
    <w:p w14:paraId="0AE90769">
      <w:pPr>
        <w:rPr>
          <w:rFonts w:ascii="宋体" w:cs="宋体"/>
          <w:color w:val="auto"/>
          <w:highlight w:val="none"/>
        </w:rPr>
      </w:pPr>
      <w:r>
        <w:rPr>
          <w:rFonts w:ascii="宋体" w:cs="宋体"/>
          <w:color w:val="auto"/>
          <w:highlight w:val="none"/>
        </w:rPr>
        <w:br w:type="page"/>
      </w:r>
    </w:p>
    <w:p w14:paraId="28CDEBDC">
      <w:pPr>
        <w:pStyle w:val="2"/>
        <w:keepNext/>
        <w:autoSpaceDE/>
        <w:autoSpaceDN/>
        <w:adjustRightInd/>
        <w:jc w:val="center"/>
        <w:rPr>
          <w:rFonts w:ascii="宋体" w:hAnsi="宋体" w:eastAsia="宋体" w:cs="宋体"/>
          <w:bCs w:val="0"/>
          <w:color w:val="auto"/>
          <w:kern w:val="44"/>
          <w:sz w:val="44"/>
          <w:szCs w:val="44"/>
          <w:highlight w:val="none"/>
        </w:rPr>
      </w:pPr>
      <w:bookmarkStart w:id="38" w:name="_Toc26099"/>
      <w:bookmarkStart w:id="39" w:name="_Toc29657"/>
      <w:bookmarkStart w:id="40" w:name="_Toc1093"/>
      <w:r>
        <w:rPr>
          <w:rFonts w:hint="eastAsia" w:ascii="宋体" w:hAnsi="宋体" w:eastAsia="宋体" w:cs="宋体"/>
          <w:color w:val="auto"/>
          <w:kern w:val="44"/>
          <w:sz w:val="44"/>
          <w:szCs w:val="44"/>
          <w:highlight w:val="none"/>
        </w:rPr>
        <w:t>第二章</w:t>
      </w:r>
      <w:r>
        <w:rPr>
          <w:rFonts w:ascii="宋体" w:hAnsi="宋体" w:eastAsia="宋体" w:cs="宋体"/>
          <w:color w:val="auto"/>
          <w:kern w:val="44"/>
          <w:sz w:val="44"/>
          <w:szCs w:val="44"/>
          <w:highlight w:val="none"/>
        </w:rPr>
        <w:t xml:space="preserve"> </w:t>
      </w:r>
      <w:r>
        <w:rPr>
          <w:rFonts w:hint="eastAsia" w:ascii="宋体" w:hAnsi="宋体" w:eastAsia="宋体" w:cs="宋体"/>
          <w:color w:val="auto"/>
          <w:kern w:val="44"/>
          <w:sz w:val="44"/>
          <w:szCs w:val="44"/>
          <w:highlight w:val="none"/>
        </w:rPr>
        <w:t xml:space="preserve"> 磋商须知及前附表</w:t>
      </w:r>
      <w:bookmarkEnd w:id="32"/>
      <w:bookmarkEnd w:id="33"/>
      <w:bookmarkEnd w:id="34"/>
      <w:bookmarkEnd w:id="38"/>
      <w:bookmarkEnd w:id="39"/>
      <w:bookmarkEnd w:id="40"/>
    </w:p>
    <w:p w14:paraId="7EDE30E8">
      <w:pPr>
        <w:pStyle w:val="3"/>
        <w:spacing w:before="0" w:after="0" w:line="360" w:lineRule="auto"/>
        <w:jc w:val="center"/>
        <w:rPr>
          <w:rFonts w:ascii="宋体" w:hAnsi="宋体" w:eastAsia="宋体" w:cs="宋体"/>
          <w:color w:val="auto"/>
          <w:sz w:val="28"/>
          <w:szCs w:val="28"/>
          <w:highlight w:val="none"/>
        </w:rPr>
      </w:pPr>
      <w:bookmarkStart w:id="41" w:name="_Toc17345"/>
      <w:bookmarkStart w:id="42" w:name="_Toc81341317"/>
      <w:r>
        <w:rPr>
          <w:rFonts w:hint="eastAsia" w:ascii="宋体" w:hAnsi="宋体" w:eastAsia="宋体" w:cs="宋体"/>
          <w:color w:val="auto"/>
          <w:kern w:val="44"/>
          <w:sz w:val="28"/>
          <w:szCs w:val="28"/>
          <w:highlight w:val="none"/>
        </w:rPr>
        <w:t>磋商须知前附表</w:t>
      </w:r>
      <w:bookmarkEnd w:id="41"/>
      <w:bookmarkEnd w:id="42"/>
    </w:p>
    <w:tbl>
      <w:tblPr>
        <w:tblStyle w:val="65"/>
        <w:tblW w:w="9253" w:type="dxa"/>
        <w:tblInd w:w="85"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115"/>
        <w:gridCol w:w="2107"/>
        <w:gridCol w:w="6031"/>
      </w:tblGrid>
      <w:tr w14:paraId="687A41A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blHeader/>
        </w:trPr>
        <w:tc>
          <w:tcPr>
            <w:tcW w:w="1115" w:type="dxa"/>
            <w:tcBorders>
              <w:top w:val="thinThickSmallGap" w:color="0070C0" w:sz="12" w:space="0"/>
            </w:tcBorders>
            <w:shd w:val="clear" w:color="auto" w:fill="DAEEF3"/>
            <w:noWrap/>
            <w:vAlign w:val="center"/>
          </w:tcPr>
          <w:p w14:paraId="2D073A41">
            <w:pPr>
              <w:spacing w:line="288" w:lineRule="auto"/>
              <w:jc w:val="center"/>
              <w:rPr>
                <w:rFonts w:ascii="宋体" w:cs="宋体"/>
                <w:b/>
                <w:color w:val="auto"/>
                <w:szCs w:val="21"/>
                <w:highlight w:val="none"/>
              </w:rPr>
            </w:pPr>
            <w:r>
              <w:rPr>
                <w:rFonts w:hint="eastAsia" w:ascii="宋体" w:hAnsi="宋体" w:cs="宋体"/>
                <w:b/>
                <w:color w:val="auto"/>
                <w:szCs w:val="21"/>
                <w:highlight w:val="none"/>
              </w:rPr>
              <w:t>条款号</w:t>
            </w:r>
          </w:p>
        </w:tc>
        <w:tc>
          <w:tcPr>
            <w:tcW w:w="2107" w:type="dxa"/>
            <w:tcBorders>
              <w:top w:val="thinThickSmallGap" w:color="0070C0" w:sz="12" w:space="0"/>
            </w:tcBorders>
            <w:shd w:val="clear" w:color="auto" w:fill="DAEEF3"/>
            <w:noWrap/>
            <w:vAlign w:val="center"/>
          </w:tcPr>
          <w:p w14:paraId="0952A0C4">
            <w:pPr>
              <w:spacing w:line="288" w:lineRule="auto"/>
              <w:jc w:val="center"/>
              <w:rPr>
                <w:rFonts w:ascii="宋体" w:cs="宋体"/>
                <w:b/>
                <w:color w:val="auto"/>
                <w:szCs w:val="21"/>
                <w:highlight w:val="none"/>
              </w:rPr>
            </w:pPr>
            <w:r>
              <w:rPr>
                <w:rFonts w:hint="eastAsia" w:ascii="宋体" w:hAnsi="宋体" w:cs="宋体"/>
                <w:b/>
                <w:color w:val="auto"/>
                <w:szCs w:val="21"/>
                <w:highlight w:val="none"/>
              </w:rPr>
              <w:t>内容</w:t>
            </w:r>
          </w:p>
        </w:tc>
        <w:tc>
          <w:tcPr>
            <w:tcW w:w="6031" w:type="dxa"/>
            <w:tcBorders>
              <w:top w:val="thinThickSmallGap" w:color="0070C0" w:sz="12" w:space="0"/>
            </w:tcBorders>
            <w:shd w:val="clear" w:color="auto" w:fill="DAEEF3"/>
            <w:noWrap/>
            <w:vAlign w:val="center"/>
          </w:tcPr>
          <w:p w14:paraId="41EE27D1">
            <w:pPr>
              <w:spacing w:line="288" w:lineRule="auto"/>
              <w:jc w:val="center"/>
              <w:rPr>
                <w:rFonts w:ascii="宋体" w:cs="宋体"/>
                <w:b/>
                <w:color w:val="auto"/>
                <w:szCs w:val="21"/>
                <w:highlight w:val="none"/>
              </w:rPr>
            </w:pPr>
            <w:r>
              <w:rPr>
                <w:rFonts w:hint="eastAsia" w:ascii="宋体" w:hAnsi="宋体" w:cs="宋体"/>
                <w:b/>
                <w:color w:val="auto"/>
                <w:szCs w:val="21"/>
                <w:highlight w:val="none"/>
              </w:rPr>
              <w:t>说明或要求</w:t>
            </w:r>
          </w:p>
        </w:tc>
      </w:tr>
      <w:tr w14:paraId="7270C2A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534D359">
            <w:pPr>
              <w:spacing w:line="288" w:lineRule="auto"/>
              <w:jc w:val="center"/>
              <w:rPr>
                <w:rFonts w:ascii="宋体" w:cs="宋体"/>
                <w:color w:val="auto"/>
                <w:szCs w:val="21"/>
                <w:highlight w:val="none"/>
              </w:rPr>
            </w:pPr>
            <w:r>
              <w:rPr>
                <w:rFonts w:ascii="宋体" w:hAnsi="宋体" w:cs="宋体"/>
                <w:color w:val="auto"/>
                <w:szCs w:val="21"/>
                <w:highlight w:val="none"/>
              </w:rPr>
              <w:t>1.2.1</w:t>
            </w:r>
          </w:p>
        </w:tc>
        <w:tc>
          <w:tcPr>
            <w:tcW w:w="2107" w:type="dxa"/>
            <w:noWrap/>
            <w:vAlign w:val="center"/>
          </w:tcPr>
          <w:p w14:paraId="469CBB99">
            <w:pPr>
              <w:spacing w:line="288" w:lineRule="auto"/>
              <w:jc w:val="center"/>
              <w:rPr>
                <w:rFonts w:ascii="宋体" w:cs="宋体"/>
                <w:color w:val="auto"/>
                <w:szCs w:val="21"/>
                <w:highlight w:val="none"/>
              </w:rPr>
            </w:pPr>
            <w:r>
              <w:rPr>
                <w:rFonts w:hint="eastAsia" w:ascii="宋体" w:hAnsi="宋体" w:cs="宋体"/>
                <w:color w:val="auto"/>
                <w:szCs w:val="21"/>
                <w:highlight w:val="none"/>
              </w:rPr>
              <w:t>项目名称</w:t>
            </w:r>
          </w:p>
        </w:tc>
        <w:tc>
          <w:tcPr>
            <w:tcW w:w="6031" w:type="dxa"/>
            <w:noWrap/>
            <w:vAlign w:val="center"/>
          </w:tcPr>
          <w:p w14:paraId="05D5B441">
            <w:pPr>
              <w:rPr>
                <w:rFonts w:ascii="宋体" w:cs="宋体"/>
                <w:bCs/>
                <w:color w:val="auto"/>
                <w:szCs w:val="21"/>
                <w:highlight w:val="none"/>
              </w:rPr>
            </w:pPr>
            <w:r>
              <w:rPr>
                <w:rFonts w:hint="eastAsia"/>
                <w:color w:val="auto"/>
                <w:szCs w:val="21"/>
                <w:highlight w:val="none"/>
              </w:rPr>
              <w:t>汾西县武装部办公楼、档案局大楼消防专项整治项目</w:t>
            </w:r>
          </w:p>
        </w:tc>
      </w:tr>
      <w:tr w14:paraId="6C0272A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AE884D7">
            <w:pPr>
              <w:spacing w:line="288" w:lineRule="auto"/>
              <w:jc w:val="center"/>
              <w:rPr>
                <w:rFonts w:ascii="宋体" w:cs="宋体"/>
                <w:color w:val="auto"/>
                <w:szCs w:val="21"/>
                <w:highlight w:val="none"/>
              </w:rPr>
            </w:pPr>
            <w:r>
              <w:rPr>
                <w:rFonts w:ascii="宋体" w:hAnsi="宋体" w:cs="宋体"/>
                <w:color w:val="auto"/>
                <w:szCs w:val="21"/>
                <w:highlight w:val="none"/>
              </w:rPr>
              <w:t>1.2.2</w:t>
            </w:r>
          </w:p>
        </w:tc>
        <w:tc>
          <w:tcPr>
            <w:tcW w:w="2107" w:type="dxa"/>
            <w:noWrap/>
            <w:vAlign w:val="center"/>
          </w:tcPr>
          <w:p w14:paraId="753D15D4">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项目编号</w:t>
            </w:r>
          </w:p>
        </w:tc>
        <w:tc>
          <w:tcPr>
            <w:tcW w:w="6031" w:type="dxa"/>
            <w:noWrap/>
            <w:vAlign w:val="center"/>
          </w:tcPr>
          <w:p w14:paraId="437B4B3E">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1410342026BCS00029</w:t>
            </w:r>
          </w:p>
        </w:tc>
      </w:tr>
      <w:tr w14:paraId="3B1A4BA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4F51E13">
            <w:pPr>
              <w:spacing w:line="288" w:lineRule="auto"/>
              <w:jc w:val="center"/>
              <w:rPr>
                <w:rFonts w:ascii="宋体" w:cs="宋体"/>
                <w:color w:val="auto"/>
                <w:szCs w:val="21"/>
                <w:highlight w:val="none"/>
              </w:rPr>
            </w:pPr>
            <w:r>
              <w:rPr>
                <w:rFonts w:ascii="宋体" w:hAnsi="宋体" w:cs="宋体"/>
                <w:color w:val="auto"/>
                <w:szCs w:val="21"/>
                <w:highlight w:val="none"/>
              </w:rPr>
              <w:t>1.2.3</w:t>
            </w:r>
          </w:p>
        </w:tc>
        <w:tc>
          <w:tcPr>
            <w:tcW w:w="2107" w:type="dxa"/>
            <w:noWrap/>
            <w:vAlign w:val="center"/>
          </w:tcPr>
          <w:p w14:paraId="3A8F9BBD">
            <w:pPr>
              <w:spacing w:line="288" w:lineRule="auto"/>
              <w:jc w:val="center"/>
              <w:rPr>
                <w:rFonts w:ascii="宋体" w:cs="宋体"/>
                <w:color w:val="auto"/>
                <w:szCs w:val="21"/>
                <w:highlight w:val="none"/>
              </w:rPr>
            </w:pPr>
            <w:r>
              <w:rPr>
                <w:rFonts w:hint="eastAsia" w:ascii="宋体" w:hAnsi="宋体" w:cs="宋体"/>
                <w:color w:val="auto"/>
                <w:szCs w:val="21"/>
                <w:highlight w:val="none"/>
              </w:rPr>
              <w:t>采购内容</w:t>
            </w:r>
          </w:p>
        </w:tc>
        <w:tc>
          <w:tcPr>
            <w:tcW w:w="6031" w:type="dxa"/>
            <w:noWrap/>
            <w:vAlign w:val="center"/>
          </w:tcPr>
          <w:p w14:paraId="32567D86">
            <w:pPr>
              <w:rPr>
                <w:rFonts w:ascii="宋体" w:hAnsi="宋体" w:cs="宋体"/>
                <w:color w:val="auto"/>
                <w:szCs w:val="21"/>
                <w:highlight w:val="none"/>
              </w:rPr>
            </w:pPr>
            <w:r>
              <w:rPr>
                <w:rFonts w:hint="eastAsia"/>
                <w:color w:val="auto"/>
                <w:szCs w:val="21"/>
                <w:highlight w:val="none"/>
              </w:rPr>
              <w:t>汾西县武装部办公楼、档案局大楼消防专项整治项目</w:t>
            </w:r>
            <w:r>
              <w:rPr>
                <w:rFonts w:ascii="宋体" w:hAnsi="宋体" w:cs="宋体"/>
                <w:color w:val="auto"/>
                <w:szCs w:val="21"/>
                <w:highlight w:val="none"/>
              </w:rPr>
              <w:t>。具体内容详见工程量清单</w:t>
            </w:r>
            <w:r>
              <w:rPr>
                <w:rFonts w:hint="eastAsia" w:ascii="宋体" w:hAnsi="宋体" w:cs="宋体"/>
                <w:color w:val="auto"/>
                <w:szCs w:val="21"/>
                <w:highlight w:val="none"/>
              </w:rPr>
              <w:t>及施工图纸</w:t>
            </w:r>
            <w:r>
              <w:rPr>
                <w:rFonts w:ascii="宋体" w:hAnsi="宋体" w:cs="宋体"/>
                <w:color w:val="auto"/>
                <w:szCs w:val="21"/>
                <w:highlight w:val="none"/>
              </w:rPr>
              <w:t>。</w:t>
            </w:r>
          </w:p>
        </w:tc>
      </w:tr>
      <w:tr w14:paraId="6D93C5C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AD62F6B">
            <w:pPr>
              <w:spacing w:line="288" w:lineRule="auto"/>
              <w:jc w:val="center"/>
              <w:rPr>
                <w:rFonts w:ascii="宋体" w:cs="宋体"/>
                <w:color w:val="auto"/>
                <w:szCs w:val="21"/>
                <w:highlight w:val="none"/>
              </w:rPr>
            </w:pPr>
            <w:r>
              <w:rPr>
                <w:rFonts w:ascii="宋体" w:hAnsi="宋体" w:cs="宋体"/>
                <w:color w:val="auto"/>
                <w:szCs w:val="21"/>
                <w:highlight w:val="none"/>
              </w:rPr>
              <w:t>1.2.4</w:t>
            </w:r>
          </w:p>
        </w:tc>
        <w:tc>
          <w:tcPr>
            <w:tcW w:w="2107" w:type="dxa"/>
            <w:noWrap/>
            <w:vAlign w:val="center"/>
          </w:tcPr>
          <w:p w14:paraId="05E61A94">
            <w:pPr>
              <w:spacing w:line="288" w:lineRule="auto"/>
              <w:jc w:val="center"/>
              <w:rPr>
                <w:rFonts w:ascii="宋体" w:cs="宋体"/>
                <w:color w:val="auto"/>
                <w:szCs w:val="21"/>
                <w:highlight w:val="none"/>
              </w:rPr>
            </w:pPr>
            <w:r>
              <w:rPr>
                <w:rFonts w:hint="eastAsia" w:ascii="宋体" w:hAnsi="宋体" w:cs="宋体"/>
                <w:color w:val="auto"/>
                <w:szCs w:val="21"/>
                <w:highlight w:val="none"/>
              </w:rPr>
              <w:t>预算金额</w:t>
            </w:r>
          </w:p>
        </w:tc>
        <w:tc>
          <w:tcPr>
            <w:tcW w:w="6031" w:type="dxa"/>
            <w:noWrap/>
            <w:vAlign w:val="center"/>
          </w:tcPr>
          <w:p w14:paraId="6796593C">
            <w:pPr>
              <w:spacing w:line="360" w:lineRule="exact"/>
              <w:rPr>
                <w:rFonts w:ascii="宋体" w:hAnsi="宋体" w:cs="宋体"/>
                <w:color w:val="auto"/>
                <w:szCs w:val="21"/>
                <w:highlight w:val="none"/>
              </w:rPr>
            </w:pPr>
            <w:r>
              <w:rPr>
                <w:rFonts w:hint="eastAsia" w:ascii="宋体" w:hAnsi="宋体" w:cs="宋体"/>
                <w:color w:val="auto"/>
                <w:szCs w:val="21"/>
                <w:highlight w:val="none"/>
              </w:rPr>
              <w:t>预算金额：128.6万元</w:t>
            </w:r>
          </w:p>
          <w:p w14:paraId="0DEA38DA">
            <w:pPr>
              <w:spacing w:line="360" w:lineRule="exact"/>
              <w:rPr>
                <w:rFonts w:ascii="宋体" w:cs="宋体"/>
                <w:color w:val="auto"/>
                <w:szCs w:val="21"/>
                <w:highlight w:val="none"/>
              </w:rPr>
            </w:pPr>
            <w:r>
              <w:rPr>
                <w:rFonts w:hint="eastAsia" w:ascii="宋体" w:hAnsi="宋体" w:cs="宋体"/>
                <w:color w:val="auto"/>
                <w:szCs w:val="21"/>
                <w:highlight w:val="none"/>
              </w:rPr>
              <w:t>最高限价：128.6万元</w:t>
            </w:r>
          </w:p>
        </w:tc>
      </w:tr>
      <w:tr w14:paraId="0AD595A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9185C08">
            <w:pPr>
              <w:spacing w:line="288" w:lineRule="auto"/>
              <w:jc w:val="center"/>
              <w:rPr>
                <w:rFonts w:ascii="宋体" w:cs="宋体"/>
                <w:color w:val="auto"/>
                <w:szCs w:val="21"/>
                <w:highlight w:val="none"/>
              </w:rPr>
            </w:pPr>
            <w:r>
              <w:rPr>
                <w:rFonts w:ascii="宋体" w:hAnsi="宋体" w:cs="宋体"/>
                <w:color w:val="auto"/>
                <w:szCs w:val="21"/>
                <w:highlight w:val="none"/>
              </w:rPr>
              <w:t>1.2.5</w:t>
            </w:r>
          </w:p>
        </w:tc>
        <w:tc>
          <w:tcPr>
            <w:tcW w:w="2107" w:type="dxa"/>
            <w:noWrap/>
            <w:vAlign w:val="center"/>
          </w:tcPr>
          <w:p w14:paraId="168F83D6">
            <w:pPr>
              <w:spacing w:line="288" w:lineRule="auto"/>
              <w:jc w:val="center"/>
              <w:rPr>
                <w:rFonts w:ascii="宋体" w:cs="宋体"/>
                <w:color w:val="auto"/>
                <w:szCs w:val="21"/>
                <w:highlight w:val="none"/>
              </w:rPr>
            </w:pPr>
            <w:r>
              <w:rPr>
                <w:rFonts w:hint="eastAsia" w:ascii="宋体" w:hAnsi="宋体" w:cs="宋体"/>
                <w:color w:val="auto"/>
                <w:szCs w:val="21"/>
                <w:highlight w:val="none"/>
              </w:rPr>
              <w:t>资金落实情况</w:t>
            </w:r>
          </w:p>
        </w:tc>
        <w:tc>
          <w:tcPr>
            <w:tcW w:w="6031" w:type="dxa"/>
            <w:noWrap/>
            <w:vAlign w:val="center"/>
          </w:tcPr>
          <w:p w14:paraId="1AC175EC">
            <w:pPr>
              <w:rPr>
                <w:rFonts w:ascii="宋体" w:cs="宋体"/>
                <w:color w:val="auto"/>
                <w:szCs w:val="21"/>
                <w:highlight w:val="none"/>
              </w:rPr>
            </w:pPr>
            <w:r>
              <w:rPr>
                <w:rFonts w:hint="eastAsia" w:ascii="宋体" w:hAnsi="宋体" w:cs="宋体"/>
                <w:color w:val="auto"/>
                <w:szCs w:val="21"/>
                <w:highlight w:val="none"/>
              </w:rPr>
              <w:t>已落实</w:t>
            </w:r>
          </w:p>
        </w:tc>
      </w:tr>
      <w:tr w14:paraId="69FD88B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EDB2D57">
            <w:pPr>
              <w:spacing w:line="288" w:lineRule="auto"/>
              <w:jc w:val="center"/>
              <w:rPr>
                <w:rFonts w:ascii="宋体" w:cs="宋体"/>
                <w:color w:val="auto"/>
                <w:szCs w:val="21"/>
                <w:highlight w:val="none"/>
              </w:rPr>
            </w:pPr>
            <w:r>
              <w:rPr>
                <w:rFonts w:ascii="宋体" w:hAnsi="宋体" w:cs="宋体"/>
                <w:color w:val="auto"/>
                <w:szCs w:val="21"/>
                <w:highlight w:val="none"/>
              </w:rPr>
              <w:t>1.2.6</w:t>
            </w:r>
          </w:p>
        </w:tc>
        <w:tc>
          <w:tcPr>
            <w:tcW w:w="2107" w:type="dxa"/>
            <w:noWrap/>
            <w:vAlign w:val="center"/>
          </w:tcPr>
          <w:p w14:paraId="79673E3D">
            <w:pPr>
              <w:spacing w:line="288" w:lineRule="auto"/>
              <w:jc w:val="center"/>
              <w:rPr>
                <w:rFonts w:ascii="宋体" w:cs="宋体"/>
                <w:color w:val="auto"/>
                <w:szCs w:val="21"/>
                <w:highlight w:val="none"/>
              </w:rPr>
            </w:pPr>
            <w:r>
              <w:rPr>
                <w:rFonts w:hint="eastAsia" w:ascii="宋体" w:hAnsi="宋体" w:cs="宋体"/>
                <w:color w:val="auto"/>
                <w:szCs w:val="21"/>
                <w:highlight w:val="none"/>
              </w:rPr>
              <w:t>采购人</w:t>
            </w:r>
          </w:p>
        </w:tc>
        <w:tc>
          <w:tcPr>
            <w:tcW w:w="6031" w:type="dxa"/>
            <w:noWrap/>
            <w:vAlign w:val="center"/>
          </w:tcPr>
          <w:p w14:paraId="08CBAFFC">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名    称：汾西县机关事务服务中心    </w:t>
            </w:r>
          </w:p>
          <w:p w14:paraId="092B19E9">
            <w:pPr>
              <w:spacing w:line="360" w:lineRule="exact"/>
              <w:rPr>
                <w:rFonts w:ascii="宋体" w:hAnsi="宋体" w:cs="宋体"/>
                <w:color w:val="auto"/>
                <w:szCs w:val="21"/>
                <w:highlight w:val="none"/>
              </w:rPr>
            </w:pPr>
            <w:r>
              <w:rPr>
                <w:rFonts w:hint="eastAsia" w:ascii="宋体" w:hAnsi="宋体" w:cs="宋体"/>
                <w:color w:val="auto"/>
                <w:szCs w:val="21"/>
                <w:highlight w:val="none"/>
              </w:rPr>
              <w:t>地    址：汾西县政府大院东楼</w:t>
            </w:r>
          </w:p>
          <w:p w14:paraId="558DBE6F">
            <w:pPr>
              <w:spacing w:line="360" w:lineRule="exact"/>
              <w:rPr>
                <w:rFonts w:ascii="宋体" w:hAnsi="宋体" w:cs="宋体"/>
                <w:color w:val="auto"/>
                <w:szCs w:val="21"/>
                <w:highlight w:val="none"/>
              </w:rPr>
            </w:pPr>
            <w:r>
              <w:rPr>
                <w:rFonts w:hint="eastAsia" w:ascii="宋体" w:hAnsi="宋体" w:cs="宋体"/>
                <w:color w:val="auto"/>
                <w:szCs w:val="21"/>
                <w:highlight w:val="none"/>
              </w:rPr>
              <w:t>联 系 人：赵先生</w:t>
            </w:r>
          </w:p>
          <w:p w14:paraId="39CF8A68">
            <w:pPr>
              <w:spacing w:line="360" w:lineRule="exact"/>
              <w:rPr>
                <w:rFonts w:hint="eastAsia" w:ascii="宋体" w:cs="宋体"/>
                <w:color w:val="auto"/>
                <w:szCs w:val="21"/>
                <w:highlight w:val="none"/>
              </w:rPr>
            </w:pPr>
            <w:r>
              <w:rPr>
                <w:rFonts w:hint="eastAsia" w:ascii="宋体" w:hAnsi="宋体" w:cs="宋体"/>
                <w:color w:val="auto"/>
                <w:szCs w:val="21"/>
                <w:highlight w:val="none"/>
              </w:rPr>
              <w:t>电    话：13081037925</w:t>
            </w:r>
          </w:p>
        </w:tc>
      </w:tr>
      <w:tr w14:paraId="30DD1E6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E7241D3">
            <w:pPr>
              <w:spacing w:line="288" w:lineRule="auto"/>
              <w:jc w:val="center"/>
              <w:rPr>
                <w:rFonts w:ascii="宋体" w:cs="宋体"/>
                <w:color w:val="auto"/>
                <w:szCs w:val="21"/>
                <w:highlight w:val="none"/>
              </w:rPr>
            </w:pPr>
            <w:r>
              <w:rPr>
                <w:rFonts w:ascii="宋体" w:hAnsi="宋体" w:cs="宋体"/>
                <w:color w:val="auto"/>
                <w:szCs w:val="21"/>
                <w:highlight w:val="none"/>
              </w:rPr>
              <w:t>1.2.7</w:t>
            </w:r>
          </w:p>
        </w:tc>
        <w:tc>
          <w:tcPr>
            <w:tcW w:w="2107" w:type="dxa"/>
            <w:noWrap/>
            <w:vAlign w:val="center"/>
          </w:tcPr>
          <w:p w14:paraId="40540CBA">
            <w:pPr>
              <w:spacing w:line="288" w:lineRule="auto"/>
              <w:jc w:val="center"/>
              <w:rPr>
                <w:rFonts w:ascii="宋体" w:cs="宋体"/>
                <w:color w:val="auto"/>
                <w:szCs w:val="21"/>
                <w:highlight w:val="none"/>
              </w:rPr>
            </w:pPr>
            <w:r>
              <w:rPr>
                <w:rFonts w:hint="eastAsia" w:ascii="宋体" w:hAnsi="宋体" w:cs="宋体"/>
                <w:color w:val="auto"/>
                <w:szCs w:val="21"/>
                <w:highlight w:val="none"/>
              </w:rPr>
              <w:t>采购代理机构</w:t>
            </w:r>
          </w:p>
        </w:tc>
        <w:tc>
          <w:tcPr>
            <w:tcW w:w="6031" w:type="dxa"/>
            <w:noWrap/>
            <w:vAlign w:val="center"/>
          </w:tcPr>
          <w:p w14:paraId="73790393">
            <w:pPr>
              <w:rPr>
                <w:rFonts w:ascii="宋体" w:hAnsi="宋体" w:cs="宋体"/>
                <w:color w:val="auto"/>
                <w:szCs w:val="21"/>
                <w:highlight w:val="none"/>
              </w:rPr>
            </w:pPr>
            <w:r>
              <w:rPr>
                <w:rFonts w:hint="eastAsia" w:ascii="宋体" w:hAnsi="宋体" w:cs="宋体"/>
                <w:color w:val="auto"/>
                <w:szCs w:val="21"/>
                <w:highlight w:val="none"/>
              </w:rPr>
              <w:t>名    称：山西中鑫招标代理有限公司</w:t>
            </w:r>
          </w:p>
          <w:p w14:paraId="048B0D9A">
            <w:pPr>
              <w:rPr>
                <w:rFonts w:ascii="宋体" w:hAnsi="宋体" w:cs="宋体"/>
                <w:color w:val="auto"/>
                <w:szCs w:val="21"/>
                <w:highlight w:val="none"/>
              </w:rPr>
            </w:pPr>
            <w:r>
              <w:rPr>
                <w:rFonts w:hint="eastAsia" w:ascii="宋体" w:hAnsi="宋体" w:cs="宋体"/>
                <w:color w:val="auto"/>
                <w:szCs w:val="21"/>
                <w:highlight w:val="none"/>
              </w:rPr>
              <w:t>地    址：山西省临汾市尧都区五一东路尧都农村商业银行东关支行4楼</w:t>
            </w:r>
          </w:p>
          <w:p w14:paraId="65956F56">
            <w:pPr>
              <w:pStyle w:val="116"/>
              <w:autoSpaceDE/>
              <w:autoSpaceDN/>
              <w:adjustRightInd/>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联系方式：0357-2229989</w:t>
            </w:r>
          </w:p>
        </w:tc>
      </w:tr>
      <w:tr w14:paraId="6D67925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DE3CE9A">
            <w:pPr>
              <w:spacing w:line="288" w:lineRule="auto"/>
              <w:jc w:val="center"/>
              <w:rPr>
                <w:rFonts w:ascii="宋体" w:cs="宋体"/>
                <w:color w:val="auto"/>
                <w:szCs w:val="21"/>
                <w:highlight w:val="none"/>
              </w:rPr>
            </w:pPr>
            <w:r>
              <w:rPr>
                <w:rFonts w:ascii="宋体" w:hAnsi="宋体" w:cs="宋体"/>
                <w:color w:val="auto"/>
                <w:szCs w:val="21"/>
                <w:highlight w:val="none"/>
              </w:rPr>
              <w:t>1.2.8</w:t>
            </w:r>
          </w:p>
        </w:tc>
        <w:tc>
          <w:tcPr>
            <w:tcW w:w="2107" w:type="dxa"/>
            <w:noWrap/>
            <w:vAlign w:val="center"/>
          </w:tcPr>
          <w:p w14:paraId="1779AF7B">
            <w:pPr>
              <w:spacing w:line="288" w:lineRule="auto"/>
              <w:jc w:val="center"/>
              <w:rPr>
                <w:rFonts w:ascii="宋体" w:cs="宋体"/>
                <w:color w:val="auto"/>
                <w:szCs w:val="21"/>
                <w:highlight w:val="none"/>
              </w:rPr>
            </w:pPr>
            <w:r>
              <w:rPr>
                <w:rFonts w:hint="eastAsia" w:ascii="宋体" w:hAnsi="宋体" w:cs="宋体"/>
                <w:color w:val="auto"/>
                <w:szCs w:val="21"/>
                <w:highlight w:val="none"/>
              </w:rPr>
              <w:t>交易方式</w:t>
            </w:r>
          </w:p>
        </w:tc>
        <w:tc>
          <w:tcPr>
            <w:tcW w:w="6031" w:type="dxa"/>
            <w:noWrap/>
            <w:vAlign w:val="center"/>
          </w:tcPr>
          <w:p w14:paraId="324DCABD">
            <w:pPr>
              <w:rPr>
                <w:rFonts w:ascii="宋体" w:cs="宋体"/>
                <w:color w:val="auto"/>
                <w:szCs w:val="21"/>
                <w:highlight w:val="none"/>
              </w:rPr>
            </w:pPr>
            <w:r>
              <w:rPr>
                <w:rFonts w:hint="eastAsia" w:ascii="宋体" w:hAnsi="宋体" w:cs="宋体"/>
                <w:color w:val="auto"/>
                <w:szCs w:val="21"/>
                <w:highlight w:val="none"/>
              </w:rPr>
              <w:t>电子交易</w:t>
            </w:r>
          </w:p>
        </w:tc>
      </w:tr>
      <w:tr w14:paraId="6C8676E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9652F94">
            <w:pPr>
              <w:spacing w:line="288" w:lineRule="auto"/>
              <w:jc w:val="center"/>
              <w:rPr>
                <w:rFonts w:ascii="宋体" w:cs="宋体"/>
                <w:color w:val="auto"/>
                <w:szCs w:val="21"/>
                <w:highlight w:val="none"/>
              </w:rPr>
            </w:pPr>
            <w:r>
              <w:rPr>
                <w:rFonts w:ascii="宋体" w:hAnsi="宋体" w:cs="宋体"/>
                <w:color w:val="auto"/>
                <w:szCs w:val="21"/>
                <w:highlight w:val="none"/>
              </w:rPr>
              <w:t>1.2.9</w:t>
            </w:r>
          </w:p>
        </w:tc>
        <w:tc>
          <w:tcPr>
            <w:tcW w:w="2107" w:type="dxa"/>
            <w:noWrap/>
            <w:vAlign w:val="center"/>
          </w:tcPr>
          <w:p w14:paraId="79DF07DF">
            <w:pPr>
              <w:spacing w:line="288" w:lineRule="auto"/>
              <w:jc w:val="center"/>
              <w:rPr>
                <w:rFonts w:ascii="宋体" w:cs="宋体"/>
                <w:color w:val="auto"/>
                <w:szCs w:val="21"/>
                <w:highlight w:val="none"/>
              </w:rPr>
            </w:pPr>
            <w:r>
              <w:rPr>
                <w:rFonts w:hint="eastAsia" w:ascii="宋体" w:hAnsi="宋体" w:cs="宋体"/>
                <w:color w:val="auto"/>
                <w:szCs w:val="21"/>
                <w:highlight w:val="none"/>
              </w:rPr>
              <w:t>电子交易平台</w:t>
            </w:r>
          </w:p>
        </w:tc>
        <w:tc>
          <w:tcPr>
            <w:tcW w:w="6031" w:type="dxa"/>
            <w:noWrap/>
            <w:vAlign w:val="center"/>
          </w:tcPr>
          <w:p w14:paraId="7C3DDE4F">
            <w:pPr>
              <w:rPr>
                <w:rFonts w:ascii="宋体" w:cs="宋体"/>
                <w:color w:val="auto"/>
                <w:szCs w:val="21"/>
                <w:highlight w:val="none"/>
              </w:rPr>
            </w:pPr>
            <w:r>
              <w:rPr>
                <w:rFonts w:hint="eastAsia" w:ascii="宋体" w:hAnsi="宋体" w:cs="宋体"/>
                <w:color w:val="auto"/>
                <w:szCs w:val="21"/>
                <w:highlight w:val="none"/>
              </w:rPr>
              <w:t>山西省政府采购网</w:t>
            </w:r>
            <w:r>
              <w:rPr>
                <w:rFonts w:ascii="宋体" w:hAnsi="宋体" w:cs="宋体"/>
                <w:color w:val="auto"/>
                <w:szCs w:val="21"/>
                <w:highlight w:val="none"/>
              </w:rPr>
              <w:t>http://www.ccgp-shanxi.gov.cn/home.html</w:t>
            </w:r>
          </w:p>
        </w:tc>
      </w:tr>
      <w:tr w14:paraId="6E1384B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D8C8602">
            <w:pPr>
              <w:spacing w:line="288" w:lineRule="auto"/>
              <w:jc w:val="center"/>
              <w:rPr>
                <w:rFonts w:ascii="宋体" w:cs="宋体"/>
                <w:color w:val="auto"/>
                <w:szCs w:val="21"/>
                <w:highlight w:val="none"/>
              </w:rPr>
            </w:pPr>
            <w:r>
              <w:rPr>
                <w:rFonts w:ascii="宋体" w:hAnsi="宋体" w:cs="宋体"/>
                <w:color w:val="auto"/>
                <w:szCs w:val="21"/>
                <w:highlight w:val="none"/>
              </w:rPr>
              <w:t>1.2.10</w:t>
            </w:r>
          </w:p>
        </w:tc>
        <w:tc>
          <w:tcPr>
            <w:tcW w:w="2107" w:type="dxa"/>
            <w:noWrap/>
            <w:vAlign w:val="center"/>
          </w:tcPr>
          <w:p w14:paraId="12FDF1F1">
            <w:pPr>
              <w:spacing w:line="288" w:lineRule="auto"/>
              <w:jc w:val="center"/>
              <w:rPr>
                <w:rFonts w:ascii="宋体" w:cs="宋体"/>
                <w:color w:val="auto"/>
                <w:szCs w:val="21"/>
                <w:highlight w:val="none"/>
              </w:rPr>
            </w:pPr>
            <w:r>
              <w:rPr>
                <w:rFonts w:hint="eastAsia" w:ascii="宋体" w:hAnsi="宋体" w:cs="宋体"/>
                <w:color w:val="auto"/>
                <w:szCs w:val="21"/>
                <w:highlight w:val="none"/>
              </w:rPr>
              <w:t>合同履行期限</w:t>
            </w:r>
          </w:p>
        </w:tc>
        <w:tc>
          <w:tcPr>
            <w:tcW w:w="6031" w:type="dxa"/>
            <w:noWrap/>
            <w:vAlign w:val="center"/>
          </w:tcPr>
          <w:p w14:paraId="33375DBA">
            <w:pPr>
              <w:rPr>
                <w:rFonts w:ascii="宋体" w:cs="宋体"/>
                <w:color w:val="auto"/>
                <w:szCs w:val="21"/>
                <w:highlight w:val="none"/>
              </w:rPr>
            </w:pPr>
            <w:r>
              <w:rPr>
                <w:rFonts w:hint="eastAsia" w:ascii="宋体" w:cs="宋体"/>
                <w:color w:val="auto"/>
                <w:szCs w:val="21"/>
                <w:highlight w:val="none"/>
              </w:rPr>
              <w:t>100日历天</w:t>
            </w:r>
          </w:p>
        </w:tc>
      </w:tr>
      <w:tr w14:paraId="6D1D639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DD7E3CE">
            <w:pPr>
              <w:spacing w:line="288" w:lineRule="auto"/>
              <w:jc w:val="center"/>
              <w:rPr>
                <w:rFonts w:ascii="宋体" w:cs="宋体"/>
                <w:color w:val="auto"/>
                <w:szCs w:val="21"/>
                <w:highlight w:val="none"/>
              </w:rPr>
            </w:pPr>
            <w:r>
              <w:rPr>
                <w:rFonts w:ascii="宋体" w:hAnsi="宋体" w:cs="宋体"/>
                <w:color w:val="auto"/>
                <w:szCs w:val="21"/>
                <w:highlight w:val="none"/>
              </w:rPr>
              <w:t>1.3.1</w:t>
            </w:r>
          </w:p>
        </w:tc>
        <w:tc>
          <w:tcPr>
            <w:tcW w:w="2107" w:type="dxa"/>
            <w:noWrap/>
            <w:vAlign w:val="center"/>
          </w:tcPr>
          <w:p w14:paraId="5E4B4900">
            <w:pPr>
              <w:spacing w:line="288" w:lineRule="auto"/>
              <w:jc w:val="center"/>
              <w:rPr>
                <w:rFonts w:ascii="宋体" w:cs="宋体"/>
                <w:color w:val="auto"/>
                <w:szCs w:val="21"/>
                <w:highlight w:val="none"/>
              </w:rPr>
            </w:pPr>
            <w:r>
              <w:rPr>
                <w:rFonts w:hint="eastAsia" w:ascii="宋体" w:hAnsi="宋体" w:cs="宋体"/>
                <w:color w:val="auto"/>
                <w:szCs w:val="21"/>
                <w:highlight w:val="none"/>
              </w:rPr>
              <w:t>采购方式</w:t>
            </w:r>
          </w:p>
        </w:tc>
        <w:tc>
          <w:tcPr>
            <w:tcW w:w="6031" w:type="dxa"/>
            <w:noWrap/>
            <w:vAlign w:val="center"/>
          </w:tcPr>
          <w:p w14:paraId="093C65E3">
            <w:pPr>
              <w:rPr>
                <w:rFonts w:ascii="宋体" w:cs="宋体"/>
                <w:color w:val="auto"/>
                <w:szCs w:val="21"/>
                <w:highlight w:val="none"/>
              </w:rPr>
            </w:pPr>
            <w:r>
              <w:rPr>
                <w:rFonts w:hint="eastAsia" w:ascii="宋体" w:hAnsi="宋体" w:cs="宋体"/>
                <w:color w:val="auto"/>
                <w:szCs w:val="21"/>
                <w:highlight w:val="none"/>
              </w:rPr>
              <w:t>竞争性磋商</w:t>
            </w:r>
          </w:p>
        </w:tc>
      </w:tr>
      <w:tr w14:paraId="50DAA12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B83A068">
            <w:pPr>
              <w:spacing w:line="288" w:lineRule="auto"/>
              <w:jc w:val="center"/>
              <w:rPr>
                <w:rFonts w:ascii="宋体" w:cs="宋体"/>
                <w:color w:val="auto"/>
                <w:szCs w:val="21"/>
                <w:highlight w:val="none"/>
              </w:rPr>
            </w:pPr>
            <w:r>
              <w:rPr>
                <w:rFonts w:ascii="宋体" w:hAnsi="宋体" w:cs="宋体"/>
                <w:color w:val="auto"/>
                <w:szCs w:val="21"/>
                <w:highlight w:val="none"/>
              </w:rPr>
              <w:t>1.3.2</w:t>
            </w:r>
          </w:p>
        </w:tc>
        <w:tc>
          <w:tcPr>
            <w:tcW w:w="2107" w:type="dxa"/>
            <w:noWrap/>
            <w:vAlign w:val="center"/>
          </w:tcPr>
          <w:p w14:paraId="23AD80F0">
            <w:pPr>
              <w:spacing w:line="288" w:lineRule="auto"/>
              <w:jc w:val="center"/>
              <w:rPr>
                <w:rFonts w:ascii="宋体" w:cs="宋体"/>
                <w:color w:val="auto"/>
                <w:szCs w:val="21"/>
                <w:highlight w:val="none"/>
              </w:rPr>
            </w:pPr>
            <w:r>
              <w:rPr>
                <w:rFonts w:hint="eastAsia" w:ascii="宋体" w:hAnsi="宋体" w:cs="宋体"/>
                <w:color w:val="auto"/>
                <w:szCs w:val="21"/>
                <w:highlight w:val="none"/>
              </w:rPr>
              <w:t>采购组织类型</w:t>
            </w:r>
          </w:p>
        </w:tc>
        <w:tc>
          <w:tcPr>
            <w:tcW w:w="6031" w:type="dxa"/>
            <w:noWrap/>
            <w:vAlign w:val="center"/>
          </w:tcPr>
          <w:p w14:paraId="523831C8">
            <w:pPr>
              <w:rPr>
                <w:rFonts w:ascii="宋体" w:cs="宋体"/>
                <w:color w:val="auto"/>
                <w:szCs w:val="21"/>
                <w:highlight w:val="none"/>
              </w:rPr>
            </w:pPr>
            <w:r>
              <w:rPr>
                <w:rFonts w:hint="eastAsia" w:ascii="宋体" w:hAnsi="宋体" w:cs="宋体"/>
                <w:color w:val="auto"/>
                <w:szCs w:val="21"/>
                <w:highlight w:val="none"/>
              </w:rPr>
              <w:t>分散采购</w:t>
            </w:r>
          </w:p>
        </w:tc>
      </w:tr>
      <w:tr w14:paraId="4232005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E64D9F6">
            <w:pPr>
              <w:spacing w:line="288" w:lineRule="auto"/>
              <w:jc w:val="center"/>
              <w:rPr>
                <w:rFonts w:ascii="宋体" w:cs="宋体"/>
                <w:color w:val="auto"/>
                <w:szCs w:val="21"/>
                <w:highlight w:val="none"/>
              </w:rPr>
            </w:pPr>
            <w:r>
              <w:rPr>
                <w:rFonts w:ascii="宋体" w:hAnsi="宋体" w:cs="宋体"/>
                <w:color w:val="auto"/>
                <w:szCs w:val="21"/>
                <w:highlight w:val="none"/>
              </w:rPr>
              <w:t>1.5.8</w:t>
            </w:r>
          </w:p>
        </w:tc>
        <w:tc>
          <w:tcPr>
            <w:tcW w:w="2107" w:type="dxa"/>
            <w:noWrap/>
            <w:vAlign w:val="center"/>
          </w:tcPr>
          <w:p w14:paraId="2E0AA42F">
            <w:pPr>
              <w:spacing w:line="288" w:lineRule="auto"/>
              <w:jc w:val="center"/>
              <w:rPr>
                <w:rFonts w:ascii="宋体" w:cs="宋体"/>
                <w:color w:val="auto"/>
                <w:szCs w:val="21"/>
                <w:highlight w:val="none"/>
              </w:rPr>
            </w:pPr>
            <w:r>
              <w:rPr>
                <w:rFonts w:hint="eastAsia" w:ascii="宋体" w:hAnsi="宋体" w:cs="宋体"/>
                <w:color w:val="auto"/>
                <w:szCs w:val="21"/>
                <w:highlight w:val="none"/>
              </w:rPr>
              <w:t>同级政府采购监督管理部门</w:t>
            </w:r>
          </w:p>
        </w:tc>
        <w:tc>
          <w:tcPr>
            <w:tcW w:w="6031" w:type="dxa"/>
            <w:noWrap/>
            <w:vAlign w:val="center"/>
          </w:tcPr>
          <w:p w14:paraId="6949759D">
            <w:pPr>
              <w:rPr>
                <w:rFonts w:ascii="宋体" w:cs="宋体"/>
                <w:color w:val="auto"/>
                <w:szCs w:val="21"/>
                <w:highlight w:val="none"/>
              </w:rPr>
            </w:pPr>
            <w:r>
              <w:rPr>
                <w:rFonts w:hint="eastAsia" w:ascii="宋体" w:hAnsi="宋体" w:cs="宋体"/>
                <w:color w:val="auto"/>
                <w:szCs w:val="21"/>
                <w:highlight w:val="none"/>
              </w:rPr>
              <w:t>汾西县财政局</w:t>
            </w:r>
          </w:p>
        </w:tc>
      </w:tr>
      <w:tr w14:paraId="483EF04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3450B6A">
            <w:pPr>
              <w:spacing w:line="288" w:lineRule="auto"/>
              <w:jc w:val="center"/>
              <w:rPr>
                <w:rFonts w:ascii="宋体" w:cs="宋体"/>
                <w:color w:val="auto"/>
                <w:szCs w:val="21"/>
                <w:highlight w:val="none"/>
              </w:rPr>
            </w:pPr>
            <w:r>
              <w:rPr>
                <w:rFonts w:ascii="宋体" w:hAnsi="宋体" w:cs="宋体"/>
                <w:color w:val="auto"/>
                <w:szCs w:val="21"/>
                <w:highlight w:val="none"/>
              </w:rPr>
              <w:t>1.7.1</w:t>
            </w:r>
          </w:p>
        </w:tc>
        <w:tc>
          <w:tcPr>
            <w:tcW w:w="2107" w:type="dxa"/>
            <w:noWrap/>
            <w:vAlign w:val="center"/>
          </w:tcPr>
          <w:p w14:paraId="5AD39F3F">
            <w:pPr>
              <w:spacing w:line="288" w:lineRule="auto"/>
              <w:jc w:val="center"/>
              <w:rPr>
                <w:rFonts w:ascii="宋体" w:cs="宋体"/>
                <w:color w:val="auto"/>
                <w:szCs w:val="21"/>
                <w:highlight w:val="none"/>
              </w:rPr>
            </w:pPr>
            <w:r>
              <w:rPr>
                <w:rFonts w:hint="eastAsia" w:ascii="宋体" w:hAnsi="宋体" w:cs="宋体"/>
                <w:color w:val="auto"/>
                <w:szCs w:val="21"/>
                <w:highlight w:val="none"/>
              </w:rPr>
              <w:t>是否接受联合体</w:t>
            </w:r>
          </w:p>
          <w:p w14:paraId="03912781">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w:t>
            </w:r>
          </w:p>
        </w:tc>
        <w:tc>
          <w:tcPr>
            <w:tcW w:w="6031" w:type="dxa"/>
            <w:noWrap/>
            <w:vAlign w:val="center"/>
          </w:tcPr>
          <w:p w14:paraId="72A53DC0">
            <w:pPr>
              <w:rPr>
                <w:rFonts w:ascii="宋体" w:cs="宋体"/>
                <w:bCs/>
                <w:color w:val="auto"/>
                <w:szCs w:val="21"/>
                <w:highlight w:val="none"/>
              </w:rPr>
            </w:pPr>
            <w:r>
              <w:rPr>
                <w:rFonts w:hint="eastAsia" w:ascii="宋体" w:cs="宋体"/>
                <w:bCs/>
                <w:color w:val="auto"/>
                <w:szCs w:val="21"/>
                <w:highlight w:val="none"/>
              </w:rPr>
              <w:t>否</w:t>
            </w:r>
          </w:p>
        </w:tc>
      </w:tr>
      <w:tr w14:paraId="20F504B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1959610">
            <w:pPr>
              <w:spacing w:line="288" w:lineRule="auto"/>
              <w:jc w:val="center"/>
              <w:rPr>
                <w:rFonts w:ascii="宋体" w:cs="宋体"/>
                <w:color w:val="auto"/>
                <w:szCs w:val="21"/>
                <w:highlight w:val="none"/>
              </w:rPr>
            </w:pPr>
            <w:r>
              <w:rPr>
                <w:rFonts w:ascii="宋体" w:hAnsi="宋体" w:cs="宋体"/>
                <w:color w:val="auto"/>
                <w:szCs w:val="21"/>
                <w:highlight w:val="none"/>
              </w:rPr>
              <w:t>1.8.1</w:t>
            </w:r>
          </w:p>
        </w:tc>
        <w:tc>
          <w:tcPr>
            <w:tcW w:w="2107" w:type="dxa"/>
            <w:noWrap/>
            <w:vAlign w:val="center"/>
          </w:tcPr>
          <w:p w14:paraId="52AAA05B">
            <w:pPr>
              <w:spacing w:line="288" w:lineRule="auto"/>
              <w:jc w:val="center"/>
              <w:rPr>
                <w:rFonts w:ascii="宋体" w:cs="宋体"/>
                <w:color w:val="auto"/>
                <w:szCs w:val="21"/>
                <w:highlight w:val="none"/>
              </w:rPr>
            </w:pPr>
            <w:r>
              <w:rPr>
                <w:rFonts w:hint="eastAsia" w:ascii="宋体" w:hAnsi="宋体" w:cs="宋体"/>
                <w:color w:val="auto"/>
                <w:szCs w:val="21"/>
                <w:highlight w:val="none"/>
              </w:rPr>
              <w:t>进口产品磋商响应</w:t>
            </w:r>
          </w:p>
        </w:tc>
        <w:tc>
          <w:tcPr>
            <w:tcW w:w="6031" w:type="dxa"/>
            <w:noWrap/>
            <w:vAlign w:val="center"/>
          </w:tcPr>
          <w:p w14:paraId="76D693E7">
            <w:pPr>
              <w:rPr>
                <w:rFonts w:ascii="宋体" w:cs="宋体"/>
                <w:bCs/>
                <w:color w:val="auto"/>
                <w:szCs w:val="21"/>
                <w:highlight w:val="none"/>
              </w:rPr>
            </w:pPr>
            <w:bookmarkStart w:id="43" w:name="PO_3000009629_PM042"/>
            <w:r>
              <w:rPr>
                <w:rFonts w:hint="eastAsia" w:ascii="宋体" w:hAnsi="宋体" w:cs="宋体"/>
                <w:bCs/>
                <w:color w:val="auto"/>
                <w:szCs w:val="21"/>
                <w:highlight w:val="none"/>
              </w:rPr>
              <w:t>不允许进口产品</w:t>
            </w:r>
            <w:bookmarkEnd w:id="43"/>
          </w:p>
        </w:tc>
      </w:tr>
      <w:tr w14:paraId="73B154A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2C3E8BA">
            <w:pPr>
              <w:spacing w:line="288" w:lineRule="auto"/>
              <w:jc w:val="center"/>
              <w:rPr>
                <w:rFonts w:ascii="宋体" w:cs="宋体"/>
                <w:color w:val="auto"/>
                <w:szCs w:val="21"/>
                <w:highlight w:val="none"/>
              </w:rPr>
            </w:pPr>
            <w:r>
              <w:rPr>
                <w:rFonts w:ascii="宋体" w:hAnsi="宋体" w:cs="宋体"/>
                <w:color w:val="auto"/>
                <w:szCs w:val="21"/>
                <w:highlight w:val="none"/>
              </w:rPr>
              <w:t>1.11.1</w:t>
            </w:r>
          </w:p>
        </w:tc>
        <w:tc>
          <w:tcPr>
            <w:tcW w:w="2107" w:type="dxa"/>
            <w:noWrap/>
            <w:vAlign w:val="center"/>
          </w:tcPr>
          <w:p w14:paraId="60C42380">
            <w:pPr>
              <w:spacing w:line="288" w:lineRule="auto"/>
              <w:jc w:val="center"/>
              <w:rPr>
                <w:rFonts w:ascii="宋体" w:cs="宋体"/>
                <w:color w:val="auto"/>
                <w:szCs w:val="21"/>
                <w:highlight w:val="none"/>
              </w:rPr>
            </w:pPr>
            <w:r>
              <w:rPr>
                <w:rFonts w:hint="eastAsia" w:ascii="宋体" w:hAnsi="宋体" w:cs="宋体"/>
                <w:color w:val="auto"/>
                <w:szCs w:val="21"/>
                <w:highlight w:val="none"/>
              </w:rPr>
              <w:t>现场考察</w:t>
            </w:r>
          </w:p>
        </w:tc>
        <w:tc>
          <w:tcPr>
            <w:tcW w:w="6031" w:type="dxa"/>
            <w:noWrap/>
            <w:vAlign w:val="center"/>
          </w:tcPr>
          <w:p w14:paraId="5F92D01F">
            <w:pPr>
              <w:spacing w:line="360" w:lineRule="exact"/>
              <w:rPr>
                <w:rFonts w:ascii="宋体" w:cs="宋体"/>
                <w:color w:val="auto"/>
                <w:szCs w:val="21"/>
                <w:highlight w:val="none"/>
              </w:rPr>
            </w:pPr>
            <w:r>
              <w:rPr>
                <w:rFonts w:hint="eastAsia" w:ascii="宋体" w:hAnsi="Wingdings" w:cs="宋体"/>
                <w:color w:val="auto"/>
                <w:szCs w:val="20"/>
                <w:highlight w:val="none"/>
              </w:rPr>
              <w:sym w:font="Wingdings" w:char="F0FE"/>
            </w:r>
            <w:r>
              <w:rPr>
                <w:rFonts w:hint="eastAsia" w:ascii="宋体" w:hAnsi="宋体" w:cs="宋体"/>
                <w:color w:val="auto"/>
                <w:szCs w:val="21"/>
                <w:highlight w:val="none"/>
              </w:rPr>
              <w:t>不组织</w:t>
            </w:r>
          </w:p>
          <w:p w14:paraId="1E472150">
            <w:pPr>
              <w:spacing w:line="360" w:lineRule="exact"/>
              <w:rPr>
                <w:rFonts w:ascii="宋体" w:cs="宋体"/>
                <w:color w:val="auto"/>
                <w:szCs w:val="21"/>
                <w:highlight w:val="none"/>
              </w:rPr>
            </w:pPr>
            <w:r>
              <w:rPr>
                <w:rFonts w:hint="eastAsia" w:ascii="宋体" w:hAnsi="Wingdings" w:cs="宋体"/>
                <w:color w:val="auto"/>
                <w:szCs w:val="20"/>
                <w:highlight w:val="none"/>
              </w:rPr>
              <w:sym w:font="Wingdings" w:char="F0A8"/>
            </w:r>
            <w:r>
              <w:rPr>
                <w:rFonts w:hint="eastAsia" w:ascii="宋体" w:hAnsi="宋体" w:cs="宋体"/>
                <w:color w:val="auto"/>
                <w:szCs w:val="21"/>
                <w:highlight w:val="none"/>
              </w:rPr>
              <w:t>组织：</w:t>
            </w:r>
          </w:p>
          <w:p w14:paraId="29D5AAB1">
            <w:pPr>
              <w:spacing w:line="360" w:lineRule="exact"/>
              <w:rPr>
                <w:rFonts w:ascii="宋体" w:cs="宋体"/>
                <w:color w:val="auto"/>
                <w:szCs w:val="21"/>
                <w:highlight w:val="none"/>
              </w:rPr>
            </w:pPr>
            <w:r>
              <w:rPr>
                <w:rFonts w:hint="eastAsia" w:ascii="宋体" w:hAnsi="宋体" w:cs="宋体"/>
                <w:color w:val="auto"/>
                <w:szCs w:val="21"/>
                <w:highlight w:val="none"/>
              </w:rPr>
              <w:t>本项目由采购人组织供应商进行现场考察</w:t>
            </w:r>
          </w:p>
          <w:p w14:paraId="05021DB9">
            <w:pPr>
              <w:spacing w:line="360" w:lineRule="exact"/>
              <w:rPr>
                <w:rFonts w:ascii="宋体" w:cs="宋体"/>
                <w:color w:val="auto"/>
                <w:szCs w:val="21"/>
                <w:highlight w:val="none"/>
              </w:rPr>
            </w:pPr>
            <w:r>
              <w:rPr>
                <w:rFonts w:hint="eastAsia" w:ascii="宋体" w:hAnsi="宋体" w:cs="宋体"/>
                <w:color w:val="auto"/>
                <w:szCs w:val="21"/>
                <w:highlight w:val="none"/>
              </w:rPr>
              <w:t>方式：集中统一组织、不记名</w:t>
            </w:r>
          </w:p>
          <w:p w14:paraId="3D3AF861">
            <w:pPr>
              <w:spacing w:line="360" w:lineRule="exact"/>
              <w:rPr>
                <w:rFonts w:ascii="宋体" w:cs="宋体"/>
                <w:color w:val="auto"/>
                <w:szCs w:val="21"/>
                <w:highlight w:val="none"/>
              </w:rPr>
            </w:pPr>
            <w:r>
              <w:rPr>
                <w:rFonts w:hint="eastAsia" w:ascii="宋体" w:hAnsi="宋体" w:cs="宋体"/>
                <w:color w:val="auto"/>
                <w:szCs w:val="21"/>
                <w:highlight w:val="none"/>
              </w:rPr>
              <w:t>时间：</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点</w:t>
            </w:r>
            <w:r>
              <w:rPr>
                <w:rFonts w:ascii="宋体" w:hAnsi="宋体" w:cs="宋体"/>
                <w:color w:val="auto"/>
                <w:szCs w:val="21"/>
                <w:highlight w:val="none"/>
              </w:rPr>
              <w:t xml:space="preserve">    </w:t>
            </w:r>
            <w:r>
              <w:rPr>
                <w:rFonts w:hint="eastAsia" w:ascii="宋体" w:hAnsi="宋体" w:cs="宋体"/>
                <w:color w:val="auto"/>
                <w:szCs w:val="21"/>
                <w:highlight w:val="none"/>
              </w:rPr>
              <w:t>分（北京时间）</w:t>
            </w:r>
          </w:p>
          <w:p w14:paraId="1A578798">
            <w:pPr>
              <w:spacing w:line="360" w:lineRule="exact"/>
              <w:rPr>
                <w:rFonts w:ascii="宋体" w:cs="宋体"/>
                <w:color w:val="auto"/>
                <w:szCs w:val="21"/>
                <w:highlight w:val="none"/>
              </w:rPr>
            </w:pPr>
            <w:r>
              <w:rPr>
                <w:rFonts w:hint="eastAsia" w:ascii="宋体" w:hAnsi="宋体" w:cs="宋体"/>
                <w:color w:val="auto"/>
                <w:szCs w:val="21"/>
                <w:highlight w:val="none"/>
              </w:rPr>
              <w:t>地点：</w:t>
            </w:r>
          </w:p>
          <w:p w14:paraId="2AF98A57">
            <w:pPr>
              <w:spacing w:line="360" w:lineRule="exact"/>
              <w:rPr>
                <w:rFonts w:ascii="宋体" w:cs="宋体"/>
                <w:color w:val="auto"/>
                <w:szCs w:val="21"/>
                <w:highlight w:val="none"/>
              </w:rPr>
            </w:pPr>
            <w:r>
              <w:rPr>
                <w:rFonts w:hint="eastAsia" w:ascii="宋体" w:hAnsi="宋体" w:cs="宋体"/>
                <w:color w:val="auto"/>
                <w:szCs w:val="21"/>
                <w:highlight w:val="none"/>
              </w:rPr>
              <w:t>联系人：</w:t>
            </w:r>
          </w:p>
          <w:p w14:paraId="423D0751">
            <w:pPr>
              <w:spacing w:line="360" w:lineRule="exact"/>
              <w:rPr>
                <w:rFonts w:ascii="宋体" w:cs="宋体"/>
                <w:color w:val="auto"/>
                <w:szCs w:val="21"/>
                <w:highlight w:val="none"/>
              </w:rPr>
            </w:pPr>
            <w:r>
              <w:rPr>
                <w:rFonts w:hint="eastAsia" w:ascii="宋体" w:hAnsi="宋体" w:cs="宋体"/>
                <w:color w:val="auto"/>
                <w:szCs w:val="21"/>
                <w:highlight w:val="none"/>
              </w:rPr>
              <w:t>联系方式：</w:t>
            </w:r>
          </w:p>
          <w:p w14:paraId="3A4E94DA">
            <w:pPr>
              <w:spacing w:line="360" w:lineRule="exact"/>
              <w:rPr>
                <w:rFonts w:ascii="宋体" w:cs="宋体"/>
                <w:color w:val="auto"/>
                <w:szCs w:val="21"/>
                <w:highlight w:val="none"/>
              </w:rPr>
            </w:pPr>
            <w:r>
              <w:rPr>
                <w:rFonts w:hint="eastAsia" w:ascii="宋体" w:hAnsi="宋体" w:cs="宋体"/>
                <w:color w:val="auto"/>
                <w:szCs w:val="21"/>
                <w:highlight w:val="none"/>
              </w:rPr>
              <w:t>注：现场考察过程中发生的费用或意外导致伤亡等一切责任和损失均由供应商自负。</w:t>
            </w:r>
          </w:p>
        </w:tc>
      </w:tr>
      <w:tr w14:paraId="7ABA419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5093BE5">
            <w:pPr>
              <w:spacing w:line="288" w:lineRule="auto"/>
              <w:jc w:val="center"/>
              <w:rPr>
                <w:rFonts w:ascii="宋体" w:cs="宋体"/>
                <w:color w:val="auto"/>
                <w:szCs w:val="21"/>
                <w:highlight w:val="none"/>
              </w:rPr>
            </w:pPr>
            <w:r>
              <w:rPr>
                <w:rFonts w:ascii="宋体" w:hAnsi="宋体" w:cs="宋体"/>
                <w:color w:val="auto"/>
                <w:szCs w:val="21"/>
                <w:highlight w:val="none"/>
              </w:rPr>
              <w:t>1.12.1</w:t>
            </w:r>
          </w:p>
        </w:tc>
        <w:tc>
          <w:tcPr>
            <w:tcW w:w="2107" w:type="dxa"/>
            <w:noWrap/>
            <w:vAlign w:val="center"/>
          </w:tcPr>
          <w:p w14:paraId="7E4BA711">
            <w:pPr>
              <w:spacing w:line="288" w:lineRule="auto"/>
              <w:jc w:val="center"/>
              <w:rPr>
                <w:rFonts w:ascii="宋体" w:cs="宋体"/>
                <w:color w:val="auto"/>
                <w:szCs w:val="21"/>
                <w:highlight w:val="none"/>
              </w:rPr>
            </w:pPr>
            <w:r>
              <w:rPr>
                <w:rFonts w:hint="eastAsia" w:ascii="宋体" w:hAnsi="宋体" w:cs="宋体"/>
                <w:color w:val="auto"/>
                <w:szCs w:val="21"/>
                <w:highlight w:val="none"/>
              </w:rPr>
              <w:t>磋商前答疑会</w:t>
            </w:r>
          </w:p>
        </w:tc>
        <w:tc>
          <w:tcPr>
            <w:tcW w:w="6031" w:type="dxa"/>
            <w:noWrap/>
            <w:vAlign w:val="center"/>
          </w:tcPr>
          <w:p w14:paraId="37552027">
            <w:pPr>
              <w:spacing w:line="360" w:lineRule="exact"/>
              <w:rPr>
                <w:rFonts w:ascii="宋体" w:cs="宋体"/>
                <w:bCs/>
                <w:color w:val="auto"/>
                <w:szCs w:val="21"/>
                <w:highlight w:val="none"/>
              </w:rPr>
            </w:pPr>
            <w:r>
              <w:rPr>
                <w:rFonts w:hint="eastAsia" w:ascii="宋体" w:hAnsi="Wingdings" w:cs="宋体"/>
                <w:color w:val="auto"/>
                <w:szCs w:val="20"/>
                <w:highlight w:val="none"/>
              </w:rPr>
              <w:sym w:font="Wingdings" w:char="F0FE"/>
            </w:r>
            <w:r>
              <w:rPr>
                <w:rFonts w:hint="eastAsia" w:ascii="宋体" w:hAnsi="宋体" w:cs="宋体"/>
                <w:bCs/>
                <w:color w:val="auto"/>
                <w:szCs w:val="21"/>
                <w:highlight w:val="none"/>
              </w:rPr>
              <w:t>不召开</w:t>
            </w:r>
          </w:p>
          <w:p w14:paraId="57BF3E13">
            <w:pPr>
              <w:spacing w:line="360" w:lineRule="exact"/>
              <w:rPr>
                <w:rFonts w:ascii="宋体" w:cs="宋体"/>
                <w:bCs/>
                <w:color w:val="auto"/>
                <w:szCs w:val="21"/>
                <w:highlight w:val="none"/>
              </w:rPr>
            </w:pPr>
            <w:r>
              <w:rPr>
                <w:rFonts w:hint="eastAsia" w:ascii="宋体" w:hAnsi="Wingdings" w:cs="宋体"/>
                <w:color w:val="auto"/>
                <w:szCs w:val="20"/>
                <w:highlight w:val="none"/>
              </w:rPr>
              <w:sym w:font="Wingdings" w:char="F0A8"/>
            </w:r>
            <w:r>
              <w:rPr>
                <w:rFonts w:hint="eastAsia" w:ascii="宋体" w:hAnsi="宋体" w:cs="宋体"/>
                <w:bCs/>
                <w:color w:val="auto"/>
                <w:szCs w:val="21"/>
                <w:highlight w:val="none"/>
              </w:rPr>
              <w:t>召开：</w:t>
            </w:r>
          </w:p>
          <w:p w14:paraId="5EBD4ACC">
            <w:pPr>
              <w:spacing w:line="360" w:lineRule="exact"/>
              <w:rPr>
                <w:rFonts w:ascii="宋体" w:cs="宋体"/>
                <w:bCs/>
                <w:color w:val="auto"/>
                <w:szCs w:val="21"/>
                <w:highlight w:val="none"/>
              </w:rPr>
            </w:pPr>
            <w:r>
              <w:rPr>
                <w:rFonts w:hint="eastAsia" w:ascii="宋体" w:hAnsi="宋体" w:cs="宋体"/>
                <w:bCs/>
                <w:color w:val="auto"/>
                <w:szCs w:val="21"/>
                <w:highlight w:val="none"/>
              </w:rPr>
              <w:t>本项目由采购人</w:t>
            </w:r>
            <w:r>
              <w:rPr>
                <w:rFonts w:ascii="宋体" w:hAnsi="宋体" w:cs="宋体"/>
                <w:bCs/>
                <w:color w:val="auto"/>
                <w:szCs w:val="21"/>
                <w:highlight w:val="none"/>
              </w:rPr>
              <w:t>/</w:t>
            </w:r>
            <w:r>
              <w:rPr>
                <w:rFonts w:hint="eastAsia" w:ascii="宋体" w:hAnsi="宋体" w:cs="宋体"/>
                <w:bCs/>
                <w:color w:val="auto"/>
                <w:szCs w:val="21"/>
                <w:highlight w:val="none"/>
              </w:rPr>
              <w:t>采购代理机构组织供应商召开磋商前答疑会</w:t>
            </w:r>
          </w:p>
          <w:p w14:paraId="1EEB6388">
            <w:pPr>
              <w:spacing w:line="360" w:lineRule="exact"/>
              <w:rPr>
                <w:rFonts w:ascii="宋体" w:cs="宋体"/>
                <w:bCs/>
                <w:color w:val="auto"/>
                <w:szCs w:val="21"/>
                <w:highlight w:val="none"/>
              </w:rPr>
            </w:pPr>
            <w:r>
              <w:rPr>
                <w:rFonts w:hint="eastAsia" w:ascii="宋体" w:hAnsi="宋体" w:cs="宋体"/>
                <w:bCs/>
                <w:color w:val="auto"/>
                <w:szCs w:val="21"/>
                <w:highlight w:val="none"/>
              </w:rPr>
              <w:t>方式：集中统一组织、不记名</w:t>
            </w:r>
          </w:p>
          <w:p w14:paraId="47560FB4">
            <w:pPr>
              <w:spacing w:line="360" w:lineRule="exact"/>
              <w:rPr>
                <w:rFonts w:ascii="宋体" w:cs="宋体"/>
                <w:bCs/>
                <w:color w:val="auto"/>
                <w:szCs w:val="21"/>
                <w:highlight w:val="none"/>
              </w:rPr>
            </w:pPr>
            <w:r>
              <w:rPr>
                <w:rFonts w:hint="eastAsia" w:ascii="宋体" w:hAnsi="宋体" w:cs="宋体"/>
                <w:bCs/>
                <w:color w:val="auto"/>
                <w:szCs w:val="21"/>
                <w:highlight w:val="none"/>
              </w:rPr>
              <w:t>时间：</w:t>
            </w:r>
            <w:r>
              <w:rPr>
                <w:rFonts w:ascii="宋体" w:hAnsi="宋体" w:cs="宋体"/>
                <w:bCs/>
                <w:color w:val="auto"/>
                <w:szCs w:val="21"/>
                <w:highlight w:val="none"/>
              </w:rPr>
              <w:t xml:space="preserve">   </w:t>
            </w:r>
            <w:r>
              <w:rPr>
                <w:rFonts w:hint="eastAsia" w:ascii="宋体" w:hAnsi="宋体" w:cs="宋体"/>
                <w:bCs/>
                <w:color w:val="auto"/>
                <w:szCs w:val="21"/>
                <w:highlight w:val="none"/>
              </w:rPr>
              <w:t>年</w:t>
            </w:r>
            <w:r>
              <w:rPr>
                <w:rFonts w:ascii="宋体" w:hAnsi="宋体" w:cs="宋体"/>
                <w:bCs/>
                <w:color w:val="auto"/>
                <w:szCs w:val="21"/>
                <w:highlight w:val="none"/>
              </w:rPr>
              <w:t xml:space="preserve">  </w:t>
            </w:r>
            <w:r>
              <w:rPr>
                <w:rFonts w:hint="eastAsia" w:ascii="宋体" w:hAnsi="宋体" w:cs="宋体"/>
                <w:bCs/>
                <w:color w:val="auto"/>
                <w:szCs w:val="21"/>
                <w:highlight w:val="none"/>
              </w:rPr>
              <w:t>月</w:t>
            </w:r>
            <w:r>
              <w:rPr>
                <w:rFonts w:ascii="宋体" w:hAnsi="宋体" w:cs="宋体"/>
                <w:bCs/>
                <w:color w:val="auto"/>
                <w:szCs w:val="21"/>
                <w:highlight w:val="none"/>
              </w:rPr>
              <w:t xml:space="preserve">  </w:t>
            </w:r>
            <w:r>
              <w:rPr>
                <w:rFonts w:hint="eastAsia" w:ascii="宋体" w:hAnsi="宋体" w:cs="宋体"/>
                <w:bCs/>
                <w:color w:val="auto"/>
                <w:szCs w:val="21"/>
                <w:highlight w:val="none"/>
              </w:rPr>
              <w:t>日</w:t>
            </w:r>
            <w:r>
              <w:rPr>
                <w:rFonts w:ascii="宋体" w:hAnsi="宋体" w:cs="宋体"/>
                <w:bCs/>
                <w:color w:val="auto"/>
                <w:szCs w:val="21"/>
                <w:highlight w:val="none"/>
              </w:rPr>
              <w:t xml:space="preserve">    </w:t>
            </w:r>
            <w:r>
              <w:rPr>
                <w:rFonts w:hint="eastAsia" w:ascii="宋体" w:hAnsi="宋体" w:cs="宋体"/>
                <w:bCs/>
                <w:color w:val="auto"/>
                <w:szCs w:val="21"/>
                <w:highlight w:val="none"/>
              </w:rPr>
              <w:t>点</w:t>
            </w:r>
            <w:r>
              <w:rPr>
                <w:rFonts w:ascii="宋体" w:hAnsi="宋体" w:cs="宋体"/>
                <w:bCs/>
                <w:color w:val="auto"/>
                <w:szCs w:val="21"/>
                <w:highlight w:val="none"/>
              </w:rPr>
              <w:t xml:space="preserve">    </w:t>
            </w:r>
            <w:r>
              <w:rPr>
                <w:rFonts w:hint="eastAsia" w:ascii="宋体" w:hAnsi="宋体" w:cs="宋体"/>
                <w:bCs/>
                <w:color w:val="auto"/>
                <w:szCs w:val="21"/>
                <w:highlight w:val="none"/>
              </w:rPr>
              <w:t>分（北京时间）</w:t>
            </w:r>
          </w:p>
          <w:p w14:paraId="4BA5482D">
            <w:pPr>
              <w:spacing w:line="360" w:lineRule="exact"/>
              <w:rPr>
                <w:rFonts w:ascii="宋体" w:cs="宋体"/>
                <w:bCs/>
                <w:color w:val="auto"/>
                <w:szCs w:val="21"/>
                <w:highlight w:val="none"/>
              </w:rPr>
            </w:pPr>
            <w:r>
              <w:rPr>
                <w:rFonts w:hint="eastAsia" w:ascii="宋体" w:hAnsi="宋体" w:cs="宋体"/>
                <w:bCs/>
                <w:color w:val="auto"/>
                <w:szCs w:val="21"/>
                <w:highlight w:val="none"/>
              </w:rPr>
              <w:t>地点：</w:t>
            </w:r>
          </w:p>
          <w:p w14:paraId="1ECED3BF">
            <w:pPr>
              <w:spacing w:line="360" w:lineRule="exact"/>
              <w:rPr>
                <w:rFonts w:ascii="宋体" w:cs="宋体"/>
                <w:bCs/>
                <w:color w:val="auto"/>
                <w:szCs w:val="21"/>
                <w:highlight w:val="none"/>
              </w:rPr>
            </w:pPr>
            <w:r>
              <w:rPr>
                <w:rFonts w:hint="eastAsia" w:ascii="宋体" w:hAnsi="宋体" w:cs="宋体"/>
                <w:bCs/>
                <w:color w:val="auto"/>
                <w:szCs w:val="21"/>
                <w:highlight w:val="none"/>
              </w:rPr>
              <w:t>联系人：</w:t>
            </w:r>
          </w:p>
          <w:p w14:paraId="7F9E015A">
            <w:pPr>
              <w:spacing w:line="360" w:lineRule="exact"/>
              <w:rPr>
                <w:rFonts w:ascii="宋体" w:cs="宋体"/>
                <w:bCs/>
                <w:color w:val="auto"/>
                <w:szCs w:val="21"/>
                <w:highlight w:val="none"/>
              </w:rPr>
            </w:pPr>
            <w:r>
              <w:rPr>
                <w:rFonts w:hint="eastAsia" w:ascii="宋体" w:hAnsi="宋体" w:cs="宋体"/>
                <w:bCs/>
                <w:color w:val="auto"/>
                <w:szCs w:val="21"/>
                <w:highlight w:val="none"/>
              </w:rPr>
              <w:t>联系方式：</w:t>
            </w:r>
          </w:p>
          <w:p w14:paraId="6BA6D806">
            <w:pPr>
              <w:spacing w:line="360" w:lineRule="exact"/>
              <w:rPr>
                <w:rFonts w:ascii="宋体" w:cs="宋体"/>
                <w:bCs/>
                <w:color w:val="auto"/>
                <w:szCs w:val="21"/>
                <w:highlight w:val="none"/>
              </w:rPr>
            </w:pPr>
            <w:r>
              <w:rPr>
                <w:rFonts w:hint="eastAsia" w:ascii="宋体" w:hAnsi="宋体" w:cs="宋体"/>
                <w:bCs/>
                <w:color w:val="auto"/>
                <w:szCs w:val="21"/>
                <w:highlight w:val="none"/>
              </w:rPr>
              <w:t>注：参加磋商前答疑会过程中发生的费用由供应商自行承担。</w:t>
            </w:r>
          </w:p>
        </w:tc>
      </w:tr>
      <w:tr w14:paraId="7C04771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673D902">
            <w:pPr>
              <w:spacing w:line="288" w:lineRule="auto"/>
              <w:jc w:val="center"/>
              <w:rPr>
                <w:rFonts w:ascii="宋体" w:cs="宋体"/>
                <w:color w:val="auto"/>
                <w:szCs w:val="21"/>
                <w:highlight w:val="none"/>
              </w:rPr>
            </w:pPr>
            <w:r>
              <w:rPr>
                <w:rFonts w:ascii="宋体" w:hAnsi="宋体" w:cs="宋体"/>
                <w:color w:val="auto"/>
                <w:szCs w:val="21"/>
                <w:highlight w:val="none"/>
              </w:rPr>
              <w:t>1.14</w:t>
            </w:r>
          </w:p>
        </w:tc>
        <w:tc>
          <w:tcPr>
            <w:tcW w:w="2107" w:type="dxa"/>
            <w:noWrap/>
            <w:vAlign w:val="center"/>
          </w:tcPr>
          <w:p w14:paraId="35590BC0">
            <w:pPr>
              <w:spacing w:line="288" w:lineRule="auto"/>
              <w:jc w:val="center"/>
              <w:rPr>
                <w:rFonts w:ascii="宋体" w:cs="宋体"/>
                <w:color w:val="auto"/>
                <w:szCs w:val="21"/>
                <w:highlight w:val="none"/>
              </w:rPr>
            </w:pPr>
            <w:r>
              <w:rPr>
                <w:rFonts w:hint="eastAsia" w:ascii="宋体" w:hAnsi="宋体" w:cs="宋体"/>
                <w:color w:val="auto"/>
                <w:szCs w:val="21"/>
                <w:highlight w:val="none"/>
              </w:rPr>
              <w:t>是否具有行业特殊情况</w:t>
            </w:r>
          </w:p>
        </w:tc>
        <w:tc>
          <w:tcPr>
            <w:tcW w:w="6031" w:type="dxa"/>
            <w:noWrap/>
            <w:vAlign w:val="center"/>
          </w:tcPr>
          <w:p w14:paraId="34249F6A">
            <w:pPr>
              <w:spacing w:line="288" w:lineRule="auto"/>
              <w:rPr>
                <w:rFonts w:ascii="宋体" w:cs="宋体"/>
                <w:bCs/>
                <w:color w:val="auto"/>
                <w:szCs w:val="21"/>
                <w:highlight w:val="none"/>
              </w:rPr>
            </w:pPr>
            <w:r>
              <w:rPr>
                <w:rFonts w:hint="eastAsia" w:ascii="宋体" w:hAnsi="宋体" w:cs="宋体"/>
                <w:color w:val="auto"/>
                <w:szCs w:val="21"/>
                <w:highlight w:val="none"/>
              </w:rPr>
              <w:t>否</w:t>
            </w:r>
          </w:p>
        </w:tc>
      </w:tr>
      <w:tr w14:paraId="069876C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25A193B">
            <w:pPr>
              <w:spacing w:line="288" w:lineRule="auto"/>
              <w:jc w:val="center"/>
              <w:rPr>
                <w:rFonts w:ascii="宋体" w:cs="宋体"/>
                <w:color w:val="auto"/>
                <w:szCs w:val="21"/>
                <w:highlight w:val="none"/>
              </w:rPr>
            </w:pPr>
            <w:r>
              <w:rPr>
                <w:rFonts w:ascii="宋体" w:hAnsi="宋体" w:cs="宋体"/>
                <w:color w:val="auto"/>
                <w:szCs w:val="21"/>
                <w:highlight w:val="none"/>
              </w:rPr>
              <w:t>1.15.2</w:t>
            </w:r>
          </w:p>
        </w:tc>
        <w:tc>
          <w:tcPr>
            <w:tcW w:w="2107" w:type="dxa"/>
            <w:noWrap/>
            <w:vAlign w:val="center"/>
          </w:tcPr>
          <w:p w14:paraId="6586BEC7">
            <w:pPr>
              <w:jc w:val="center"/>
              <w:rPr>
                <w:rFonts w:ascii="宋体" w:cs="宋体"/>
                <w:color w:val="auto"/>
                <w:szCs w:val="21"/>
                <w:highlight w:val="none"/>
              </w:rPr>
            </w:pPr>
            <w:r>
              <w:rPr>
                <w:rFonts w:hint="eastAsia" w:ascii="宋体" w:hAnsi="宋体" w:cs="宋体"/>
                <w:color w:val="auto"/>
                <w:szCs w:val="21"/>
                <w:highlight w:val="none"/>
              </w:rPr>
              <w:t>分包</w:t>
            </w:r>
          </w:p>
        </w:tc>
        <w:tc>
          <w:tcPr>
            <w:tcW w:w="6031" w:type="dxa"/>
            <w:noWrap/>
            <w:vAlign w:val="center"/>
          </w:tcPr>
          <w:p w14:paraId="7D51CA08">
            <w:pPr>
              <w:spacing w:line="360" w:lineRule="exact"/>
              <w:rPr>
                <w:rFonts w:ascii="宋体" w:cs="宋体"/>
                <w:bCs/>
                <w:color w:val="auto"/>
                <w:szCs w:val="21"/>
                <w:highlight w:val="none"/>
                <w:lang w:val="zh-CN"/>
              </w:rPr>
            </w:pPr>
            <w:bookmarkStart w:id="44" w:name="PO_3000009629_PM044"/>
            <w:r>
              <w:rPr>
                <w:rFonts w:hint="eastAsia" w:ascii="宋体" w:hAnsi="Wingdings" w:cs="宋体"/>
                <w:color w:val="auto"/>
                <w:szCs w:val="20"/>
                <w:highlight w:val="none"/>
              </w:rPr>
              <w:sym w:font="Wingdings" w:char="F0FE"/>
            </w:r>
            <w:r>
              <w:rPr>
                <w:rFonts w:hint="eastAsia" w:ascii="宋体" w:hAnsi="宋体" w:cs="宋体"/>
                <w:bCs/>
                <w:color w:val="auto"/>
                <w:szCs w:val="21"/>
                <w:highlight w:val="none"/>
              </w:rPr>
              <w:t>不允许分包</w:t>
            </w:r>
            <w:bookmarkEnd w:id="44"/>
          </w:p>
          <w:p w14:paraId="45C08AC5">
            <w:pPr>
              <w:widowControl/>
              <w:spacing w:line="360" w:lineRule="exact"/>
              <w:rPr>
                <w:rFonts w:ascii="宋体" w:cs="宋体"/>
                <w:color w:val="auto"/>
                <w:kern w:val="0"/>
                <w:szCs w:val="21"/>
                <w:highlight w:val="none"/>
              </w:rPr>
            </w:pPr>
            <w:r>
              <w:rPr>
                <w:rFonts w:hint="eastAsia" w:ascii="宋体" w:hAnsi="Wingdings" w:cs="宋体"/>
                <w:color w:val="auto"/>
                <w:szCs w:val="20"/>
                <w:highlight w:val="none"/>
              </w:rPr>
              <w:sym w:font="Wingdings" w:char="F0A8"/>
            </w:r>
            <w:r>
              <w:rPr>
                <w:rFonts w:hint="eastAsia" w:ascii="宋体" w:hAnsi="宋体" w:cs="宋体"/>
                <w:color w:val="auto"/>
                <w:kern w:val="0"/>
                <w:szCs w:val="21"/>
                <w:highlight w:val="none"/>
              </w:rPr>
              <w:t>本项目分包履行的具体内容、金额或者比例、分包人资质要求等。</w:t>
            </w:r>
          </w:p>
        </w:tc>
      </w:tr>
      <w:tr w14:paraId="0E1E766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21116D2">
            <w:pPr>
              <w:spacing w:line="288" w:lineRule="auto"/>
              <w:jc w:val="center"/>
              <w:rPr>
                <w:rFonts w:ascii="宋体" w:cs="宋体"/>
                <w:color w:val="auto"/>
                <w:szCs w:val="21"/>
                <w:highlight w:val="none"/>
              </w:rPr>
            </w:pPr>
            <w:r>
              <w:rPr>
                <w:rFonts w:ascii="宋体" w:hAnsi="宋体" w:cs="宋体"/>
                <w:color w:val="auto"/>
                <w:szCs w:val="21"/>
                <w:highlight w:val="none"/>
              </w:rPr>
              <w:t>1.17</w:t>
            </w:r>
          </w:p>
        </w:tc>
        <w:tc>
          <w:tcPr>
            <w:tcW w:w="2107" w:type="dxa"/>
            <w:noWrap/>
            <w:vAlign w:val="center"/>
          </w:tcPr>
          <w:p w14:paraId="04A5330F">
            <w:pPr>
              <w:spacing w:line="288" w:lineRule="auto"/>
              <w:jc w:val="center"/>
              <w:rPr>
                <w:rFonts w:ascii="宋体" w:cs="宋体"/>
                <w:color w:val="auto"/>
                <w:szCs w:val="21"/>
                <w:highlight w:val="none"/>
              </w:rPr>
            </w:pPr>
            <w:r>
              <w:rPr>
                <w:rFonts w:hint="eastAsia" w:ascii="宋体" w:hAnsi="宋体" w:cs="宋体"/>
                <w:color w:val="auto"/>
                <w:szCs w:val="21"/>
                <w:highlight w:val="none"/>
              </w:rPr>
              <w:t>磋商保证金</w:t>
            </w:r>
          </w:p>
        </w:tc>
        <w:tc>
          <w:tcPr>
            <w:tcW w:w="6031" w:type="dxa"/>
            <w:noWrap/>
            <w:vAlign w:val="center"/>
          </w:tcPr>
          <w:p w14:paraId="50A485D6">
            <w:pPr>
              <w:spacing w:line="360" w:lineRule="exact"/>
              <w:rPr>
                <w:rFonts w:ascii="宋体" w:hAnsi="宋体" w:cs="宋体"/>
                <w:bCs/>
                <w:color w:val="auto"/>
                <w:szCs w:val="21"/>
                <w:highlight w:val="none"/>
                <w:lang w:val="zh-CN"/>
              </w:rPr>
            </w:pPr>
            <w:r>
              <w:rPr>
                <w:rFonts w:hint="eastAsia" w:ascii="宋体" w:hAnsi="宋体" w:cs="宋体"/>
                <w:bCs/>
                <w:color w:val="auto"/>
                <w:szCs w:val="21"/>
                <w:highlight w:val="none"/>
                <w:lang w:val="zh-CN"/>
              </w:rPr>
              <w:t>金额：</w:t>
            </w:r>
            <w:r>
              <w:rPr>
                <w:rFonts w:hint="eastAsia" w:ascii="宋体" w:hAnsi="宋体" w:cs="宋体"/>
                <w:color w:val="auto"/>
                <w:kern w:val="0"/>
                <w:szCs w:val="21"/>
                <w:highlight w:val="none"/>
              </w:rPr>
              <w:t>12000元</w:t>
            </w:r>
          </w:p>
          <w:p w14:paraId="52AF5635">
            <w:pPr>
              <w:spacing w:line="360" w:lineRule="exact"/>
              <w:rPr>
                <w:rFonts w:ascii="宋体" w:cs="宋体"/>
                <w:bCs/>
                <w:color w:val="auto"/>
                <w:szCs w:val="21"/>
                <w:highlight w:val="none"/>
                <w:lang w:val="zh-CN"/>
              </w:rPr>
            </w:pPr>
            <w:r>
              <w:rPr>
                <w:rFonts w:hint="eastAsia" w:ascii="宋体" w:hAnsi="宋体" w:cs="宋体"/>
                <w:bCs/>
                <w:color w:val="auto"/>
                <w:szCs w:val="21"/>
                <w:highlight w:val="none"/>
                <w:lang w:val="zh-CN"/>
              </w:rPr>
              <w:t>交款方式：磋商保证金应当采用支票、汇票、本票或者金融机构、担保机构出具的保函、电子保函等非现金形式交纳。</w:t>
            </w:r>
          </w:p>
          <w:p w14:paraId="297023C5">
            <w:pPr>
              <w:spacing w:line="360" w:lineRule="exact"/>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递交方式：（通过本单位基本账户递交）</w:t>
            </w:r>
          </w:p>
          <w:p w14:paraId="0883E93B">
            <w:pPr>
              <w:spacing w:line="360" w:lineRule="exact"/>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退还方式：（通过本单位基本账户退还）</w:t>
            </w:r>
          </w:p>
          <w:p w14:paraId="2B8B0593">
            <w:pPr>
              <w:spacing w:line="360" w:lineRule="exact"/>
              <w:rPr>
                <w:rFonts w:ascii="宋体" w:cs="宋体"/>
                <w:b/>
                <w:bCs/>
                <w:color w:val="auto"/>
                <w:szCs w:val="21"/>
                <w:highlight w:val="none"/>
                <w:lang w:val="zh-CN"/>
              </w:rPr>
            </w:pPr>
            <w:r>
              <w:rPr>
                <w:rFonts w:hint="eastAsia" w:ascii="宋体" w:hAnsi="宋体" w:cs="宋体"/>
                <w:b/>
                <w:bCs/>
                <w:color w:val="auto"/>
                <w:szCs w:val="21"/>
                <w:highlight w:val="none"/>
                <w:lang w:val="zh-CN"/>
              </w:rPr>
              <w:t>账户信息：</w:t>
            </w:r>
          </w:p>
          <w:p w14:paraId="0F619579">
            <w:pPr>
              <w:spacing w:line="360" w:lineRule="exact"/>
              <w:rPr>
                <w:rFonts w:ascii="宋体" w:hAnsi="宋体" w:cs="宋体"/>
                <w:b/>
                <w:bCs/>
                <w:color w:val="auto"/>
                <w:szCs w:val="21"/>
                <w:highlight w:val="none"/>
                <w:lang w:val="zh-CN"/>
              </w:rPr>
            </w:pPr>
            <w:r>
              <w:rPr>
                <w:rFonts w:hint="eastAsia" w:ascii="宋体" w:hAnsi="宋体" w:cs="宋体"/>
                <w:b/>
                <w:bCs/>
                <w:color w:val="auto"/>
                <w:szCs w:val="21"/>
                <w:highlight w:val="none"/>
                <w:lang w:val="zh-CN"/>
              </w:rPr>
              <w:t>开户单位：山西中鑫招标代理有限公司</w:t>
            </w:r>
          </w:p>
          <w:p w14:paraId="2DAFF7DC">
            <w:pPr>
              <w:spacing w:line="360" w:lineRule="exact"/>
              <w:rPr>
                <w:rFonts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开 户 行：山西尧都农村商业银行股份有限公司东关支行 </w:t>
            </w:r>
          </w:p>
          <w:p w14:paraId="52C46F8A">
            <w:pPr>
              <w:spacing w:line="360" w:lineRule="exact"/>
              <w:rPr>
                <w:rFonts w:ascii="宋体" w:cs="宋体"/>
                <w:b/>
                <w:bCs/>
                <w:color w:val="auto"/>
                <w:szCs w:val="21"/>
                <w:highlight w:val="none"/>
                <w:lang w:val="zh-CN"/>
              </w:rPr>
            </w:pPr>
            <w:r>
              <w:rPr>
                <w:rFonts w:hint="eastAsia" w:ascii="宋体" w:hAnsi="宋体" w:cs="宋体"/>
                <w:b/>
                <w:bCs/>
                <w:color w:val="auto"/>
                <w:szCs w:val="21"/>
                <w:highlight w:val="none"/>
                <w:lang w:val="zh-CN"/>
              </w:rPr>
              <w:t>账    号：601271010300000044189</w:t>
            </w:r>
          </w:p>
          <w:p w14:paraId="54F7D8F3">
            <w:pPr>
              <w:spacing w:line="360" w:lineRule="exact"/>
              <w:rPr>
                <w:rFonts w:ascii="宋体" w:cs="宋体"/>
                <w:bCs/>
                <w:color w:val="auto"/>
                <w:szCs w:val="21"/>
                <w:highlight w:val="none"/>
                <w:lang w:val="zh-CN"/>
              </w:rPr>
            </w:pPr>
            <w:r>
              <w:rPr>
                <w:rFonts w:hint="eastAsia" w:ascii="宋体" w:hAnsi="宋体" w:cs="宋体"/>
                <w:b/>
                <w:bCs/>
                <w:color w:val="auto"/>
                <w:szCs w:val="21"/>
                <w:highlight w:val="none"/>
                <w:lang w:val="zh-CN"/>
              </w:rPr>
              <w:t>磋商供应商在交付保证金时须在备注或附言中填写项目编号</w:t>
            </w:r>
            <w:r>
              <w:rPr>
                <w:rFonts w:hint="eastAsia" w:ascii="宋体" w:hAnsi="宋体" w:cs="宋体"/>
                <w:bCs/>
                <w:color w:val="auto"/>
                <w:szCs w:val="21"/>
                <w:highlight w:val="none"/>
                <w:lang w:val="zh-CN"/>
              </w:rPr>
              <w:t>。</w:t>
            </w:r>
          </w:p>
          <w:p w14:paraId="434AB79F">
            <w:pPr>
              <w:spacing w:line="360" w:lineRule="exact"/>
              <w:rPr>
                <w:rFonts w:ascii="宋体" w:cs="宋体"/>
                <w:bCs/>
                <w:color w:val="auto"/>
                <w:szCs w:val="21"/>
                <w:highlight w:val="none"/>
                <w:lang w:val="zh-CN"/>
              </w:rPr>
            </w:pPr>
            <w:r>
              <w:rPr>
                <w:rFonts w:hint="eastAsia" w:ascii="宋体" w:hAnsi="宋体" w:cs="宋体"/>
                <w:bCs/>
                <w:color w:val="auto"/>
                <w:szCs w:val="21"/>
                <w:highlight w:val="none"/>
                <w:lang w:val="zh-CN"/>
              </w:rPr>
              <w:t>交款时间：磋商文件递交截止时间前。</w:t>
            </w:r>
          </w:p>
          <w:p w14:paraId="24732455">
            <w:pPr>
              <w:spacing w:line="360" w:lineRule="exact"/>
              <w:rPr>
                <w:rFonts w:ascii="宋体" w:cs="宋体"/>
                <w:bCs/>
                <w:color w:val="auto"/>
                <w:szCs w:val="21"/>
                <w:highlight w:val="none"/>
                <w:lang w:val="zh-CN"/>
              </w:rPr>
            </w:pPr>
            <w:r>
              <w:rPr>
                <w:rFonts w:hint="eastAsia" w:ascii="宋体" w:hAnsi="宋体" w:cs="宋体"/>
                <w:bCs/>
                <w:color w:val="auto"/>
                <w:szCs w:val="21"/>
                <w:highlight w:val="none"/>
                <w:lang w:val="zh-CN"/>
              </w:rPr>
              <w:t>注：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14:paraId="704594FC">
            <w:pPr>
              <w:spacing w:line="360" w:lineRule="exact"/>
              <w:rPr>
                <w:rFonts w:ascii="宋体" w:cs="宋体"/>
                <w:bCs/>
                <w:color w:val="auto"/>
                <w:szCs w:val="21"/>
                <w:highlight w:val="none"/>
                <w:lang w:val="zh-CN"/>
              </w:rPr>
            </w:pPr>
            <w:r>
              <w:rPr>
                <w:rFonts w:hint="eastAsia" w:ascii="宋体" w:hAnsi="宋体" w:cs="宋体"/>
                <w:bCs/>
                <w:color w:val="auto"/>
                <w:szCs w:val="21"/>
                <w:highlight w:val="none"/>
                <w:lang w:val="zh-CN"/>
              </w:rPr>
              <w:t>磋商保证金退还：</w:t>
            </w:r>
          </w:p>
          <w:p w14:paraId="38718C05">
            <w:pPr>
              <w:spacing w:line="360" w:lineRule="exact"/>
              <w:rPr>
                <w:rFonts w:ascii="宋体" w:cs="宋体"/>
                <w:bCs/>
                <w:color w:val="auto"/>
                <w:szCs w:val="21"/>
                <w:highlight w:val="none"/>
                <w:lang w:val="zh-CN"/>
              </w:rPr>
            </w:pPr>
            <w:r>
              <w:rPr>
                <w:rFonts w:hint="eastAsia" w:ascii="宋体" w:hAnsi="宋体" w:cs="宋体"/>
                <w:bCs/>
                <w:color w:val="auto"/>
                <w:szCs w:val="21"/>
                <w:highlight w:val="none"/>
                <w:lang w:val="zh-CN"/>
              </w:rPr>
              <w:t>（</w:t>
            </w:r>
            <w:r>
              <w:rPr>
                <w:rFonts w:ascii="宋体" w:hAnsi="宋体" w:cs="宋体"/>
                <w:bCs/>
                <w:color w:val="auto"/>
                <w:szCs w:val="21"/>
                <w:highlight w:val="none"/>
                <w:lang w:val="zh-CN"/>
              </w:rPr>
              <w:t>1</w:t>
            </w:r>
            <w:r>
              <w:rPr>
                <w:rFonts w:hint="eastAsia" w:ascii="宋体" w:hAnsi="宋体" w:cs="宋体"/>
                <w:bCs/>
                <w:color w:val="auto"/>
                <w:szCs w:val="21"/>
                <w:highlight w:val="none"/>
                <w:lang w:val="zh-CN"/>
              </w:rPr>
              <w:t>）自成交</w:t>
            </w:r>
            <w:r>
              <w:rPr>
                <w:rFonts w:hint="eastAsia" w:ascii="宋体" w:hAnsi="宋体" w:cs="宋体"/>
                <w:bCs/>
                <w:color w:val="auto"/>
                <w:szCs w:val="21"/>
                <w:highlight w:val="none"/>
              </w:rPr>
              <w:t>公告</w:t>
            </w:r>
            <w:r>
              <w:rPr>
                <w:rFonts w:hint="eastAsia" w:ascii="宋体" w:hAnsi="宋体" w:cs="宋体"/>
                <w:bCs/>
                <w:color w:val="auto"/>
                <w:szCs w:val="21"/>
                <w:highlight w:val="none"/>
                <w:lang w:val="zh-CN"/>
              </w:rPr>
              <w:t>发出之日起</w:t>
            </w:r>
            <w:r>
              <w:rPr>
                <w:rFonts w:ascii="宋体" w:hAnsi="宋体" w:cs="宋体"/>
                <w:bCs/>
                <w:color w:val="auto"/>
                <w:szCs w:val="21"/>
                <w:highlight w:val="none"/>
                <w:lang w:val="zh-CN"/>
              </w:rPr>
              <w:t>5</w:t>
            </w:r>
            <w:r>
              <w:rPr>
                <w:rFonts w:hint="eastAsia" w:ascii="宋体" w:hAnsi="宋体" w:cs="宋体"/>
                <w:bCs/>
                <w:color w:val="auto"/>
                <w:szCs w:val="21"/>
                <w:highlight w:val="none"/>
                <w:lang w:val="zh-CN"/>
              </w:rPr>
              <w:t>个工作日内退还未成交供应商的保证金；</w:t>
            </w:r>
          </w:p>
          <w:p w14:paraId="77157B0C">
            <w:pPr>
              <w:spacing w:line="360" w:lineRule="exact"/>
              <w:rPr>
                <w:rFonts w:ascii="宋体" w:cs="宋体"/>
                <w:bCs/>
                <w:color w:val="auto"/>
                <w:szCs w:val="21"/>
                <w:highlight w:val="none"/>
                <w:lang w:val="zh-CN"/>
              </w:rPr>
            </w:pPr>
            <w:r>
              <w:rPr>
                <w:rFonts w:hint="eastAsia" w:ascii="宋体" w:hAnsi="宋体" w:cs="宋体"/>
                <w:bCs/>
                <w:color w:val="auto"/>
                <w:szCs w:val="21"/>
                <w:highlight w:val="none"/>
                <w:lang w:val="zh-CN"/>
              </w:rPr>
              <w:t>（</w:t>
            </w:r>
            <w:r>
              <w:rPr>
                <w:rFonts w:ascii="宋体" w:hAnsi="宋体" w:cs="宋体"/>
                <w:bCs/>
                <w:color w:val="auto"/>
                <w:szCs w:val="21"/>
                <w:highlight w:val="none"/>
                <w:lang w:val="zh-CN"/>
              </w:rPr>
              <w:t>2</w:t>
            </w:r>
            <w:r>
              <w:rPr>
                <w:rFonts w:hint="eastAsia" w:ascii="宋体" w:hAnsi="宋体" w:cs="宋体"/>
                <w:bCs/>
                <w:color w:val="auto"/>
                <w:szCs w:val="21"/>
                <w:highlight w:val="none"/>
                <w:lang w:val="zh-CN"/>
              </w:rPr>
              <w:t>）自政府采购合同签订之日起</w:t>
            </w:r>
            <w:r>
              <w:rPr>
                <w:rFonts w:ascii="宋体" w:hAnsi="宋体" w:cs="宋体"/>
                <w:bCs/>
                <w:color w:val="auto"/>
                <w:szCs w:val="21"/>
                <w:highlight w:val="none"/>
                <w:lang w:val="zh-CN"/>
              </w:rPr>
              <w:t>5</w:t>
            </w:r>
            <w:r>
              <w:rPr>
                <w:rFonts w:hint="eastAsia" w:ascii="宋体" w:hAnsi="宋体" w:cs="宋体"/>
                <w:bCs/>
                <w:color w:val="auto"/>
                <w:szCs w:val="21"/>
                <w:highlight w:val="none"/>
                <w:lang w:val="zh-CN"/>
              </w:rPr>
              <w:t>个工作日内退还成交供应商的保证金。</w:t>
            </w:r>
          </w:p>
        </w:tc>
      </w:tr>
      <w:tr w14:paraId="67E3BF8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1B0BE0F">
            <w:pPr>
              <w:spacing w:line="288" w:lineRule="auto"/>
              <w:jc w:val="center"/>
              <w:rPr>
                <w:rFonts w:ascii="宋体" w:cs="宋体"/>
                <w:color w:val="auto"/>
                <w:szCs w:val="21"/>
                <w:highlight w:val="none"/>
              </w:rPr>
            </w:pPr>
            <w:r>
              <w:rPr>
                <w:rFonts w:ascii="宋体" w:hAnsi="宋体" w:cs="宋体"/>
                <w:color w:val="auto"/>
                <w:szCs w:val="21"/>
                <w:highlight w:val="none"/>
              </w:rPr>
              <w:t>2.1</w:t>
            </w:r>
          </w:p>
        </w:tc>
        <w:tc>
          <w:tcPr>
            <w:tcW w:w="2107" w:type="dxa"/>
            <w:noWrap/>
            <w:vAlign w:val="center"/>
          </w:tcPr>
          <w:p w14:paraId="34781639">
            <w:pPr>
              <w:spacing w:line="288" w:lineRule="auto"/>
              <w:jc w:val="center"/>
              <w:rPr>
                <w:rFonts w:ascii="宋体" w:cs="宋体"/>
                <w:color w:val="auto"/>
                <w:szCs w:val="21"/>
                <w:highlight w:val="none"/>
              </w:rPr>
            </w:pPr>
            <w:r>
              <w:rPr>
                <w:rFonts w:hint="eastAsia" w:ascii="宋体" w:hAnsi="宋体" w:cs="宋体"/>
                <w:color w:val="auto"/>
                <w:szCs w:val="21"/>
                <w:highlight w:val="none"/>
              </w:rPr>
              <w:t>支持本国企业</w:t>
            </w:r>
          </w:p>
        </w:tc>
        <w:tc>
          <w:tcPr>
            <w:tcW w:w="6031" w:type="dxa"/>
            <w:noWrap/>
            <w:vAlign w:val="center"/>
          </w:tcPr>
          <w:p w14:paraId="7DF95B33">
            <w:pPr>
              <w:spacing w:line="360" w:lineRule="exact"/>
              <w:rPr>
                <w:rFonts w:ascii="宋体" w:cs="宋体"/>
                <w:bCs/>
                <w:color w:val="auto"/>
                <w:szCs w:val="21"/>
                <w:highlight w:val="none"/>
              </w:rPr>
            </w:pPr>
            <w:r>
              <w:rPr>
                <w:rFonts w:hint="eastAsia" w:ascii="宋体" w:hAnsi="宋体" w:cs="宋体"/>
                <w:bCs/>
                <w:color w:val="auto"/>
                <w:szCs w:val="21"/>
                <w:highlight w:val="none"/>
              </w:rPr>
              <w:t>根据《中华人民共和国政府采购法》第十条的规定，政府采购应当采购本国货物、工程和服务。</w:t>
            </w:r>
          </w:p>
          <w:p w14:paraId="622CB334">
            <w:pPr>
              <w:spacing w:line="360" w:lineRule="exact"/>
              <w:rPr>
                <w:rFonts w:ascii="宋体" w:cs="宋体"/>
                <w:bCs/>
                <w:color w:val="auto"/>
                <w:szCs w:val="21"/>
                <w:highlight w:val="none"/>
              </w:rPr>
            </w:pPr>
            <w:r>
              <w:rPr>
                <w:rFonts w:hint="eastAsia" w:ascii="宋体" w:hAnsi="宋体" w:cs="宋体"/>
                <w:bCs/>
                <w:color w:val="auto"/>
                <w:szCs w:val="21"/>
                <w:highlight w:val="none"/>
              </w:rPr>
              <w:t>本项目只允许中国境内工程供应商参加</w:t>
            </w:r>
          </w:p>
        </w:tc>
      </w:tr>
      <w:tr w14:paraId="593BD7E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736D477">
            <w:pPr>
              <w:spacing w:line="288" w:lineRule="auto"/>
              <w:jc w:val="center"/>
              <w:rPr>
                <w:rFonts w:ascii="宋体" w:cs="宋体"/>
                <w:color w:val="auto"/>
                <w:szCs w:val="21"/>
                <w:highlight w:val="none"/>
              </w:rPr>
            </w:pPr>
            <w:r>
              <w:rPr>
                <w:rFonts w:ascii="宋体" w:hAnsi="宋体" w:cs="宋体"/>
                <w:color w:val="auto"/>
                <w:szCs w:val="21"/>
                <w:highlight w:val="none"/>
              </w:rPr>
              <w:t>2.5.1</w:t>
            </w:r>
          </w:p>
        </w:tc>
        <w:tc>
          <w:tcPr>
            <w:tcW w:w="2107" w:type="dxa"/>
            <w:noWrap/>
            <w:vAlign w:val="center"/>
          </w:tcPr>
          <w:p w14:paraId="7D81A4D4">
            <w:pPr>
              <w:spacing w:line="288" w:lineRule="auto"/>
              <w:jc w:val="center"/>
              <w:rPr>
                <w:rFonts w:ascii="宋体" w:cs="宋体"/>
                <w:color w:val="auto"/>
                <w:szCs w:val="21"/>
                <w:highlight w:val="none"/>
              </w:rPr>
            </w:pPr>
            <w:r>
              <w:rPr>
                <w:rFonts w:hint="eastAsia" w:ascii="宋体" w:hAnsi="宋体" w:cs="宋体"/>
                <w:color w:val="auto"/>
                <w:szCs w:val="21"/>
                <w:highlight w:val="none"/>
              </w:rPr>
              <w:t>是否专门面向</w:t>
            </w:r>
          </w:p>
          <w:p w14:paraId="719D63C8">
            <w:pPr>
              <w:spacing w:line="288" w:lineRule="auto"/>
              <w:jc w:val="center"/>
              <w:rPr>
                <w:rFonts w:ascii="宋体" w:cs="宋体"/>
                <w:color w:val="auto"/>
                <w:szCs w:val="21"/>
                <w:highlight w:val="none"/>
              </w:rPr>
            </w:pPr>
            <w:r>
              <w:rPr>
                <w:rFonts w:hint="eastAsia" w:ascii="宋体" w:hAnsi="宋体" w:cs="宋体"/>
                <w:color w:val="auto"/>
                <w:szCs w:val="21"/>
                <w:highlight w:val="none"/>
              </w:rPr>
              <w:t>中小企业采购</w:t>
            </w:r>
          </w:p>
          <w:p w14:paraId="3E09D8C8">
            <w:pPr>
              <w:spacing w:line="288" w:lineRule="auto"/>
              <w:jc w:val="center"/>
              <w:rPr>
                <w:rFonts w:ascii="宋体" w:cs="宋体"/>
                <w:color w:val="auto"/>
                <w:szCs w:val="21"/>
                <w:highlight w:val="none"/>
              </w:rPr>
            </w:pPr>
          </w:p>
        </w:tc>
        <w:tc>
          <w:tcPr>
            <w:tcW w:w="6031" w:type="dxa"/>
            <w:noWrap/>
            <w:vAlign w:val="center"/>
          </w:tcPr>
          <w:p w14:paraId="1ACE4481">
            <w:pPr>
              <w:spacing w:line="360" w:lineRule="exact"/>
              <w:rPr>
                <w:rFonts w:ascii="宋体" w:cs="宋体"/>
                <w:color w:val="auto"/>
                <w:szCs w:val="21"/>
                <w:highlight w:val="none"/>
                <w:lang w:val="zh-CN"/>
              </w:rPr>
            </w:pPr>
            <w:r>
              <w:rPr>
                <w:rFonts w:hint="eastAsia" w:ascii="宋体" w:hAnsi="Wingdings" w:cs="宋体"/>
                <w:color w:val="auto"/>
                <w:szCs w:val="20"/>
                <w:highlight w:val="none"/>
              </w:rPr>
              <w:sym w:font="Wingdings" w:char="00FE"/>
            </w:r>
            <w:r>
              <w:rPr>
                <w:rFonts w:hint="eastAsia" w:ascii="宋体" w:hAnsi="宋体" w:cs="宋体"/>
                <w:color w:val="auto"/>
                <w:szCs w:val="21"/>
                <w:highlight w:val="none"/>
                <w:lang w:val="zh-CN"/>
              </w:rPr>
              <w:t>本项目属于专门面向中小企业采购的项目</w:t>
            </w:r>
            <w:r>
              <w:rPr>
                <w:rFonts w:ascii="宋体" w:cs="宋体"/>
                <w:color w:val="auto"/>
                <w:szCs w:val="21"/>
                <w:highlight w:val="none"/>
                <w:lang w:val="zh-CN"/>
              </w:rPr>
              <w:t>,</w:t>
            </w:r>
            <w:r>
              <w:rPr>
                <w:rFonts w:hint="eastAsia" w:ascii="宋体" w:hAnsi="宋体" w:cs="宋体"/>
                <w:color w:val="auto"/>
                <w:szCs w:val="21"/>
                <w:highlight w:val="none"/>
                <w:lang w:val="zh-CN"/>
              </w:rPr>
              <w:t>供应商应为中小微企业或监狱企业或残疾人福利性单位，提供相应证明材料。不执行支持中小企业发展、支持监狱企业发展、促进残疾人就业的价格优惠政策。</w:t>
            </w:r>
          </w:p>
          <w:p w14:paraId="7626C627">
            <w:pPr>
              <w:spacing w:line="360" w:lineRule="exact"/>
              <w:rPr>
                <w:rFonts w:ascii="宋体" w:cs="宋体"/>
                <w:color w:val="auto"/>
                <w:szCs w:val="21"/>
                <w:highlight w:val="none"/>
                <w:lang w:val="zh-CN"/>
              </w:rPr>
            </w:pPr>
            <w:r>
              <w:rPr>
                <w:rFonts w:hint="eastAsia" w:ascii="宋体" w:hAnsi="宋体" w:cs="宋体"/>
                <w:color w:val="auto"/>
                <w:szCs w:val="21"/>
                <w:highlight w:val="none"/>
                <w:lang w:val="zh-CN"/>
              </w:rPr>
              <w:t>□本项目不属于面向中小企业采购的项目</w:t>
            </w:r>
          </w:p>
          <w:p w14:paraId="488CB656">
            <w:pPr>
              <w:spacing w:line="360" w:lineRule="exact"/>
              <w:rPr>
                <w:rFonts w:ascii="宋体" w:cs="宋体"/>
                <w:bCs/>
                <w:color w:val="auto"/>
                <w:szCs w:val="21"/>
                <w:highlight w:val="none"/>
              </w:rPr>
            </w:pPr>
            <w:r>
              <w:rPr>
                <w:rFonts w:hint="eastAsia" w:ascii="宋体" w:hAnsi="宋体" w:cs="宋体"/>
                <w:color w:val="auto"/>
                <w:szCs w:val="21"/>
                <w:highlight w:val="none"/>
                <w:lang w:val="zh-CN"/>
              </w:rPr>
              <w:t>□本项目属于部分面向中小企业采购的项目。预留份额比例为预算的</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，预留预算金额为万元（需和意向公开填报信息一致）。对于未预留份额专门面向中小企业采购的采购项目，以及预留份额项目中的非预留部分采购包，对小微企业报价给予</w:t>
            </w:r>
            <w:r>
              <w:rPr>
                <w:rFonts w:ascii="宋体" w:hAnsi="宋体" w:cs="宋体"/>
                <w:color w:val="auto"/>
                <w:szCs w:val="21"/>
                <w:highlight w:val="none"/>
                <w:lang w:val="zh-CN"/>
              </w:rPr>
              <w:t>5%</w:t>
            </w:r>
            <w:r>
              <w:rPr>
                <w:rFonts w:hint="eastAsia" w:ascii="宋体" w:hAnsi="宋体" w:cs="宋体"/>
                <w:color w:val="auto"/>
                <w:szCs w:val="21"/>
                <w:highlight w:val="none"/>
                <w:lang w:val="zh-CN"/>
              </w:rPr>
              <w:t>的扣除，用扣除后的价格参加评审。</w:t>
            </w:r>
          </w:p>
        </w:tc>
      </w:tr>
      <w:tr w14:paraId="5E14485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7D7CBBB">
            <w:pPr>
              <w:spacing w:line="288" w:lineRule="auto"/>
              <w:jc w:val="center"/>
              <w:rPr>
                <w:rFonts w:ascii="宋体" w:cs="宋体"/>
                <w:color w:val="auto"/>
                <w:szCs w:val="21"/>
                <w:highlight w:val="none"/>
              </w:rPr>
            </w:pPr>
            <w:r>
              <w:rPr>
                <w:rFonts w:ascii="宋体" w:hAnsi="宋体" w:cs="宋体"/>
                <w:color w:val="auto"/>
                <w:szCs w:val="21"/>
                <w:highlight w:val="none"/>
              </w:rPr>
              <w:t>2.5.2</w:t>
            </w:r>
          </w:p>
        </w:tc>
        <w:tc>
          <w:tcPr>
            <w:tcW w:w="2107" w:type="dxa"/>
            <w:noWrap/>
            <w:vAlign w:val="center"/>
          </w:tcPr>
          <w:p w14:paraId="5CAFB1F4">
            <w:pPr>
              <w:spacing w:line="288" w:lineRule="auto"/>
              <w:jc w:val="center"/>
              <w:rPr>
                <w:rFonts w:ascii="宋体" w:cs="宋体"/>
                <w:color w:val="auto"/>
                <w:szCs w:val="21"/>
                <w:highlight w:val="none"/>
              </w:rPr>
            </w:pPr>
            <w:r>
              <w:rPr>
                <w:rFonts w:hint="eastAsia" w:ascii="宋体" w:hAnsi="宋体" w:cs="宋体"/>
                <w:color w:val="auto"/>
                <w:szCs w:val="21"/>
                <w:highlight w:val="none"/>
              </w:rPr>
              <w:t>本项目中小企业划分标准所属行业</w:t>
            </w:r>
          </w:p>
        </w:tc>
        <w:tc>
          <w:tcPr>
            <w:tcW w:w="6031" w:type="dxa"/>
            <w:noWrap/>
            <w:vAlign w:val="center"/>
          </w:tcPr>
          <w:p w14:paraId="5B4AC27E">
            <w:pPr>
              <w:spacing w:line="288" w:lineRule="auto"/>
              <w:rPr>
                <w:rFonts w:ascii="宋体" w:cs="宋体"/>
                <w:b/>
                <w:color w:val="auto"/>
                <w:szCs w:val="21"/>
                <w:highlight w:val="none"/>
              </w:rPr>
            </w:pPr>
            <w:r>
              <w:rPr>
                <w:rFonts w:hint="eastAsia" w:ascii="宋体" w:hAnsi="宋体" w:cs="宋体"/>
                <w:color w:val="auto"/>
                <w:szCs w:val="21"/>
                <w:highlight w:val="none"/>
              </w:rPr>
              <w:t>执行《关于印发中小企业划型标准规定的通知》</w:t>
            </w:r>
            <w:r>
              <w:rPr>
                <w:rFonts w:ascii="宋体" w:hAnsi="宋体" w:cs="宋体"/>
                <w:color w:val="auto"/>
                <w:szCs w:val="21"/>
                <w:highlight w:val="none"/>
              </w:rPr>
              <w:t>(</w:t>
            </w:r>
            <w:r>
              <w:rPr>
                <w:rFonts w:hint="eastAsia" w:ascii="宋体" w:hAnsi="宋体" w:cs="宋体"/>
                <w:color w:val="auto"/>
                <w:szCs w:val="21"/>
                <w:highlight w:val="none"/>
              </w:rPr>
              <w:t>工信部联企业〔</w:t>
            </w:r>
            <w:r>
              <w:rPr>
                <w:rFonts w:ascii="宋体" w:hAnsi="宋体" w:cs="宋体"/>
                <w:color w:val="auto"/>
                <w:szCs w:val="21"/>
                <w:highlight w:val="none"/>
              </w:rPr>
              <w:t>2011</w:t>
            </w:r>
            <w:r>
              <w:rPr>
                <w:rFonts w:hint="eastAsia" w:ascii="宋体" w:hAnsi="宋体" w:cs="宋体"/>
                <w:color w:val="auto"/>
                <w:szCs w:val="21"/>
                <w:highlight w:val="none"/>
              </w:rPr>
              <w:t>〕</w:t>
            </w:r>
            <w:r>
              <w:rPr>
                <w:rFonts w:ascii="宋体" w:hAnsi="宋体" w:cs="宋体"/>
                <w:color w:val="auto"/>
                <w:szCs w:val="21"/>
                <w:highlight w:val="none"/>
              </w:rPr>
              <w:t>300</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规定。</w:t>
            </w:r>
          </w:p>
        </w:tc>
      </w:tr>
      <w:tr w14:paraId="1AFC28E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B283960">
            <w:pPr>
              <w:spacing w:line="288" w:lineRule="auto"/>
              <w:jc w:val="center"/>
              <w:rPr>
                <w:rFonts w:ascii="宋体" w:cs="宋体"/>
                <w:color w:val="auto"/>
                <w:szCs w:val="21"/>
                <w:highlight w:val="none"/>
              </w:rPr>
            </w:pPr>
            <w:r>
              <w:rPr>
                <w:rFonts w:ascii="宋体" w:hAnsi="宋体" w:cs="宋体"/>
                <w:color w:val="auto"/>
                <w:szCs w:val="21"/>
                <w:highlight w:val="none"/>
              </w:rPr>
              <w:t>2.5.3</w:t>
            </w:r>
          </w:p>
          <w:p w14:paraId="612DF6CF">
            <w:pPr>
              <w:spacing w:line="288" w:lineRule="auto"/>
              <w:jc w:val="center"/>
              <w:rPr>
                <w:rFonts w:ascii="宋体" w:cs="宋体"/>
                <w:color w:val="auto"/>
                <w:szCs w:val="21"/>
                <w:highlight w:val="none"/>
              </w:rPr>
            </w:pPr>
          </w:p>
        </w:tc>
        <w:tc>
          <w:tcPr>
            <w:tcW w:w="2107" w:type="dxa"/>
            <w:noWrap/>
            <w:vAlign w:val="center"/>
          </w:tcPr>
          <w:p w14:paraId="3B62425C">
            <w:pPr>
              <w:spacing w:line="288" w:lineRule="auto"/>
              <w:jc w:val="center"/>
              <w:rPr>
                <w:rFonts w:ascii="宋体" w:cs="宋体"/>
                <w:color w:val="auto"/>
                <w:szCs w:val="21"/>
                <w:highlight w:val="none"/>
              </w:rPr>
            </w:pPr>
            <w:r>
              <w:rPr>
                <w:rFonts w:hint="eastAsia" w:ascii="宋体" w:hAnsi="宋体" w:cs="宋体"/>
                <w:color w:val="auto"/>
                <w:szCs w:val="21"/>
                <w:highlight w:val="none"/>
              </w:rPr>
              <w:t>支持中小企业发展价格优惠政策</w:t>
            </w:r>
          </w:p>
        </w:tc>
        <w:tc>
          <w:tcPr>
            <w:tcW w:w="6031" w:type="dxa"/>
            <w:noWrap/>
            <w:vAlign w:val="center"/>
          </w:tcPr>
          <w:p w14:paraId="4398911F">
            <w:pPr>
              <w:spacing w:line="288" w:lineRule="auto"/>
              <w:rPr>
                <w:rFonts w:ascii="宋体" w:cs="宋体"/>
                <w:color w:val="auto"/>
                <w:szCs w:val="21"/>
                <w:highlight w:val="none"/>
                <w:lang w:val="zh-CN"/>
              </w:rPr>
            </w:pPr>
            <w:r>
              <w:rPr>
                <w:rFonts w:hint="eastAsia" w:ascii="宋体" w:hAnsi="宋体" w:cs="宋体"/>
                <w:color w:val="auto"/>
                <w:szCs w:val="21"/>
                <w:highlight w:val="none"/>
                <w:lang w:val="zh-CN"/>
              </w:rPr>
              <w:t>小微企业有关政策</w:t>
            </w:r>
            <w:r>
              <w:rPr>
                <w:rFonts w:ascii="宋体" w:hAnsi="宋体" w:cs="宋体"/>
                <w:color w:val="auto"/>
                <w:szCs w:val="21"/>
                <w:highlight w:val="none"/>
                <w:lang w:val="zh-CN"/>
              </w:rPr>
              <w:t>: 1</w:t>
            </w:r>
            <w:r>
              <w:rPr>
                <w:rFonts w:hint="eastAsia" w:ascii="宋体" w:hAnsi="宋体" w:cs="宋体"/>
                <w:color w:val="auto"/>
                <w:szCs w:val="21"/>
                <w:highlight w:val="none"/>
                <w:lang w:val="zh-CN"/>
              </w:rPr>
              <w:t>、根据</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《政府采购促进中小企业发展管理办法》</w:t>
            </w:r>
            <w:r>
              <w:rPr>
                <w:rFonts w:ascii="宋体" w:hAnsi="宋体" w:cs="宋体"/>
                <w:color w:val="auto"/>
                <w:szCs w:val="21"/>
                <w:highlight w:val="none"/>
                <w:lang w:val="zh-CN"/>
              </w:rPr>
              <w:t>(</w:t>
            </w:r>
            <w:r>
              <w:rPr>
                <w:rFonts w:hint="eastAsia" w:ascii="宋体" w:hAnsi="宋体" w:cs="宋体"/>
                <w:color w:val="auto"/>
                <w:szCs w:val="21"/>
                <w:highlight w:val="none"/>
                <w:lang w:val="zh-CN"/>
              </w:rPr>
              <w:t>财库</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w:t>
            </w:r>
            <w:r>
              <w:rPr>
                <w:rFonts w:ascii="宋体" w:hAnsi="宋体" w:cs="宋体"/>
                <w:color w:val="auto"/>
                <w:szCs w:val="21"/>
                <w:highlight w:val="none"/>
                <w:lang w:val="zh-CN"/>
              </w:rPr>
              <w:t>2020</w:t>
            </w:r>
            <w:r>
              <w:rPr>
                <w:rFonts w:hint="eastAsia" w:ascii="宋体" w:hAnsi="宋体" w:cs="宋体"/>
                <w:color w:val="auto"/>
                <w:szCs w:val="21"/>
                <w:highlight w:val="none"/>
                <w:lang w:val="zh-CN"/>
              </w:rPr>
              <w:t>〕</w:t>
            </w:r>
            <w:r>
              <w:rPr>
                <w:rFonts w:ascii="宋体" w:hAnsi="宋体" w:cs="宋体"/>
                <w:color w:val="auto"/>
                <w:szCs w:val="21"/>
                <w:highlight w:val="none"/>
                <w:lang w:val="zh-CN"/>
              </w:rPr>
              <w:t>46</w:t>
            </w:r>
            <w:r>
              <w:rPr>
                <w:rFonts w:hint="eastAsia" w:ascii="宋体" w:hAnsi="宋体" w:cs="宋体"/>
                <w:color w:val="auto"/>
                <w:szCs w:val="21"/>
                <w:highlight w:val="none"/>
                <w:lang w:val="zh-CN"/>
              </w:rPr>
              <w:t>号</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及《关于进一步加大政府采购支持中小企业力度的通知》</w:t>
            </w:r>
            <w:r>
              <w:rPr>
                <w:rFonts w:ascii="宋体" w:hAnsi="宋体" w:cs="宋体"/>
                <w:color w:val="auto"/>
                <w:szCs w:val="21"/>
                <w:highlight w:val="none"/>
                <w:lang w:val="zh-CN"/>
              </w:rPr>
              <w:t>(</w:t>
            </w:r>
            <w:r>
              <w:rPr>
                <w:rFonts w:hint="eastAsia" w:ascii="宋体" w:hAnsi="宋体" w:cs="宋体"/>
                <w:color w:val="auto"/>
                <w:szCs w:val="21"/>
                <w:highlight w:val="none"/>
                <w:lang w:val="zh-CN"/>
              </w:rPr>
              <w:t>财库〔</w:t>
            </w:r>
            <w:r>
              <w:rPr>
                <w:rFonts w:ascii="宋体" w:hAnsi="宋体" w:cs="宋体"/>
                <w:color w:val="auto"/>
                <w:szCs w:val="21"/>
                <w:highlight w:val="none"/>
                <w:lang w:val="zh-CN"/>
              </w:rPr>
              <w:t>2022</w:t>
            </w:r>
            <w:r>
              <w:rPr>
                <w:rFonts w:hint="eastAsia" w:ascii="宋体" w:hAnsi="宋体" w:cs="宋体"/>
                <w:color w:val="auto"/>
                <w:szCs w:val="21"/>
                <w:highlight w:val="none"/>
                <w:lang w:val="zh-CN"/>
              </w:rPr>
              <w:t>〕</w:t>
            </w:r>
            <w:r>
              <w:rPr>
                <w:rFonts w:ascii="宋体" w:hAnsi="宋体" w:cs="宋体"/>
                <w:color w:val="auto"/>
                <w:szCs w:val="21"/>
                <w:highlight w:val="none"/>
                <w:lang w:val="zh-CN"/>
              </w:rPr>
              <w:t>19</w:t>
            </w:r>
            <w:r>
              <w:rPr>
                <w:rFonts w:hint="eastAsia" w:ascii="宋体" w:hAnsi="宋体" w:cs="宋体"/>
                <w:color w:val="auto"/>
                <w:szCs w:val="21"/>
                <w:highlight w:val="none"/>
                <w:lang w:val="zh-CN"/>
              </w:rPr>
              <w:t>号</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的规定，对于经主管预算单位统筹后未预留份额专门</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面向中小企业采购的采购项目，以及预留份额项目中的非预留部分采购包，对符合本办法规定的小微企业报价给予</w:t>
            </w:r>
            <w:r>
              <w:rPr>
                <w:rFonts w:ascii="宋体" w:hAnsi="宋体" w:cs="宋体"/>
                <w:color w:val="auto"/>
                <w:szCs w:val="21"/>
                <w:highlight w:val="none"/>
                <w:lang w:val="zh-CN"/>
              </w:rPr>
              <w:t>1</w:t>
            </w:r>
            <w:r>
              <w:rPr>
                <w:rFonts w:ascii="宋体" w:hAnsi="宋体" w:cs="宋体"/>
                <w:color w:val="auto"/>
                <w:szCs w:val="21"/>
                <w:highlight w:val="none"/>
              </w:rPr>
              <w:t>5%-20%</w:t>
            </w:r>
            <w:r>
              <w:rPr>
                <w:rFonts w:ascii="宋体" w:hAnsi="宋体" w:cs="宋体"/>
                <w:color w:val="auto"/>
                <w:szCs w:val="21"/>
                <w:highlight w:val="none"/>
                <w:lang w:val="zh-CN"/>
              </w:rPr>
              <w:t>(</w:t>
            </w:r>
            <w:r>
              <w:rPr>
                <w:rFonts w:hint="eastAsia" w:ascii="宋体" w:hAnsi="宋体" w:cs="宋体"/>
                <w:color w:val="auto"/>
                <w:szCs w:val="21"/>
                <w:highlight w:val="none"/>
                <w:lang w:val="zh-CN"/>
              </w:rPr>
              <w:t>工程项目为</w:t>
            </w:r>
            <w:r>
              <w:rPr>
                <w:rFonts w:ascii="宋体" w:hAnsi="宋体" w:cs="宋体"/>
                <w:color w:val="auto"/>
                <w:szCs w:val="21"/>
                <w:highlight w:val="none"/>
                <w:lang w:val="zh-CN"/>
              </w:rPr>
              <w:t xml:space="preserve">3%-5%) </w:t>
            </w:r>
            <w:r>
              <w:rPr>
                <w:rFonts w:hint="eastAsia" w:ascii="宋体" w:hAnsi="宋体" w:cs="宋体"/>
                <w:color w:val="auto"/>
                <w:szCs w:val="21"/>
                <w:highlight w:val="none"/>
                <w:lang w:val="zh-CN"/>
              </w:rPr>
              <w:t>的扣除，</w:t>
            </w:r>
            <w:r>
              <w:rPr>
                <w:rFonts w:hint="eastAsia" w:ascii="宋体" w:hAnsi="宋体" w:cs="宋体"/>
                <w:color w:val="auto"/>
                <w:szCs w:val="21"/>
                <w:highlight w:val="none"/>
              </w:rPr>
              <w:t>本项目</w:t>
            </w:r>
            <w:r>
              <w:rPr>
                <w:rFonts w:hint="eastAsia" w:ascii="宋体" w:hAnsi="宋体" w:cs="宋体"/>
                <w:color w:val="auto"/>
                <w:szCs w:val="21"/>
                <w:highlight w:val="none"/>
                <w:lang w:val="zh-CN"/>
              </w:rPr>
              <w:t>对小微企业报价给予</w:t>
            </w:r>
            <w:r>
              <w:rPr>
                <w:rFonts w:hint="eastAsia" w:ascii="宋体" w:hAnsi="宋体" w:cs="宋体"/>
                <w:color w:val="auto"/>
                <w:szCs w:val="21"/>
                <w:highlight w:val="none"/>
              </w:rPr>
              <w:t>5</w:t>
            </w:r>
            <w:r>
              <w:rPr>
                <w:rFonts w:ascii="宋体" w:hAnsi="宋体" w:cs="宋体"/>
                <w:color w:val="auto"/>
                <w:szCs w:val="21"/>
                <w:highlight w:val="none"/>
                <w:lang w:val="zh-CN"/>
              </w:rPr>
              <w:t>%</w:t>
            </w:r>
            <w:r>
              <w:rPr>
                <w:rFonts w:hint="eastAsia" w:ascii="宋体" w:hAnsi="宋体" w:cs="宋体"/>
                <w:color w:val="auto"/>
                <w:szCs w:val="21"/>
                <w:highlight w:val="none"/>
                <w:lang w:val="zh-CN"/>
              </w:rPr>
              <w:t>的扣除，用扣除后的价格参加评审。</w:t>
            </w:r>
          </w:p>
          <w:p w14:paraId="4F0439F6">
            <w:pPr>
              <w:spacing w:line="288" w:lineRule="auto"/>
              <w:rPr>
                <w:rFonts w:ascii="宋体" w:cs="宋体"/>
                <w:color w:val="auto"/>
                <w:szCs w:val="21"/>
                <w:highlight w:val="none"/>
                <w:lang w:val="zh-CN"/>
              </w:rPr>
            </w:pPr>
            <w:r>
              <w:rPr>
                <w:rFonts w:hint="eastAsia" w:ascii="宋体" w:hAnsi="宋体" w:cs="宋体"/>
                <w:color w:val="auto"/>
                <w:szCs w:val="21"/>
                <w:highlight w:val="none"/>
                <w:lang w:val="zh-CN"/>
              </w:rPr>
              <w:t>接受大中型企业与小微企业组成联合体或者允许大中型企业向一家或者多家小微企业分包的采购项目，对于联合协议或者分包意向协议约定小微企业的</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合同份额占到合同总金额</w:t>
            </w:r>
            <w:r>
              <w:rPr>
                <w:rFonts w:ascii="宋体" w:hAnsi="宋体" w:cs="宋体"/>
                <w:color w:val="auto"/>
                <w:szCs w:val="21"/>
                <w:highlight w:val="none"/>
                <w:lang w:val="zh-CN"/>
              </w:rPr>
              <w:t xml:space="preserve"> 30%</w:t>
            </w:r>
            <w:r>
              <w:rPr>
                <w:rFonts w:hint="eastAsia" w:ascii="宋体" w:hAnsi="宋体" w:cs="宋体"/>
                <w:color w:val="auto"/>
                <w:szCs w:val="21"/>
                <w:highlight w:val="none"/>
                <w:lang w:val="zh-CN"/>
              </w:rPr>
              <w:t>以上的，应当对联合体或者大中型企业的报价给予</w:t>
            </w:r>
            <w:r>
              <w:rPr>
                <w:rFonts w:ascii="宋体" w:hAnsi="宋体" w:cs="宋体"/>
                <w:color w:val="auto"/>
                <w:szCs w:val="21"/>
                <w:highlight w:val="none"/>
              </w:rPr>
              <w:t>5</w:t>
            </w:r>
            <w:r>
              <w:rPr>
                <w:rFonts w:ascii="宋体" w:hAnsi="宋体" w:cs="宋体"/>
                <w:color w:val="auto"/>
                <w:szCs w:val="21"/>
                <w:highlight w:val="none"/>
                <w:lang w:val="zh-CN"/>
              </w:rPr>
              <w:t>%-6% (</w:t>
            </w:r>
            <w:r>
              <w:rPr>
                <w:rFonts w:hint="eastAsia" w:ascii="宋体" w:hAnsi="宋体" w:cs="宋体"/>
                <w:color w:val="auto"/>
                <w:szCs w:val="21"/>
                <w:highlight w:val="none"/>
                <w:lang w:val="zh-CN"/>
              </w:rPr>
              <w:t>工程项目为</w:t>
            </w:r>
            <w:r>
              <w:rPr>
                <w:rFonts w:ascii="宋体" w:hAnsi="宋体" w:cs="宋体"/>
                <w:color w:val="auto"/>
                <w:szCs w:val="21"/>
                <w:highlight w:val="none"/>
                <w:lang w:val="zh-CN"/>
              </w:rPr>
              <w:t xml:space="preserve"> 1%—2%)</w:t>
            </w:r>
            <w:r>
              <w:rPr>
                <w:rFonts w:hint="eastAsia" w:ascii="宋体" w:hAnsi="宋体" w:cs="宋体"/>
                <w:color w:val="auto"/>
                <w:szCs w:val="21"/>
                <w:highlight w:val="none"/>
                <w:lang w:val="zh-CN"/>
              </w:rPr>
              <w:t>的扣除，用扣除后的价格参加评审。</w:t>
            </w:r>
            <w:r>
              <w:rPr>
                <w:rFonts w:ascii="宋体" w:hAnsi="宋体" w:cs="宋体"/>
                <w:color w:val="auto"/>
                <w:szCs w:val="21"/>
                <w:highlight w:val="none"/>
                <w:lang w:val="zh-CN"/>
              </w:rPr>
              <w:t xml:space="preserve">    </w:t>
            </w:r>
          </w:p>
          <w:p w14:paraId="70307B30">
            <w:pPr>
              <w:spacing w:line="288" w:lineRule="auto"/>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lang w:val="zh-CN"/>
              </w:rPr>
              <w:t>、根据财库</w:t>
            </w:r>
            <w:r>
              <w:rPr>
                <w:rFonts w:ascii="宋体" w:hAnsi="宋体" w:cs="宋体"/>
                <w:color w:val="auto"/>
                <w:szCs w:val="21"/>
                <w:highlight w:val="none"/>
                <w:lang w:val="zh-CN"/>
              </w:rPr>
              <w:t>[2017]141</w:t>
            </w:r>
            <w:r>
              <w:rPr>
                <w:rFonts w:hint="eastAsia" w:ascii="宋体" w:hAnsi="宋体" w:cs="宋体"/>
                <w:color w:val="auto"/>
                <w:szCs w:val="21"/>
                <w:highlight w:val="none"/>
                <w:lang w:val="zh-CN"/>
              </w:rPr>
              <w:t>号的相关规定，在政府采购活动中，</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残疾人福利性单</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位视同小型、微型企业，享受评审中价格扣除政策。属于享受政府采购支持</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政策的残疾人福利性单位，应满足财库</w:t>
            </w:r>
            <w:r>
              <w:rPr>
                <w:rFonts w:ascii="宋体" w:hAnsi="宋体" w:cs="宋体"/>
                <w:color w:val="auto"/>
                <w:szCs w:val="21"/>
                <w:highlight w:val="none"/>
                <w:lang w:val="zh-CN"/>
              </w:rPr>
              <w:t>[2017]141</w:t>
            </w:r>
            <w:r>
              <w:rPr>
                <w:rFonts w:hint="eastAsia" w:ascii="宋体" w:hAnsi="宋体" w:cs="宋体"/>
                <w:color w:val="auto"/>
                <w:szCs w:val="21"/>
                <w:highlight w:val="none"/>
                <w:lang w:val="zh-CN"/>
              </w:rPr>
              <w:t>号文件第一条的规定，并在响应文件中提供残疾人福利性单位声明函</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见附件</w:t>
            </w:r>
            <w:r>
              <w:rPr>
                <w:rFonts w:ascii="宋体" w:hAnsi="宋体" w:cs="宋体"/>
                <w:color w:val="auto"/>
                <w:szCs w:val="21"/>
                <w:highlight w:val="none"/>
                <w:lang w:val="zh-CN"/>
              </w:rPr>
              <w:t>)</w:t>
            </w:r>
            <w:r>
              <w:rPr>
                <w:rFonts w:hint="eastAsia" w:ascii="宋体" w:hAnsi="宋体" w:cs="宋体"/>
                <w:color w:val="auto"/>
                <w:szCs w:val="21"/>
                <w:highlight w:val="none"/>
                <w:lang w:val="zh-CN"/>
              </w:rPr>
              <w:t>。</w:t>
            </w:r>
          </w:p>
          <w:p w14:paraId="0EF2E510">
            <w:pPr>
              <w:spacing w:line="288" w:lineRule="auto"/>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zh-CN"/>
              </w:rPr>
              <w:t>根据财库</w:t>
            </w:r>
            <w:r>
              <w:rPr>
                <w:rFonts w:ascii="宋体" w:hAnsi="宋体" w:cs="宋体"/>
                <w:color w:val="auto"/>
                <w:szCs w:val="21"/>
                <w:highlight w:val="none"/>
                <w:lang w:val="zh-CN"/>
              </w:rPr>
              <w:t xml:space="preserve">[2014]68 </w:t>
            </w:r>
            <w:r>
              <w:rPr>
                <w:rFonts w:hint="eastAsia" w:ascii="宋体" w:hAnsi="宋体" w:cs="宋体"/>
                <w:color w:val="auto"/>
                <w:szCs w:val="21"/>
                <w:highlight w:val="none"/>
                <w:lang w:val="zh-CN"/>
              </w:rPr>
              <w:t>号的相关规定，在政府采购活动中，监狱企业视同小型、微型企业，享受评审中价格扣除政策，并在响应文件中提供由省级以上</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监狱管理局、戒毒管理局</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含新疆生产建设兵团</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出具的属于监狱企业的证</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明文件</w:t>
            </w:r>
            <w:r>
              <w:rPr>
                <w:rFonts w:ascii="宋体" w:hAnsi="宋体" w:cs="宋体"/>
                <w:color w:val="auto"/>
                <w:szCs w:val="21"/>
                <w:highlight w:val="none"/>
                <w:lang w:val="zh-CN"/>
              </w:rPr>
              <w:t>(</w:t>
            </w:r>
            <w:r>
              <w:rPr>
                <w:rFonts w:hint="eastAsia" w:ascii="宋体" w:hAnsi="宋体" w:cs="宋体"/>
                <w:color w:val="auto"/>
                <w:szCs w:val="21"/>
                <w:highlight w:val="none"/>
                <w:lang w:val="zh-CN"/>
              </w:rPr>
              <w:t>格式自拟</w:t>
            </w:r>
            <w:r>
              <w:rPr>
                <w:rFonts w:ascii="宋体" w:hAnsi="宋体" w:cs="宋体"/>
                <w:color w:val="auto"/>
                <w:szCs w:val="21"/>
                <w:highlight w:val="none"/>
                <w:lang w:val="zh-CN"/>
              </w:rPr>
              <w:t>)</w:t>
            </w:r>
            <w:r>
              <w:rPr>
                <w:rFonts w:hint="eastAsia" w:ascii="宋体" w:hAnsi="宋体" w:cs="宋体"/>
                <w:color w:val="auto"/>
                <w:szCs w:val="21"/>
                <w:highlight w:val="none"/>
                <w:lang w:val="zh-CN"/>
              </w:rPr>
              <w:t>。</w:t>
            </w:r>
          </w:p>
          <w:p w14:paraId="174A5DC6">
            <w:pPr>
              <w:spacing w:line="288" w:lineRule="auto"/>
              <w:rPr>
                <w:rFonts w:ascii="宋体" w:cs="宋体"/>
                <w:bCs/>
                <w:color w:val="auto"/>
                <w:szCs w:val="21"/>
                <w:highlight w:val="none"/>
              </w:rPr>
            </w:pPr>
            <w:r>
              <w:rPr>
                <w:rFonts w:ascii="宋体" w:hAnsi="宋体" w:cs="宋体"/>
                <w:color w:val="auto"/>
                <w:szCs w:val="21"/>
                <w:highlight w:val="none"/>
                <w:lang w:val="zh-CN"/>
              </w:rPr>
              <w:t>(</w:t>
            </w:r>
            <w:r>
              <w:rPr>
                <w:rFonts w:hint="eastAsia" w:ascii="宋体" w:hAnsi="宋体" w:cs="宋体"/>
                <w:color w:val="auto"/>
                <w:szCs w:val="21"/>
                <w:highlight w:val="none"/>
                <w:lang w:val="zh-CN"/>
              </w:rPr>
              <w:t>注：未提供以上材料的，均不给予价格扣除</w:t>
            </w:r>
            <w:r>
              <w:rPr>
                <w:rFonts w:ascii="宋体" w:hAnsi="宋体" w:cs="宋体"/>
                <w:color w:val="auto"/>
                <w:szCs w:val="21"/>
                <w:highlight w:val="none"/>
                <w:lang w:val="zh-CN"/>
              </w:rPr>
              <w:t>)</w:t>
            </w:r>
            <w:r>
              <w:rPr>
                <w:rFonts w:hint="eastAsia" w:ascii="宋体" w:hAnsi="宋体" w:cs="宋体"/>
                <w:color w:val="auto"/>
                <w:szCs w:val="21"/>
                <w:highlight w:val="none"/>
                <w:lang w:val="zh-CN"/>
              </w:rPr>
              <w:t>。</w:t>
            </w:r>
          </w:p>
        </w:tc>
      </w:tr>
      <w:tr w14:paraId="4BD9073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6BB0E8C">
            <w:pPr>
              <w:spacing w:line="288" w:lineRule="auto"/>
              <w:jc w:val="center"/>
              <w:rPr>
                <w:rFonts w:ascii="宋体" w:cs="宋体"/>
                <w:color w:val="auto"/>
                <w:szCs w:val="21"/>
                <w:highlight w:val="none"/>
              </w:rPr>
            </w:pPr>
            <w:r>
              <w:rPr>
                <w:rFonts w:ascii="宋体" w:hAnsi="宋体" w:cs="宋体"/>
                <w:color w:val="auto"/>
                <w:szCs w:val="21"/>
                <w:highlight w:val="none"/>
              </w:rPr>
              <w:t>3.2.1</w:t>
            </w:r>
          </w:p>
        </w:tc>
        <w:tc>
          <w:tcPr>
            <w:tcW w:w="2107" w:type="dxa"/>
            <w:noWrap/>
            <w:vAlign w:val="center"/>
          </w:tcPr>
          <w:p w14:paraId="6129F3C3">
            <w:pPr>
              <w:spacing w:line="288" w:lineRule="auto"/>
              <w:jc w:val="center"/>
              <w:rPr>
                <w:rFonts w:ascii="宋体" w:cs="宋体"/>
                <w:b/>
                <w:color w:val="auto"/>
                <w:szCs w:val="21"/>
                <w:highlight w:val="none"/>
              </w:rPr>
            </w:pPr>
            <w:r>
              <w:rPr>
                <w:rFonts w:hint="eastAsia" w:ascii="宋体" w:hAnsi="宋体" w:cs="宋体"/>
                <w:color w:val="auto"/>
                <w:szCs w:val="21"/>
                <w:highlight w:val="none"/>
              </w:rPr>
              <w:t>竞争性磋商文件提疑截止时间</w:t>
            </w:r>
          </w:p>
        </w:tc>
        <w:tc>
          <w:tcPr>
            <w:tcW w:w="6031" w:type="dxa"/>
            <w:noWrap/>
            <w:vAlign w:val="center"/>
          </w:tcPr>
          <w:p w14:paraId="2179770E">
            <w:pPr>
              <w:spacing w:line="288" w:lineRule="auto"/>
              <w:rPr>
                <w:rFonts w:ascii="宋体" w:cs="宋体"/>
                <w:b/>
                <w:color w:val="auto"/>
                <w:szCs w:val="21"/>
                <w:highlight w:val="none"/>
              </w:rPr>
            </w:pPr>
            <w:r>
              <w:rPr>
                <w:rFonts w:hint="eastAsia" w:ascii="宋体" w:hAnsi="宋体" w:cs="宋体"/>
                <w:bCs/>
                <w:color w:val="auto"/>
                <w:szCs w:val="21"/>
                <w:highlight w:val="none"/>
              </w:rPr>
              <w:t>在知道或应知其权益受到损害之日起</w:t>
            </w:r>
            <w:r>
              <w:rPr>
                <w:rFonts w:ascii="宋体" w:hAnsi="宋体" w:cs="宋体"/>
                <w:bCs/>
                <w:color w:val="auto"/>
                <w:szCs w:val="21"/>
                <w:highlight w:val="none"/>
              </w:rPr>
              <w:t>7</w:t>
            </w:r>
            <w:r>
              <w:rPr>
                <w:rFonts w:hint="eastAsia" w:ascii="宋体" w:hAnsi="宋体" w:cs="宋体"/>
                <w:bCs/>
                <w:color w:val="auto"/>
                <w:szCs w:val="21"/>
                <w:highlight w:val="none"/>
              </w:rPr>
              <w:t>个工作日内</w:t>
            </w:r>
          </w:p>
        </w:tc>
      </w:tr>
      <w:tr w14:paraId="776A367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FF591A1">
            <w:pPr>
              <w:spacing w:line="288" w:lineRule="auto"/>
              <w:jc w:val="center"/>
              <w:rPr>
                <w:rFonts w:ascii="宋体" w:cs="宋体"/>
                <w:color w:val="auto"/>
                <w:szCs w:val="21"/>
                <w:highlight w:val="none"/>
              </w:rPr>
            </w:pPr>
            <w:r>
              <w:rPr>
                <w:rFonts w:ascii="宋体" w:hAnsi="宋体" w:cs="宋体"/>
                <w:color w:val="auto"/>
                <w:szCs w:val="21"/>
                <w:highlight w:val="none"/>
              </w:rPr>
              <w:t>4.1.1</w:t>
            </w:r>
          </w:p>
        </w:tc>
        <w:tc>
          <w:tcPr>
            <w:tcW w:w="2107" w:type="dxa"/>
            <w:noWrap/>
            <w:vAlign w:val="center"/>
          </w:tcPr>
          <w:p w14:paraId="6AE0BB7B">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磋商响应文件的形式</w:t>
            </w:r>
          </w:p>
        </w:tc>
        <w:tc>
          <w:tcPr>
            <w:tcW w:w="6031" w:type="dxa"/>
            <w:noWrap/>
            <w:vAlign w:val="center"/>
          </w:tcPr>
          <w:p w14:paraId="4A855066">
            <w:pPr>
              <w:spacing w:line="288" w:lineRule="auto"/>
              <w:rPr>
                <w:rFonts w:ascii="宋体" w:cs="宋体"/>
                <w:color w:val="auto"/>
                <w:szCs w:val="21"/>
                <w:highlight w:val="none"/>
              </w:rPr>
            </w:pPr>
            <w:r>
              <w:rPr>
                <w:rFonts w:hint="eastAsia" w:ascii="宋体" w:hAnsi="宋体" w:cs="宋体"/>
                <w:b/>
                <w:color w:val="auto"/>
                <w:szCs w:val="21"/>
                <w:highlight w:val="none"/>
                <w:u w:val="single"/>
              </w:rPr>
              <w:t>电子加密磋商响应文件</w:t>
            </w:r>
            <w:r>
              <w:rPr>
                <w:rFonts w:hint="eastAsia" w:ascii="宋体" w:hAnsi="宋体" w:cs="宋体"/>
                <w:bCs/>
                <w:color w:val="auto"/>
                <w:szCs w:val="21"/>
                <w:highlight w:val="none"/>
              </w:rPr>
              <w:t>（是指通过“政采云电子交易客户端”完成磋商响应文件编制后生成并加密的数据电文形式的磋商响应文件，</w:t>
            </w:r>
            <w:r>
              <w:rPr>
                <w:rFonts w:hint="eastAsia" w:ascii="宋体" w:hAnsi="宋体" w:cs="宋体"/>
                <w:b/>
                <w:color w:val="auto"/>
                <w:szCs w:val="21"/>
                <w:highlight w:val="none"/>
              </w:rPr>
              <w:t>文件格式“</w:t>
            </w:r>
            <w:r>
              <w:rPr>
                <w:rFonts w:ascii="宋体" w:hAnsi="宋体" w:cs="宋体"/>
                <w:b/>
                <w:color w:val="auto"/>
                <w:szCs w:val="21"/>
                <w:highlight w:val="none"/>
              </w:rPr>
              <w:t>.jmbs</w:t>
            </w:r>
            <w:r>
              <w:rPr>
                <w:rFonts w:hint="eastAsia" w:ascii="宋体" w:hAnsi="宋体" w:cs="宋体"/>
                <w:b/>
                <w:color w:val="auto"/>
                <w:szCs w:val="21"/>
                <w:highlight w:val="none"/>
              </w:rPr>
              <w:t>”）</w:t>
            </w:r>
          </w:p>
        </w:tc>
      </w:tr>
      <w:tr w14:paraId="259BE82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0B946A8">
            <w:pPr>
              <w:spacing w:line="288" w:lineRule="auto"/>
              <w:jc w:val="center"/>
              <w:rPr>
                <w:rFonts w:ascii="宋体" w:cs="宋体"/>
                <w:color w:val="auto"/>
                <w:szCs w:val="21"/>
                <w:highlight w:val="none"/>
              </w:rPr>
            </w:pPr>
            <w:r>
              <w:rPr>
                <w:rFonts w:ascii="宋体" w:hAnsi="宋体" w:cs="宋体"/>
                <w:color w:val="auto"/>
                <w:szCs w:val="21"/>
                <w:highlight w:val="none"/>
              </w:rPr>
              <w:t>4.2.2</w:t>
            </w:r>
          </w:p>
        </w:tc>
        <w:tc>
          <w:tcPr>
            <w:tcW w:w="2107" w:type="dxa"/>
            <w:noWrap/>
            <w:vAlign w:val="center"/>
          </w:tcPr>
          <w:p w14:paraId="1ED86E94">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磋商响应文件的组成</w:t>
            </w:r>
          </w:p>
        </w:tc>
        <w:tc>
          <w:tcPr>
            <w:tcW w:w="6031" w:type="dxa"/>
            <w:noWrap/>
            <w:vAlign w:val="center"/>
          </w:tcPr>
          <w:p w14:paraId="7016EB8B">
            <w:pPr>
              <w:spacing w:line="360" w:lineRule="exact"/>
              <w:rPr>
                <w:rFonts w:ascii="宋体" w:hAnsi="宋体" w:cs="宋体"/>
                <w:color w:val="auto"/>
                <w:szCs w:val="21"/>
                <w:highlight w:val="none"/>
              </w:rPr>
            </w:pPr>
            <w:r>
              <w:rPr>
                <w:rFonts w:hint="eastAsia" w:ascii="宋体" w:hAnsi="宋体" w:cs="宋体"/>
                <w:color w:val="auto"/>
                <w:szCs w:val="21"/>
                <w:highlight w:val="none"/>
              </w:rPr>
              <w:t>完整的《磋商响应文件》由资格文件、商务技术文件和报价文件三个部分组成。</w:t>
            </w:r>
          </w:p>
          <w:p w14:paraId="3A573426">
            <w:pPr>
              <w:pStyle w:val="61"/>
              <w:spacing w:before="0" w:after="0" w:line="360" w:lineRule="exact"/>
              <w:jc w:val="both"/>
              <w:rPr>
                <w:color w:val="auto"/>
                <w:sz w:val="21"/>
                <w:szCs w:val="21"/>
                <w:highlight w:val="none"/>
              </w:rPr>
            </w:pPr>
            <w:bookmarkStart w:id="45" w:name="_Toc3404"/>
            <w:bookmarkStart w:id="46" w:name="_Toc29755"/>
            <w:bookmarkStart w:id="47" w:name="_Toc15780"/>
            <w:bookmarkStart w:id="48" w:name="_Toc22228"/>
            <w:r>
              <w:rPr>
                <w:rFonts w:hint="eastAsia"/>
                <w:color w:val="auto"/>
                <w:sz w:val="21"/>
                <w:szCs w:val="21"/>
                <w:highlight w:val="none"/>
              </w:rPr>
              <w:t>一、资格文件</w:t>
            </w:r>
            <w:bookmarkEnd w:id="45"/>
            <w:bookmarkEnd w:id="46"/>
            <w:bookmarkEnd w:id="47"/>
            <w:bookmarkEnd w:id="48"/>
          </w:p>
          <w:p w14:paraId="3E786B00">
            <w:pPr>
              <w:spacing w:line="360" w:lineRule="exact"/>
              <w:rPr>
                <w:rFonts w:ascii="宋体" w:hAnsi="宋体" w:cs="宋体"/>
                <w:color w:val="auto"/>
                <w:szCs w:val="21"/>
                <w:highlight w:val="none"/>
              </w:rPr>
            </w:pPr>
            <w:r>
              <w:rPr>
                <w:rFonts w:hint="eastAsia" w:ascii="宋体" w:hAnsi="宋体" w:cs="宋体"/>
                <w:color w:val="auto"/>
                <w:szCs w:val="21"/>
                <w:highlight w:val="none"/>
              </w:rPr>
              <w:t>1、符合《中华人民共和国政府采购法》第二十二条的规定；</w:t>
            </w:r>
          </w:p>
          <w:p w14:paraId="2CADA6A2">
            <w:pPr>
              <w:spacing w:line="360" w:lineRule="exact"/>
              <w:rPr>
                <w:rFonts w:ascii="宋体" w:hAnsi="宋体" w:cs="宋体"/>
                <w:color w:val="auto"/>
                <w:szCs w:val="21"/>
                <w:highlight w:val="none"/>
              </w:rPr>
            </w:pPr>
            <w:r>
              <w:rPr>
                <w:rFonts w:hint="eastAsia" w:ascii="宋体" w:hAnsi="宋体" w:cs="宋体"/>
                <w:color w:val="auto"/>
                <w:szCs w:val="21"/>
                <w:highlight w:val="none"/>
              </w:rPr>
              <w:t>2、未被“信用中国”（www.creditchina.gov.cn）列入失信被执行人、重大税收违法失信主体</w:t>
            </w:r>
            <w:r>
              <w:rPr>
                <w:rFonts w:ascii="宋体" w:hAnsi="宋体" w:cs="宋体"/>
                <w:color w:val="auto"/>
                <w:szCs w:val="21"/>
                <w:highlight w:val="none"/>
              </w:rPr>
              <w:t>政府采购</w:t>
            </w:r>
            <w:r>
              <w:rPr>
                <w:rFonts w:hint="eastAsia" w:ascii="宋体" w:hAnsi="宋体" w:cs="宋体"/>
                <w:color w:val="auto"/>
                <w:szCs w:val="21"/>
                <w:highlight w:val="none"/>
              </w:rPr>
              <w:t>、</w:t>
            </w:r>
            <w:r>
              <w:rPr>
                <w:rFonts w:ascii="宋体" w:hAnsi="宋体" w:cs="宋体"/>
                <w:color w:val="auto"/>
                <w:szCs w:val="21"/>
                <w:highlight w:val="none"/>
              </w:rPr>
              <w:t>严重违法失信行为记录名单</w:t>
            </w:r>
            <w:r>
              <w:rPr>
                <w:rFonts w:hint="eastAsia" w:ascii="宋体" w:hAnsi="宋体" w:cs="宋体"/>
                <w:color w:val="auto"/>
                <w:szCs w:val="21"/>
                <w:highlight w:val="none"/>
              </w:rPr>
              <w:t>；未被中国政府采购网（www.ccgp.gov.cn）列入政府采购严重违法失信行为记录名单的证明材料；</w:t>
            </w:r>
          </w:p>
          <w:p w14:paraId="1CDE6135">
            <w:pPr>
              <w:spacing w:line="360" w:lineRule="exact"/>
              <w:rPr>
                <w:rFonts w:ascii="宋体" w:hAnsi="宋体" w:cs="宋体"/>
                <w:color w:val="auto"/>
                <w:szCs w:val="21"/>
                <w:highlight w:val="none"/>
              </w:rPr>
            </w:pPr>
            <w:r>
              <w:rPr>
                <w:rFonts w:hint="eastAsia" w:ascii="宋体" w:hAnsi="宋体" w:cs="宋体"/>
                <w:color w:val="auto"/>
                <w:szCs w:val="21"/>
                <w:highlight w:val="none"/>
              </w:rPr>
              <w:t>3、政府采购供应商信用承诺书；</w:t>
            </w:r>
          </w:p>
          <w:p w14:paraId="1A43E541">
            <w:pPr>
              <w:spacing w:line="360" w:lineRule="exact"/>
              <w:rPr>
                <w:rFonts w:ascii="宋体" w:hAnsi="宋体" w:cs="宋体"/>
                <w:color w:val="auto"/>
                <w:szCs w:val="21"/>
                <w:highlight w:val="none"/>
              </w:rPr>
            </w:pPr>
            <w:r>
              <w:rPr>
                <w:rFonts w:hint="eastAsia" w:ascii="宋体" w:hAnsi="宋体" w:cs="宋体"/>
                <w:color w:val="auto"/>
                <w:szCs w:val="21"/>
                <w:highlight w:val="none"/>
              </w:rPr>
              <w:t>4、“与采购人不存在利害关系及其他违规行为”的证明材料；</w:t>
            </w:r>
          </w:p>
          <w:p w14:paraId="39BEAE87">
            <w:pPr>
              <w:spacing w:line="360" w:lineRule="exact"/>
              <w:rPr>
                <w:rFonts w:ascii="宋体" w:hAnsi="宋体" w:cs="宋体"/>
                <w:color w:val="auto"/>
                <w:szCs w:val="21"/>
                <w:highlight w:val="none"/>
              </w:rPr>
            </w:pPr>
            <w:r>
              <w:rPr>
                <w:rFonts w:hint="eastAsia" w:ascii="宋体" w:hAnsi="宋体" w:cs="宋体"/>
                <w:color w:val="auto"/>
                <w:szCs w:val="21"/>
                <w:highlight w:val="none"/>
              </w:rPr>
              <w:t>5、“非联合体”的证明材料；</w:t>
            </w:r>
          </w:p>
          <w:p w14:paraId="633A488F">
            <w:pPr>
              <w:spacing w:line="360" w:lineRule="exact"/>
              <w:rPr>
                <w:rFonts w:ascii="宋体" w:hAnsi="宋体" w:cs="宋体"/>
                <w:bCs/>
                <w:color w:val="auto"/>
                <w:szCs w:val="21"/>
                <w:highlight w:val="none"/>
              </w:rPr>
            </w:pPr>
            <w:r>
              <w:rPr>
                <w:rFonts w:hint="eastAsia" w:ascii="宋体" w:hAnsi="宋体" w:cs="宋体"/>
                <w:bCs/>
                <w:color w:val="auto"/>
                <w:szCs w:val="21"/>
                <w:highlight w:val="none"/>
              </w:rPr>
              <w:t>6、符合本项目的特定资格要求的证明文件；</w:t>
            </w:r>
          </w:p>
          <w:p w14:paraId="4DFE75C8">
            <w:pPr>
              <w:spacing w:line="360" w:lineRule="exact"/>
              <w:rPr>
                <w:rFonts w:ascii="宋体" w:hAnsi="宋体" w:cs="宋体"/>
                <w:color w:val="auto"/>
                <w:szCs w:val="21"/>
                <w:highlight w:val="none"/>
              </w:rPr>
            </w:pPr>
            <w:r>
              <w:rPr>
                <w:rFonts w:hint="eastAsia" w:ascii="宋体" w:hAnsi="宋体" w:cs="宋体"/>
                <w:color w:val="auto"/>
                <w:szCs w:val="21"/>
                <w:highlight w:val="none"/>
              </w:rPr>
              <w:t>供应商须具备有效的消防设施工程专业承包贰级及以上资质，有效营业执照、安全生产许可证，并在人员、设备、资金等方面具有相应的施工能力，其中，拟派项目负责人须具备机电工程贰级及以上注册建造师执业资格，</w:t>
            </w:r>
            <w:r>
              <w:rPr>
                <w:rFonts w:hint="eastAsia" w:ascii="宋体" w:hAnsi="宋体" w:cs="宋体"/>
                <w:bCs/>
                <w:color w:val="auto"/>
                <w:szCs w:val="21"/>
                <w:highlight w:val="none"/>
              </w:rPr>
              <w:t>具备有效的安全</w:t>
            </w:r>
            <w:r>
              <w:rPr>
                <w:rFonts w:hint="eastAsia" w:cs="宋体"/>
                <w:bCs/>
                <w:color w:val="auto"/>
                <w:szCs w:val="21"/>
                <w:highlight w:val="none"/>
              </w:rPr>
              <w:t>生产</w:t>
            </w:r>
            <w:r>
              <w:rPr>
                <w:rFonts w:hint="eastAsia" w:ascii="宋体" w:hAnsi="宋体" w:cs="宋体"/>
                <w:bCs/>
                <w:color w:val="auto"/>
                <w:szCs w:val="21"/>
                <w:highlight w:val="none"/>
              </w:rPr>
              <w:t>考核</w:t>
            </w:r>
            <w:r>
              <w:rPr>
                <w:rFonts w:hint="eastAsia" w:cs="宋体"/>
                <w:bCs/>
                <w:color w:val="auto"/>
                <w:szCs w:val="21"/>
                <w:highlight w:val="none"/>
              </w:rPr>
              <w:t>合格</w:t>
            </w:r>
            <w:r>
              <w:rPr>
                <w:rFonts w:hint="eastAsia" w:ascii="宋体" w:hAnsi="宋体" w:cs="宋体"/>
                <w:bCs/>
                <w:color w:val="auto"/>
                <w:szCs w:val="21"/>
                <w:highlight w:val="none"/>
              </w:rPr>
              <w:t>证</w:t>
            </w:r>
            <w:r>
              <w:rPr>
                <w:rFonts w:hint="eastAsia" w:cs="宋体"/>
                <w:bCs/>
                <w:color w:val="auto"/>
                <w:szCs w:val="21"/>
                <w:highlight w:val="none"/>
              </w:rPr>
              <w:t>书（B证）</w:t>
            </w:r>
            <w:r>
              <w:rPr>
                <w:rFonts w:hint="eastAsia" w:ascii="宋体" w:hAnsi="宋体" w:cs="宋体"/>
                <w:color w:val="auto"/>
                <w:szCs w:val="21"/>
                <w:highlight w:val="none"/>
              </w:rPr>
              <w:t>，且未担任其它在建工程项目的项目经理，技术负责人需具备相关专业中级及以上职称的证明材料复印件。</w:t>
            </w:r>
          </w:p>
          <w:p w14:paraId="35F95FB6">
            <w:pPr>
              <w:spacing w:line="360" w:lineRule="exact"/>
              <w:rPr>
                <w:rFonts w:ascii="宋体" w:hAnsi="宋体" w:cs="宋体"/>
                <w:bCs/>
                <w:color w:val="auto"/>
                <w:szCs w:val="21"/>
                <w:highlight w:val="none"/>
              </w:rPr>
            </w:pPr>
            <w:r>
              <w:rPr>
                <w:rFonts w:hint="eastAsia" w:ascii="宋体" w:hAnsi="宋体" w:cs="宋体"/>
                <w:bCs/>
                <w:color w:val="auto"/>
                <w:szCs w:val="21"/>
                <w:highlight w:val="none"/>
              </w:rPr>
              <w:t>7、“落实政府采购政策需满足的资格要求”的证明文件。</w:t>
            </w:r>
          </w:p>
          <w:p w14:paraId="3AD98BBB">
            <w:pPr>
              <w:spacing w:line="360" w:lineRule="exact"/>
              <w:rPr>
                <w:rFonts w:ascii="宋体" w:cs="宋体"/>
                <w:b/>
                <w:color w:val="auto"/>
                <w:szCs w:val="21"/>
                <w:highlight w:val="none"/>
              </w:rPr>
            </w:pPr>
            <w:r>
              <w:rPr>
                <w:rFonts w:hint="eastAsia" w:ascii="宋体" w:hAnsi="宋体" w:cs="宋体"/>
                <w:b/>
                <w:color w:val="auto"/>
                <w:szCs w:val="21"/>
                <w:highlight w:val="none"/>
              </w:rPr>
              <w:t>二、商务文件（</w:t>
            </w:r>
            <w:r>
              <w:rPr>
                <w:rFonts w:hint="eastAsia" w:ascii="宋体" w:hAnsi="宋体" w:cs="宋体"/>
                <w:b/>
                <w:color w:val="auto"/>
                <w:kern w:val="0"/>
                <w:szCs w:val="21"/>
                <w:highlight w:val="none"/>
              </w:rPr>
              <w:t>带</w:t>
            </w:r>
            <w:r>
              <w:rPr>
                <w:rFonts w:hint="eastAsia" w:ascii="宋体" w:hAnsi="宋体" w:cs="宋体"/>
                <w:bCs/>
                <w:color w:val="auto"/>
                <w:kern w:val="0"/>
                <w:szCs w:val="21"/>
                <w:highlight w:val="none"/>
              </w:rPr>
              <w:t>★</w:t>
            </w:r>
            <w:r>
              <w:rPr>
                <w:rFonts w:hint="eastAsia" w:ascii="宋体" w:hAnsi="宋体" w:cs="宋体"/>
                <w:b/>
                <w:color w:val="auto"/>
                <w:kern w:val="0"/>
                <w:szCs w:val="21"/>
                <w:highlight w:val="none"/>
              </w:rPr>
              <w:t>内容证明文件未提供或提供的证明材料不齐全的，商务审查作不通过处理，不得进入评审程序，其余部分为技术打分内容）</w:t>
            </w:r>
            <w:r>
              <w:rPr>
                <w:rFonts w:hint="eastAsia" w:ascii="宋体" w:hAnsi="宋体" w:cs="宋体"/>
                <w:b/>
                <w:color w:val="auto"/>
                <w:szCs w:val="21"/>
                <w:highlight w:val="none"/>
              </w:rPr>
              <w:t>：</w:t>
            </w:r>
          </w:p>
          <w:p w14:paraId="46D24AC4">
            <w:pPr>
              <w:spacing w:line="360" w:lineRule="exact"/>
              <w:rPr>
                <w:rFonts w:ascii="宋体" w:hAnsi="宋体" w:cs="宋体"/>
                <w:bCs/>
                <w:color w:val="auto"/>
                <w:szCs w:val="21"/>
                <w:highlight w:val="none"/>
              </w:rPr>
            </w:pPr>
            <w:r>
              <w:rPr>
                <w:rFonts w:hint="eastAsia" w:ascii="宋体" w:hAnsi="宋体" w:cs="宋体"/>
                <w:bCs/>
                <w:color w:val="auto"/>
                <w:kern w:val="0"/>
                <w:szCs w:val="21"/>
                <w:highlight w:val="none"/>
              </w:rPr>
              <w:t>★</w:t>
            </w:r>
            <w:r>
              <w:rPr>
                <w:rFonts w:hint="eastAsia" w:ascii="宋体" w:hAnsi="宋体" w:cs="宋体"/>
                <w:bCs/>
                <w:color w:val="auto"/>
                <w:szCs w:val="21"/>
                <w:highlight w:val="none"/>
              </w:rPr>
              <w:t>（1）法定代表人资格证明书（格式见第五章）；</w:t>
            </w:r>
          </w:p>
          <w:p w14:paraId="0C8B2623">
            <w:pPr>
              <w:spacing w:line="360" w:lineRule="exact"/>
              <w:rPr>
                <w:rFonts w:ascii="宋体" w:hAnsi="宋体" w:cs="宋体"/>
                <w:bCs/>
                <w:color w:val="auto"/>
                <w:szCs w:val="21"/>
                <w:highlight w:val="none"/>
              </w:rPr>
            </w:pPr>
            <w:r>
              <w:rPr>
                <w:rFonts w:hint="eastAsia" w:ascii="宋体" w:hAnsi="宋体" w:cs="宋体"/>
                <w:bCs/>
                <w:color w:val="auto"/>
                <w:szCs w:val="21"/>
                <w:highlight w:val="none"/>
              </w:rPr>
              <w:t>★（2）法定代表人授权委托书（法定代表人授权其公司员工签署及参加磋商响应的，在磋商响应文件中同时出具法定代表人资格证明书及此授权书）（格式见第五章）；</w:t>
            </w:r>
          </w:p>
          <w:p w14:paraId="5142B387">
            <w:pPr>
              <w:pStyle w:val="84"/>
              <w:numPr>
                <w:ilvl w:val="6"/>
                <w:numId w:val="0"/>
              </w:numPr>
              <w:rPr>
                <w:rFonts w:ascii="宋体" w:hAnsi="宋体" w:cs="宋体"/>
                <w:color w:val="auto"/>
                <w:highlight w:val="none"/>
              </w:rPr>
            </w:pPr>
            <w:r>
              <w:rPr>
                <w:rFonts w:hint="eastAsia" w:ascii="宋体" w:hAnsi="宋体" w:cs="宋体"/>
                <w:bCs/>
                <w:color w:val="auto"/>
                <w:szCs w:val="21"/>
                <w:highlight w:val="none"/>
              </w:rPr>
              <w:t>★</w:t>
            </w:r>
            <w:r>
              <w:rPr>
                <w:rFonts w:hint="eastAsia" w:ascii="宋体" w:hAnsi="宋体" w:cs="宋体"/>
                <w:color w:val="auto"/>
                <w:highlight w:val="none"/>
              </w:rPr>
              <w:t>（3）承诺书格式；</w:t>
            </w:r>
          </w:p>
          <w:p w14:paraId="06EE1F55">
            <w:pPr>
              <w:spacing w:line="360" w:lineRule="exact"/>
              <w:rPr>
                <w:rFonts w:ascii="宋体" w:hAnsi="宋体" w:cs="宋体"/>
                <w:bCs/>
                <w:color w:val="auto"/>
                <w:szCs w:val="21"/>
                <w:highlight w:val="none"/>
              </w:rPr>
            </w:pPr>
            <w:r>
              <w:rPr>
                <w:rFonts w:hint="eastAsia" w:ascii="宋体" w:hAnsi="宋体" w:cs="宋体"/>
                <w:bCs/>
                <w:color w:val="auto"/>
                <w:szCs w:val="21"/>
                <w:highlight w:val="none"/>
              </w:rPr>
              <w:t>（4）磋商响应供应商类似项目业绩情况（格式见第五章）；</w:t>
            </w:r>
          </w:p>
          <w:p w14:paraId="7834B8D2">
            <w:pPr>
              <w:spacing w:line="360" w:lineRule="exact"/>
              <w:rPr>
                <w:rFonts w:ascii="宋体" w:hAnsi="宋体" w:cs="宋体"/>
                <w:bCs/>
                <w:color w:val="auto"/>
                <w:szCs w:val="21"/>
                <w:highlight w:val="none"/>
              </w:rPr>
            </w:pPr>
            <w:r>
              <w:rPr>
                <w:rFonts w:hint="eastAsia" w:ascii="宋体" w:hAnsi="宋体" w:cs="宋体"/>
                <w:bCs/>
                <w:color w:val="auto"/>
                <w:szCs w:val="21"/>
                <w:highlight w:val="none"/>
              </w:rPr>
              <w:t>（5）拟派项目负责人类似项目业绩情况（格式见第五章）；</w:t>
            </w:r>
          </w:p>
          <w:p w14:paraId="19A3524B">
            <w:pPr>
              <w:spacing w:line="360" w:lineRule="exact"/>
              <w:rPr>
                <w:rFonts w:ascii="宋体" w:hAnsi="宋体" w:cs="宋体"/>
                <w:bCs/>
                <w:color w:val="auto"/>
                <w:szCs w:val="21"/>
                <w:highlight w:val="none"/>
              </w:rPr>
            </w:pPr>
            <w:r>
              <w:rPr>
                <w:rFonts w:hint="eastAsia" w:ascii="宋体" w:hAnsi="宋体" w:cs="宋体"/>
                <w:bCs/>
                <w:color w:val="auto"/>
                <w:szCs w:val="21"/>
                <w:highlight w:val="none"/>
              </w:rPr>
              <w:t>（6）商务技术偏离表（格式见第五章）；</w:t>
            </w:r>
          </w:p>
          <w:p w14:paraId="2998C06B">
            <w:pPr>
              <w:spacing w:line="360" w:lineRule="exact"/>
              <w:rPr>
                <w:rFonts w:ascii="宋体" w:hAnsi="宋体" w:cs="宋体"/>
                <w:bCs/>
                <w:color w:val="auto"/>
                <w:szCs w:val="21"/>
                <w:highlight w:val="none"/>
              </w:rPr>
            </w:pPr>
            <w:r>
              <w:rPr>
                <w:rFonts w:hint="eastAsia" w:ascii="宋体" w:hAnsi="宋体" w:cs="宋体"/>
                <w:bCs/>
                <w:color w:val="auto"/>
                <w:szCs w:val="21"/>
                <w:highlight w:val="none"/>
              </w:rPr>
              <w:t>（7）施工组织设计；</w:t>
            </w:r>
          </w:p>
          <w:p w14:paraId="641A930C">
            <w:pPr>
              <w:spacing w:line="360" w:lineRule="exact"/>
              <w:rPr>
                <w:rFonts w:ascii="宋体" w:hAnsi="宋体" w:cs="宋体"/>
                <w:bCs/>
                <w:color w:val="auto"/>
                <w:szCs w:val="21"/>
                <w:highlight w:val="none"/>
              </w:rPr>
            </w:pPr>
            <w:r>
              <w:rPr>
                <w:rFonts w:hint="eastAsia" w:ascii="宋体" w:hAnsi="宋体" w:cs="宋体"/>
                <w:bCs/>
                <w:color w:val="auto"/>
                <w:szCs w:val="21"/>
                <w:highlight w:val="none"/>
              </w:rPr>
              <w:t>（8）节能、环保产品、商品包装承诺书（格式见第五章）；</w:t>
            </w:r>
          </w:p>
          <w:p w14:paraId="6A882CD1">
            <w:pPr>
              <w:spacing w:line="360" w:lineRule="exact"/>
              <w:rPr>
                <w:rFonts w:ascii="宋体" w:hAnsi="宋体" w:cs="宋体"/>
                <w:bCs/>
                <w:color w:val="auto"/>
                <w:szCs w:val="21"/>
                <w:highlight w:val="none"/>
              </w:rPr>
            </w:pPr>
            <w:bookmarkStart w:id="49" w:name="OLE_LINK3"/>
            <w:r>
              <w:rPr>
                <w:rFonts w:hint="eastAsia" w:ascii="宋体" w:hAnsi="宋体" w:cs="宋体"/>
                <w:bCs/>
                <w:color w:val="auto"/>
                <w:szCs w:val="21"/>
                <w:highlight w:val="none"/>
              </w:rPr>
              <w:t>（9）</w:t>
            </w:r>
            <w:bookmarkEnd w:id="49"/>
            <w:r>
              <w:rPr>
                <w:rFonts w:hint="eastAsia" w:ascii="宋体" w:hAnsi="宋体" w:cs="宋体"/>
                <w:bCs/>
                <w:color w:val="auto"/>
                <w:szCs w:val="21"/>
                <w:highlight w:val="none"/>
              </w:rPr>
              <w:t>商品包装和快递包装承诺</w:t>
            </w:r>
          </w:p>
          <w:p w14:paraId="052C38A1">
            <w:pPr>
              <w:spacing w:line="360" w:lineRule="exact"/>
              <w:rPr>
                <w:rFonts w:ascii="宋体" w:hAnsi="宋体" w:cs="宋体"/>
                <w:bCs/>
                <w:color w:val="auto"/>
                <w:szCs w:val="21"/>
                <w:highlight w:val="none"/>
              </w:rPr>
            </w:pPr>
            <w:r>
              <w:rPr>
                <w:rFonts w:hint="eastAsia" w:ascii="宋体" w:hAnsi="宋体" w:cs="宋体"/>
                <w:bCs/>
                <w:color w:val="auto"/>
                <w:szCs w:val="21"/>
                <w:highlight w:val="none"/>
              </w:rPr>
              <w:t>（10）磋商保证金的交纳情况证明及开户许可证或基本存款账户信息</w:t>
            </w:r>
          </w:p>
          <w:p w14:paraId="0C851EC8">
            <w:pPr>
              <w:spacing w:line="360" w:lineRule="exact"/>
              <w:rPr>
                <w:rFonts w:ascii="宋体" w:hAnsi="宋体" w:cs="宋体"/>
                <w:bCs/>
                <w:color w:val="auto"/>
                <w:szCs w:val="21"/>
                <w:highlight w:val="none"/>
              </w:rPr>
            </w:pPr>
            <w:r>
              <w:rPr>
                <w:rFonts w:hint="eastAsia" w:ascii="宋体" w:hAnsi="宋体" w:cs="宋体"/>
                <w:bCs/>
                <w:color w:val="auto"/>
                <w:szCs w:val="21"/>
                <w:highlight w:val="none"/>
              </w:rPr>
              <w:t>（11）其他资料（格式自拟）。</w:t>
            </w:r>
          </w:p>
          <w:p w14:paraId="69FA8B29">
            <w:pPr>
              <w:spacing w:line="360" w:lineRule="exact"/>
              <w:rPr>
                <w:rFonts w:asci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kern w:val="0"/>
                <w:szCs w:val="21"/>
                <w:highlight w:val="none"/>
              </w:rPr>
              <w:t>《报价文件》组成内容，</w:t>
            </w:r>
            <w:r>
              <w:rPr>
                <w:rFonts w:hint="eastAsia" w:ascii="宋体" w:hAnsi="宋体" w:cs="宋体"/>
                <w:b/>
                <w:color w:val="auto"/>
                <w:szCs w:val="21"/>
                <w:highlight w:val="none"/>
              </w:rPr>
              <w:t>以下</w:t>
            </w:r>
            <w:r>
              <w:rPr>
                <w:rFonts w:hint="eastAsia" w:ascii="宋体" w:hAnsi="宋体" w:cs="宋体"/>
                <w:color w:val="auto"/>
                <w:szCs w:val="21"/>
                <w:highlight w:val="none"/>
              </w:rPr>
              <w:t>★</w:t>
            </w:r>
            <w:r>
              <w:rPr>
                <w:rFonts w:hint="eastAsia" w:ascii="宋体" w:hAnsi="宋体" w:cs="宋体"/>
                <w:b/>
                <w:color w:val="auto"/>
                <w:szCs w:val="21"/>
                <w:highlight w:val="none"/>
              </w:rPr>
              <w:t>内容文件未提供或提供的证明材料不齐全的，商务审查作不通过处理。</w:t>
            </w:r>
          </w:p>
          <w:p w14:paraId="4BB9A00D">
            <w:pPr>
              <w:spacing w:line="360" w:lineRule="exact"/>
              <w:rPr>
                <w:rFonts w:ascii="宋体" w:cs="宋体"/>
                <w:bCs/>
                <w:color w:val="auto"/>
                <w:szCs w:val="21"/>
                <w:highlight w:val="none"/>
              </w:rPr>
            </w:pPr>
            <w:r>
              <w:rPr>
                <w:rFonts w:hint="eastAsia" w:ascii="宋体" w:hAnsi="宋体" w:cs="宋体"/>
                <w:bCs/>
                <w:color w:val="auto"/>
                <w:kern w:val="0"/>
                <w:szCs w:val="21"/>
                <w:highlight w:val="none"/>
              </w:rPr>
              <w:t>★</w:t>
            </w:r>
            <w:r>
              <w:rPr>
                <w:rFonts w:hint="eastAsia" w:ascii="宋体" w:hAnsi="宋体" w:cs="宋体"/>
                <w:bCs/>
                <w:color w:val="auto"/>
                <w:szCs w:val="21"/>
                <w:highlight w:val="none"/>
              </w:rPr>
              <w:t>1、响应函；</w:t>
            </w:r>
          </w:p>
          <w:p w14:paraId="2B3DEBBD">
            <w:pPr>
              <w:spacing w:line="360" w:lineRule="exact"/>
              <w:rPr>
                <w:rFonts w:ascii="宋体" w:hAnsi="宋体" w:cs="宋体"/>
                <w:bCs/>
                <w:color w:val="auto"/>
                <w:kern w:val="0"/>
                <w:szCs w:val="21"/>
                <w:highlight w:val="none"/>
              </w:rPr>
            </w:pPr>
            <w:r>
              <w:rPr>
                <w:rFonts w:hint="eastAsia" w:ascii="宋体" w:hAnsi="宋体" w:cs="宋体"/>
                <w:bCs/>
                <w:color w:val="auto"/>
                <w:kern w:val="0"/>
                <w:szCs w:val="21"/>
                <w:highlight w:val="none"/>
              </w:rPr>
              <w:t>★2、已标价工程量清单；</w:t>
            </w:r>
          </w:p>
          <w:p w14:paraId="01898369">
            <w:pPr>
              <w:spacing w:line="360" w:lineRule="exact"/>
              <w:ind w:firstLine="210" w:firstLineChars="100"/>
              <w:rPr>
                <w:rFonts w:ascii="宋体" w:cs="宋体"/>
                <w:bCs/>
                <w:color w:val="auto"/>
                <w:szCs w:val="21"/>
                <w:highlight w:val="none"/>
              </w:rPr>
            </w:pPr>
            <w:r>
              <w:rPr>
                <w:rFonts w:hint="eastAsia" w:ascii="宋体" w:hAnsi="宋体" w:cs="宋体"/>
                <w:bCs/>
                <w:color w:val="auto"/>
                <w:szCs w:val="21"/>
                <w:highlight w:val="none"/>
              </w:rPr>
              <w:t>3、供应商认为其他需要提供的资料（如有）。</w:t>
            </w:r>
          </w:p>
          <w:p w14:paraId="13830D24">
            <w:pPr>
              <w:spacing w:line="360" w:lineRule="exact"/>
              <w:rPr>
                <w:rFonts w:ascii="宋体" w:cs="宋体"/>
                <w:bCs/>
                <w:color w:val="auto"/>
                <w:szCs w:val="21"/>
                <w:highlight w:val="none"/>
              </w:rPr>
            </w:pPr>
            <w:r>
              <w:rPr>
                <w:rFonts w:hint="eastAsia" w:ascii="宋体" w:hAnsi="宋体" w:cs="宋体"/>
                <w:b/>
                <w:color w:val="auto"/>
                <w:kern w:val="0"/>
                <w:szCs w:val="21"/>
                <w:highlight w:val="none"/>
              </w:rPr>
              <w:t>注：以上目录是编制响应文件的基本格式要求，各供应商可根据自身情况进一步细化。</w:t>
            </w:r>
          </w:p>
        </w:tc>
      </w:tr>
      <w:tr w14:paraId="5A9C1E1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9272AB3">
            <w:pPr>
              <w:spacing w:line="288" w:lineRule="auto"/>
              <w:jc w:val="center"/>
              <w:rPr>
                <w:rFonts w:ascii="宋体" w:cs="宋体"/>
                <w:color w:val="auto"/>
                <w:szCs w:val="21"/>
                <w:highlight w:val="none"/>
              </w:rPr>
            </w:pPr>
            <w:r>
              <w:rPr>
                <w:rFonts w:ascii="宋体" w:hAnsi="宋体" w:cs="宋体"/>
                <w:color w:val="auto"/>
                <w:szCs w:val="21"/>
                <w:highlight w:val="none"/>
              </w:rPr>
              <w:t>4.3</w:t>
            </w:r>
          </w:p>
        </w:tc>
        <w:tc>
          <w:tcPr>
            <w:tcW w:w="2107" w:type="dxa"/>
            <w:noWrap/>
            <w:vAlign w:val="center"/>
          </w:tcPr>
          <w:p w14:paraId="1E9E127F">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磋商响应文件的编制</w:t>
            </w:r>
          </w:p>
        </w:tc>
        <w:tc>
          <w:tcPr>
            <w:tcW w:w="6031" w:type="dxa"/>
            <w:noWrap/>
            <w:vAlign w:val="center"/>
          </w:tcPr>
          <w:p w14:paraId="31385EDD">
            <w:pPr>
              <w:wordWrap w:val="0"/>
              <w:spacing w:line="360" w:lineRule="exact"/>
              <w:rPr>
                <w:rFonts w:ascii="宋体" w:cs="宋体"/>
                <w:b/>
                <w:color w:val="auto"/>
                <w:szCs w:val="21"/>
                <w:highlight w:val="none"/>
              </w:rPr>
            </w:pPr>
            <w:r>
              <w:rPr>
                <w:rFonts w:hint="eastAsia" w:ascii="宋体" w:hAnsi="宋体" w:cs="宋体"/>
                <w:bCs/>
                <w:color w:val="auto"/>
                <w:szCs w:val="21"/>
                <w:highlight w:val="none"/>
              </w:rPr>
              <w:t>本项目通过“山西省政府采购网”（电子交易平台，网址：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75"/>
                <w:rFonts w:ascii="宋体" w:hAnsi="宋体" w:cs="宋体"/>
                <w:bCs/>
                <w:color w:val="auto"/>
                <w:szCs w:val="21"/>
                <w:highlight w:val="none"/>
              </w:rPr>
              <w:t>http://www.ccgp-shanxi.gov.cn/home.html</w:t>
            </w:r>
            <w:r>
              <w:rPr>
                <w:rStyle w:val="75"/>
                <w:rFonts w:ascii="宋体" w:hAnsi="宋体" w:cs="宋体"/>
                <w:bCs/>
                <w:color w:val="auto"/>
                <w:szCs w:val="21"/>
                <w:highlight w:val="none"/>
              </w:rPr>
              <w:fldChar w:fldCharType="end"/>
            </w:r>
            <w:r>
              <w:rPr>
                <w:rFonts w:hint="eastAsia" w:ascii="宋体" w:hAnsi="宋体" w:cs="宋体"/>
                <w:bCs/>
                <w:color w:val="auto"/>
                <w:szCs w:val="21"/>
                <w:highlight w:val="none"/>
              </w:rPr>
              <w:t>）实行电子交易（在线投标响应）。</w:t>
            </w:r>
            <w:r>
              <w:rPr>
                <w:rFonts w:hint="eastAsia" w:ascii="宋体" w:hAnsi="宋体" w:cs="宋体"/>
                <w:b/>
                <w:color w:val="auto"/>
                <w:szCs w:val="21"/>
                <w:highlight w:val="none"/>
              </w:rPr>
              <w:t>供应商参加本项目电子交易应当安装“政采云电子交易客户端”，并按照本竞争性磋商文件和“山西省政府采购网”的要求编制并加密磋商响应文件（</w:t>
            </w:r>
            <w:r>
              <w:rPr>
                <w:rFonts w:ascii="宋体" w:hAnsi="宋体" w:cs="宋体"/>
                <w:b/>
                <w:color w:val="auto"/>
                <w:szCs w:val="21"/>
                <w:highlight w:val="none"/>
              </w:rPr>
              <w:t>1</w:t>
            </w:r>
            <w:r>
              <w:rPr>
                <w:rFonts w:hint="eastAsia" w:ascii="宋体" w:hAnsi="宋体" w:cs="宋体"/>
                <w:b/>
                <w:color w:val="auto"/>
                <w:szCs w:val="21"/>
                <w:highlight w:val="none"/>
              </w:rPr>
              <w:t>份）。</w:t>
            </w:r>
            <w:r>
              <w:rPr>
                <w:rFonts w:hint="eastAsia" w:ascii="宋体" w:hAnsi="宋体" w:cs="宋体"/>
                <w:b/>
                <w:color w:val="auto"/>
                <w:szCs w:val="21"/>
                <w:highlight w:val="none"/>
                <w:u w:val="single"/>
              </w:rPr>
              <w:t>供应商未按规定加密的磋商响应文件，“山西省政府采购网”将予以拒收并提示</w:t>
            </w:r>
            <w:r>
              <w:rPr>
                <w:rFonts w:hint="eastAsia" w:ascii="宋体" w:hAnsi="宋体" w:cs="宋体"/>
                <w:b/>
                <w:color w:val="auto"/>
                <w:szCs w:val="21"/>
                <w:highlight w:val="none"/>
              </w:rPr>
              <w:t>。</w:t>
            </w:r>
          </w:p>
        </w:tc>
      </w:tr>
      <w:tr w14:paraId="3DE7C6D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23C834C">
            <w:pPr>
              <w:spacing w:line="288" w:lineRule="auto"/>
              <w:jc w:val="center"/>
              <w:rPr>
                <w:rFonts w:ascii="宋体" w:cs="宋体"/>
                <w:color w:val="auto"/>
                <w:szCs w:val="21"/>
                <w:highlight w:val="none"/>
              </w:rPr>
            </w:pPr>
            <w:r>
              <w:rPr>
                <w:rFonts w:ascii="宋体" w:hAnsi="宋体" w:cs="宋体"/>
                <w:color w:val="auto"/>
                <w:szCs w:val="21"/>
                <w:highlight w:val="none"/>
              </w:rPr>
              <w:t>4.4</w:t>
            </w:r>
          </w:p>
        </w:tc>
        <w:tc>
          <w:tcPr>
            <w:tcW w:w="2107" w:type="dxa"/>
            <w:noWrap/>
            <w:vAlign w:val="center"/>
          </w:tcPr>
          <w:p w14:paraId="5685D3FF">
            <w:pPr>
              <w:spacing w:line="288" w:lineRule="auto"/>
              <w:jc w:val="center"/>
              <w:rPr>
                <w:rFonts w:ascii="宋体" w:cs="宋体"/>
                <w:bCs/>
                <w:color w:val="auto"/>
                <w:szCs w:val="21"/>
                <w:highlight w:val="none"/>
              </w:rPr>
            </w:pPr>
            <w:r>
              <w:rPr>
                <w:rFonts w:hint="eastAsia" w:ascii="宋体" w:hAnsi="宋体" w:cs="宋体"/>
                <w:bCs/>
                <w:color w:val="auto"/>
                <w:kern w:val="0"/>
                <w:szCs w:val="21"/>
                <w:highlight w:val="none"/>
              </w:rPr>
              <w:t>磋商响应文件的签章形式</w:t>
            </w:r>
          </w:p>
        </w:tc>
        <w:tc>
          <w:tcPr>
            <w:tcW w:w="6031" w:type="dxa"/>
            <w:noWrap/>
            <w:vAlign w:val="center"/>
          </w:tcPr>
          <w:p w14:paraId="6722D239">
            <w:pPr>
              <w:spacing w:line="360" w:lineRule="exact"/>
              <w:rPr>
                <w:rFonts w:ascii="宋体" w:cs="宋体"/>
                <w:b/>
                <w:color w:val="auto"/>
                <w:szCs w:val="21"/>
                <w:highlight w:val="none"/>
              </w:rPr>
            </w:pPr>
            <w:r>
              <w:rPr>
                <w:rFonts w:hint="eastAsia" w:ascii="宋体" w:hAnsi="宋体" w:cs="宋体"/>
                <w:b/>
                <w:color w:val="auto"/>
                <w:szCs w:val="21"/>
                <w:highlight w:val="none"/>
                <w:u w:val="single"/>
              </w:rPr>
              <w:t>电子签章</w:t>
            </w:r>
            <w:r>
              <w:rPr>
                <w:rFonts w:hint="eastAsia" w:ascii="宋体" w:hAnsi="宋体" w:cs="宋体"/>
                <w:color w:val="auto"/>
                <w:szCs w:val="21"/>
                <w:highlight w:val="none"/>
              </w:rPr>
              <w:t>。按《第二章磋商须知及前附表》和《第五章</w:t>
            </w:r>
            <w:r>
              <w:rPr>
                <w:rFonts w:ascii="宋体" w:hAnsi="宋体" w:cs="宋体"/>
                <w:color w:val="auto"/>
                <w:szCs w:val="21"/>
                <w:highlight w:val="none"/>
              </w:rPr>
              <w:t xml:space="preserve"> </w:t>
            </w:r>
            <w:r>
              <w:rPr>
                <w:rFonts w:hint="eastAsia" w:ascii="宋体" w:hAnsi="宋体" w:cs="宋体"/>
                <w:color w:val="auto"/>
                <w:szCs w:val="21"/>
                <w:highlight w:val="none"/>
              </w:rPr>
              <w:t>响应文件格式》标注的要求进行盖章、签署（电子签章）。</w:t>
            </w:r>
          </w:p>
        </w:tc>
      </w:tr>
      <w:tr w14:paraId="7CC7966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696" w:hRule="atLeast"/>
        </w:trPr>
        <w:tc>
          <w:tcPr>
            <w:tcW w:w="1115" w:type="dxa"/>
            <w:noWrap/>
            <w:vAlign w:val="center"/>
          </w:tcPr>
          <w:p w14:paraId="7FC358A0">
            <w:pPr>
              <w:spacing w:line="288" w:lineRule="auto"/>
              <w:jc w:val="center"/>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5.2</w:t>
            </w:r>
          </w:p>
        </w:tc>
        <w:tc>
          <w:tcPr>
            <w:tcW w:w="2107" w:type="dxa"/>
            <w:noWrap/>
            <w:vAlign w:val="center"/>
          </w:tcPr>
          <w:p w14:paraId="042BF960">
            <w:pPr>
              <w:spacing w:line="288" w:lineRule="auto"/>
              <w:jc w:val="center"/>
              <w:rPr>
                <w:rFonts w:ascii="宋体" w:cs="宋体"/>
                <w:color w:val="auto"/>
                <w:szCs w:val="21"/>
                <w:highlight w:val="none"/>
              </w:rPr>
            </w:pPr>
            <w:r>
              <w:rPr>
                <w:rFonts w:hint="eastAsia" w:ascii="宋体" w:hAnsi="宋体" w:cs="宋体"/>
                <w:bCs/>
                <w:color w:val="auto"/>
                <w:kern w:val="0"/>
                <w:szCs w:val="21"/>
                <w:highlight w:val="none"/>
              </w:rPr>
              <w:t>招标控制价</w:t>
            </w:r>
          </w:p>
        </w:tc>
        <w:tc>
          <w:tcPr>
            <w:tcW w:w="6031" w:type="dxa"/>
            <w:noWrap/>
            <w:vAlign w:val="center"/>
          </w:tcPr>
          <w:p w14:paraId="260A861C">
            <w:pPr>
              <w:adjustRightInd w:val="0"/>
              <w:snapToGrid w:val="0"/>
              <w:spacing w:line="400" w:lineRule="exact"/>
              <w:rPr>
                <w:rFonts w:ascii="宋体" w:cs="宋体"/>
                <w:b/>
                <w:color w:val="auto"/>
                <w:szCs w:val="21"/>
                <w:highlight w:val="none"/>
              </w:rPr>
            </w:pPr>
            <w:r>
              <w:rPr>
                <w:rFonts w:hint="eastAsia"/>
                <w:color w:val="auto"/>
                <w:szCs w:val="21"/>
                <w:highlight w:val="none"/>
              </w:rPr>
              <w:t>128.6万</w:t>
            </w:r>
            <w:r>
              <w:rPr>
                <w:rFonts w:hint="eastAsia" w:ascii="宋体" w:hAnsi="宋体" w:cs="宋体"/>
                <w:color w:val="auto"/>
                <w:szCs w:val="21"/>
                <w:highlight w:val="none"/>
              </w:rPr>
              <w:t>元。</w:t>
            </w:r>
          </w:p>
        </w:tc>
      </w:tr>
      <w:tr w14:paraId="06F12DE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750" w:hRule="atLeast"/>
        </w:trPr>
        <w:tc>
          <w:tcPr>
            <w:tcW w:w="1115" w:type="dxa"/>
            <w:noWrap/>
            <w:vAlign w:val="center"/>
          </w:tcPr>
          <w:p w14:paraId="0FE27432">
            <w:pPr>
              <w:spacing w:line="288" w:lineRule="auto"/>
              <w:jc w:val="center"/>
              <w:rPr>
                <w:rFonts w:ascii="宋体" w:hAnsi="宋体" w:cs="宋体"/>
                <w:color w:val="auto"/>
                <w:szCs w:val="21"/>
                <w:highlight w:val="none"/>
              </w:rPr>
            </w:pPr>
            <w:r>
              <w:rPr>
                <w:rFonts w:ascii="宋体" w:hAnsi="宋体" w:cs="宋体"/>
                <w:color w:val="auto"/>
                <w:szCs w:val="21"/>
                <w:highlight w:val="none"/>
              </w:rPr>
              <w:t>4.6</w:t>
            </w:r>
          </w:p>
        </w:tc>
        <w:tc>
          <w:tcPr>
            <w:tcW w:w="2107" w:type="dxa"/>
            <w:noWrap/>
            <w:vAlign w:val="center"/>
          </w:tcPr>
          <w:p w14:paraId="7D90563C">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磋商响应文件有效期</w:t>
            </w:r>
          </w:p>
        </w:tc>
        <w:tc>
          <w:tcPr>
            <w:tcW w:w="6031" w:type="dxa"/>
            <w:noWrap/>
            <w:vAlign w:val="center"/>
          </w:tcPr>
          <w:p w14:paraId="25494538">
            <w:pPr>
              <w:spacing w:line="360" w:lineRule="exact"/>
              <w:rPr>
                <w:rFonts w:ascii="宋体" w:hAnsi="宋体" w:cs="宋体"/>
                <w:b/>
                <w:color w:val="auto"/>
                <w:szCs w:val="21"/>
                <w:highlight w:val="none"/>
              </w:rPr>
            </w:pPr>
            <w:r>
              <w:rPr>
                <w:rFonts w:hint="eastAsia" w:ascii="宋体" w:hAnsi="宋体" w:cs="宋体"/>
                <w:b/>
                <w:color w:val="auto"/>
                <w:szCs w:val="21"/>
                <w:highlight w:val="none"/>
              </w:rPr>
              <w:t>自磋商响应文件提交截止之日起</w:t>
            </w:r>
            <w:r>
              <w:rPr>
                <w:rFonts w:ascii="宋体" w:hAnsi="宋体" w:cs="宋体"/>
                <w:b/>
                <w:color w:val="auto"/>
                <w:szCs w:val="21"/>
                <w:highlight w:val="none"/>
                <w:u w:val="single"/>
              </w:rPr>
              <w:t>90</w:t>
            </w:r>
            <w:r>
              <w:rPr>
                <w:rFonts w:hint="eastAsia" w:ascii="宋体" w:hAnsi="宋体" w:cs="宋体"/>
                <w:b/>
                <w:color w:val="auto"/>
                <w:szCs w:val="21"/>
                <w:highlight w:val="none"/>
                <w:u w:val="single"/>
              </w:rPr>
              <w:t>日历</w:t>
            </w:r>
            <w:r>
              <w:rPr>
                <w:rFonts w:hint="eastAsia" w:ascii="宋体" w:hAnsi="宋体" w:cs="宋体"/>
                <w:b/>
                <w:color w:val="auto"/>
                <w:szCs w:val="21"/>
                <w:highlight w:val="none"/>
              </w:rPr>
              <w:t>天内保持有效，否则磋商响应无效。</w:t>
            </w:r>
          </w:p>
        </w:tc>
      </w:tr>
      <w:tr w14:paraId="489F351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D7B492A">
            <w:pPr>
              <w:spacing w:line="288" w:lineRule="auto"/>
              <w:jc w:val="center"/>
              <w:rPr>
                <w:rFonts w:ascii="宋体" w:cs="宋体"/>
                <w:color w:val="auto"/>
                <w:szCs w:val="21"/>
                <w:highlight w:val="none"/>
              </w:rPr>
            </w:pPr>
            <w:r>
              <w:rPr>
                <w:rFonts w:ascii="宋体" w:hAnsi="宋体" w:cs="宋体"/>
                <w:color w:val="auto"/>
                <w:szCs w:val="21"/>
                <w:highlight w:val="none"/>
              </w:rPr>
              <w:t>4.7.1</w:t>
            </w:r>
          </w:p>
        </w:tc>
        <w:tc>
          <w:tcPr>
            <w:tcW w:w="2107" w:type="dxa"/>
            <w:noWrap/>
            <w:vAlign w:val="center"/>
          </w:tcPr>
          <w:p w14:paraId="2DB2C453">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备份磋商响应文件的约定</w:t>
            </w:r>
          </w:p>
        </w:tc>
        <w:tc>
          <w:tcPr>
            <w:tcW w:w="6031" w:type="dxa"/>
            <w:noWrap/>
            <w:vAlign w:val="center"/>
          </w:tcPr>
          <w:p w14:paraId="3E226591">
            <w:pPr>
              <w:spacing w:line="288" w:lineRule="auto"/>
              <w:rPr>
                <w:rFonts w:ascii="宋体" w:cs="宋体"/>
                <w:b/>
                <w:color w:val="auto"/>
                <w:szCs w:val="21"/>
                <w:highlight w:val="none"/>
              </w:rPr>
            </w:pPr>
            <w:r>
              <w:rPr>
                <w:rFonts w:hint="eastAsia" w:ascii="宋体" w:hAnsi="宋体" w:cs="宋体"/>
                <w:bCs/>
                <w:color w:val="auto"/>
                <w:szCs w:val="21"/>
                <w:highlight w:val="none"/>
              </w:rPr>
              <w:t>本项目不需要供应商提交备份磋商响应文件。</w:t>
            </w:r>
          </w:p>
        </w:tc>
      </w:tr>
      <w:tr w14:paraId="263BEDA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EC526F3">
            <w:pPr>
              <w:spacing w:line="288" w:lineRule="auto"/>
              <w:jc w:val="center"/>
              <w:rPr>
                <w:rFonts w:ascii="宋体" w:cs="宋体"/>
                <w:color w:val="auto"/>
                <w:szCs w:val="21"/>
                <w:highlight w:val="none"/>
              </w:rPr>
            </w:pPr>
            <w:r>
              <w:rPr>
                <w:rFonts w:ascii="宋体" w:hAnsi="宋体" w:cs="宋体"/>
                <w:color w:val="auto"/>
                <w:szCs w:val="21"/>
                <w:highlight w:val="none"/>
              </w:rPr>
              <w:t>4.7.2</w:t>
            </w:r>
          </w:p>
        </w:tc>
        <w:tc>
          <w:tcPr>
            <w:tcW w:w="2107" w:type="dxa"/>
            <w:noWrap/>
            <w:vAlign w:val="center"/>
          </w:tcPr>
          <w:p w14:paraId="0C73FF76">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备份磋商响应文件的编制</w:t>
            </w:r>
          </w:p>
        </w:tc>
        <w:tc>
          <w:tcPr>
            <w:tcW w:w="6031" w:type="dxa"/>
            <w:noWrap/>
            <w:vAlign w:val="center"/>
          </w:tcPr>
          <w:p w14:paraId="591C1AC5">
            <w:pPr>
              <w:spacing w:line="288" w:lineRule="auto"/>
              <w:rPr>
                <w:rFonts w:ascii="宋体" w:cs="宋体"/>
                <w:b/>
                <w:color w:val="auto"/>
                <w:szCs w:val="21"/>
                <w:highlight w:val="none"/>
              </w:rPr>
            </w:pPr>
            <w:r>
              <w:rPr>
                <w:rFonts w:hint="eastAsia" w:ascii="宋体" w:hAnsi="宋体" w:cs="宋体"/>
                <w:bCs/>
                <w:color w:val="auto"/>
                <w:szCs w:val="21"/>
                <w:highlight w:val="none"/>
              </w:rPr>
              <w:t>无</w:t>
            </w:r>
          </w:p>
        </w:tc>
      </w:tr>
      <w:tr w14:paraId="4C4846B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41903B2">
            <w:pPr>
              <w:spacing w:line="288" w:lineRule="auto"/>
              <w:jc w:val="center"/>
              <w:rPr>
                <w:rFonts w:ascii="宋体" w:cs="宋体"/>
                <w:color w:val="auto"/>
                <w:szCs w:val="21"/>
                <w:highlight w:val="none"/>
              </w:rPr>
            </w:pPr>
            <w:r>
              <w:rPr>
                <w:rFonts w:ascii="宋体" w:hAnsi="宋体" w:cs="宋体"/>
                <w:color w:val="auto"/>
                <w:szCs w:val="21"/>
                <w:highlight w:val="none"/>
              </w:rPr>
              <w:t>4.7.3</w:t>
            </w:r>
          </w:p>
        </w:tc>
        <w:tc>
          <w:tcPr>
            <w:tcW w:w="2107" w:type="dxa"/>
            <w:noWrap/>
            <w:vAlign w:val="center"/>
          </w:tcPr>
          <w:p w14:paraId="2EAFB050">
            <w:pPr>
              <w:spacing w:line="288" w:lineRule="auto"/>
              <w:jc w:val="center"/>
              <w:rPr>
                <w:rFonts w:ascii="宋体" w:cs="宋体"/>
                <w:b/>
                <w:color w:val="auto"/>
                <w:szCs w:val="21"/>
                <w:highlight w:val="none"/>
              </w:rPr>
            </w:pPr>
            <w:r>
              <w:rPr>
                <w:rFonts w:hint="eastAsia" w:ascii="宋体" w:hAnsi="宋体" w:cs="宋体"/>
                <w:bCs/>
                <w:color w:val="auto"/>
                <w:szCs w:val="21"/>
                <w:highlight w:val="none"/>
              </w:rPr>
              <w:t>备份磋商响应文件的递交接收</w:t>
            </w:r>
          </w:p>
        </w:tc>
        <w:tc>
          <w:tcPr>
            <w:tcW w:w="6031" w:type="dxa"/>
            <w:noWrap/>
            <w:vAlign w:val="center"/>
          </w:tcPr>
          <w:p w14:paraId="250BAF14">
            <w:pPr>
              <w:spacing w:line="288" w:lineRule="auto"/>
              <w:rPr>
                <w:rFonts w:ascii="宋体" w:cs="宋体"/>
                <w:b/>
                <w:color w:val="auto"/>
                <w:szCs w:val="21"/>
                <w:highlight w:val="none"/>
              </w:rPr>
            </w:pPr>
            <w:r>
              <w:rPr>
                <w:rFonts w:hint="eastAsia" w:ascii="宋体" w:hAnsi="宋体" w:cs="宋体"/>
                <w:bCs/>
                <w:color w:val="auto"/>
                <w:szCs w:val="21"/>
                <w:highlight w:val="none"/>
              </w:rPr>
              <w:t>无</w:t>
            </w:r>
          </w:p>
        </w:tc>
      </w:tr>
      <w:tr w14:paraId="66BD73A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BCDBA04">
            <w:pPr>
              <w:spacing w:line="288" w:lineRule="auto"/>
              <w:jc w:val="center"/>
              <w:rPr>
                <w:rFonts w:ascii="宋体" w:cs="宋体"/>
                <w:color w:val="auto"/>
                <w:szCs w:val="21"/>
                <w:highlight w:val="none"/>
              </w:rPr>
            </w:pPr>
            <w:r>
              <w:rPr>
                <w:rFonts w:ascii="宋体" w:hAnsi="宋体" w:cs="宋体"/>
                <w:color w:val="auto"/>
                <w:szCs w:val="21"/>
                <w:highlight w:val="none"/>
              </w:rPr>
              <w:t>4.7.4</w:t>
            </w:r>
          </w:p>
          <w:p w14:paraId="6E65F5A1">
            <w:pPr>
              <w:spacing w:line="288" w:lineRule="auto"/>
              <w:jc w:val="center"/>
              <w:rPr>
                <w:rFonts w:ascii="宋体" w:cs="宋体"/>
                <w:color w:val="auto"/>
                <w:szCs w:val="21"/>
                <w:highlight w:val="none"/>
              </w:rPr>
            </w:pPr>
            <w:r>
              <w:rPr>
                <w:rFonts w:ascii="宋体" w:hAnsi="宋体" w:cs="宋体"/>
                <w:color w:val="auto"/>
                <w:szCs w:val="21"/>
                <w:highlight w:val="none"/>
              </w:rPr>
              <w:t>6.3.1</w:t>
            </w:r>
          </w:p>
        </w:tc>
        <w:tc>
          <w:tcPr>
            <w:tcW w:w="2107" w:type="dxa"/>
            <w:noWrap/>
            <w:vAlign w:val="center"/>
          </w:tcPr>
          <w:p w14:paraId="588D1AF2">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磋商响应文件解密异常情况处理办法</w:t>
            </w:r>
          </w:p>
        </w:tc>
        <w:tc>
          <w:tcPr>
            <w:tcW w:w="6031" w:type="dxa"/>
            <w:noWrap/>
            <w:vAlign w:val="center"/>
          </w:tcPr>
          <w:p w14:paraId="384FA0B0">
            <w:pPr>
              <w:spacing w:line="288" w:lineRule="auto"/>
              <w:rPr>
                <w:rFonts w:ascii="宋体" w:cs="宋体"/>
                <w:b/>
                <w:color w:val="auto"/>
                <w:szCs w:val="21"/>
                <w:highlight w:val="none"/>
              </w:rPr>
            </w:pPr>
            <w:r>
              <w:rPr>
                <w:rFonts w:hint="eastAsia" w:ascii="宋体" w:hAnsi="宋体" w:cs="宋体"/>
                <w:b/>
                <w:color w:val="auto"/>
                <w:szCs w:val="21"/>
                <w:highlight w:val="none"/>
              </w:rPr>
              <w:t>供应商传输递交至“山西省政府采购网”的电子加密“磋商响应文件”无法按时解密时，按以下规定处理：</w:t>
            </w:r>
          </w:p>
          <w:p w14:paraId="61D4538E">
            <w:pPr>
              <w:spacing w:line="288" w:lineRule="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已按规定递交了合格的“备份磋商响应文件”的，采购组织机构将拆封供应商递交的“备份磋商响应文件”，按“山西省政府采购网”操作规范将“备份磋商响应文件”上传至“山西省政府采购网”，并以“备份磋商响应文件”为依据进行评审。“备份磋商响应文件”上传成功后，已传输递交至“山西省政府采购网”的电子加密“磋商响应文件”自动失效；</w:t>
            </w:r>
          </w:p>
          <w:p w14:paraId="299663B3">
            <w:pPr>
              <w:spacing w:line="288" w:lineRule="auto"/>
              <w:rPr>
                <w:rFonts w:ascii="宋体" w:cs="宋体"/>
                <w:b/>
                <w:color w:val="auto"/>
                <w:szCs w:val="21"/>
                <w:highlight w:val="none"/>
                <w:u w:val="singl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w:t>
            </w:r>
            <w:r>
              <w:rPr>
                <w:rFonts w:hint="eastAsia" w:ascii="宋体" w:hAnsi="宋体" w:cs="宋体"/>
                <w:b/>
                <w:color w:val="auto"/>
                <w:szCs w:val="21"/>
                <w:highlight w:val="none"/>
                <w:u w:val="single"/>
              </w:rPr>
              <w:t>未按规定递交合格“备份磋商响应文件”的或递交的“备份磋商响应文件”无法成功上传的，视为磋商响应文件撤回。</w:t>
            </w:r>
          </w:p>
          <w:p w14:paraId="097BA033">
            <w:pPr>
              <w:spacing w:line="288" w:lineRule="auto"/>
              <w:rPr>
                <w:rFonts w:ascii="宋体" w:cs="宋体"/>
                <w:b/>
                <w:color w:val="auto"/>
                <w:kern w:val="0"/>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）备份磋商响应文件上传成功后视为磋商响应文件解密成功，供应商可以进入后续评审。</w:t>
            </w:r>
          </w:p>
        </w:tc>
      </w:tr>
      <w:tr w14:paraId="547AE34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D0AD78A">
            <w:pPr>
              <w:spacing w:line="288" w:lineRule="auto"/>
              <w:jc w:val="center"/>
              <w:rPr>
                <w:rFonts w:ascii="宋体" w:cs="宋体"/>
                <w:color w:val="auto"/>
                <w:szCs w:val="21"/>
                <w:highlight w:val="none"/>
              </w:rPr>
            </w:pPr>
            <w:r>
              <w:rPr>
                <w:rFonts w:ascii="宋体" w:hAnsi="宋体" w:cs="宋体"/>
                <w:color w:val="auto"/>
                <w:szCs w:val="21"/>
                <w:highlight w:val="none"/>
              </w:rPr>
              <w:t>5.1.1</w:t>
            </w:r>
          </w:p>
        </w:tc>
        <w:tc>
          <w:tcPr>
            <w:tcW w:w="2107" w:type="dxa"/>
            <w:noWrap/>
            <w:vAlign w:val="center"/>
          </w:tcPr>
          <w:p w14:paraId="73FB84FF">
            <w:pPr>
              <w:spacing w:line="288" w:lineRule="auto"/>
              <w:jc w:val="center"/>
              <w:rPr>
                <w:rFonts w:ascii="宋体" w:cs="宋体"/>
                <w:color w:val="auto"/>
                <w:szCs w:val="21"/>
                <w:highlight w:val="none"/>
              </w:rPr>
            </w:pPr>
            <w:r>
              <w:rPr>
                <w:rFonts w:hint="eastAsia" w:ascii="宋体" w:hAnsi="宋体" w:cs="宋体"/>
                <w:color w:val="auto"/>
                <w:szCs w:val="21"/>
                <w:highlight w:val="none"/>
              </w:rPr>
              <w:t>响应文件提交截止时间</w:t>
            </w:r>
          </w:p>
        </w:tc>
        <w:tc>
          <w:tcPr>
            <w:tcW w:w="6031" w:type="dxa"/>
            <w:noWrap/>
            <w:vAlign w:val="center"/>
          </w:tcPr>
          <w:p w14:paraId="132A2FDD">
            <w:pPr>
              <w:spacing w:line="288" w:lineRule="auto"/>
              <w:rPr>
                <w:rFonts w:ascii="宋体" w:cs="宋体"/>
                <w:color w:val="auto"/>
                <w:szCs w:val="21"/>
                <w:highlight w:val="none"/>
              </w:rPr>
            </w:pPr>
            <w:r>
              <w:rPr>
                <w:rFonts w:hint="eastAsia" w:ascii="宋体" w:hAnsi="宋体" w:cs="宋体"/>
                <w:color w:val="auto"/>
                <w:szCs w:val="21"/>
                <w:highlight w:val="none"/>
              </w:rPr>
              <w:t>同公告提交提交截止时间</w:t>
            </w:r>
          </w:p>
        </w:tc>
      </w:tr>
      <w:tr w14:paraId="4802B38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96D611A">
            <w:pPr>
              <w:spacing w:line="288" w:lineRule="auto"/>
              <w:jc w:val="center"/>
              <w:rPr>
                <w:rFonts w:ascii="宋体" w:cs="宋体"/>
                <w:color w:val="auto"/>
                <w:szCs w:val="21"/>
                <w:highlight w:val="none"/>
              </w:rPr>
            </w:pPr>
            <w:r>
              <w:rPr>
                <w:rFonts w:ascii="宋体" w:hAnsi="宋体" w:cs="宋体"/>
                <w:color w:val="auto"/>
                <w:szCs w:val="21"/>
                <w:highlight w:val="none"/>
              </w:rPr>
              <w:t>5.2.1</w:t>
            </w:r>
          </w:p>
        </w:tc>
        <w:tc>
          <w:tcPr>
            <w:tcW w:w="2107" w:type="dxa"/>
            <w:noWrap/>
            <w:vAlign w:val="center"/>
          </w:tcPr>
          <w:p w14:paraId="4432DB2B">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磋商响应文件提交地点</w:t>
            </w:r>
          </w:p>
        </w:tc>
        <w:tc>
          <w:tcPr>
            <w:tcW w:w="6031" w:type="dxa"/>
            <w:noWrap/>
            <w:vAlign w:val="center"/>
          </w:tcPr>
          <w:p w14:paraId="6E0EC75A">
            <w:pPr>
              <w:wordWrap w:val="0"/>
              <w:spacing w:line="360" w:lineRule="exact"/>
              <w:jc w:val="left"/>
              <w:rPr>
                <w:rFonts w:ascii="宋体" w:cs="宋体"/>
                <w:color w:val="auto"/>
                <w:szCs w:val="21"/>
                <w:highlight w:val="none"/>
              </w:rPr>
            </w:pPr>
            <w:r>
              <w:rPr>
                <w:rFonts w:hint="eastAsia" w:ascii="宋体" w:hAnsi="宋体" w:cs="宋体"/>
                <w:b/>
                <w:color w:val="auto"/>
                <w:szCs w:val="21"/>
                <w:highlight w:val="none"/>
                <w:u w:val="single"/>
              </w:rPr>
              <w:t>山西省政府采购网</w:t>
            </w:r>
            <w:r>
              <w:rPr>
                <w:rFonts w:hint="eastAsia" w:ascii="宋体" w:hAnsi="宋体" w:cs="宋体"/>
                <w:color w:val="auto"/>
                <w:szCs w:val="21"/>
                <w:highlight w:val="none"/>
                <w:u w:val="single"/>
              </w:rPr>
              <w:t>，网址：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75"/>
                <w:rFonts w:ascii="宋体" w:hAnsi="宋体" w:cs="宋体"/>
                <w:color w:val="auto"/>
                <w:szCs w:val="21"/>
                <w:highlight w:val="none"/>
              </w:rPr>
              <w:t>http://www.ccgp-shanxi.gov.cn/home.html</w:t>
            </w:r>
            <w:r>
              <w:rPr>
                <w:rStyle w:val="75"/>
                <w:rFonts w:ascii="宋体" w:hAnsi="宋体" w:cs="宋体"/>
                <w:color w:val="auto"/>
                <w:szCs w:val="21"/>
                <w:highlight w:val="none"/>
              </w:rPr>
              <w:fldChar w:fldCharType="end"/>
            </w:r>
          </w:p>
        </w:tc>
      </w:tr>
      <w:tr w14:paraId="21479DE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AADB77B">
            <w:pPr>
              <w:spacing w:line="288" w:lineRule="auto"/>
              <w:jc w:val="center"/>
              <w:rPr>
                <w:rFonts w:ascii="宋体" w:cs="宋体"/>
                <w:color w:val="auto"/>
                <w:szCs w:val="21"/>
                <w:highlight w:val="none"/>
              </w:rPr>
            </w:pPr>
            <w:r>
              <w:rPr>
                <w:rFonts w:ascii="宋体" w:hAnsi="宋体" w:cs="宋体"/>
                <w:color w:val="auto"/>
                <w:szCs w:val="21"/>
                <w:highlight w:val="none"/>
              </w:rPr>
              <w:t>5.3.1</w:t>
            </w:r>
          </w:p>
        </w:tc>
        <w:tc>
          <w:tcPr>
            <w:tcW w:w="2107" w:type="dxa"/>
            <w:noWrap/>
            <w:vAlign w:val="center"/>
          </w:tcPr>
          <w:p w14:paraId="6564AC11">
            <w:pPr>
              <w:spacing w:line="288" w:lineRule="auto"/>
              <w:jc w:val="center"/>
              <w:rPr>
                <w:rFonts w:ascii="宋体" w:cs="宋体"/>
                <w:color w:val="auto"/>
                <w:szCs w:val="21"/>
                <w:highlight w:val="none"/>
              </w:rPr>
            </w:pPr>
            <w:r>
              <w:rPr>
                <w:rFonts w:hint="eastAsia" w:ascii="宋体" w:hAnsi="宋体" w:cs="宋体"/>
                <w:color w:val="auto"/>
                <w:szCs w:val="21"/>
                <w:highlight w:val="none"/>
              </w:rPr>
              <w:t>磋商响应文件的传输递交</w:t>
            </w:r>
          </w:p>
        </w:tc>
        <w:tc>
          <w:tcPr>
            <w:tcW w:w="6031" w:type="dxa"/>
            <w:noWrap/>
            <w:vAlign w:val="center"/>
          </w:tcPr>
          <w:p w14:paraId="622A05D4">
            <w:pPr>
              <w:spacing w:line="288" w:lineRule="auto"/>
              <w:rPr>
                <w:rFonts w:ascii="宋体" w:cs="宋体"/>
                <w:b/>
                <w:color w:val="auto"/>
                <w:szCs w:val="21"/>
                <w:highlight w:val="none"/>
                <w:u w:val="singl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w:t>
            </w:r>
            <w:r>
              <w:rPr>
                <w:rFonts w:hint="eastAsia" w:ascii="宋体" w:hAnsi="宋体" w:cs="宋体"/>
                <w:b/>
                <w:color w:val="auto"/>
                <w:szCs w:val="21"/>
                <w:highlight w:val="none"/>
                <w:u w:val="single"/>
              </w:rPr>
              <w:t>供应商应当在磋商响应文件提交截止时间前完成磋商响应文件的传输递交。磋商响应文件提交截止时间前未完成传输的，视为撤回磋商响应文件。磋商响应文件提交截止时间以后递交的磋商响应文件，“山西省政府采购网”将予以拒收。</w:t>
            </w:r>
          </w:p>
          <w:p w14:paraId="012E8750">
            <w:pPr>
              <w:spacing w:line="288" w:lineRule="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）磋商响应文件成功传输递交后，供应商可自行打印磋商响应文件接收回执。</w:t>
            </w:r>
          </w:p>
          <w:p w14:paraId="7109ADC0">
            <w:pPr>
              <w:spacing w:line="288" w:lineRule="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）磋商响应文件提交截止时间前，除供应商补充、修改或者撤回磋商响应文件外，任何单位和个人不得解密或提取磋商响应文件。</w:t>
            </w:r>
          </w:p>
          <w:p w14:paraId="1B5B869B">
            <w:pPr>
              <w:spacing w:line="288" w:lineRule="auto"/>
              <w:rPr>
                <w:rFonts w:ascii="宋体" w:cs="宋体"/>
                <w:color w:val="auto"/>
                <w:szCs w:val="21"/>
                <w:highlight w:val="none"/>
              </w:rPr>
            </w:pPr>
            <w:r>
              <w:rPr>
                <w:rFonts w:hint="eastAsia" w:ascii="宋体" w:hAnsi="宋体" w:cs="宋体"/>
                <w:b/>
                <w:color w:val="auto"/>
                <w:szCs w:val="21"/>
                <w:highlight w:val="none"/>
              </w:rPr>
              <w:t>提示：</w:t>
            </w:r>
            <w:r>
              <w:rPr>
                <w:rFonts w:hint="eastAsia" w:ascii="宋体" w:hAnsi="宋体" w:cs="宋体"/>
                <w:b/>
                <w:color w:val="auto"/>
                <w:szCs w:val="21"/>
                <w:highlight w:val="none"/>
                <w:u w:val="single"/>
              </w:rPr>
              <w:t>供应商传输递交的“磋商响应文件”应是通过“政采云电子交易客户端”，并按竞争性磋商文件和“山西省政府采购网”要求编制并加密的电子加密磋商响应文件。</w:t>
            </w:r>
          </w:p>
        </w:tc>
      </w:tr>
      <w:tr w14:paraId="0AAFEB2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380BC12">
            <w:pPr>
              <w:spacing w:line="288" w:lineRule="auto"/>
              <w:jc w:val="center"/>
              <w:rPr>
                <w:rFonts w:ascii="宋体" w:cs="宋体"/>
                <w:color w:val="auto"/>
                <w:szCs w:val="21"/>
                <w:highlight w:val="none"/>
              </w:rPr>
            </w:pPr>
            <w:r>
              <w:rPr>
                <w:rFonts w:ascii="宋体" w:hAnsi="宋体" w:cs="宋体"/>
                <w:color w:val="auto"/>
                <w:szCs w:val="21"/>
                <w:highlight w:val="none"/>
              </w:rPr>
              <w:t>6.1.1</w:t>
            </w:r>
          </w:p>
        </w:tc>
        <w:tc>
          <w:tcPr>
            <w:tcW w:w="2107" w:type="dxa"/>
            <w:noWrap/>
            <w:vAlign w:val="center"/>
          </w:tcPr>
          <w:p w14:paraId="0CBBD7A2">
            <w:pPr>
              <w:spacing w:line="288" w:lineRule="auto"/>
              <w:jc w:val="center"/>
              <w:rPr>
                <w:rFonts w:ascii="宋体" w:cs="宋体"/>
                <w:color w:val="auto"/>
                <w:szCs w:val="21"/>
                <w:highlight w:val="none"/>
              </w:rPr>
            </w:pPr>
            <w:r>
              <w:rPr>
                <w:rFonts w:hint="eastAsia" w:ascii="宋体" w:hAnsi="宋体" w:cs="宋体"/>
                <w:color w:val="auto"/>
                <w:szCs w:val="21"/>
                <w:highlight w:val="none"/>
              </w:rPr>
              <w:t>磋商时间</w:t>
            </w:r>
          </w:p>
        </w:tc>
        <w:tc>
          <w:tcPr>
            <w:tcW w:w="6031" w:type="dxa"/>
            <w:noWrap/>
            <w:vAlign w:val="center"/>
          </w:tcPr>
          <w:p w14:paraId="1D4C1435">
            <w:pPr>
              <w:spacing w:line="288" w:lineRule="auto"/>
              <w:jc w:val="left"/>
              <w:rPr>
                <w:rFonts w:ascii="宋体" w:cs="宋体"/>
                <w:b/>
                <w:color w:val="auto"/>
                <w:szCs w:val="21"/>
                <w:highlight w:val="none"/>
              </w:rPr>
            </w:pPr>
            <w:r>
              <w:rPr>
                <w:rFonts w:hint="eastAsia" w:ascii="宋体" w:hAnsi="宋体" w:cs="宋体"/>
                <w:b/>
                <w:color w:val="auto"/>
                <w:szCs w:val="21"/>
                <w:highlight w:val="none"/>
              </w:rPr>
              <w:t>同</w:t>
            </w:r>
            <w:r>
              <w:rPr>
                <w:rFonts w:hint="eastAsia" w:ascii="宋体" w:hAnsi="宋体" w:cs="宋体"/>
                <w:b/>
                <w:bCs/>
                <w:color w:val="auto"/>
                <w:kern w:val="0"/>
                <w:szCs w:val="21"/>
                <w:highlight w:val="none"/>
              </w:rPr>
              <w:t>磋商响应文件提交截止</w:t>
            </w:r>
            <w:r>
              <w:rPr>
                <w:rFonts w:hint="eastAsia" w:ascii="宋体" w:hAnsi="宋体" w:cs="宋体"/>
                <w:b/>
                <w:color w:val="auto"/>
                <w:szCs w:val="21"/>
                <w:highlight w:val="none"/>
              </w:rPr>
              <w:t>时间</w:t>
            </w:r>
          </w:p>
        </w:tc>
      </w:tr>
      <w:tr w14:paraId="718F782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9DC1B78">
            <w:pPr>
              <w:spacing w:line="288" w:lineRule="auto"/>
              <w:jc w:val="center"/>
              <w:rPr>
                <w:rFonts w:ascii="宋体" w:cs="宋体"/>
                <w:color w:val="auto"/>
                <w:szCs w:val="21"/>
                <w:highlight w:val="none"/>
              </w:rPr>
            </w:pPr>
            <w:r>
              <w:rPr>
                <w:rFonts w:ascii="宋体" w:hAnsi="宋体" w:cs="宋体"/>
                <w:color w:val="auto"/>
                <w:szCs w:val="21"/>
                <w:highlight w:val="none"/>
              </w:rPr>
              <w:t>6.1.2</w:t>
            </w:r>
          </w:p>
        </w:tc>
        <w:tc>
          <w:tcPr>
            <w:tcW w:w="2107" w:type="dxa"/>
            <w:noWrap/>
            <w:vAlign w:val="center"/>
          </w:tcPr>
          <w:p w14:paraId="2C169333">
            <w:pPr>
              <w:spacing w:line="288" w:lineRule="auto"/>
              <w:jc w:val="center"/>
              <w:rPr>
                <w:rFonts w:ascii="宋体" w:cs="宋体"/>
                <w:color w:val="auto"/>
                <w:szCs w:val="21"/>
                <w:highlight w:val="none"/>
              </w:rPr>
            </w:pPr>
            <w:r>
              <w:rPr>
                <w:rFonts w:hint="eastAsia" w:ascii="宋体" w:hAnsi="宋体" w:cs="宋体"/>
                <w:color w:val="auto"/>
                <w:szCs w:val="21"/>
                <w:highlight w:val="none"/>
              </w:rPr>
              <w:t>磋商地点</w:t>
            </w:r>
          </w:p>
        </w:tc>
        <w:tc>
          <w:tcPr>
            <w:tcW w:w="6031" w:type="dxa"/>
            <w:noWrap/>
            <w:vAlign w:val="center"/>
          </w:tcPr>
          <w:p w14:paraId="7919E5BD">
            <w:pPr>
              <w:spacing w:line="288" w:lineRule="auto"/>
              <w:jc w:val="left"/>
              <w:rPr>
                <w:rFonts w:ascii="宋体" w:cs="宋体"/>
                <w:color w:val="auto"/>
                <w:szCs w:val="21"/>
                <w:highlight w:val="none"/>
              </w:rPr>
            </w:pPr>
            <w:r>
              <w:rPr>
                <w:rFonts w:hint="eastAsia" w:ascii="宋体" w:hAnsi="宋体" w:cs="宋体"/>
                <w:b/>
                <w:color w:val="auto"/>
                <w:szCs w:val="21"/>
                <w:highlight w:val="none"/>
              </w:rPr>
              <w:t>山西省政府采购网</w:t>
            </w:r>
            <w:r>
              <w:rPr>
                <w:rFonts w:hint="eastAsia" w:ascii="宋体" w:hAnsi="宋体" w:cs="宋体"/>
                <w:color w:val="auto"/>
                <w:szCs w:val="21"/>
                <w:highlight w:val="none"/>
              </w:rPr>
              <w:t>，网址：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ascii="宋体" w:hAnsi="宋体" w:cs="宋体"/>
                <w:color w:val="auto"/>
                <w:szCs w:val="21"/>
                <w:highlight w:val="none"/>
              </w:rPr>
              <w:t>http://www.ccgp-shanxi.gov.cn/home.html</w:t>
            </w:r>
            <w:r>
              <w:rPr>
                <w:rFonts w:ascii="宋体" w:hAnsi="宋体" w:cs="宋体"/>
                <w:color w:val="auto"/>
                <w:szCs w:val="21"/>
                <w:highlight w:val="none"/>
              </w:rPr>
              <w:fldChar w:fldCharType="end"/>
            </w:r>
          </w:p>
        </w:tc>
      </w:tr>
      <w:tr w14:paraId="1E3C5DC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8021B35">
            <w:pPr>
              <w:spacing w:line="288" w:lineRule="auto"/>
              <w:jc w:val="center"/>
              <w:rPr>
                <w:rFonts w:ascii="宋体" w:cs="宋体"/>
                <w:color w:val="auto"/>
                <w:szCs w:val="21"/>
                <w:highlight w:val="none"/>
              </w:rPr>
            </w:pPr>
            <w:r>
              <w:rPr>
                <w:rFonts w:ascii="宋体" w:hAnsi="宋体" w:cs="宋体"/>
                <w:color w:val="auto"/>
                <w:szCs w:val="21"/>
                <w:highlight w:val="none"/>
              </w:rPr>
              <w:t>6.2.2</w:t>
            </w:r>
          </w:p>
        </w:tc>
        <w:tc>
          <w:tcPr>
            <w:tcW w:w="2107" w:type="dxa"/>
            <w:noWrap/>
            <w:vAlign w:val="center"/>
          </w:tcPr>
          <w:p w14:paraId="73DA9765">
            <w:pPr>
              <w:spacing w:line="288" w:lineRule="auto"/>
              <w:jc w:val="center"/>
              <w:rPr>
                <w:rFonts w:ascii="宋体" w:cs="宋体"/>
                <w:color w:val="auto"/>
                <w:szCs w:val="21"/>
                <w:highlight w:val="none"/>
              </w:rPr>
            </w:pPr>
            <w:r>
              <w:rPr>
                <w:rFonts w:hint="eastAsia" w:ascii="宋体" w:hAnsi="宋体" w:cs="宋体"/>
                <w:color w:val="auto"/>
                <w:szCs w:val="21"/>
                <w:highlight w:val="none"/>
              </w:rPr>
              <w:t>磋商邀请</w:t>
            </w:r>
          </w:p>
        </w:tc>
        <w:tc>
          <w:tcPr>
            <w:tcW w:w="6031" w:type="dxa"/>
            <w:noWrap/>
            <w:vAlign w:val="center"/>
          </w:tcPr>
          <w:p w14:paraId="23EEE10C">
            <w:pPr>
              <w:spacing w:line="360" w:lineRule="exact"/>
              <w:jc w:val="left"/>
              <w:rPr>
                <w:rFonts w:ascii="宋体" w:cs="宋体"/>
                <w:color w:val="auto"/>
                <w:szCs w:val="21"/>
                <w:highlight w:val="none"/>
              </w:rPr>
            </w:pPr>
            <w:r>
              <w:rPr>
                <w:rFonts w:hint="eastAsia" w:ascii="宋体" w:hAnsi="宋体" w:cs="宋体"/>
                <w:b/>
                <w:color w:val="auto"/>
                <w:szCs w:val="21"/>
                <w:highlight w:val="none"/>
              </w:rPr>
              <w:t>本项目采用电子交易，采购组织机构将按照磋商文件规定的时间通过“山西省政府采购网，网址：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ascii="宋体" w:hAnsi="宋体" w:cs="宋体"/>
                <w:b/>
                <w:color w:val="auto"/>
                <w:szCs w:val="21"/>
                <w:highlight w:val="none"/>
              </w:rPr>
              <w:t>http://www.ccgp-shanxi.gov.cn/home.html</w:t>
            </w:r>
            <w:r>
              <w:rPr>
                <w:rFonts w:ascii="宋体" w:hAnsi="宋体" w:cs="宋体"/>
                <w:b/>
                <w:color w:val="auto"/>
                <w:szCs w:val="21"/>
                <w:highlight w:val="none"/>
              </w:rPr>
              <w:fldChar w:fldCharType="end"/>
            </w:r>
            <w:r>
              <w:rPr>
                <w:rFonts w:hint="eastAsia" w:ascii="宋体" w:hAnsi="宋体" w:cs="宋体"/>
                <w:b/>
                <w:color w:val="auto"/>
                <w:szCs w:val="21"/>
                <w:highlight w:val="none"/>
              </w:rPr>
              <w:t>”组织开标、开启磋商响应文件，所有供应商均应当准时在线参加。</w:t>
            </w:r>
          </w:p>
        </w:tc>
      </w:tr>
      <w:tr w14:paraId="37046DF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CE77684">
            <w:pPr>
              <w:spacing w:line="288" w:lineRule="auto"/>
              <w:jc w:val="center"/>
              <w:rPr>
                <w:rFonts w:ascii="宋体" w:cs="宋体"/>
                <w:bCs/>
                <w:color w:val="auto"/>
                <w:szCs w:val="21"/>
                <w:highlight w:val="none"/>
              </w:rPr>
            </w:pPr>
            <w:r>
              <w:rPr>
                <w:rFonts w:ascii="宋体" w:hAnsi="宋体" w:cs="宋体"/>
                <w:bCs/>
                <w:color w:val="auto"/>
                <w:szCs w:val="21"/>
                <w:highlight w:val="none"/>
              </w:rPr>
              <w:t>6.3.1</w:t>
            </w:r>
          </w:p>
        </w:tc>
        <w:tc>
          <w:tcPr>
            <w:tcW w:w="2107" w:type="dxa"/>
            <w:noWrap/>
            <w:vAlign w:val="center"/>
          </w:tcPr>
          <w:p w14:paraId="26BA4ECA">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磋商响应文件的解密</w:t>
            </w:r>
          </w:p>
        </w:tc>
        <w:tc>
          <w:tcPr>
            <w:tcW w:w="6031" w:type="dxa"/>
            <w:noWrap/>
            <w:vAlign w:val="center"/>
          </w:tcPr>
          <w:p w14:paraId="546D74FF">
            <w:pPr>
              <w:spacing w:line="360" w:lineRule="exact"/>
              <w:rPr>
                <w:rFonts w:ascii="宋体" w:cs="宋体"/>
                <w:color w:val="auto"/>
                <w:szCs w:val="21"/>
                <w:highlight w:val="none"/>
              </w:rPr>
            </w:pPr>
            <w:r>
              <w:rPr>
                <w:rFonts w:hint="eastAsia" w:ascii="宋体" w:hAnsi="宋体" w:cs="宋体"/>
                <w:color w:val="auto"/>
                <w:szCs w:val="21"/>
                <w:highlight w:val="none"/>
              </w:rPr>
              <w:t>开标后，采购组织机构在山西省政府采购网在线发出“磋商响应文件解密”通知，</w:t>
            </w:r>
            <w:r>
              <w:rPr>
                <w:rFonts w:hint="eastAsia" w:ascii="宋体" w:hAnsi="宋体" w:cs="宋体"/>
                <w:color w:val="auto"/>
                <w:kern w:val="0"/>
                <w:szCs w:val="21"/>
                <w:highlight w:val="none"/>
              </w:rPr>
              <w:t>启动磋商响应文件的解密程序；</w:t>
            </w:r>
            <w:r>
              <w:rPr>
                <w:rFonts w:hint="eastAsia" w:ascii="宋体" w:hAnsi="宋体" w:cs="宋体"/>
                <w:color w:val="auto"/>
                <w:szCs w:val="21"/>
                <w:highlight w:val="none"/>
              </w:rPr>
              <w:t>各磋商响应供应商应当在解密通知发出后</w:t>
            </w:r>
            <w:r>
              <w:rPr>
                <w:rFonts w:ascii="宋体" w:hAnsi="宋体" w:cs="宋体"/>
                <w:color w:val="auto"/>
                <w:szCs w:val="21"/>
                <w:highlight w:val="none"/>
              </w:rPr>
              <w:t>30</w:t>
            </w:r>
            <w:r>
              <w:rPr>
                <w:rFonts w:hint="eastAsia" w:ascii="宋体" w:hAnsi="宋体" w:cs="宋体"/>
                <w:color w:val="auto"/>
                <w:szCs w:val="21"/>
                <w:highlight w:val="none"/>
              </w:rPr>
              <w:t>分钟内自行完成磋商响应文件的在线解密（解密完成后待代理机构开启报价确认后需进行报价签字确认）。供应商的磋商响应文件无法按时解密的，按磋商文件中“磋商响应文件解密异常情况处理办法”进行处理。</w:t>
            </w:r>
          </w:p>
          <w:p w14:paraId="062E3DC5">
            <w:pPr>
              <w:spacing w:line="360" w:lineRule="exact"/>
              <w:rPr>
                <w:rFonts w:ascii="宋体" w:cs="宋体"/>
                <w:b/>
                <w:color w:val="auto"/>
                <w:kern w:val="0"/>
                <w:szCs w:val="21"/>
                <w:highlight w:val="none"/>
              </w:rPr>
            </w:pPr>
            <w:r>
              <w:rPr>
                <w:rFonts w:hint="eastAsia" w:ascii="宋体" w:hAnsi="宋体" w:cs="宋体"/>
                <w:b/>
                <w:color w:val="auto"/>
                <w:szCs w:val="21"/>
                <w:highlight w:val="none"/>
              </w:rPr>
              <w:t>备注：磋商响应文件提交截止时间前，除供应商补充、修改或者撤回磋商响应文件外，任何单位和个人不得解密或提取磋商响应文件。</w:t>
            </w:r>
          </w:p>
        </w:tc>
      </w:tr>
      <w:tr w14:paraId="3B208A5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FFB1D1B">
            <w:pPr>
              <w:spacing w:line="288" w:lineRule="auto"/>
              <w:jc w:val="center"/>
              <w:rPr>
                <w:rFonts w:ascii="宋体" w:cs="宋体"/>
                <w:color w:val="auto"/>
                <w:szCs w:val="21"/>
                <w:highlight w:val="none"/>
              </w:rPr>
            </w:pPr>
            <w:r>
              <w:rPr>
                <w:rFonts w:ascii="宋体" w:hAnsi="宋体" w:cs="宋体"/>
                <w:color w:val="auto"/>
                <w:szCs w:val="21"/>
                <w:highlight w:val="none"/>
              </w:rPr>
              <w:t>7.7.1</w:t>
            </w:r>
          </w:p>
        </w:tc>
        <w:tc>
          <w:tcPr>
            <w:tcW w:w="2107" w:type="dxa"/>
            <w:noWrap/>
            <w:vAlign w:val="center"/>
          </w:tcPr>
          <w:p w14:paraId="1F986B21">
            <w:pPr>
              <w:spacing w:line="288" w:lineRule="auto"/>
              <w:jc w:val="center"/>
              <w:rPr>
                <w:rFonts w:ascii="宋体" w:cs="宋体"/>
                <w:color w:val="auto"/>
                <w:szCs w:val="21"/>
                <w:highlight w:val="none"/>
              </w:rPr>
            </w:pPr>
            <w:r>
              <w:rPr>
                <w:rFonts w:hint="eastAsia" w:ascii="宋体" w:hAnsi="宋体" w:cs="宋体"/>
                <w:color w:val="auto"/>
                <w:szCs w:val="21"/>
                <w:highlight w:val="none"/>
              </w:rPr>
              <w:t>评审方法</w:t>
            </w:r>
          </w:p>
        </w:tc>
        <w:tc>
          <w:tcPr>
            <w:tcW w:w="6031" w:type="dxa"/>
            <w:noWrap/>
            <w:vAlign w:val="center"/>
          </w:tcPr>
          <w:p w14:paraId="35528E0E">
            <w:pPr>
              <w:rPr>
                <w:rFonts w:ascii="宋体" w:cs="宋体"/>
                <w:color w:val="auto"/>
                <w:szCs w:val="21"/>
                <w:highlight w:val="none"/>
              </w:rPr>
            </w:pPr>
            <w:r>
              <w:rPr>
                <w:rFonts w:hint="eastAsia" w:ascii="宋体" w:hAnsi="宋体" w:cs="宋体"/>
                <w:color w:val="auto"/>
                <w:szCs w:val="21"/>
                <w:highlight w:val="none"/>
              </w:rPr>
              <w:t>综合评分法，详见竞争性磋商文件《第六章</w:t>
            </w:r>
            <w:r>
              <w:rPr>
                <w:rFonts w:ascii="宋体" w:hAnsi="宋体" w:cs="宋体"/>
                <w:color w:val="auto"/>
                <w:szCs w:val="21"/>
                <w:highlight w:val="none"/>
              </w:rPr>
              <w:t xml:space="preserve"> </w:t>
            </w:r>
            <w:r>
              <w:rPr>
                <w:rFonts w:hint="eastAsia" w:ascii="宋体" w:hAnsi="宋体" w:cs="宋体"/>
                <w:color w:val="auto"/>
                <w:szCs w:val="21"/>
                <w:highlight w:val="none"/>
              </w:rPr>
              <w:t>评审方法》</w:t>
            </w:r>
          </w:p>
        </w:tc>
      </w:tr>
      <w:tr w14:paraId="3B86616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A685B4F">
            <w:pPr>
              <w:spacing w:line="288" w:lineRule="auto"/>
              <w:jc w:val="center"/>
              <w:rPr>
                <w:rFonts w:ascii="宋体" w:cs="宋体"/>
                <w:bCs/>
                <w:color w:val="auto"/>
                <w:szCs w:val="21"/>
                <w:highlight w:val="none"/>
              </w:rPr>
            </w:pPr>
            <w:r>
              <w:rPr>
                <w:rFonts w:ascii="宋体" w:hAnsi="宋体" w:cs="宋体"/>
                <w:bCs/>
                <w:color w:val="auto"/>
                <w:kern w:val="0"/>
                <w:szCs w:val="21"/>
                <w:highlight w:val="none"/>
              </w:rPr>
              <w:t>7.7.2</w:t>
            </w:r>
          </w:p>
        </w:tc>
        <w:tc>
          <w:tcPr>
            <w:tcW w:w="2107" w:type="dxa"/>
            <w:noWrap/>
            <w:vAlign w:val="center"/>
          </w:tcPr>
          <w:p w14:paraId="4083E3E1">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供应商信用信息</w:t>
            </w:r>
          </w:p>
          <w:p w14:paraId="1ECA0415">
            <w:pPr>
              <w:spacing w:line="288" w:lineRule="auto"/>
              <w:jc w:val="center"/>
              <w:rPr>
                <w:rFonts w:ascii="宋体" w:cs="宋体"/>
                <w:bCs/>
                <w:color w:val="auto"/>
                <w:szCs w:val="21"/>
                <w:highlight w:val="none"/>
              </w:rPr>
            </w:pPr>
            <w:r>
              <w:rPr>
                <w:rFonts w:hint="eastAsia" w:ascii="宋体" w:hAnsi="宋体" w:cs="宋体"/>
                <w:bCs/>
                <w:color w:val="auto"/>
                <w:szCs w:val="21"/>
                <w:highlight w:val="none"/>
              </w:rPr>
              <w:t>查询、存档与使用</w:t>
            </w:r>
          </w:p>
        </w:tc>
        <w:tc>
          <w:tcPr>
            <w:tcW w:w="6031" w:type="dxa"/>
            <w:noWrap/>
            <w:vAlign w:val="center"/>
          </w:tcPr>
          <w:p w14:paraId="470B6F32">
            <w:pPr>
              <w:spacing w:line="360" w:lineRule="exact"/>
              <w:rPr>
                <w:rFonts w:ascii="宋体" w:cs="宋体"/>
                <w:b/>
                <w:color w:val="auto"/>
                <w:szCs w:val="21"/>
                <w:highlight w:val="none"/>
                <w:u w:val="singl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）根据《财政部关于在政府采购活动中查询及使用信用记录的通知》（财库〔</w:t>
            </w:r>
            <w:r>
              <w:rPr>
                <w:rFonts w:ascii="宋体" w:hAnsi="宋体" w:cs="宋体"/>
                <w:bCs/>
                <w:color w:val="auto"/>
                <w:szCs w:val="21"/>
                <w:highlight w:val="none"/>
              </w:rPr>
              <w:t>2016</w:t>
            </w:r>
            <w:r>
              <w:rPr>
                <w:rFonts w:hint="eastAsia" w:ascii="宋体" w:hAnsi="宋体" w:cs="宋体"/>
                <w:bCs/>
                <w:color w:val="auto"/>
                <w:szCs w:val="21"/>
                <w:highlight w:val="none"/>
              </w:rPr>
              <w:t>〕</w:t>
            </w:r>
            <w:r>
              <w:rPr>
                <w:rFonts w:ascii="宋体" w:hAnsi="宋体" w:cs="宋体"/>
                <w:bCs/>
                <w:color w:val="auto"/>
                <w:szCs w:val="21"/>
                <w:highlight w:val="none"/>
              </w:rPr>
              <w:t>125</w:t>
            </w:r>
            <w:r>
              <w:rPr>
                <w:rFonts w:hint="eastAsia" w:ascii="宋体" w:hAnsi="宋体" w:cs="宋体"/>
                <w:bCs/>
                <w:color w:val="auto"/>
                <w:szCs w:val="21"/>
                <w:highlight w:val="none"/>
              </w:rPr>
              <w:t>号）相关规定，采购组织机构将统一通过“信用中国”网站（</w:t>
            </w:r>
            <w:r>
              <w:rPr>
                <w:rFonts w:ascii="宋体" w:hAnsi="宋体" w:cs="宋体"/>
                <w:bCs/>
                <w:color w:val="auto"/>
                <w:szCs w:val="21"/>
                <w:highlight w:val="none"/>
              </w:rPr>
              <w:t>www.creditchina.gov.cn</w:t>
            </w:r>
            <w:r>
              <w:rPr>
                <w:rFonts w:hint="eastAsia" w:ascii="宋体" w:hAnsi="宋体" w:cs="宋体"/>
                <w:bCs/>
                <w:color w:val="auto"/>
                <w:szCs w:val="21"/>
                <w:highlight w:val="none"/>
              </w:rPr>
              <w:t>）、中国政府采购网（</w:t>
            </w:r>
            <w:r>
              <w:rPr>
                <w:rFonts w:ascii="宋体" w:hAnsi="宋体" w:cs="宋体"/>
                <w:bCs/>
                <w:color w:val="auto"/>
                <w:szCs w:val="21"/>
                <w:highlight w:val="none"/>
              </w:rPr>
              <w:t>www.ccgp.gov.cn</w:t>
            </w:r>
            <w:r>
              <w:rPr>
                <w:rFonts w:hint="eastAsia" w:ascii="宋体" w:hAnsi="宋体" w:cs="宋体"/>
                <w:bCs/>
                <w:color w:val="auto"/>
                <w:szCs w:val="21"/>
                <w:highlight w:val="none"/>
              </w:rPr>
              <w:t>）等渠道查询供应商信用记录，对供应商信用记录进行甄别。</w:t>
            </w:r>
            <w:r>
              <w:rPr>
                <w:rFonts w:hint="eastAsia" w:ascii="宋体" w:hAnsi="宋体" w:cs="宋体"/>
                <w:b/>
                <w:color w:val="auto"/>
                <w:szCs w:val="21"/>
                <w:highlight w:val="none"/>
                <w:u w:val="single"/>
              </w:rPr>
              <w:t>凡是列入失信被执行人、重大税收违法失信主体、政府采购严重违法失信行为记录名单及其他不符合《中华人民共和国政府采购法》第二十二条规定条件的供应商，一律拒绝其参加本次政府采购活动。</w:t>
            </w:r>
          </w:p>
          <w:p w14:paraId="1CB5BBA4">
            <w:pPr>
              <w:spacing w:line="360" w:lineRule="exact"/>
              <w:rPr>
                <w:rFonts w:asci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）查询工作在资格审查时由采购组织机构统一进行，查询结果留存备案。</w:t>
            </w:r>
          </w:p>
          <w:p w14:paraId="02EC3A54">
            <w:pPr>
              <w:spacing w:line="360" w:lineRule="exact"/>
              <w:rPr>
                <w:rFonts w:asci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3</w:t>
            </w:r>
            <w:r>
              <w:rPr>
                <w:rFonts w:hint="eastAsia" w:ascii="宋体" w:hAnsi="宋体" w:cs="宋体"/>
                <w:b/>
                <w:color w:val="auto"/>
                <w:szCs w:val="21"/>
                <w:highlight w:val="none"/>
              </w:rPr>
              <w:t>）以联合体形式参加采购活动的，联合体中任何一方存在“被拒绝情形”的视同联合体存在“被拒绝情形”。</w:t>
            </w:r>
          </w:p>
        </w:tc>
      </w:tr>
      <w:tr w14:paraId="7A38A6A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D52E7A3">
            <w:pPr>
              <w:spacing w:line="288" w:lineRule="auto"/>
              <w:jc w:val="center"/>
              <w:rPr>
                <w:rFonts w:ascii="宋体" w:cs="宋体"/>
                <w:color w:val="auto"/>
                <w:szCs w:val="21"/>
                <w:highlight w:val="none"/>
              </w:rPr>
            </w:pPr>
            <w:r>
              <w:rPr>
                <w:rFonts w:ascii="宋体" w:hAnsi="宋体" w:cs="宋体"/>
                <w:color w:val="auto"/>
                <w:szCs w:val="21"/>
                <w:highlight w:val="none"/>
              </w:rPr>
              <w:t>8.1.1</w:t>
            </w:r>
          </w:p>
        </w:tc>
        <w:tc>
          <w:tcPr>
            <w:tcW w:w="2107" w:type="dxa"/>
            <w:noWrap/>
            <w:vAlign w:val="center"/>
          </w:tcPr>
          <w:p w14:paraId="608D2C6F">
            <w:pPr>
              <w:spacing w:line="288" w:lineRule="auto"/>
              <w:jc w:val="center"/>
              <w:rPr>
                <w:rFonts w:ascii="宋体" w:cs="宋体"/>
                <w:color w:val="auto"/>
                <w:kern w:val="0"/>
                <w:szCs w:val="21"/>
                <w:highlight w:val="none"/>
              </w:rPr>
            </w:pPr>
            <w:r>
              <w:rPr>
                <w:rFonts w:hint="eastAsia" w:ascii="宋体" w:hAnsi="宋体" w:cs="宋体"/>
                <w:color w:val="auto"/>
                <w:kern w:val="0"/>
                <w:szCs w:val="21"/>
                <w:highlight w:val="none"/>
              </w:rPr>
              <w:t>确定成交供应商</w:t>
            </w:r>
          </w:p>
          <w:p w14:paraId="22EE7E76">
            <w:pPr>
              <w:spacing w:line="288" w:lineRule="auto"/>
              <w:jc w:val="center"/>
              <w:rPr>
                <w:rFonts w:asci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采购结果确认</w:t>
            </w:r>
            <w:r>
              <w:rPr>
                <w:rFonts w:hint="eastAsia" w:ascii="宋体" w:hAnsi="宋体" w:cs="宋体"/>
                <w:color w:val="auto"/>
                <w:kern w:val="0"/>
                <w:szCs w:val="21"/>
                <w:highlight w:val="none"/>
              </w:rPr>
              <w:t>）</w:t>
            </w:r>
          </w:p>
        </w:tc>
        <w:tc>
          <w:tcPr>
            <w:tcW w:w="6031" w:type="dxa"/>
            <w:noWrap/>
            <w:vAlign w:val="center"/>
          </w:tcPr>
          <w:p w14:paraId="32762A11">
            <w:pPr>
              <w:spacing w:line="360" w:lineRule="exact"/>
              <w:rPr>
                <w:rFonts w:ascii="宋体" w:cs="宋体"/>
                <w:b/>
                <w:color w:val="auto"/>
                <w:szCs w:val="21"/>
                <w:highlight w:val="none"/>
                <w:u w:val="single"/>
              </w:rPr>
            </w:pPr>
            <w:r>
              <w:rPr>
                <w:rFonts w:hint="eastAsia" w:ascii="宋体" w:hAnsi="宋体" w:cs="宋体"/>
                <w:b/>
                <w:color w:val="auto"/>
                <w:kern w:val="0"/>
                <w:szCs w:val="21"/>
                <w:highlight w:val="none"/>
              </w:rPr>
              <w:t>本项目由采购人根据磋商小组递交的《评审报告》，通过“山西省政府采购网”依法确定成交供应商。</w:t>
            </w:r>
            <w:r>
              <w:rPr>
                <w:rFonts w:hint="eastAsia" w:ascii="宋体" w:hAnsi="宋体" w:cs="宋体"/>
                <w:bCs/>
                <w:color w:val="auto"/>
                <w:kern w:val="0"/>
                <w:szCs w:val="21"/>
                <w:highlight w:val="none"/>
              </w:rPr>
              <w:t>具体流程见第二章第</w:t>
            </w:r>
            <w:r>
              <w:rPr>
                <w:rFonts w:ascii="宋体" w:hAnsi="宋体" w:cs="宋体"/>
                <w:bCs/>
                <w:color w:val="auto"/>
                <w:kern w:val="0"/>
                <w:szCs w:val="21"/>
                <w:highlight w:val="none"/>
              </w:rPr>
              <w:t>8.1.1</w:t>
            </w:r>
            <w:r>
              <w:rPr>
                <w:rFonts w:hint="eastAsia" w:ascii="宋体" w:hAnsi="宋体" w:cs="宋体"/>
                <w:bCs/>
                <w:color w:val="auto"/>
                <w:kern w:val="0"/>
                <w:szCs w:val="21"/>
                <w:highlight w:val="none"/>
              </w:rPr>
              <w:t>款规定。</w:t>
            </w:r>
          </w:p>
        </w:tc>
      </w:tr>
      <w:tr w14:paraId="3EB9BC7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A5EB573">
            <w:pPr>
              <w:spacing w:line="288" w:lineRule="auto"/>
              <w:jc w:val="center"/>
              <w:rPr>
                <w:rFonts w:ascii="宋体" w:cs="宋体"/>
                <w:color w:val="auto"/>
                <w:szCs w:val="21"/>
                <w:highlight w:val="none"/>
              </w:rPr>
            </w:pPr>
            <w:r>
              <w:rPr>
                <w:rFonts w:ascii="宋体" w:hAnsi="宋体" w:cs="宋体"/>
                <w:color w:val="auto"/>
                <w:szCs w:val="21"/>
                <w:highlight w:val="none"/>
              </w:rPr>
              <w:t>8.2.1</w:t>
            </w:r>
          </w:p>
        </w:tc>
        <w:tc>
          <w:tcPr>
            <w:tcW w:w="2107" w:type="dxa"/>
            <w:noWrap/>
            <w:vAlign w:val="center"/>
          </w:tcPr>
          <w:p w14:paraId="4E63F9FB">
            <w:pPr>
              <w:spacing w:line="288" w:lineRule="auto"/>
              <w:jc w:val="center"/>
              <w:rPr>
                <w:rFonts w:ascii="宋体" w:cs="宋体"/>
                <w:color w:val="auto"/>
                <w:szCs w:val="21"/>
                <w:highlight w:val="none"/>
              </w:rPr>
            </w:pPr>
            <w:r>
              <w:rPr>
                <w:rFonts w:hint="eastAsia" w:ascii="宋体" w:hAnsi="宋体" w:cs="宋体"/>
                <w:color w:val="auto"/>
                <w:szCs w:val="21"/>
                <w:highlight w:val="none"/>
              </w:rPr>
              <w:t>结果公告及《成交通知书》签发</w:t>
            </w:r>
          </w:p>
        </w:tc>
        <w:tc>
          <w:tcPr>
            <w:tcW w:w="6031" w:type="dxa"/>
            <w:noWrap/>
            <w:vAlign w:val="center"/>
          </w:tcPr>
          <w:p w14:paraId="6C7A0007">
            <w:pPr>
              <w:spacing w:line="360" w:lineRule="exact"/>
              <w:rPr>
                <w:rFonts w:ascii="宋体" w:cs="宋体"/>
                <w:bCs/>
                <w:color w:val="auto"/>
                <w:kern w:val="0"/>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1</w:t>
            </w:r>
            <w:r>
              <w:rPr>
                <w:rFonts w:hint="eastAsia" w:ascii="宋体" w:hAnsi="宋体" w:cs="宋体"/>
                <w:bCs/>
                <w:color w:val="auto"/>
                <w:kern w:val="0"/>
                <w:szCs w:val="21"/>
                <w:highlight w:val="none"/>
              </w:rPr>
              <w:t>）采购结果经采购人确认后</w:t>
            </w:r>
            <w:r>
              <w:rPr>
                <w:rFonts w:ascii="宋体" w:hAnsi="宋体" w:cs="宋体"/>
                <w:bCs/>
                <w:color w:val="auto"/>
                <w:kern w:val="0"/>
                <w:szCs w:val="21"/>
                <w:highlight w:val="none"/>
              </w:rPr>
              <w:t>2</w:t>
            </w:r>
            <w:r>
              <w:rPr>
                <w:rFonts w:hint="eastAsia" w:ascii="宋体" w:hAnsi="宋体" w:cs="宋体"/>
                <w:bCs/>
                <w:color w:val="auto"/>
                <w:kern w:val="0"/>
                <w:szCs w:val="21"/>
                <w:highlight w:val="none"/>
              </w:rPr>
              <w:t>个工作日内，采购代理机构将在“山西省政府采购网”公告采购结果，同时向成交供应商发出《成交通知书》。</w:t>
            </w:r>
          </w:p>
          <w:p w14:paraId="1F5FF153">
            <w:pPr>
              <w:spacing w:line="360" w:lineRule="exact"/>
              <w:rPr>
                <w:rFonts w:ascii="宋体" w:cs="宋体"/>
                <w:color w:val="auto"/>
                <w:szCs w:val="21"/>
                <w:highlight w:val="none"/>
              </w:rPr>
            </w:pPr>
            <w:r>
              <w:rPr>
                <w:rFonts w:hint="eastAsia" w:ascii="宋体" w:hAnsi="宋体" w:cs="宋体"/>
                <w:bCs/>
                <w:color w:val="auto"/>
                <w:kern w:val="0"/>
                <w:szCs w:val="21"/>
                <w:highlight w:val="none"/>
              </w:rPr>
              <w:t>成交公告期限为</w:t>
            </w:r>
            <w:r>
              <w:rPr>
                <w:rFonts w:ascii="宋体" w:hAnsi="宋体" w:cs="宋体"/>
                <w:bCs/>
                <w:color w:val="auto"/>
                <w:kern w:val="0"/>
                <w:szCs w:val="21"/>
                <w:highlight w:val="none"/>
              </w:rPr>
              <w:t>1</w:t>
            </w:r>
            <w:r>
              <w:rPr>
                <w:rFonts w:hint="eastAsia" w:ascii="宋体" w:hAnsi="宋体" w:cs="宋体"/>
                <w:bCs/>
                <w:color w:val="auto"/>
                <w:kern w:val="0"/>
                <w:szCs w:val="21"/>
                <w:highlight w:val="none"/>
              </w:rPr>
              <w:t>个工作日。</w:t>
            </w:r>
          </w:p>
        </w:tc>
      </w:tr>
      <w:tr w14:paraId="1FE6155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6800DB9">
            <w:pPr>
              <w:spacing w:line="288" w:lineRule="auto"/>
              <w:jc w:val="center"/>
              <w:rPr>
                <w:rFonts w:ascii="宋体" w:cs="宋体"/>
                <w:color w:val="auto"/>
                <w:szCs w:val="21"/>
                <w:highlight w:val="none"/>
              </w:rPr>
            </w:pPr>
            <w:r>
              <w:rPr>
                <w:rFonts w:ascii="宋体" w:hAnsi="宋体" w:cs="宋体"/>
                <w:color w:val="auto"/>
                <w:szCs w:val="21"/>
                <w:highlight w:val="none"/>
              </w:rPr>
              <w:t>9.1.1</w:t>
            </w:r>
          </w:p>
        </w:tc>
        <w:tc>
          <w:tcPr>
            <w:tcW w:w="2107" w:type="dxa"/>
            <w:noWrap/>
            <w:vAlign w:val="center"/>
          </w:tcPr>
          <w:p w14:paraId="299B7303">
            <w:pPr>
              <w:spacing w:line="288" w:lineRule="auto"/>
              <w:jc w:val="center"/>
              <w:rPr>
                <w:rFonts w:ascii="宋体" w:cs="宋体"/>
                <w:color w:val="auto"/>
                <w:szCs w:val="21"/>
                <w:highlight w:val="none"/>
              </w:rPr>
            </w:pPr>
            <w:r>
              <w:rPr>
                <w:rFonts w:hint="eastAsia" w:ascii="宋体" w:hAnsi="宋体" w:cs="宋体"/>
                <w:color w:val="auto"/>
                <w:szCs w:val="21"/>
                <w:highlight w:val="none"/>
              </w:rPr>
              <w:t>采购代理服务费</w:t>
            </w:r>
          </w:p>
        </w:tc>
        <w:tc>
          <w:tcPr>
            <w:tcW w:w="6031" w:type="dxa"/>
            <w:noWrap/>
            <w:vAlign w:val="center"/>
          </w:tcPr>
          <w:p w14:paraId="4B97F6DB">
            <w:pPr>
              <w:wordWrap w:val="0"/>
              <w:spacing w:line="360" w:lineRule="exact"/>
              <w:rPr>
                <w:rFonts w:ascii="宋体" w:cs="宋体"/>
                <w:color w:val="auto"/>
                <w:szCs w:val="21"/>
                <w:highlight w:val="none"/>
              </w:rPr>
            </w:pPr>
            <w:r>
              <w:rPr>
                <w:rFonts w:hint="eastAsia" w:ascii="宋体" w:hAnsi="宋体" w:cs="宋体"/>
                <w:color w:val="auto"/>
                <w:szCs w:val="21"/>
                <w:highlight w:val="none"/>
              </w:rPr>
              <w:t>采购代理服务费</w:t>
            </w:r>
            <w:r>
              <w:rPr>
                <w:rFonts w:hint="eastAsia" w:ascii="宋体" w:hAnsi="宋体" w:cs="宋体"/>
                <w:bCs/>
                <w:color w:val="auto"/>
                <w:kern w:val="0"/>
                <w:szCs w:val="21"/>
                <w:highlight w:val="none"/>
              </w:rPr>
              <w:t>由成交人支付，收费标准参照国家计委计价格（</w:t>
            </w:r>
            <w:r>
              <w:rPr>
                <w:rFonts w:ascii="宋体" w:hAnsi="宋体" w:cs="宋体"/>
                <w:bCs/>
                <w:color w:val="auto"/>
                <w:kern w:val="0"/>
                <w:szCs w:val="21"/>
                <w:highlight w:val="none"/>
              </w:rPr>
              <w:t>[2002]1980</w:t>
            </w:r>
            <w:r>
              <w:rPr>
                <w:rFonts w:hint="eastAsia" w:ascii="宋体" w:hAnsi="宋体" w:cs="宋体"/>
                <w:bCs/>
                <w:color w:val="auto"/>
                <w:kern w:val="0"/>
                <w:szCs w:val="21"/>
                <w:highlight w:val="none"/>
              </w:rPr>
              <w:t>号、及国家发改委发改价格</w:t>
            </w:r>
            <w:r>
              <w:rPr>
                <w:rFonts w:ascii="宋体" w:hAnsi="宋体" w:cs="宋体"/>
                <w:bCs/>
                <w:color w:val="auto"/>
                <w:kern w:val="0"/>
                <w:szCs w:val="21"/>
                <w:highlight w:val="none"/>
              </w:rPr>
              <w:t>[2003]857</w:t>
            </w:r>
            <w:r>
              <w:rPr>
                <w:rFonts w:hint="eastAsia" w:ascii="宋体" w:hAnsi="宋体" w:cs="宋体"/>
                <w:bCs/>
                <w:color w:val="auto"/>
                <w:kern w:val="0"/>
                <w:szCs w:val="21"/>
                <w:highlight w:val="none"/>
              </w:rPr>
              <w:t>号、《国家发展改革委关于降低部分建设项目收费标准规范收费行为等有关问题的通知》（发改价格</w:t>
            </w:r>
            <w:r>
              <w:rPr>
                <w:rFonts w:ascii="宋体" w:hAnsi="宋体" w:cs="宋体"/>
                <w:bCs/>
                <w:color w:val="auto"/>
                <w:kern w:val="0"/>
                <w:szCs w:val="21"/>
                <w:highlight w:val="none"/>
              </w:rPr>
              <w:t>[2011]534</w:t>
            </w:r>
            <w:r>
              <w:rPr>
                <w:rFonts w:hint="eastAsia" w:ascii="宋体" w:hAnsi="宋体" w:cs="宋体"/>
                <w:bCs/>
                <w:color w:val="auto"/>
                <w:kern w:val="0"/>
                <w:szCs w:val="21"/>
                <w:highlight w:val="none"/>
              </w:rPr>
              <w:t>号）文件规定收取。</w:t>
            </w:r>
          </w:p>
        </w:tc>
      </w:tr>
      <w:tr w14:paraId="468FC8A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8CC6B2A">
            <w:pPr>
              <w:spacing w:line="288" w:lineRule="auto"/>
              <w:jc w:val="center"/>
              <w:rPr>
                <w:rFonts w:ascii="宋体" w:cs="宋体"/>
                <w:color w:val="auto"/>
                <w:szCs w:val="21"/>
                <w:highlight w:val="none"/>
              </w:rPr>
            </w:pPr>
            <w:r>
              <w:rPr>
                <w:rFonts w:ascii="宋体" w:hAnsi="宋体" w:cs="宋体"/>
                <w:color w:val="auto"/>
                <w:szCs w:val="21"/>
                <w:highlight w:val="none"/>
              </w:rPr>
              <w:t>10.1.1</w:t>
            </w:r>
          </w:p>
        </w:tc>
        <w:tc>
          <w:tcPr>
            <w:tcW w:w="2107" w:type="dxa"/>
            <w:noWrap/>
            <w:vAlign w:val="center"/>
          </w:tcPr>
          <w:p w14:paraId="35380094">
            <w:pPr>
              <w:spacing w:line="288" w:lineRule="auto"/>
              <w:jc w:val="center"/>
              <w:rPr>
                <w:rFonts w:ascii="宋体" w:cs="宋体"/>
                <w:color w:val="auto"/>
                <w:szCs w:val="21"/>
                <w:highlight w:val="none"/>
              </w:rPr>
            </w:pPr>
            <w:r>
              <w:rPr>
                <w:rFonts w:hint="eastAsia" w:ascii="宋体" w:hAnsi="宋体" w:cs="宋体"/>
                <w:color w:val="auto"/>
                <w:szCs w:val="21"/>
                <w:highlight w:val="none"/>
              </w:rPr>
              <w:t>合同签订时间期限</w:t>
            </w:r>
          </w:p>
        </w:tc>
        <w:tc>
          <w:tcPr>
            <w:tcW w:w="6031" w:type="dxa"/>
            <w:noWrap/>
            <w:vAlign w:val="center"/>
          </w:tcPr>
          <w:p w14:paraId="407AEAD5">
            <w:pPr>
              <w:spacing w:line="288" w:lineRule="auto"/>
              <w:rPr>
                <w:rFonts w:ascii="宋体" w:cs="宋体"/>
                <w:color w:val="auto"/>
                <w:szCs w:val="21"/>
                <w:highlight w:val="none"/>
              </w:rPr>
            </w:pPr>
            <w:r>
              <w:rPr>
                <w:rFonts w:hint="eastAsia" w:ascii="宋体" w:hAnsi="宋体" w:cs="宋体"/>
                <w:color w:val="auto"/>
                <w:szCs w:val="21"/>
                <w:highlight w:val="none"/>
              </w:rPr>
              <w:t>《成交通知书》发出后</w:t>
            </w:r>
            <w:r>
              <w:rPr>
                <w:rFonts w:ascii="宋体" w:hAnsi="宋体" w:cs="宋体"/>
                <w:color w:val="auto"/>
                <w:szCs w:val="21"/>
                <w:highlight w:val="none"/>
              </w:rPr>
              <w:t>10</w:t>
            </w:r>
            <w:r>
              <w:rPr>
                <w:rFonts w:hint="eastAsia" w:ascii="宋体" w:hAnsi="宋体" w:cs="宋体"/>
                <w:color w:val="auto"/>
                <w:szCs w:val="21"/>
                <w:highlight w:val="none"/>
              </w:rPr>
              <w:t>天内，成交供应商应持《成交通知书》与采购人签订《政府采购合同》，最长不得超过</w:t>
            </w:r>
            <w:r>
              <w:rPr>
                <w:rFonts w:ascii="宋体" w:hAnsi="宋体" w:cs="宋体"/>
                <w:color w:val="auto"/>
                <w:szCs w:val="21"/>
                <w:highlight w:val="none"/>
              </w:rPr>
              <w:t>30</w:t>
            </w:r>
            <w:r>
              <w:rPr>
                <w:rFonts w:hint="eastAsia" w:hAnsi="宋体" w:cs="宋体"/>
                <w:color w:val="auto"/>
                <w:szCs w:val="21"/>
                <w:highlight w:val="none"/>
              </w:rPr>
              <w:t>日</w:t>
            </w:r>
            <w:r>
              <w:rPr>
                <w:rFonts w:hint="eastAsia" w:ascii="宋体" w:hAnsi="宋体" w:cs="宋体"/>
                <w:color w:val="auto"/>
                <w:szCs w:val="21"/>
                <w:highlight w:val="none"/>
              </w:rPr>
              <w:t>。</w:t>
            </w:r>
          </w:p>
        </w:tc>
      </w:tr>
      <w:tr w14:paraId="285FA28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5111E90">
            <w:pPr>
              <w:spacing w:line="288" w:lineRule="auto"/>
              <w:jc w:val="center"/>
              <w:rPr>
                <w:rFonts w:ascii="宋体" w:cs="宋体"/>
                <w:color w:val="auto"/>
                <w:szCs w:val="21"/>
                <w:highlight w:val="none"/>
              </w:rPr>
            </w:pPr>
            <w:r>
              <w:rPr>
                <w:rFonts w:ascii="宋体" w:hAnsi="宋体" w:cs="宋体"/>
                <w:color w:val="auto"/>
                <w:szCs w:val="21"/>
                <w:highlight w:val="none"/>
              </w:rPr>
              <w:t>10.2.1</w:t>
            </w:r>
          </w:p>
        </w:tc>
        <w:tc>
          <w:tcPr>
            <w:tcW w:w="2107" w:type="dxa"/>
            <w:noWrap/>
            <w:vAlign w:val="center"/>
          </w:tcPr>
          <w:p w14:paraId="4CCE2BC4">
            <w:pPr>
              <w:spacing w:line="288" w:lineRule="auto"/>
              <w:jc w:val="center"/>
              <w:rPr>
                <w:rFonts w:ascii="宋体" w:cs="宋体"/>
                <w:color w:val="auto"/>
                <w:szCs w:val="21"/>
                <w:highlight w:val="none"/>
              </w:rPr>
            </w:pPr>
            <w:r>
              <w:rPr>
                <w:rFonts w:hint="eastAsia" w:ascii="宋体" w:hAnsi="宋体" w:cs="宋体"/>
                <w:color w:val="auto"/>
                <w:szCs w:val="21"/>
                <w:highlight w:val="none"/>
              </w:rPr>
              <w:t>履约保证金</w:t>
            </w:r>
          </w:p>
        </w:tc>
        <w:tc>
          <w:tcPr>
            <w:tcW w:w="6031" w:type="dxa"/>
            <w:noWrap/>
            <w:vAlign w:val="center"/>
          </w:tcPr>
          <w:p w14:paraId="1C71D38D">
            <w:pPr>
              <w:spacing w:line="288" w:lineRule="auto"/>
              <w:rPr>
                <w:color w:val="auto"/>
                <w:highlight w:val="none"/>
                <w:lang w:val="zh-CN"/>
              </w:rPr>
            </w:pPr>
            <w:r>
              <w:rPr>
                <w:rFonts w:hint="eastAsia"/>
                <w:color w:val="auto"/>
                <w:highlight w:val="none"/>
              </w:rPr>
              <w:sym w:font="Wingdings" w:char="00FE"/>
            </w:r>
            <w:r>
              <w:rPr>
                <w:rFonts w:hint="eastAsia"/>
                <w:color w:val="auto"/>
                <w:highlight w:val="none"/>
              </w:rPr>
              <w:t>否</w:t>
            </w:r>
          </w:p>
          <w:p w14:paraId="55CD776D">
            <w:pPr>
              <w:numPr>
                <w:ilvl w:val="0"/>
                <w:numId w:val="0"/>
              </w:numPr>
              <w:adjustRightInd w:val="0"/>
              <w:snapToGrid w:val="0"/>
              <w:spacing w:line="288" w:lineRule="auto"/>
              <w:rPr>
                <w:color w:val="auto"/>
                <w:highlight w:val="none"/>
              </w:rPr>
            </w:pPr>
            <w:r>
              <w:rPr>
                <w:rFonts w:hint="eastAsia"/>
                <w:color w:val="auto"/>
                <w:highlight w:val="none"/>
              </w:rPr>
              <w:sym w:font="Wingdings" w:char="00A8"/>
            </w:r>
            <w:r>
              <w:rPr>
                <w:rFonts w:hint="eastAsia"/>
                <w:color w:val="auto"/>
                <w:highlight w:val="none"/>
              </w:rPr>
              <w:t>是</w:t>
            </w:r>
          </w:p>
          <w:p w14:paraId="466B7B12">
            <w:pPr>
              <w:spacing w:line="288" w:lineRule="auto"/>
              <w:rPr>
                <w:rFonts w:ascii="宋体" w:hAnsi="宋体" w:cs="宋体"/>
                <w:bCs/>
                <w:color w:val="auto"/>
                <w:kern w:val="0"/>
                <w:szCs w:val="21"/>
                <w:highlight w:val="none"/>
              </w:rPr>
            </w:pPr>
            <w:r>
              <w:rPr>
                <w:rFonts w:hint="eastAsia" w:ascii="宋体" w:hAnsi="宋体" w:cs="宋体"/>
                <w:bCs/>
                <w:color w:val="auto"/>
                <w:kern w:val="0"/>
                <w:szCs w:val="21"/>
                <w:highlight w:val="none"/>
              </w:rPr>
              <w:t>履约保证金形式：/</w:t>
            </w:r>
          </w:p>
          <w:p w14:paraId="245D3FA7">
            <w:pPr>
              <w:spacing w:line="288" w:lineRule="auto"/>
              <w:rPr>
                <w:color w:val="auto"/>
                <w:highlight w:val="none"/>
              </w:rPr>
            </w:pPr>
            <w:r>
              <w:rPr>
                <w:rFonts w:hint="eastAsia" w:ascii="宋体" w:hAnsi="宋体" w:cs="宋体"/>
                <w:bCs/>
                <w:color w:val="auto"/>
                <w:kern w:val="0"/>
                <w:szCs w:val="21"/>
                <w:highlight w:val="none"/>
              </w:rPr>
              <w:t>履约保证金金额：/</w:t>
            </w:r>
          </w:p>
        </w:tc>
      </w:tr>
      <w:tr w14:paraId="1AFCEF5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7EB5CCC">
            <w:pPr>
              <w:spacing w:line="288" w:lineRule="auto"/>
              <w:jc w:val="center"/>
              <w:rPr>
                <w:rFonts w:ascii="宋体" w:cs="宋体"/>
                <w:color w:val="auto"/>
                <w:szCs w:val="21"/>
                <w:highlight w:val="none"/>
              </w:rPr>
            </w:pPr>
            <w:r>
              <w:rPr>
                <w:rFonts w:ascii="宋体" w:hAnsi="宋体" w:cs="宋体"/>
                <w:color w:val="auto"/>
                <w:szCs w:val="21"/>
                <w:highlight w:val="none"/>
              </w:rPr>
              <w:t>11.1.1</w:t>
            </w:r>
          </w:p>
        </w:tc>
        <w:tc>
          <w:tcPr>
            <w:tcW w:w="2107" w:type="dxa"/>
            <w:noWrap/>
            <w:vAlign w:val="center"/>
          </w:tcPr>
          <w:p w14:paraId="1B54080E">
            <w:pPr>
              <w:spacing w:line="288" w:lineRule="auto"/>
              <w:jc w:val="center"/>
              <w:rPr>
                <w:rFonts w:ascii="宋体" w:cs="宋体"/>
                <w:color w:val="auto"/>
                <w:szCs w:val="21"/>
                <w:highlight w:val="none"/>
              </w:rPr>
            </w:pPr>
            <w:r>
              <w:rPr>
                <w:rFonts w:hint="eastAsia" w:ascii="宋体" w:hAnsi="宋体" w:cs="宋体"/>
                <w:color w:val="auto"/>
                <w:szCs w:val="21"/>
                <w:highlight w:val="none"/>
              </w:rPr>
              <w:t>政府采购信用融资</w:t>
            </w:r>
          </w:p>
        </w:tc>
        <w:tc>
          <w:tcPr>
            <w:tcW w:w="6031" w:type="dxa"/>
            <w:noWrap/>
            <w:vAlign w:val="center"/>
          </w:tcPr>
          <w:p w14:paraId="01C5C400">
            <w:pPr>
              <w:spacing w:line="360" w:lineRule="exact"/>
              <w:rPr>
                <w:rFonts w:ascii="宋体" w:cs="宋体"/>
                <w:color w:val="auto"/>
                <w:szCs w:val="21"/>
                <w:highlight w:val="none"/>
              </w:rPr>
            </w:pPr>
            <w:r>
              <w:rPr>
                <w:rFonts w:hint="eastAsia" w:ascii="宋体" w:hAnsi="宋体" w:cs="宋体"/>
                <w:color w:val="auto"/>
                <w:szCs w:val="21"/>
                <w:highlight w:val="none"/>
              </w:rPr>
              <w:t>根据山西省财政厅关于印发《山西省政府采购信用融资工作方案（试行）》的通知（晋财购</w:t>
            </w:r>
            <w:r>
              <w:rPr>
                <w:rFonts w:ascii="宋体" w:hAnsi="宋体" w:cs="宋体"/>
                <w:color w:val="auto"/>
                <w:szCs w:val="21"/>
                <w:highlight w:val="none"/>
              </w:rPr>
              <w:t>[2018]41</w:t>
            </w:r>
            <w:r>
              <w:rPr>
                <w:rFonts w:hint="eastAsia" w:ascii="宋体" w:hAnsi="宋体" w:cs="宋体"/>
                <w:color w:val="auto"/>
                <w:szCs w:val="21"/>
                <w:highlight w:val="none"/>
              </w:rPr>
              <w:t>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w:t>
            </w:r>
            <w:r>
              <w:rPr>
                <w:rFonts w:ascii="宋体" w:hAnsi="宋体" w:cs="宋体"/>
                <w:color w:val="auto"/>
                <w:szCs w:val="21"/>
                <w:highlight w:val="none"/>
              </w:rPr>
              <w:t>http://www.ccgp-shanxi.gov.cn/</w:t>
            </w:r>
            <w:r>
              <w:rPr>
                <w:rFonts w:hint="eastAsia" w:ascii="宋体" w:hAnsi="宋体" w:cs="宋体"/>
                <w:color w:val="auto"/>
                <w:szCs w:val="21"/>
                <w:highlight w:val="none"/>
              </w:rPr>
              <w:t>）政府采购融资平台栏目了解相关信息。</w:t>
            </w:r>
          </w:p>
        </w:tc>
      </w:tr>
      <w:tr w14:paraId="587D850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476D76A">
            <w:pPr>
              <w:spacing w:line="288" w:lineRule="auto"/>
              <w:jc w:val="center"/>
              <w:rPr>
                <w:rFonts w:ascii="宋体" w:cs="宋体"/>
                <w:color w:val="auto"/>
                <w:szCs w:val="21"/>
                <w:highlight w:val="none"/>
              </w:rPr>
            </w:pPr>
            <w:r>
              <w:rPr>
                <w:rFonts w:ascii="宋体" w:hAnsi="宋体" w:cs="宋体"/>
                <w:color w:val="auto"/>
                <w:szCs w:val="21"/>
                <w:highlight w:val="none"/>
              </w:rPr>
              <w:t>11.2.1</w:t>
            </w:r>
          </w:p>
        </w:tc>
        <w:tc>
          <w:tcPr>
            <w:tcW w:w="2107" w:type="dxa"/>
            <w:noWrap/>
            <w:vAlign w:val="center"/>
          </w:tcPr>
          <w:p w14:paraId="0E32E330">
            <w:pPr>
              <w:spacing w:line="288" w:lineRule="auto"/>
              <w:jc w:val="center"/>
              <w:rPr>
                <w:rFonts w:ascii="宋体" w:cs="宋体"/>
                <w:color w:val="auto"/>
                <w:szCs w:val="21"/>
                <w:highlight w:val="none"/>
              </w:rPr>
            </w:pPr>
            <w:r>
              <w:rPr>
                <w:rFonts w:hint="eastAsia" w:ascii="宋体" w:hAnsi="宋体" w:cs="宋体"/>
                <w:b/>
                <w:bCs/>
                <w:color w:val="auto"/>
                <w:szCs w:val="21"/>
                <w:highlight w:val="none"/>
              </w:rPr>
              <w:t>重要提醒</w:t>
            </w:r>
          </w:p>
        </w:tc>
        <w:tc>
          <w:tcPr>
            <w:tcW w:w="6031" w:type="dxa"/>
            <w:noWrap/>
            <w:vAlign w:val="center"/>
          </w:tcPr>
          <w:p w14:paraId="51426EA5">
            <w:pPr>
              <w:spacing w:line="36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）磋商响应供应商应仔细对照磋商须知条款阅读本表，如本表与须知内容就同一事项规定不一致的，以本表为准；</w:t>
            </w:r>
          </w:p>
          <w:p w14:paraId="7C9B9158">
            <w:pPr>
              <w:spacing w:line="36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磋商响应供应商在编制磋商响应文件时应作出符合客观事实的真实响应，采购人不接受任何不符客观事实的“响应”或者“应标”，情节严重的可视为“提供虚假材料”行为，并参照“提供虚假材料”进行处理；</w:t>
            </w:r>
          </w:p>
          <w:p w14:paraId="7723E243">
            <w:pPr>
              <w:spacing w:line="36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）竞争性磋商文件中标注“★”的技术或商务条款均为实质性要求条款，不满足实质性要求条款的磋商响应无效；</w:t>
            </w:r>
          </w:p>
          <w:p w14:paraId="36AC29F0">
            <w:pPr>
              <w:spacing w:line="360" w:lineRule="exac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14:paraId="05D1B0EF">
            <w:pPr>
              <w:spacing w:line="360" w:lineRule="exact"/>
              <w:rPr>
                <w:rFonts w:ascii="宋体" w:cs="宋体"/>
                <w:b/>
                <w:b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供应商在通过资格性及符合性审查后由磋商小组发起进入最后报价阶段，供应商需在规定的时间内进行最后报价，竞争性磋商报价以最后报价为准。单价同比例下浮（不可竞争费含安全文明施工费、临时设施费、环境保护费费用、税金及暂列金不下浮）。</w:t>
            </w:r>
          </w:p>
        </w:tc>
      </w:tr>
      <w:tr w14:paraId="06C6D7D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26482CE">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107" w:type="dxa"/>
            <w:noWrap/>
            <w:vAlign w:val="center"/>
          </w:tcPr>
          <w:p w14:paraId="44FAF3F3">
            <w:pPr>
              <w:spacing w:line="288" w:lineRule="auto"/>
              <w:jc w:val="center"/>
              <w:rPr>
                <w:rFonts w:ascii="宋体" w:hAnsi="宋体" w:cs="宋体"/>
                <w:b/>
                <w:bCs/>
                <w:color w:val="auto"/>
                <w:szCs w:val="21"/>
                <w:highlight w:val="none"/>
              </w:rPr>
            </w:pPr>
            <w:r>
              <w:rPr>
                <w:rFonts w:hint="eastAsia" w:ascii="宋体" w:hAnsi="宋体"/>
                <w:color w:val="auto"/>
                <w:szCs w:val="21"/>
                <w:highlight w:val="none"/>
              </w:rPr>
              <w:t>所属行业</w:t>
            </w:r>
          </w:p>
        </w:tc>
        <w:tc>
          <w:tcPr>
            <w:tcW w:w="6031" w:type="dxa"/>
            <w:noWrap/>
            <w:vAlign w:val="center"/>
          </w:tcPr>
          <w:p w14:paraId="6A6D8652">
            <w:pPr>
              <w:spacing w:line="360" w:lineRule="exact"/>
              <w:rPr>
                <w:rFonts w:ascii="宋体" w:hAnsi="宋体" w:cs="宋体"/>
                <w:color w:val="auto"/>
                <w:szCs w:val="21"/>
                <w:highlight w:val="none"/>
              </w:rPr>
            </w:pPr>
            <w:r>
              <w:rPr>
                <w:rFonts w:hint="eastAsia" w:ascii="宋体" w:hAnsi="宋体" w:cs="宋体"/>
                <w:color w:val="auto"/>
                <w:szCs w:val="21"/>
                <w:highlight w:val="none"/>
              </w:rPr>
              <w:t>建筑业</w:t>
            </w:r>
          </w:p>
        </w:tc>
      </w:tr>
    </w:tbl>
    <w:p w14:paraId="1553746E">
      <w:pPr>
        <w:rPr>
          <w:rFonts w:ascii="宋体" w:cs="宋体"/>
          <w:color w:val="auto"/>
          <w:highlight w:val="none"/>
        </w:rPr>
      </w:pPr>
    </w:p>
    <w:p w14:paraId="3DA65636">
      <w:pPr>
        <w:pStyle w:val="2"/>
        <w:spacing w:before="317" w:beforeLines="100" w:after="317" w:afterLines="100"/>
        <w:jc w:val="both"/>
        <w:rPr>
          <w:rFonts w:ascii="宋体" w:hAnsi="宋体" w:eastAsia="宋体" w:cs="宋体"/>
          <w:color w:val="auto"/>
          <w:sz w:val="28"/>
          <w:szCs w:val="28"/>
          <w:highlight w:val="none"/>
        </w:rPr>
      </w:pPr>
      <w:r>
        <w:rPr>
          <w:rFonts w:ascii="宋体" w:hAnsi="宋体" w:eastAsia="宋体" w:cs="宋体"/>
          <w:color w:val="auto"/>
          <w:highlight w:val="none"/>
        </w:rPr>
        <w:br w:type="page"/>
      </w:r>
      <w:bookmarkEnd w:id="35"/>
      <w:bookmarkEnd w:id="36"/>
      <w:bookmarkEnd w:id="37"/>
      <w:bookmarkStart w:id="50" w:name="_Toc82338239"/>
      <w:bookmarkStart w:id="51" w:name="_Toc82873322"/>
      <w:bookmarkStart w:id="52" w:name="_Toc8123"/>
      <w:bookmarkStart w:id="53" w:name="_Toc15936"/>
      <w:bookmarkStart w:id="54" w:name="_Toc24898"/>
      <w:bookmarkStart w:id="55" w:name="_Toc81341318"/>
      <w:bookmarkStart w:id="56" w:name="_Toc25063"/>
      <w:bookmarkStart w:id="57" w:name="_Toc7093"/>
      <w:bookmarkStart w:id="58" w:name="_Toc20302"/>
      <w:bookmarkStart w:id="59" w:name="_Toc20216"/>
      <w:r>
        <w:rPr>
          <w:rFonts w:hint="eastAsia" w:ascii="宋体" w:hAnsi="宋体" w:eastAsia="宋体" w:cs="宋体"/>
          <w:color w:val="auto"/>
          <w:sz w:val="24"/>
          <w:szCs w:val="24"/>
          <w:highlight w:val="none"/>
        </w:rPr>
        <w:t>一、</w:t>
      </w:r>
      <w:bookmarkEnd w:id="50"/>
      <w:bookmarkEnd w:id="51"/>
      <w:r>
        <w:rPr>
          <w:rFonts w:hint="eastAsia" w:ascii="宋体" w:hAnsi="宋体" w:eastAsia="宋体" w:cs="宋体"/>
          <w:color w:val="auto"/>
          <w:sz w:val="24"/>
          <w:szCs w:val="24"/>
          <w:highlight w:val="none"/>
        </w:rPr>
        <w:t>总则</w:t>
      </w:r>
      <w:bookmarkEnd w:id="52"/>
      <w:bookmarkEnd w:id="53"/>
      <w:bookmarkEnd w:id="54"/>
      <w:bookmarkEnd w:id="55"/>
      <w:bookmarkEnd w:id="56"/>
      <w:bookmarkEnd w:id="57"/>
      <w:bookmarkEnd w:id="58"/>
      <w:bookmarkEnd w:id="59"/>
    </w:p>
    <w:p w14:paraId="31461C93">
      <w:pPr>
        <w:keepNext/>
        <w:keepLines/>
        <w:spacing w:line="360" w:lineRule="auto"/>
        <w:ind w:firstLine="422" w:firstLineChars="200"/>
        <w:outlineLvl w:val="2"/>
        <w:rPr>
          <w:rFonts w:ascii="宋体" w:cs="宋体"/>
          <w:b/>
          <w:bCs/>
          <w:color w:val="auto"/>
          <w:szCs w:val="21"/>
          <w:highlight w:val="none"/>
        </w:rPr>
      </w:pPr>
      <w:bookmarkStart w:id="60" w:name="_Toc82338240"/>
      <w:bookmarkStart w:id="61" w:name="_Toc82873323"/>
      <w:r>
        <w:rPr>
          <w:rFonts w:ascii="宋体" w:hAnsi="宋体" w:cs="宋体"/>
          <w:b/>
          <w:bCs/>
          <w:color w:val="auto"/>
          <w:szCs w:val="21"/>
          <w:highlight w:val="none"/>
        </w:rPr>
        <w:t xml:space="preserve">1.1 </w:t>
      </w:r>
      <w:r>
        <w:rPr>
          <w:rFonts w:hint="eastAsia" w:ascii="宋体" w:hAnsi="宋体" w:cs="宋体"/>
          <w:b/>
          <w:bCs/>
          <w:color w:val="auto"/>
          <w:szCs w:val="21"/>
          <w:highlight w:val="none"/>
        </w:rPr>
        <w:t>实施依据及适用范围</w:t>
      </w:r>
    </w:p>
    <w:p w14:paraId="69C30DC3">
      <w:pPr>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1.1.1</w:t>
      </w:r>
      <w:r>
        <w:rPr>
          <w:rFonts w:hint="eastAsia" w:ascii="宋体" w:hAnsi="宋体" w:cs="宋体"/>
          <w:color w:val="auto"/>
          <w:kern w:val="0"/>
          <w:szCs w:val="21"/>
          <w:highlight w:val="none"/>
        </w:rPr>
        <w:t>实施依据：本次采购工作按照《中华人民共和国政府采购法》、《中华人民共和国政府采购法实施条例》、财政部关于印发《政府采购竞争性磋商采购方式管理暂行办法》的通知（财库</w:t>
      </w:r>
      <w:r>
        <w:rPr>
          <w:rFonts w:ascii="宋体" w:hAnsi="宋体" w:cs="宋体"/>
          <w:color w:val="auto"/>
          <w:kern w:val="0"/>
          <w:szCs w:val="21"/>
          <w:highlight w:val="none"/>
        </w:rPr>
        <w:t>[2014]214</w:t>
      </w:r>
      <w:r>
        <w:rPr>
          <w:rFonts w:hint="eastAsia" w:ascii="宋体" w:hAnsi="宋体" w:cs="宋体"/>
          <w:color w:val="auto"/>
          <w:kern w:val="0"/>
          <w:szCs w:val="21"/>
          <w:highlight w:val="none"/>
        </w:rPr>
        <w:t>号）等政府采购有关法律、法规、规章、文件的规定组织和实施；</w:t>
      </w:r>
    </w:p>
    <w:p w14:paraId="7AF3F449">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1.1.2</w:t>
      </w:r>
      <w:r>
        <w:rPr>
          <w:rFonts w:hint="eastAsia" w:ascii="宋体" w:hAnsi="宋体" w:cs="宋体"/>
          <w:color w:val="auto"/>
          <w:kern w:val="0"/>
          <w:szCs w:val="21"/>
          <w:highlight w:val="none"/>
        </w:rPr>
        <w:t>本竞争性磋商文件适用于本项目的采购、响应、磋商、评标、定标、验收、合同履约、付款等（法律、法规另有规定的，从其规定）。</w:t>
      </w:r>
    </w:p>
    <w:p w14:paraId="7BEF9DC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1.2 </w:t>
      </w:r>
      <w:r>
        <w:rPr>
          <w:rFonts w:hint="eastAsia" w:ascii="宋体" w:hAnsi="宋体" w:cs="宋体"/>
          <w:b/>
          <w:bCs/>
          <w:color w:val="auto"/>
          <w:szCs w:val="21"/>
          <w:highlight w:val="none"/>
        </w:rPr>
        <w:t>项目基本信息</w:t>
      </w:r>
    </w:p>
    <w:p w14:paraId="32851F3B">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1.2.1</w:t>
      </w:r>
      <w:r>
        <w:rPr>
          <w:rFonts w:hint="eastAsia" w:ascii="宋体" w:hAnsi="宋体" w:cs="宋体"/>
          <w:bCs/>
          <w:color w:val="auto"/>
          <w:szCs w:val="21"/>
          <w:highlight w:val="none"/>
        </w:rPr>
        <w:t>项目名称：</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380BF3F9">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1.2.2</w:t>
      </w:r>
      <w:r>
        <w:rPr>
          <w:rFonts w:hint="eastAsia" w:ascii="宋体" w:hAnsi="宋体" w:cs="宋体"/>
          <w:bCs/>
          <w:color w:val="auto"/>
          <w:szCs w:val="21"/>
          <w:highlight w:val="none"/>
        </w:rPr>
        <w:t>项目编号：</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3D9B739F">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1.2.3</w:t>
      </w:r>
      <w:r>
        <w:rPr>
          <w:rFonts w:hint="eastAsia" w:ascii="宋体" w:hAnsi="宋体" w:cs="宋体"/>
          <w:bCs/>
          <w:color w:val="auto"/>
          <w:szCs w:val="21"/>
          <w:highlight w:val="none"/>
        </w:rPr>
        <w:t>采购内容：</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0FAF5E46">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1.2.4</w:t>
      </w:r>
      <w:r>
        <w:rPr>
          <w:rFonts w:hint="eastAsia" w:ascii="宋体" w:hAnsi="宋体" w:cs="宋体"/>
          <w:bCs/>
          <w:color w:val="auto"/>
          <w:szCs w:val="21"/>
          <w:highlight w:val="none"/>
        </w:rPr>
        <w:t>预算金额：</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55C07028">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1.2.5</w:t>
      </w:r>
      <w:r>
        <w:rPr>
          <w:rFonts w:hint="eastAsia" w:ascii="宋体" w:hAnsi="宋体" w:cs="宋体"/>
          <w:bCs/>
          <w:color w:val="auto"/>
          <w:szCs w:val="21"/>
          <w:highlight w:val="none"/>
        </w:rPr>
        <w:t>资金落实情况：</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529B885F">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1.2.6</w:t>
      </w:r>
      <w:r>
        <w:rPr>
          <w:rFonts w:hint="eastAsia" w:ascii="宋体" w:hAnsi="宋体" w:cs="宋体"/>
          <w:bCs/>
          <w:color w:val="auto"/>
          <w:szCs w:val="21"/>
          <w:highlight w:val="none"/>
        </w:rPr>
        <w:t>采购人：</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33CB762F">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1.2.7</w:t>
      </w:r>
      <w:r>
        <w:rPr>
          <w:rFonts w:hint="eastAsia" w:ascii="宋体" w:hAnsi="宋体" w:cs="宋体"/>
          <w:bCs/>
          <w:color w:val="auto"/>
          <w:szCs w:val="21"/>
          <w:highlight w:val="none"/>
        </w:rPr>
        <w:t>采购代理机构：</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1F81C277">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1.2.8</w:t>
      </w:r>
      <w:r>
        <w:rPr>
          <w:rFonts w:hint="eastAsia" w:ascii="宋体" w:hAnsi="宋体" w:cs="宋体"/>
          <w:bCs/>
          <w:color w:val="auto"/>
          <w:szCs w:val="21"/>
          <w:highlight w:val="none"/>
        </w:rPr>
        <w:t>交易方式：</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500E1D74">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1.2.9</w:t>
      </w:r>
      <w:r>
        <w:rPr>
          <w:rFonts w:hint="eastAsia" w:ascii="宋体" w:hAnsi="宋体" w:cs="宋体"/>
          <w:bCs/>
          <w:color w:val="auto"/>
          <w:szCs w:val="21"/>
          <w:highlight w:val="none"/>
        </w:rPr>
        <w:t>电子交易平台：</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488CDD42">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1.2.10</w:t>
      </w:r>
      <w:r>
        <w:rPr>
          <w:rFonts w:hint="eastAsia" w:ascii="宋体" w:hAnsi="宋体" w:cs="宋体"/>
          <w:bCs/>
          <w:color w:val="auto"/>
          <w:szCs w:val="21"/>
          <w:highlight w:val="none"/>
        </w:rPr>
        <w:t>工期：</w:t>
      </w:r>
      <w:r>
        <w:rPr>
          <w:rFonts w:hint="eastAsia" w:ascii="宋体" w:hAnsi="宋体" w:cs="宋体"/>
          <w:bCs/>
          <w:color w:val="auto"/>
          <w:szCs w:val="21"/>
          <w:highlight w:val="none"/>
          <w:u w:val="single"/>
        </w:rPr>
        <w:t>见《磋商须知前附表》。</w:t>
      </w:r>
    </w:p>
    <w:p w14:paraId="5F10F8F4">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1.3 </w:t>
      </w:r>
      <w:r>
        <w:rPr>
          <w:rFonts w:hint="eastAsia" w:ascii="宋体" w:hAnsi="宋体" w:cs="宋体"/>
          <w:b/>
          <w:bCs/>
          <w:color w:val="auto"/>
          <w:szCs w:val="21"/>
          <w:highlight w:val="none"/>
        </w:rPr>
        <w:t>采购方式和采购组织类型</w:t>
      </w:r>
    </w:p>
    <w:p w14:paraId="292B8986">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1.3.1</w:t>
      </w:r>
      <w:r>
        <w:rPr>
          <w:rFonts w:hint="eastAsia" w:ascii="宋体" w:hAnsi="宋体" w:cs="宋体"/>
          <w:bCs/>
          <w:color w:val="auto"/>
          <w:kern w:val="0"/>
          <w:szCs w:val="21"/>
          <w:highlight w:val="none"/>
        </w:rPr>
        <w:t>采购方式：</w:t>
      </w:r>
      <w:r>
        <w:rPr>
          <w:rFonts w:hint="eastAsia" w:ascii="宋体" w:hAnsi="宋体" w:cs="宋体"/>
          <w:bCs/>
          <w:color w:val="auto"/>
          <w:kern w:val="0"/>
          <w:szCs w:val="21"/>
          <w:highlight w:val="none"/>
          <w:u w:val="single"/>
        </w:rPr>
        <w:t>见《磋商须知前附表》</w:t>
      </w:r>
      <w:r>
        <w:rPr>
          <w:rFonts w:hint="eastAsia" w:ascii="宋体" w:hAnsi="宋体" w:cs="宋体"/>
          <w:bCs/>
          <w:color w:val="auto"/>
          <w:szCs w:val="21"/>
          <w:highlight w:val="none"/>
        </w:rPr>
        <w:t>；</w:t>
      </w:r>
    </w:p>
    <w:p w14:paraId="0647AE34">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1.3.2</w:t>
      </w:r>
      <w:r>
        <w:rPr>
          <w:rFonts w:hint="eastAsia" w:ascii="宋体" w:hAnsi="宋体" w:cs="宋体"/>
          <w:bCs/>
          <w:color w:val="auto"/>
          <w:kern w:val="0"/>
          <w:szCs w:val="21"/>
          <w:highlight w:val="none"/>
        </w:rPr>
        <w:t>采购组织类型：</w:t>
      </w:r>
      <w:r>
        <w:rPr>
          <w:rFonts w:hint="eastAsia" w:ascii="宋体" w:hAnsi="宋体" w:cs="宋体"/>
          <w:bCs/>
          <w:color w:val="auto"/>
          <w:kern w:val="0"/>
          <w:szCs w:val="21"/>
          <w:highlight w:val="none"/>
          <w:u w:val="single"/>
        </w:rPr>
        <w:t>见《磋商须知前附表》</w:t>
      </w:r>
      <w:r>
        <w:rPr>
          <w:rFonts w:hint="eastAsia" w:ascii="宋体" w:hAnsi="宋体" w:cs="宋体"/>
          <w:bCs/>
          <w:color w:val="auto"/>
          <w:kern w:val="0"/>
          <w:szCs w:val="21"/>
          <w:highlight w:val="none"/>
        </w:rPr>
        <w:t>。</w:t>
      </w:r>
    </w:p>
    <w:p w14:paraId="06F2B02D">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1.4 </w:t>
      </w:r>
      <w:r>
        <w:rPr>
          <w:rFonts w:hint="eastAsia" w:ascii="宋体" w:hAnsi="宋体" w:cs="宋体"/>
          <w:b/>
          <w:bCs/>
          <w:color w:val="auto"/>
          <w:szCs w:val="21"/>
          <w:highlight w:val="none"/>
        </w:rPr>
        <w:t>合格供应商资格要求</w:t>
      </w:r>
    </w:p>
    <w:p w14:paraId="275D5310">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1.4.1</w:t>
      </w:r>
      <w:r>
        <w:rPr>
          <w:rFonts w:hint="eastAsia" w:ascii="宋体" w:hAnsi="宋体" w:cs="宋体"/>
          <w:bCs/>
          <w:color w:val="auto"/>
          <w:szCs w:val="21"/>
          <w:highlight w:val="none"/>
        </w:rPr>
        <w:t>合格供应商“基本资格”要求：</w:t>
      </w:r>
      <w:r>
        <w:rPr>
          <w:rFonts w:hint="eastAsia" w:ascii="宋体" w:hAnsi="宋体" w:cs="宋体"/>
          <w:bCs/>
          <w:color w:val="auto"/>
          <w:kern w:val="0"/>
          <w:szCs w:val="21"/>
          <w:highlight w:val="none"/>
          <w:u w:val="single"/>
        </w:rPr>
        <w:t>见《第一章</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竞争性磋商公告》</w:t>
      </w:r>
      <w:r>
        <w:rPr>
          <w:rFonts w:hint="eastAsia" w:ascii="宋体" w:hAnsi="宋体" w:cs="宋体"/>
          <w:bCs/>
          <w:color w:val="auto"/>
          <w:kern w:val="0"/>
          <w:szCs w:val="21"/>
          <w:highlight w:val="none"/>
        </w:rPr>
        <w:t>；</w:t>
      </w:r>
    </w:p>
    <w:p w14:paraId="424866CD">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1.4.2</w:t>
      </w:r>
      <w:r>
        <w:rPr>
          <w:rFonts w:hint="eastAsia" w:ascii="宋体" w:hAnsi="宋体" w:cs="宋体"/>
          <w:bCs/>
          <w:color w:val="auto"/>
          <w:szCs w:val="21"/>
          <w:highlight w:val="none"/>
        </w:rPr>
        <w:t>合格供应商“特定资格”要求：</w:t>
      </w:r>
      <w:r>
        <w:rPr>
          <w:rFonts w:hint="eastAsia" w:ascii="宋体" w:hAnsi="宋体" w:cs="宋体"/>
          <w:bCs/>
          <w:color w:val="auto"/>
          <w:kern w:val="0"/>
          <w:szCs w:val="21"/>
          <w:highlight w:val="none"/>
          <w:u w:val="single"/>
        </w:rPr>
        <w:t>见《第一章</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竞争性磋商公告》</w:t>
      </w:r>
      <w:r>
        <w:rPr>
          <w:rFonts w:hint="eastAsia" w:ascii="宋体" w:hAnsi="宋体" w:cs="宋体"/>
          <w:bCs/>
          <w:color w:val="auto"/>
          <w:kern w:val="0"/>
          <w:szCs w:val="21"/>
          <w:highlight w:val="none"/>
        </w:rPr>
        <w:t>。</w:t>
      </w:r>
    </w:p>
    <w:p w14:paraId="6E9CA614">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1.5 </w:t>
      </w:r>
      <w:r>
        <w:rPr>
          <w:rFonts w:hint="eastAsia" w:ascii="宋体" w:hAnsi="宋体" w:cs="宋体"/>
          <w:b/>
          <w:bCs/>
          <w:color w:val="auto"/>
          <w:szCs w:val="21"/>
          <w:highlight w:val="none"/>
        </w:rPr>
        <w:t>定义</w:t>
      </w:r>
    </w:p>
    <w:p w14:paraId="0A9C44C8">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w:t>
      </w:r>
      <w:r>
        <w:rPr>
          <w:rFonts w:hint="eastAsia" w:ascii="宋体" w:hAnsi="宋体" w:cs="宋体"/>
          <w:b/>
          <w:color w:val="auto"/>
          <w:kern w:val="0"/>
          <w:szCs w:val="21"/>
          <w:highlight w:val="none"/>
        </w:rPr>
        <w:t>“采购人”：</w:t>
      </w:r>
      <w:r>
        <w:rPr>
          <w:rFonts w:hint="eastAsia" w:ascii="宋体" w:hAnsi="宋体" w:cs="宋体"/>
          <w:color w:val="auto"/>
          <w:szCs w:val="21"/>
          <w:highlight w:val="none"/>
        </w:rPr>
        <w:t>是</w:t>
      </w:r>
      <w:r>
        <w:rPr>
          <w:rFonts w:hint="eastAsia" w:ascii="宋体" w:hAnsi="宋体" w:cs="宋体"/>
          <w:color w:val="auto"/>
          <w:kern w:val="0"/>
          <w:szCs w:val="21"/>
          <w:highlight w:val="none"/>
        </w:rPr>
        <w:t>指依法进行政府采购的国家机关、事业单位、团体组织，即政府采购合同中的“甲方”；</w:t>
      </w:r>
    </w:p>
    <w:p w14:paraId="28075558">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1.5.2</w:t>
      </w:r>
      <w:r>
        <w:rPr>
          <w:rFonts w:hint="eastAsia" w:ascii="宋体" w:hAnsi="宋体" w:cs="宋体"/>
          <w:b/>
          <w:color w:val="auto"/>
          <w:kern w:val="0"/>
          <w:szCs w:val="21"/>
          <w:highlight w:val="none"/>
        </w:rPr>
        <w:t>“采购代理机构”：</w:t>
      </w:r>
      <w:r>
        <w:rPr>
          <w:rFonts w:hint="eastAsia" w:ascii="宋体" w:hAnsi="宋体" w:cs="宋体"/>
          <w:color w:val="auto"/>
          <w:szCs w:val="21"/>
          <w:highlight w:val="none"/>
        </w:rPr>
        <w:t>是</w:t>
      </w:r>
      <w:r>
        <w:rPr>
          <w:rFonts w:hint="eastAsia" w:ascii="宋体" w:hAnsi="宋体" w:cs="宋体"/>
          <w:color w:val="auto"/>
          <w:kern w:val="0"/>
          <w:szCs w:val="21"/>
          <w:highlight w:val="none"/>
        </w:rPr>
        <w:t>指受采购人委托，在委托的范围内办理采购事宜的机构；</w:t>
      </w:r>
    </w:p>
    <w:p w14:paraId="3C61DCA6">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1.5.3</w:t>
      </w:r>
      <w:r>
        <w:rPr>
          <w:rFonts w:hint="eastAsia" w:ascii="宋体" w:hAnsi="宋体" w:cs="宋体"/>
          <w:b/>
          <w:color w:val="auto"/>
          <w:kern w:val="0"/>
          <w:szCs w:val="21"/>
          <w:highlight w:val="none"/>
        </w:rPr>
        <w:t>“采购组织机构”：</w:t>
      </w:r>
      <w:r>
        <w:rPr>
          <w:rFonts w:hint="eastAsia" w:ascii="宋体" w:hAnsi="宋体" w:cs="宋体"/>
          <w:color w:val="auto"/>
          <w:szCs w:val="21"/>
          <w:highlight w:val="none"/>
        </w:rPr>
        <w:t>是</w:t>
      </w:r>
      <w:r>
        <w:rPr>
          <w:rFonts w:hint="eastAsia" w:ascii="宋体" w:hAnsi="宋体" w:cs="宋体"/>
          <w:color w:val="auto"/>
          <w:kern w:val="0"/>
          <w:szCs w:val="21"/>
          <w:highlight w:val="none"/>
        </w:rPr>
        <w:t>指采购人和受采购人委托的采购代理机构；</w:t>
      </w:r>
    </w:p>
    <w:p w14:paraId="115A9151">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1.5.4</w:t>
      </w:r>
      <w:r>
        <w:rPr>
          <w:rFonts w:hint="eastAsia" w:ascii="宋体" w:hAnsi="宋体" w:cs="宋体"/>
          <w:b/>
          <w:color w:val="auto"/>
          <w:kern w:val="0"/>
          <w:szCs w:val="21"/>
          <w:highlight w:val="none"/>
        </w:rPr>
        <w:t>“磋商响应供应商”（或磋商供应商或供应商）：</w:t>
      </w:r>
      <w:r>
        <w:rPr>
          <w:rFonts w:hint="eastAsia" w:ascii="宋体" w:hAnsi="宋体" w:cs="宋体"/>
          <w:color w:val="auto"/>
          <w:szCs w:val="21"/>
          <w:highlight w:val="none"/>
        </w:rPr>
        <w:t>是</w:t>
      </w:r>
      <w:r>
        <w:rPr>
          <w:rFonts w:hint="eastAsia" w:ascii="宋体" w:hAnsi="宋体" w:cs="宋体"/>
          <w:color w:val="auto"/>
          <w:kern w:val="0"/>
          <w:szCs w:val="21"/>
          <w:highlight w:val="none"/>
        </w:rPr>
        <w:t>指响应采购、参加投标竞争的法人、其他组织或者自然人；</w:t>
      </w:r>
    </w:p>
    <w:p w14:paraId="5A858F11">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1.5.5</w:t>
      </w:r>
      <w:r>
        <w:rPr>
          <w:rFonts w:hint="eastAsia" w:ascii="宋体" w:hAnsi="宋体" w:cs="宋体"/>
          <w:b/>
          <w:color w:val="auto"/>
          <w:kern w:val="0"/>
          <w:szCs w:val="21"/>
          <w:highlight w:val="none"/>
        </w:rPr>
        <w:t>“磋商响应供应商代表”：</w:t>
      </w:r>
      <w:r>
        <w:rPr>
          <w:rFonts w:hint="eastAsia" w:ascii="宋体" w:hAnsi="宋体" w:cs="宋体"/>
          <w:color w:val="auto"/>
          <w:szCs w:val="21"/>
          <w:highlight w:val="none"/>
        </w:rPr>
        <w:t>是指参加本项目磋商活动的磋商响应供应商的法定代表人或法定代表人授权代表；</w:t>
      </w:r>
    </w:p>
    <w:p w14:paraId="50CE5352">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1.5.6</w:t>
      </w:r>
      <w:r>
        <w:rPr>
          <w:rFonts w:hint="eastAsia" w:ascii="宋体" w:hAnsi="宋体" w:cs="宋体"/>
          <w:b/>
          <w:color w:val="auto"/>
          <w:kern w:val="0"/>
          <w:szCs w:val="21"/>
          <w:highlight w:val="none"/>
        </w:rPr>
        <w:t>“</w:t>
      </w:r>
      <w:r>
        <w:rPr>
          <w:rFonts w:hint="eastAsia" w:ascii="宋体" w:hAnsi="宋体" w:cs="宋体"/>
          <w:b/>
          <w:color w:val="auto"/>
          <w:szCs w:val="21"/>
          <w:highlight w:val="none"/>
        </w:rPr>
        <w:t>磋商联合体</w:t>
      </w:r>
      <w:r>
        <w:rPr>
          <w:rFonts w:hint="eastAsia" w:ascii="宋体" w:hAnsi="宋体" w:cs="宋体"/>
          <w:b/>
          <w:color w:val="auto"/>
          <w:kern w:val="0"/>
          <w:szCs w:val="21"/>
          <w:highlight w:val="none"/>
        </w:rPr>
        <w:t>”</w:t>
      </w:r>
      <w:r>
        <w:rPr>
          <w:rFonts w:hint="eastAsia" w:ascii="宋体" w:hAnsi="宋体" w:cs="宋体"/>
          <w:b/>
          <w:color w:val="auto"/>
          <w:szCs w:val="21"/>
          <w:highlight w:val="none"/>
        </w:rPr>
        <w:t>：</w:t>
      </w:r>
      <w:r>
        <w:rPr>
          <w:rFonts w:hint="eastAsia" w:ascii="宋体" w:hAnsi="宋体" w:cs="宋体"/>
          <w:color w:val="auto"/>
          <w:szCs w:val="21"/>
          <w:highlight w:val="none"/>
        </w:rPr>
        <w:t>是指两个或以上供应商组成联合体，以一个磋商响应供应商的身份参加磋商响应；</w:t>
      </w:r>
    </w:p>
    <w:p w14:paraId="165F49F5">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1.5.7</w:t>
      </w:r>
      <w:r>
        <w:rPr>
          <w:rFonts w:hint="eastAsia" w:ascii="宋体" w:hAnsi="宋体" w:cs="宋体"/>
          <w:b/>
          <w:color w:val="auto"/>
          <w:kern w:val="0"/>
          <w:szCs w:val="21"/>
          <w:highlight w:val="none"/>
        </w:rPr>
        <w:t>“成交供应商”：</w:t>
      </w:r>
      <w:r>
        <w:rPr>
          <w:rFonts w:hint="eastAsia" w:ascii="宋体" w:hAnsi="宋体" w:cs="宋体"/>
          <w:color w:val="auto"/>
          <w:kern w:val="0"/>
          <w:szCs w:val="21"/>
          <w:highlight w:val="none"/>
        </w:rPr>
        <w:t>是指经磋商小组推荐并经采购人确认的成交单位，</w:t>
      </w:r>
      <w:r>
        <w:rPr>
          <w:rFonts w:hint="eastAsia" w:ascii="宋体" w:hAnsi="宋体" w:cs="宋体"/>
          <w:b/>
          <w:color w:val="auto"/>
          <w:kern w:val="0"/>
          <w:szCs w:val="21"/>
          <w:highlight w:val="none"/>
        </w:rPr>
        <w:t>即政府采购合同中的“乙方”</w:t>
      </w:r>
      <w:r>
        <w:rPr>
          <w:rFonts w:hint="eastAsia" w:ascii="宋体" w:hAnsi="宋体" w:cs="宋体"/>
          <w:color w:val="auto"/>
          <w:kern w:val="0"/>
          <w:szCs w:val="21"/>
          <w:highlight w:val="none"/>
        </w:rPr>
        <w:t>；</w:t>
      </w:r>
    </w:p>
    <w:p w14:paraId="60A4F553">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1.5.8</w:t>
      </w:r>
      <w:r>
        <w:rPr>
          <w:rFonts w:hint="eastAsia" w:ascii="宋体" w:hAnsi="宋体" w:cs="宋体"/>
          <w:b/>
          <w:color w:val="auto"/>
          <w:kern w:val="0"/>
          <w:szCs w:val="21"/>
          <w:highlight w:val="none"/>
        </w:rPr>
        <w:t>“同级政府采购监督管理部门”：</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33644945">
      <w:pPr>
        <w:spacing w:line="360" w:lineRule="auto"/>
        <w:ind w:firstLine="422" w:firstLineChars="200"/>
        <w:rPr>
          <w:rFonts w:ascii="宋体" w:cs="宋体"/>
          <w:color w:val="auto"/>
          <w:szCs w:val="21"/>
          <w:highlight w:val="none"/>
        </w:rPr>
      </w:pPr>
      <w:r>
        <w:rPr>
          <w:rFonts w:ascii="宋体" w:hAnsi="宋体" w:cs="宋体"/>
          <w:b/>
          <w:bCs/>
          <w:color w:val="auto"/>
          <w:szCs w:val="21"/>
          <w:highlight w:val="none"/>
        </w:rPr>
        <w:t>1.5.9</w:t>
      </w:r>
      <w:r>
        <w:rPr>
          <w:rFonts w:hint="eastAsia" w:ascii="宋体" w:hAnsi="宋体" w:cs="宋体"/>
          <w:b/>
          <w:bCs/>
          <w:color w:val="auto"/>
          <w:szCs w:val="21"/>
          <w:highlight w:val="none"/>
        </w:rPr>
        <w:t>“中小企业（含中型、小型、微型）”：</w:t>
      </w:r>
      <w:r>
        <w:rPr>
          <w:rFonts w:hint="eastAsia" w:ascii="宋体" w:hAnsi="宋体" w:cs="宋体"/>
          <w:color w:val="auto"/>
          <w:szCs w:val="21"/>
          <w:highlight w:val="none"/>
        </w:rPr>
        <w:t>是指在中华人民共和国境内依法设立，依据国务院批准的中小企业划分标准（工信部联企业</w:t>
      </w:r>
      <w:r>
        <w:rPr>
          <w:rFonts w:ascii="宋体" w:hAnsi="宋体" w:cs="宋体"/>
          <w:color w:val="auto"/>
          <w:szCs w:val="21"/>
          <w:highlight w:val="none"/>
        </w:rPr>
        <w:t>[2011]300</w:t>
      </w:r>
      <w:r>
        <w:rPr>
          <w:rFonts w:hint="eastAsia" w:ascii="宋体" w:hAnsi="宋体" w:cs="宋体"/>
          <w:color w:val="auto"/>
          <w:szCs w:val="21"/>
          <w:highlight w:val="none"/>
        </w:rPr>
        <w:t>号）确定的中型企业、小型企业和微型企业，但与大企业的负责人为同一人，或者与大企业存在直接控股、管理关系的除外。</w:t>
      </w:r>
    </w:p>
    <w:p w14:paraId="295BA6EC">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符合中小企业划分标准的个体工商户，在政府采购活动中视同中小企业。</w:t>
      </w:r>
    </w:p>
    <w:p w14:paraId="3C1F70D2">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1.5.10</w:t>
      </w:r>
      <w:r>
        <w:rPr>
          <w:rFonts w:hint="eastAsia" w:ascii="宋体" w:hAnsi="宋体" w:cs="宋体"/>
          <w:b/>
          <w:color w:val="auto"/>
          <w:kern w:val="0"/>
          <w:szCs w:val="21"/>
          <w:highlight w:val="none"/>
        </w:rPr>
        <w:t>“监狱企业”：</w:t>
      </w:r>
      <w:r>
        <w:rPr>
          <w:rFonts w:hint="eastAsia" w:ascii="宋体" w:hAnsi="宋体" w:cs="宋体"/>
          <w:color w:val="auto"/>
          <w:kern w:val="0"/>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37EDE6">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1.5.11</w:t>
      </w:r>
      <w:r>
        <w:rPr>
          <w:rFonts w:hint="eastAsia" w:ascii="宋体" w:hAnsi="宋体" w:cs="宋体"/>
          <w:b/>
          <w:color w:val="auto"/>
          <w:kern w:val="0"/>
          <w:szCs w:val="21"/>
          <w:highlight w:val="none"/>
        </w:rPr>
        <w:t>“残疾人福利性单位”：</w:t>
      </w:r>
      <w:r>
        <w:rPr>
          <w:rFonts w:hint="eastAsia" w:ascii="宋体" w:hAnsi="宋体" w:cs="宋体"/>
          <w:color w:val="auto"/>
          <w:kern w:val="0"/>
          <w:szCs w:val="21"/>
          <w:highlight w:val="none"/>
        </w:rPr>
        <w:t>是指符合《财政部</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民政部</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中国残疾人联合会关于促进残疾人就业政府采购政策的通知》（财库〔</w:t>
      </w:r>
      <w:r>
        <w:rPr>
          <w:rFonts w:ascii="宋体" w:hAnsi="宋体" w:cs="宋体"/>
          <w:color w:val="auto"/>
          <w:kern w:val="0"/>
          <w:szCs w:val="21"/>
          <w:highlight w:val="none"/>
        </w:rPr>
        <w:t>2017</w:t>
      </w:r>
      <w:r>
        <w:rPr>
          <w:rFonts w:hint="eastAsia" w:ascii="宋体" w:hAnsi="宋体" w:cs="宋体"/>
          <w:color w:val="auto"/>
          <w:kern w:val="0"/>
          <w:szCs w:val="21"/>
          <w:highlight w:val="none"/>
        </w:rPr>
        <w:t>〕</w:t>
      </w:r>
      <w:r>
        <w:rPr>
          <w:rFonts w:ascii="宋体" w:hAnsi="宋体" w:cs="宋体"/>
          <w:color w:val="auto"/>
          <w:kern w:val="0"/>
          <w:szCs w:val="21"/>
          <w:highlight w:val="none"/>
        </w:rPr>
        <w:t>141</w:t>
      </w:r>
      <w:r>
        <w:rPr>
          <w:rFonts w:hint="eastAsia" w:ascii="宋体" w:hAnsi="宋体" w:cs="宋体"/>
          <w:color w:val="auto"/>
          <w:kern w:val="0"/>
          <w:szCs w:val="21"/>
          <w:highlight w:val="none"/>
        </w:rPr>
        <w:t>号）的规定单位；</w:t>
      </w:r>
    </w:p>
    <w:p w14:paraId="05AE6095">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1.5.12</w:t>
      </w:r>
      <w:r>
        <w:rPr>
          <w:rFonts w:hint="eastAsia" w:ascii="宋体" w:hAnsi="宋体" w:cs="宋体"/>
          <w:b/>
          <w:color w:val="auto"/>
          <w:kern w:val="0"/>
          <w:szCs w:val="21"/>
          <w:highlight w:val="none"/>
        </w:rPr>
        <w:t>“项目”：</w:t>
      </w:r>
      <w:r>
        <w:rPr>
          <w:rFonts w:hint="eastAsia" w:ascii="宋体" w:hAnsi="宋体" w:cs="宋体"/>
          <w:color w:val="auto"/>
          <w:kern w:val="0"/>
          <w:szCs w:val="21"/>
          <w:highlight w:val="none"/>
        </w:rPr>
        <w:t>是指磋商响应供应商按竞争性磋商文件规定向采购人提供的货物或服务或工程；</w:t>
      </w:r>
    </w:p>
    <w:p w14:paraId="0DBBE74F">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1.5.13</w:t>
      </w:r>
      <w:r>
        <w:rPr>
          <w:rFonts w:hint="eastAsia" w:ascii="宋体" w:hAnsi="宋体" w:cs="宋体"/>
          <w:b/>
          <w:color w:val="auto"/>
          <w:kern w:val="0"/>
          <w:szCs w:val="21"/>
          <w:highlight w:val="none"/>
        </w:rPr>
        <w:t>“书面形式”：</w:t>
      </w:r>
      <w:r>
        <w:rPr>
          <w:rFonts w:hint="eastAsia" w:ascii="宋体" w:hAnsi="宋体" w:cs="宋体"/>
          <w:color w:val="auto"/>
          <w:kern w:val="0"/>
          <w:szCs w:val="21"/>
          <w:highlight w:val="none"/>
        </w:rPr>
        <w:t>是指加盖有单位公章的信函、传真、电子扫描件等；</w:t>
      </w:r>
    </w:p>
    <w:p w14:paraId="7CA5777F">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1.5.14</w:t>
      </w:r>
      <w:r>
        <w:rPr>
          <w:rFonts w:hint="eastAsia" w:ascii="宋体" w:hAnsi="宋体" w:cs="宋体"/>
          <w:b/>
          <w:color w:val="auto"/>
          <w:kern w:val="0"/>
          <w:szCs w:val="21"/>
          <w:highlight w:val="none"/>
        </w:rPr>
        <w:t>“个人有效身份证明”：</w:t>
      </w:r>
      <w:r>
        <w:rPr>
          <w:rFonts w:hint="eastAsia" w:ascii="宋体" w:hAnsi="宋体" w:cs="宋体"/>
          <w:color w:val="auto"/>
          <w:kern w:val="0"/>
          <w:szCs w:val="21"/>
          <w:highlight w:val="none"/>
        </w:rPr>
        <w:t>是指有效的居民身份证、临时居民身份证、护照、驾驶证等，有期限规定的证件在有效期内方为有效；</w:t>
      </w:r>
    </w:p>
    <w:p w14:paraId="72E62D02">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1.5.15</w:t>
      </w:r>
      <w:r>
        <w:rPr>
          <w:rFonts w:hint="eastAsia" w:ascii="宋体" w:hAnsi="宋体" w:cs="宋体"/>
          <w:b/>
          <w:color w:val="auto"/>
          <w:kern w:val="0"/>
          <w:szCs w:val="21"/>
          <w:highlight w:val="none"/>
        </w:rPr>
        <w:t>“制造商”：</w:t>
      </w:r>
      <w:r>
        <w:rPr>
          <w:rFonts w:hint="eastAsia" w:ascii="宋体" w:hAnsi="宋体" w:cs="宋体"/>
          <w:color w:val="auto"/>
          <w:kern w:val="0"/>
          <w:szCs w:val="21"/>
          <w:highlight w:val="none"/>
        </w:rPr>
        <w:t>是指拥有投标产品自主知识产权的单位；</w:t>
      </w:r>
    </w:p>
    <w:p w14:paraId="035998E5">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1.5.16</w:t>
      </w:r>
      <w:r>
        <w:rPr>
          <w:rFonts w:hint="eastAsia" w:ascii="宋体" w:hAnsi="宋体" w:cs="宋体"/>
          <w:b/>
          <w:color w:val="auto"/>
          <w:kern w:val="0"/>
          <w:szCs w:val="21"/>
          <w:highlight w:val="none"/>
        </w:rPr>
        <w:t>“竞争性磋商文件（或磋商文件或采购文件）”：</w:t>
      </w:r>
      <w:r>
        <w:rPr>
          <w:rFonts w:hint="eastAsia" w:ascii="宋体" w:hAnsi="宋体" w:cs="宋体"/>
          <w:color w:val="auto"/>
          <w:kern w:val="0"/>
          <w:szCs w:val="21"/>
          <w:highlight w:val="none"/>
        </w:rPr>
        <w:t>是指本文件；</w:t>
      </w:r>
    </w:p>
    <w:p w14:paraId="1F4B43B6">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1.5.17</w:t>
      </w:r>
      <w:r>
        <w:rPr>
          <w:rFonts w:hint="eastAsia" w:ascii="宋体" w:hAnsi="宋体" w:cs="宋体"/>
          <w:b/>
          <w:color w:val="auto"/>
          <w:kern w:val="0"/>
          <w:szCs w:val="21"/>
          <w:highlight w:val="none"/>
        </w:rPr>
        <w:t>“进口产品”：</w:t>
      </w:r>
      <w:r>
        <w:rPr>
          <w:rFonts w:hint="eastAsia" w:ascii="宋体" w:hAnsi="宋体" w:cs="宋体"/>
          <w:color w:val="auto"/>
          <w:kern w:val="0"/>
          <w:szCs w:val="21"/>
          <w:highlight w:val="none"/>
        </w:rPr>
        <w:t>是指通过中国海关报关验放进入中国境内且产自关境外的产品；</w:t>
      </w:r>
    </w:p>
    <w:p w14:paraId="257171A3">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1.5.18</w:t>
      </w:r>
      <w:r>
        <w:rPr>
          <w:rFonts w:hint="eastAsia" w:ascii="宋体" w:hAnsi="宋体" w:cs="宋体"/>
          <w:b/>
          <w:color w:val="auto"/>
          <w:kern w:val="0"/>
          <w:szCs w:val="21"/>
          <w:highlight w:val="none"/>
        </w:rPr>
        <w:t>“实质性条款（或要求）”：</w:t>
      </w:r>
      <w:r>
        <w:rPr>
          <w:rFonts w:hint="eastAsia" w:ascii="宋体" w:hAnsi="宋体" w:cs="宋体"/>
          <w:b/>
          <w:color w:val="auto"/>
          <w:kern w:val="0"/>
          <w:szCs w:val="21"/>
          <w:highlight w:val="none"/>
          <w:u w:val="single"/>
        </w:rPr>
        <w:t>是指本文件《第三章</w:t>
      </w:r>
      <w:r>
        <w:rPr>
          <w:rFonts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rPr>
        <w:t>采购内容及技术要求》中标注“★”号的技术或商务条款（或要求），供应商磋商响应时应对所有“实质性条款（或要求）”作出实质性响应，且不得出现负偏离，否则磋商响应无效</w:t>
      </w:r>
      <w:r>
        <w:rPr>
          <w:rFonts w:hint="eastAsia" w:ascii="宋体" w:hAnsi="宋体" w:cs="宋体"/>
          <w:b/>
          <w:color w:val="auto"/>
          <w:kern w:val="0"/>
          <w:szCs w:val="21"/>
          <w:highlight w:val="none"/>
        </w:rPr>
        <w:t>；</w:t>
      </w:r>
    </w:p>
    <w:p w14:paraId="0C214FDD">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1.5.19</w:t>
      </w:r>
      <w:r>
        <w:rPr>
          <w:rFonts w:hint="eastAsia" w:ascii="宋体" w:hAnsi="宋体" w:cs="宋体"/>
          <w:b/>
          <w:color w:val="auto"/>
          <w:kern w:val="0"/>
          <w:szCs w:val="21"/>
          <w:highlight w:val="none"/>
        </w:rPr>
        <w:t>“活页装订”：</w:t>
      </w:r>
      <w:r>
        <w:rPr>
          <w:rFonts w:hint="eastAsia" w:ascii="宋体" w:hAnsi="宋体" w:cs="宋体"/>
          <w:color w:val="auto"/>
          <w:kern w:val="0"/>
          <w:szCs w:val="21"/>
          <w:highlight w:val="none"/>
        </w:rPr>
        <w:t>是指不借助工具的情况下就随时可以拆卸替换复原或翻阅时容易自行脱落的装订方式。</w:t>
      </w:r>
    </w:p>
    <w:p w14:paraId="750175FF">
      <w:pPr>
        <w:spacing w:line="360" w:lineRule="auto"/>
        <w:ind w:firstLine="422" w:firstLineChars="200"/>
        <w:rPr>
          <w:rFonts w:ascii="宋体" w:cs="宋体"/>
          <w:color w:val="auto"/>
          <w:szCs w:val="21"/>
          <w:highlight w:val="none"/>
        </w:rPr>
      </w:pPr>
      <w:r>
        <w:rPr>
          <w:rFonts w:ascii="宋体" w:hAnsi="宋体" w:cs="宋体"/>
          <w:b/>
          <w:color w:val="auto"/>
          <w:szCs w:val="21"/>
          <w:highlight w:val="none"/>
        </w:rPr>
        <w:t>1.5.20</w:t>
      </w:r>
      <w:r>
        <w:rPr>
          <w:rFonts w:hint="eastAsia" w:ascii="宋体" w:hAnsi="宋体" w:cs="宋体"/>
          <w:b/>
          <w:color w:val="auto"/>
          <w:szCs w:val="21"/>
          <w:highlight w:val="none"/>
        </w:rPr>
        <w:t>“重大偏离”或“保留”：</w:t>
      </w:r>
      <w:r>
        <w:rPr>
          <w:rFonts w:hint="eastAsia" w:ascii="宋体" w:hAnsi="宋体" w:cs="宋体"/>
          <w:color w:val="auto"/>
          <w:szCs w:val="21"/>
          <w:highlight w:val="none"/>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14:paraId="5418B7FD">
      <w:pPr>
        <w:spacing w:line="360" w:lineRule="auto"/>
        <w:ind w:firstLine="422" w:firstLineChars="200"/>
        <w:rPr>
          <w:rFonts w:ascii="宋体" w:cs="宋体"/>
          <w:color w:val="auto"/>
          <w:kern w:val="0"/>
          <w:szCs w:val="21"/>
          <w:highlight w:val="none"/>
        </w:rPr>
      </w:pPr>
      <w:r>
        <w:rPr>
          <w:rFonts w:ascii="宋体" w:hAnsi="宋体" w:cs="宋体"/>
          <w:b/>
          <w:color w:val="auto"/>
          <w:szCs w:val="21"/>
          <w:highlight w:val="none"/>
        </w:rPr>
        <w:t>1.5.21</w:t>
      </w:r>
      <w:r>
        <w:rPr>
          <w:rFonts w:hint="eastAsia" w:ascii="宋体" w:hAnsi="宋体" w:cs="宋体"/>
          <w:b/>
          <w:color w:val="auto"/>
          <w:szCs w:val="21"/>
          <w:highlight w:val="none"/>
        </w:rPr>
        <w:t>“细微偏离”</w:t>
      </w:r>
      <w:r>
        <w:rPr>
          <w:rFonts w:hint="eastAsia" w:ascii="宋体" w:hAnsi="宋体" w:cs="宋体"/>
          <w:color w:val="auto"/>
          <w:szCs w:val="21"/>
          <w:highlight w:val="none"/>
        </w:rPr>
        <w:t>：是指磋商响应文件对磋商文件的非实质性内容存在不完全响应或不响应。</w:t>
      </w:r>
    </w:p>
    <w:p w14:paraId="5357449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1.6 </w:t>
      </w:r>
      <w:r>
        <w:rPr>
          <w:rFonts w:hint="eastAsia" w:ascii="宋体" w:hAnsi="宋体" w:cs="宋体"/>
          <w:b/>
          <w:bCs/>
          <w:color w:val="auto"/>
          <w:szCs w:val="21"/>
          <w:highlight w:val="none"/>
        </w:rPr>
        <w:t>磋商响应委托</w:t>
      </w:r>
    </w:p>
    <w:p w14:paraId="55EF5355">
      <w:pPr>
        <w:spacing w:line="360" w:lineRule="auto"/>
        <w:ind w:firstLine="422" w:firstLineChars="200"/>
        <w:rPr>
          <w:rFonts w:ascii="宋体" w:cs="宋体"/>
          <w:b/>
          <w:color w:val="auto"/>
          <w:szCs w:val="21"/>
          <w:highlight w:val="none"/>
        </w:rPr>
      </w:pPr>
      <w:r>
        <w:rPr>
          <w:rFonts w:hint="eastAsia" w:ascii="宋体" w:hAnsi="宋体" w:cs="宋体"/>
          <w:b/>
          <w:color w:val="auto"/>
          <w:kern w:val="0"/>
          <w:szCs w:val="21"/>
          <w:highlight w:val="none"/>
        </w:rPr>
        <w:t>磋商响应供应商的法定代表人可以授权其单位的其他在职员工全权代表其处理与本次磋商有关的事项，但其授权代表必须持有法定代表人出具的《法定代表人授权委托书》（格式见第五章磋商响应文件格式），《法定代表人授权委托书》</w:t>
      </w:r>
      <w:r>
        <w:rPr>
          <w:rFonts w:hint="eastAsia" w:ascii="宋体" w:hAnsi="宋体" w:cs="宋体"/>
          <w:b/>
          <w:color w:val="auto"/>
          <w:szCs w:val="21"/>
          <w:highlight w:val="none"/>
        </w:rPr>
        <w:t>必须经法定代表人签字（或盖章），否则视为无效授权（等同未提供）。</w:t>
      </w:r>
    </w:p>
    <w:p w14:paraId="595CD518">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1.7.1</w:t>
      </w:r>
      <w:r>
        <w:rPr>
          <w:rFonts w:hint="eastAsia" w:ascii="宋体" w:hAnsi="宋体" w:cs="宋体"/>
          <w:b/>
          <w:color w:val="auto"/>
          <w:kern w:val="0"/>
          <w:szCs w:val="21"/>
          <w:highlight w:val="none"/>
        </w:rPr>
        <w:t>是否接受联合体磋商响应：</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5967E52A">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1.7.2</w:t>
      </w:r>
      <w:r>
        <w:rPr>
          <w:rFonts w:hint="eastAsia" w:ascii="宋体" w:hAnsi="宋体" w:cs="宋体"/>
          <w:color w:val="auto"/>
          <w:kern w:val="0"/>
          <w:szCs w:val="21"/>
          <w:highlight w:val="none"/>
        </w:rPr>
        <w:t>《磋商须知前附表》规定接受联合体磋商的，参加磋商的联合体应遵守以下规定：</w:t>
      </w:r>
    </w:p>
    <w:p w14:paraId="01CF683C">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）两个或以上供应商可以组成一个联合体，以一个磋商响应供应商的身份共同参加磋商；</w:t>
      </w:r>
    </w:p>
    <w:p w14:paraId="0CDE6F76">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）两个或以上供应商组成联合体参加本项目磋商响应的，在登记获取竞争性磋商文件时应予以说明备注，并在资格文件中递交《联合投标协议书》，未递交《联合投标协议书》的联合体无效；</w:t>
      </w:r>
    </w:p>
    <w:p w14:paraId="4C66B50C">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1B3C5A27">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14:paraId="755B5BB0">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）联合体各方签订《联合投标协议书》后，不得再以自己名义单独在本项目中参加磋商，也不得组成新的联合体参加本项目磋商；</w:t>
      </w:r>
    </w:p>
    <w:p w14:paraId="4CD960C1">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）联合体各方共同与采购人签订采购合同，就采购合同约定的事项对采购人承担连带责任；</w:t>
      </w:r>
    </w:p>
    <w:p w14:paraId="4A61A2A8">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）联合体磋商响应文件应由主办人按规定进行签章；</w:t>
      </w:r>
    </w:p>
    <w:p w14:paraId="1EA9D901">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）采购代理服务费可由主办人一方缴纳，也可以由联合体各方共同缴纳（具体缴纳金额须在《联合投标协议书》中明确）。</w:t>
      </w:r>
    </w:p>
    <w:p w14:paraId="74F6CA43">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1.8 </w:t>
      </w:r>
      <w:r>
        <w:rPr>
          <w:rFonts w:hint="eastAsia" w:ascii="宋体" w:hAnsi="宋体" w:cs="宋体"/>
          <w:b/>
          <w:bCs/>
          <w:color w:val="auto"/>
          <w:szCs w:val="21"/>
          <w:highlight w:val="none"/>
        </w:rPr>
        <w:t>进口产品磋商响应</w:t>
      </w:r>
    </w:p>
    <w:p w14:paraId="3ABA5072">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1.8.1</w:t>
      </w:r>
      <w:r>
        <w:rPr>
          <w:rFonts w:hint="eastAsia" w:ascii="宋体" w:hAnsi="宋体" w:cs="宋体"/>
          <w:b/>
          <w:color w:val="auto"/>
          <w:kern w:val="0"/>
          <w:szCs w:val="21"/>
          <w:highlight w:val="none"/>
        </w:rPr>
        <w:t>是否允许进口产品磋商响应：</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18ACF2AB">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1.8.2</w:t>
      </w:r>
      <w:r>
        <w:rPr>
          <w:rFonts w:hint="eastAsia" w:ascii="宋体" w:hAnsi="宋体" w:cs="宋体"/>
          <w:b/>
          <w:color w:val="auto"/>
          <w:kern w:val="0"/>
          <w:szCs w:val="21"/>
          <w:highlight w:val="none"/>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宋体" w:hAnsi="宋体" w:cs="宋体"/>
          <w:b/>
          <w:color w:val="auto"/>
          <w:kern w:val="0"/>
          <w:szCs w:val="21"/>
          <w:highlight w:val="none"/>
        </w:rPr>
        <w:t>。</w:t>
      </w:r>
    </w:p>
    <w:p w14:paraId="3DE64803">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1.9 </w:t>
      </w:r>
      <w:r>
        <w:rPr>
          <w:rFonts w:hint="eastAsia" w:ascii="宋体" w:hAnsi="宋体" w:cs="宋体"/>
          <w:b/>
          <w:bCs/>
          <w:color w:val="auto"/>
          <w:szCs w:val="21"/>
          <w:highlight w:val="none"/>
        </w:rPr>
        <w:t>磋商费用</w:t>
      </w:r>
    </w:p>
    <w:p w14:paraId="46657647">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1.9.1</w:t>
      </w:r>
      <w:r>
        <w:rPr>
          <w:rFonts w:hint="eastAsia" w:ascii="宋体" w:hAnsi="宋体" w:cs="宋体"/>
          <w:color w:val="auto"/>
          <w:kern w:val="0"/>
          <w:szCs w:val="21"/>
          <w:highlight w:val="none"/>
        </w:rPr>
        <w:t>不论磋商结果如何，磋商响应供应商均应自行承担所有与投标有关的全部费用，采购组织机构概不负责；</w:t>
      </w:r>
    </w:p>
    <w:p w14:paraId="3D775DCE">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1.9.2</w:t>
      </w:r>
      <w:r>
        <w:rPr>
          <w:rFonts w:hint="eastAsia" w:ascii="宋体" w:hAnsi="宋体" w:cs="宋体"/>
          <w:color w:val="auto"/>
          <w:kern w:val="0"/>
          <w:szCs w:val="21"/>
          <w:highlight w:val="none"/>
        </w:rPr>
        <w:t>合同实施过程中，成交供应商须与采购人积极配合。成交供应商自行承担本次采购活动中所发生的全部费用。</w:t>
      </w:r>
    </w:p>
    <w:p w14:paraId="275683C6">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1.10 </w:t>
      </w:r>
      <w:r>
        <w:rPr>
          <w:rFonts w:hint="eastAsia" w:ascii="宋体" w:hAnsi="宋体" w:cs="宋体"/>
          <w:b/>
          <w:bCs/>
          <w:color w:val="auto"/>
          <w:szCs w:val="21"/>
          <w:highlight w:val="none"/>
        </w:rPr>
        <w:t>语言文字及计量单位</w:t>
      </w:r>
    </w:p>
    <w:p w14:paraId="3D0A17E6">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1.10.1</w:t>
      </w:r>
      <w:r>
        <w:rPr>
          <w:rFonts w:hint="eastAsia" w:ascii="宋体" w:hAnsi="宋体" w:cs="宋体"/>
          <w:b/>
          <w:color w:val="auto"/>
          <w:kern w:val="0"/>
          <w:szCs w:val="21"/>
          <w:highlight w:val="none"/>
        </w:rPr>
        <w:t>语言文字：</w:t>
      </w:r>
      <w:r>
        <w:rPr>
          <w:rFonts w:hint="eastAsia" w:ascii="宋体" w:hAnsi="宋体" w:cs="宋体"/>
          <w:color w:val="auto"/>
          <w:kern w:val="0"/>
          <w:szCs w:val="21"/>
          <w:highlight w:val="none"/>
        </w:rPr>
        <w:t>除专业术语、签名、盖章、名称等特殊情形外，与本次采购工作有关的所有材料、来往函电语言均应使用中文，专业术语、名称应附有中文注释。</w:t>
      </w:r>
      <w:r>
        <w:rPr>
          <w:rFonts w:hint="eastAsia" w:ascii="宋体" w:hAnsi="宋体" w:cs="宋体"/>
          <w:b/>
          <w:color w:val="auto"/>
          <w:kern w:val="0"/>
          <w:szCs w:val="21"/>
          <w:highlight w:val="none"/>
        </w:rPr>
        <w:t>仅以中文以外的文字表述的材料视同未提供。</w:t>
      </w:r>
    </w:p>
    <w:p w14:paraId="4743ABA5">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1.10.2</w:t>
      </w:r>
      <w:r>
        <w:rPr>
          <w:rFonts w:hint="eastAsia" w:ascii="宋体" w:hAnsi="宋体" w:cs="宋体"/>
          <w:b/>
          <w:color w:val="auto"/>
          <w:kern w:val="0"/>
          <w:szCs w:val="21"/>
          <w:highlight w:val="none"/>
        </w:rPr>
        <w:t>计量单位：</w:t>
      </w:r>
      <w:r>
        <w:rPr>
          <w:rFonts w:hint="eastAsia" w:ascii="宋体" w:hAnsi="宋体" w:cs="宋体"/>
          <w:color w:val="auto"/>
          <w:kern w:val="0"/>
          <w:szCs w:val="21"/>
          <w:highlight w:val="none"/>
        </w:rPr>
        <w:t>竞争性磋商文件已有明确规定的，使用竞争性磋商文件规定的计量单位；</w:t>
      </w:r>
      <w:r>
        <w:rPr>
          <w:rFonts w:hint="eastAsia" w:ascii="宋体" w:hAnsi="宋体" w:cs="宋体"/>
          <w:b/>
          <w:color w:val="auto"/>
          <w:kern w:val="0"/>
          <w:szCs w:val="21"/>
          <w:highlight w:val="none"/>
        </w:rPr>
        <w:t>竞争性磋商文件没有规定的，应采用中华人民共和国法定计量单位，否则视同未响应。</w:t>
      </w:r>
    </w:p>
    <w:p w14:paraId="0A1CB1A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1.11 </w:t>
      </w:r>
      <w:r>
        <w:rPr>
          <w:rFonts w:hint="eastAsia" w:ascii="宋体" w:hAnsi="宋体" w:cs="宋体"/>
          <w:b/>
          <w:bCs/>
          <w:color w:val="auto"/>
          <w:szCs w:val="21"/>
          <w:highlight w:val="none"/>
        </w:rPr>
        <w:t>现场考察</w:t>
      </w:r>
    </w:p>
    <w:p w14:paraId="09D85646">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1.11.1</w:t>
      </w:r>
      <w:r>
        <w:rPr>
          <w:rFonts w:hint="eastAsia" w:ascii="宋体" w:hAnsi="宋体" w:cs="宋体"/>
          <w:b/>
          <w:color w:val="auto"/>
          <w:kern w:val="0"/>
          <w:szCs w:val="21"/>
          <w:highlight w:val="none"/>
        </w:rPr>
        <w:t>现场考察时间、地点、联系人：</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4B725F8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1.11.2</w:t>
      </w:r>
      <w:r>
        <w:rPr>
          <w:rFonts w:hint="eastAsia" w:ascii="宋体" w:hAnsi="宋体" w:cs="宋体"/>
          <w:color w:val="auto"/>
          <w:kern w:val="0"/>
          <w:szCs w:val="21"/>
          <w:highlight w:val="none"/>
        </w:rPr>
        <w:t>《磋商须知前附表》规定组织统一现场考察的，采购人将按《磋商须知前附表》规定的时间统一开放现场场地以便供应商进行现场考察，此外其他任何时间采购人不再统一安排供应商进行现场考察工作（特殊情形除外）；</w:t>
      </w:r>
    </w:p>
    <w:p w14:paraId="7DC84676">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1.11.3</w:t>
      </w:r>
      <w:r>
        <w:rPr>
          <w:rFonts w:hint="eastAsia" w:ascii="宋体" w:hAnsi="宋体" w:cs="宋体"/>
          <w:color w:val="auto"/>
          <w:kern w:val="0"/>
          <w:szCs w:val="21"/>
          <w:highlight w:val="none"/>
        </w:rPr>
        <w:t>供应商应自行前往规定的地点参加现场考察，因参加现场考察而发生的所有费用由供应商自行承担；</w:t>
      </w:r>
    </w:p>
    <w:p w14:paraId="07441D73">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1.11.4</w:t>
      </w:r>
      <w:r>
        <w:rPr>
          <w:rFonts w:hint="eastAsia" w:ascii="宋体" w:hAnsi="宋体" w:cs="宋体"/>
          <w:color w:val="auto"/>
          <w:kern w:val="0"/>
          <w:szCs w:val="21"/>
          <w:highlight w:val="none"/>
        </w:rPr>
        <w:t>现场考察过程中，供应商应注意考察安全，除采购人的原因外，供应商在踏勘现场中所发生的人员伤亡和财产损失由供应商自行承担；</w:t>
      </w:r>
    </w:p>
    <w:p w14:paraId="5B2A6C90">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1.11.5</w:t>
      </w:r>
      <w:r>
        <w:rPr>
          <w:rFonts w:hint="eastAsia" w:ascii="宋体" w:hAnsi="宋体" w:cs="宋体"/>
          <w:color w:val="auto"/>
          <w:kern w:val="0"/>
          <w:szCs w:val="21"/>
          <w:highlight w:val="none"/>
        </w:rPr>
        <w:t>采购人在现场考察中介绍的场地和相关的周边环境情况，仅供供应商在编制磋商响应文件时参考，采购人不对供应商据此作出的判断和决策负责。</w:t>
      </w:r>
    </w:p>
    <w:p w14:paraId="0593BB77">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1.12 </w:t>
      </w:r>
      <w:r>
        <w:rPr>
          <w:rFonts w:hint="eastAsia" w:ascii="宋体" w:hAnsi="宋体" w:cs="宋体"/>
          <w:b/>
          <w:bCs/>
          <w:color w:val="auto"/>
          <w:szCs w:val="21"/>
          <w:highlight w:val="none"/>
        </w:rPr>
        <w:t>磋商前答疑会</w:t>
      </w:r>
    </w:p>
    <w:p w14:paraId="0F8B6DF8">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1.12.1</w:t>
      </w:r>
      <w:r>
        <w:rPr>
          <w:rFonts w:hint="eastAsia" w:ascii="宋体" w:hAnsi="宋体" w:cs="宋体"/>
          <w:b/>
          <w:color w:val="auto"/>
          <w:szCs w:val="21"/>
          <w:highlight w:val="none"/>
        </w:rPr>
        <w:t>磋商前答疑会：</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73067D3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1.12.2</w:t>
      </w:r>
      <w:r>
        <w:rPr>
          <w:rFonts w:hint="eastAsia" w:ascii="宋体" w:hAnsi="宋体" w:cs="宋体"/>
          <w:color w:val="auto"/>
          <w:szCs w:val="21"/>
          <w:highlight w:val="none"/>
        </w:rPr>
        <w:t>前附表规定召开磋商前答疑会的，采购组织机构按《磋商须知前附表》规定的时间和地点召开磋商前答疑会，澄清供应商提出的问题；</w:t>
      </w:r>
    </w:p>
    <w:p w14:paraId="5AFF653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1.12.3</w:t>
      </w:r>
      <w:r>
        <w:rPr>
          <w:rFonts w:hint="eastAsia" w:ascii="宋体" w:hAnsi="宋体" w:cs="宋体"/>
          <w:color w:val="auto"/>
          <w:szCs w:val="21"/>
          <w:highlight w:val="none"/>
        </w:rPr>
        <w:t>供应商应在答疑会时间的</w:t>
      </w:r>
      <w:r>
        <w:rPr>
          <w:rFonts w:ascii="宋体" w:hAnsi="宋体" w:cs="宋体"/>
          <w:color w:val="auto"/>
          <w:szCs w:val="21"/>
          <w:highlight w:val="none"/>
        </w:rPr>
        <w:t>2</w:t>
      </w:r>
      <w:r>
        <w:rPr>
          <w:rFonts w:hint="eastAsia" w:ascii="宋体" w:hAnsi="宋体" w:cs="宋体"/>
          <w:color w:val="auto"/>
          <w:szCs w:val="21"/>
          <w:highlight w:val="none"/>
        </w:rPr>
        <w:t>日前，以书面形式将需要提出的问题送达采购组织机构，以便采购组织机构在会议期间澄清；</w:t>
      </w:r>
    </w:p>
    <w:p w14:paraId="12DA3FD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1.12.4</w:t>
      </w:r>
      <w:r>
        <w:rPr>
          <w:rFonts w:hint="eastAsia" w:ascii="宋体" w:hAnsi="宋体" w:cs="宋体"/>
          <w:color w:val="auto"/>
          <w:szCs w:val="21"/>
          <w:highlight w:val="none"/>
        </w:rPr>
        <w:t>不召开磋商前答疑会或磋商前答疑会完成后的其他时间，采购组织机构将按本章第</w:t>
      </w:r>
      <w:r>
        <w:rPr>
          <w:rFonts w:ascii="宋体" w:hAnsi="宋体" w:cs="宋体"/>
          <w:color w:val="auto"/>
          <w:szCs w:val="21"/>
          <w:highlight w:val="none"/>
        </w:rPr>
        <w:t>3.2</w:t>
      </w:r>
      <w:r>
        <w:rPr>
          <w:rFonts w:hint="eastAsia" w:ascii="宋体" w:hAnsi="宋体" w:cs="宋体"/>
          <w:color w:val="auto"/>
          <w:szCs w:val="21"/>
          <w:highlight w:val="none"/>
        </w:rPr>
        <w:t>款“竞争性磋商文件的提疑”、第</w:t>
      </w:r>
      <w:r>
        <w:rPr>
          <w:rFonts w:ascii="宋体" w:hAnsi="宋体" w:cs="宋体"/>
          <w:color w:val="auto"/>
          <w:szCs w:val="21"/>
          <w:highlight w:val="none"/>
        </w:rPr>
        <w:t>3.3</w:t>
      </w:r>
      <w:r>
        <w:rPr>
          <w:rFonts w:hint="eastAsia" w:ascii="宋体" w:hAnsi="宋体" w:cs="宋体"/>
          <w:color w:val="auto"/>
          <w:szCs w:val="21"/>
          <w:highlight w:val="none"/>
        </w:rPr>
        <w:t>款“竞争性磋商文件的澄清、修改（更正）”相关规定对供应商所提问题进行澄清答复。</w:t>
      </w:r>
    </w:p>
    <w:p w14:paraId="59D05E5E">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1.13 </w:t>
      </w:r>
      <w:r>
        <w:rPr>
          <w:rFonts w:hint="eastAsia" w:ascii="宋体" w:hAnsi="宋体" w:cs="宋体"/>
          <w:b/>
          <w:bCs/>
          <w:color w:val="auto"/>
          <w:szCs w:val="21"/>
          <w:highlight w:val="none"/>
        </w:rPr>
        <w:t>关联供应商投标限制</w:t>
      </w:r>
    </w:p>
    <w:p w14:paraId="29C123A0">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本竞争性磋商文件所称“关联企业”，是指存在关联关系的企业；“关联关系”的界定适用《中华人民共和国公司法》</w:t>
      </w:r>
      <w:r>
        <w:rPr>
          <w:rFonts w:ascii="宋体" w:hAnsi="宋体" w:cs="宋体"/>
          <w:color w:val="auto"/>
          <w:kern w:val="0"/>
          <w:szCs w:val="21"/>
          <w:highlight w:val="none"/>
        </w:rPr>
        <w:t>217</w:t>
      </w:r>
      <w:r>
        <w:rPr>
          <w:rFonts w:hint="eastAsia" w:ascii="宋体" w:hAnsi="宋体" w:cs="宋体"/>
          <w:color w:val="auto"/>
          <w:kern w:val="0"/>
          <w:szCs w:val="21"/>
          <w:highlight w:val="none"/>
        </w:rPr>
        <w:t>条之规定。</w:t>
      </w:r>
    </w:p>
    <w:p w14:paraId="7180850B">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1.13.1</w:t>
      </w:r>
      <w:r>
        <w:rPr>
          <w:rFonts w:hint="eastAsia" w:ascii="宋体" w:hAnsi="宋体" w:cs="宋体"/>
          <w:b/>
          <w:color w:val="auto"/>
          <w:kern w:val="0"/>
          <w:szCs w:val="21"/>
          <w:highlight w:val="none"/>
        </w:rPr>
        <w:t>单位负责人为同一人或者存在直接控股、管理关系的不同供应商参加同一合同项下的政府采购活动的，相关磋商响应供应商均作资格无效处理。</w:t>
      </w:r>
    </w:p>
    <w:p w14:paraId="6A7CE19E">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1.13.2</w:t>
      </w:r>
      <w:r>
        <w:rPr>
          <w:rFonts w:hint="eastAsia" w:ascii="宋体" w:hAnsi="宋体" w:cs="宋体"/>
          <w:b/>
          <w:color w:val="auto"/>
          <w:kern w:val="0"/>
          <w:szCs w:val="21"/>
          <w:highlight w:val="none"/>
        </w:rPr>
        <w:t>不同供应商之间存在以下利害关系并且存在影响政府采购公平竞争行为的，不得参加同一合同项下的政府采购活动，相关磋商响应供应商的磋商响应均作无效处理：</w:t>
      </w:r>
    </w:p>
    <w:p w14:paraId="53E85685">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）法定代表人或负责人或实际控制人是夫妻关系；</w:t>
      </w:r>
    </w:p>
    <w:p w14:paraId="134C0A48">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）法定代表人或负责人或实际控制人是直系血亲关系；</w:t>
      </w:r>
    </w:p>
    <w:p w14:paraId="67331717">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）法定代表人或负责人或实际控制人存在三代以内旁系血亲关系；</w:t>
      </w:r>
    </w:p>
    <w:p w14:paraId="2E09AA45">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）法定代表人或负责人或实际控制人存在近姻亲关系；</w:t>
      </w:r>
    </w:p>
    <w:p w14:paraId="43D5D589">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）法定代表人或负责人或实际控制人存在股份控制或实际控制关系；</w:t>
      </w:r>
    </w:p>
    <w:p w14:paraId="7D6DB2A5">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）存在共同直接或间接投资设立子公司、联营企业和合营企业情况；</w:t>
      </w:r>
    </w:p>
    <w:p w14:paraId="746B67E3">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）存在分级代理或代销关系、同一生产制造商关系、管理关系、重要业务（占主营业务收入</w:t>
      </w:r>
      <w:r>
        <w:rPr>
          <w:rFonts w:ascii="宋体" w:hAnsi="宋体" w:cs="宋体"/>
          <w:color w:val="auto"/>
          <w:kern w:val="0"/>
          <w:szCs w:val="21"/>
          <w:highlight w:val="none"/>
        </w:rPr>
        <w:t>50%</w:t>
      </w:r>
      <w:r>
        <w:rPr>
          <w:rFonts w:hint="eastAsia" w:ascii="宋体" w:hAnsi="宋体" w:cs="宋体"/>
          <w:color w:val="auto"/>
          <w:kern w:val="0"/>
          <w:szCs w:val="21"/>
          <w:highlight w:val="none"/>
        </w:rPr>
        <w:t>以上）或重要财务往来关系（如融资）等其他实质性控制关系。</w:t>
      </w:r>
    </w:p>
    <w:p w14:paraId="577D6AB9">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1.13.3</w:t>
      </w:r>
      <w:r>
        <w:rPr>
          <w:rFonts w:hint="eastAsia" w:ascii="宋体" w:hAnsi="宋体" w:cs="宋体"/>
          <w:b/>
          <w:color w:val="auto"/>
          <w:kern w:val="0"/>
          <w:szCs w:val="21"/>
          <w:highlight w:val="none"/>
        </w:rPr>
        <w:t>除单一来源采购项目外，为采购项目提供整体设计、规范编制或者项目管理、监理、检测等服务的供应商，不得再参加该采购项目的其他采购活动，相关磋商响应供应商的磋商响应作无效处理。</w:t>
      </w:r>
    </w:p>
    <w:p w14:paraId="01740D6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1.14 </w:t>
      </w:r>
      <w:r>
        <w:rPr>
          <w:rFonts w:hint="eastAsia" w:ascii="宋体" w:hAnsi="宋体" w:cs="宋体"/>
          <w:b/>
          <w:bCs/>
          <w:color w:val="auto"/>
          <w:szCs w:val="21"/>
          <w:highlight w:val="none"/>
        </w:rPr>
        <w:t>特殊供应商投标规定</w:t>
      </w:r>
    </w:p>
    <w:p w14:paraId="5C330C39">
      <w:pPr>
        <w:spacing w:line="360" w:lineRule="auto"/>
        <w:ind w:firstLine="422" w:firstLineChars="200"/>
        <w:rPr>
          <w:rFonts w:ascii="宋体" w:cs="宋体"/>
          <w:b/>
          <w:color w:val="auto"/>
          <w:kern w:val="0"/>
          <w:szCs w:val="21"/>
          <w:highlight w:val="none"/>
        </w:rPr>
      </w:pPr>
      <w:r>
        <w:rPr>
          <w:rFonts w:hint="eastAsia" w:ascii="宋体" w:hAnsi="宋体" w:cs="宋体"/>
          <w:b/>
          <w:color w:val="auto"/>
          <w:szCs w:val="21"/>
          <w:highlight w:val="none"/>
        </w:rPr>
        <w:t>银行、保险、石油石化、电力、电信等有行业特殊情况的，法人的分支机构</w:t>
      </w:r>
      <w:r>
        <w:rPr>
          <w:rFonts w:hint="eastAsia" w:ascii="宋体" w:hAnsi="宋体" w:cs="宋体"/>
          <w:b/>
          <w:color w:val="auto"/>
          <w:kern w:val="0"/>
          <w:szCs w:val="21"/>
          <w:highlight w:val="none"/>
        </w:rPr>
        <w:t>获得法人授权后，允许法人的分支机构参加政府采购活动，采购组织机构按照其特点在采购文件中作出专门规定，允许其独立参加本次政府采购活动。</w:t>
      </w:r>
    </w:p>
    <w:p w14:paraId="2D68BE73">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本项目是否具有行业特殊情况，见《磋商须知前附表》；</w:t>
      </w:r>
    </w:p>
    <w:p w14:paraId="265F1B9E">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1.15 </w:t>
      </w:r>
      <w:r>
        <w:rPr>
          <w:rFonts w:hint="eastAsia" w:ascii="宋体" w:hAnsi="宋体" w:cs="宋体"/>
          <w:b/>
          <w:bCs/>
          <w:color w:val="auto"/>
          <w:szCs w:val="21"/>
          <w:highlight w:val="none"/>
        </w:rPr>
        <w:t>转包、分包</w:t>
      </w:r>
    </w:p>
    <w:p w14:paraId="29B34E12">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1.15.1</w:t>
      </w:r>
      <w:r>
        <w:rPr>
          <w:rFonts w:hint="eastAsia" w:ascii="宋体" w:hAnsi="宋体" w:cs="宋体"/>
          <w:b/>
          <w:color w:val="auto"/>
          <w:kern w:val="0"/>
          <w:szCs w:val="21"/>
          <w:highlight w:val="none"/>
        </w:rPr>
        <w:t>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5EC6E1ED">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成交供应商转包的，视同拒绝履行政府采购合同义务，将依法追究法律责任。</w:t>
      </w:r>
    </w:p>
    <w:p w14:paraId="0ED635B0">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1.15.2</w:t>
      </w:r>
      <w:r>
        <w:rPr>
          <w:rFonts w:hint="eastAsia" w:ascii="宋体" w:hAnsi="宋体" w:cs="宋体"/>
          <w:b/>
          <w:color w:val="auto"/>
          <w:kern w:val="0"/>
          <w:szCs w:val="21"/>
          <w:highlight w:val="none"/>
        </w:rPr>
        <w:t>分包：</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4AD66CB1">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1.15.3</w:t>
      </w:r>
      <w:r>
        <w:rPr>
          <w:rFonts w:hint="eastAsia" w:ascii="宋体" w:hAnsi="宋体" w:cs="宋体"/>
          <w:color w:val="auto"/>
          <w:kern w:val="0"/>
          <w:szCs w:val="21"/>
          <w:highlight w:val="none"/>
        </w:rPr>
        <w:t>《磋商须知前附表》中声明允许分包的，磋商响应供应商可以根据竞争性磋商文件的规定和采购项目的实际情况进行分包。</w:t>
      </w:r>
      <w:r>
        <w:rPr>
          <w:rFonts w:hint="eastAsia" w:ascii="宋体" w:hAnsi="宋体" w:cs="宋体"/>
          <w:b/>
          <w:color w:val="auto"/>
          <w:kern w:val="0"/>
          <w:szCs w:val="21"/>
          <w:highlight w:val="none"/>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宋体" w:hAnsi="宋体" w:cs="宋体"/>
          <w:color w:val="auto"/>
          <w:kern w:val="0"/>
          <w:szCs w:val="21"/>
          <w:highlight w:val="none"/>
          <w:lang w:val="zh-CN"/>
        </w:rPr>
        <w:t>分包履行合同的部分应当为采购项目的非主体、非关键性工作，不属于成交供应商的主要合同义务。分包供应商履行的分包项目的技术要求等，必须与成交的一致。</w:t>
      </w:r>
      <w:r>
        <w:rPr>
          <w:rFonts w:hint="eastAsia" w:ascii="宋体" w:hAnsi="宋体" w:cs="宋体"/>
          <w:color w:val="auto"/>
          <w:kern w:val="0"/>
          <w:szCs w:val="21"/>
          <w:highlight w:val="none"/>
        </w:rPr>
        <w:t>政府采购合同分包履行的，中标</w:t>
      </w:r>
      <w:r>
        <w:rPr>
          <w:rFonts w:ascii="宋体" w:hAnsi="宋体" w:cs="宋体"/>
          <w:color w:val="auto"/>
          <w:kern w:val="0"/>
          <w:szCs w:val="21"/>
          <w:highlight w:val="none"/>
        </w:rPr>
        <w:t>/</w:t>
      </w:r>
      <w:r>
        <w:rPr>
          <w:rFonts w:hint="eastAsia" w:ascii="宋体" w:hAnsi="宋体" w:cs="宋体"/>
          <w:color w:val="auto"/>
          <w:kern w:val="0"/>
          <w:szCs w:val="21"/>
          <w:highlight w:val="none"/>
        </w:rPr>
        <w:t>成交供应商就采购项目和分包项目向采购人负责，分包供应商就分包项目承担责任。</w:t>
      </w:r>
    </w:p>
    <w:p w14:paraId="1F148E4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1.16 </w:t>
      </w:r>
      <w:r>
        <w:rPr>
          <w:rFonts w:hint="eastAsia" w:ascii="宋体" w:hAnsi="宋体" w:cs="宋体"/>
          <w:b/>
          <w:bCs/>
          <w:color w:val="auto"/>
          <w:szCs w:val="21"/>
          <w:highlight w:val="none"/>
        </w:rPr>
        <w:t>供应商询问、质疑和投诉</w:t>
      </w:r>
    </w:p>
    <w:p w14:paraId="72A31AAC">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1.16.1</w:t>
      </w:r>
      <w:r>
        <w:rPr>
          <w:rFonts w:hint="eastAsia" w:ascii="宋体" w:hAnsi="宋体" w:cs="宋体"/>
          <w:b/>
          <w:color w:val="auto"/>
          <w:kern w:val="0"/>
          <w:szCs w:val="21"/>
          <w:highlight w:val="none"/>
        </w:rPr>
        <w:t>询问：</w:t>
      </w:r>
      <w:r>
        <w:rPr>
          <w:rFonts w:hint="eastAsia" w:ascii="宋体" w:hAnsi="宋体" w:cs="宋体"/>
          <w:color w:val="auto"/>
          <w:kern w:val="0"/>
          <w:szCs w:val="21"/>
          <w:highlight w:val="none"/>
        </w:rPr>
        <w:t>在采购活动中供应商可以就某一事项向采购组织机构发出“询问”，采购组织机构将在收到供应商“询问”后三个工作日内予以答复，但规定不予答复的内容除外。</w:t>
      </w:r>
    </w:p>
    <w:p w14:paraId="7643335D">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1.16.2</w:t>
      </w:r>
      <w:r>
        <w:rPr>
          <w:rFonts w:hint="eastAsia" w:ascii="宋体" w:hAnsi="宋体" w:cs="宋体"/>
          <w:b/>
          <w:color w:val="auto"/>
          <w:kern w:val="0"/>
          <w:szCs w:val="21"/>
          <w:highlight w:val="none"/>
        </w:rPr>
        <w:t>质疑：供应商认为竞争性磋商文件、采购过程和采购结果使自己的合法权益受到损害的，应当在知道或者应知其权益受到损害之日起七个工作日内，通过</w:t>
      </w:r>
      <w:r>
        <w:rPr>
          <w:rFonts w:hint="eastAsia" w:ascii="宋体" w:hAnsi="宋体" w:cs="宋体"/>
          <w:b/>
          <w:color w:val="auto"/>
          <w:szCs w:val="21"/>
          <w:highlight w:val="none"/>
        </w:rPr>
        <w:t>政府采购平台进入“项目质疑管理”栏目向</w:t>
      </w:r>
      <w:r>
        <w:rPr>
          <w:rFonts w:hint="eastAsia" w:ascii="宋体" w:hAnsi="宋体" w:cs="宋体"/>
          <w:b/>
          <w:color w:val="auto"/>
          <w:kern w:val="0"/>
          <w:szCs w:val="21"/>
          <w:highlight w:val="none"/>
        </w:rPr>
        <w:t>采购人、采购代理机构提出质疑。供应商须在法定质疑期内一次性提出针对同一采购程序环节的质疑。</w:t>
      </w:r>
    </w:p>
    <w:p w14:paraId="0B1672CC">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1.16.2.1</w:t>
      </w:r>
      <w:r>
        <w:rPr>
          <w:rFonts w:hint="eastAsia" w:ascii="宋体" w:hAnsi="宋体" w:cs="宋体"/>
          <w:b/>
          <w:color w:val="auto"/>
          <w:kern w:val="0"/>
          <w:szCs w:val="21"/>
          <w:highlight w:val="none"/>
        </w:rPr>
        <w:t>上述所指“供应商应知其权益受到损害之日”，是指：</w:t>
      </w:r>
    </w:p>
    <w:p w14:paraId="773EA0E5">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对</w:t>
      </w:r>
      <w:r>
        <w:rPr>
          <w:rFonts w:hint="eastAsia" w:ascii="宋体" w:hAnsi="宋体" w:cs="宋体"/>
          <w:color w:val="auto"/>
          <w:szCs w:val="21"/>
          <w:highlight w:val="none"/>
          <w:u w:val="single"/>
        </w:rPr>
        <w:t>竞争性磋商文件</w:t>
      </w:r>
      <w:r>
        <w:rPr>
          <w:rFonts w:hint="eastAsia" w:ascii="宋体" w:hAnsi="宋体" w:cs="宋体"/>
          <w:color w:val="auto"/>
          <w:kern w:val="0"/>
          <w:szCs w:val="21"/>
          <w:highlight w:val="none"/>
          <w:u w:val="single"/>
        </w:rPr>
        <w:t>提出质疑的，</w:t>
      </w:r>
      <w:r>
        <w:rPr>
          <w:rFonts w:hint="eastAsia" w:ascii="宋体" w:hAnsi="宋体" w:cs="宋体"/>
          <w:color w:val="auto"/>
          <w:szCs w:val="21"/>
          <w:highlight w:val="none"/>
          <w:u w:val="single"/>
        </w:rPr>
        <w:t>为获取竞争性磋商文件之日或者竞争性磋商文件公告期限届满之日（竞争性磋商文件公告期限届满后获取竞争性磋商文件的，以竞争性磋商文件公告期限届满之日为准），</w:t>
      </w:r>
      <w:r>
        <w:rPr>
          <w:rFonts w:hint="eastAsia" w:ascii="宋体" w:hAnsi="宋体" w:cs="宋体"/>
          <w:b/>
          <w:bCs/>
          <w:color w:val="auto"/>
          <w:szCs w:val="21"/>
          <w:highlight w:val="none"/>
          <w:u w:val="single"/>
        </w:rPr>
        <w:t>但</w:t>
      </w:r>
      <w:r>
        <w:rPr>
          <w:rFonts w:hint="eastAsia" w:ascii="宋体" w:hAnsi="宋体" w:cs="宋体"/>
          <w:b/>
          <w:color w:val="auto"/>
          <w:kern w:val="0"/>
          <w:szCs w:val="21"/>
          <w:highlight w:val="none"/>
          <w:u w:val="single"/>
        </w:rPr>
        <w:t>须在磋商响应文件提交截止时间前提出</w:t>
      </w:r>
      <w:r>
        <w:rPr>
          <w:rFonts w:hint="eastAsia" w:ascii="宋体" w:hAnsi="宋体" w:cs="宋体"/>
          <w:color w:val="auto"/>
          <w:kern w:val="0"/>
          <w:szCs w:val="21"/>
          <w:highlight w:val="none"/>
          <w:u w:val="single"/>
        </w:rPr>
        <w:t>；</w:t>
      </w:r>
    </w:p>
    <w:p w14:paraId="38AF7883">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对采购过程提出质疑的，为各采购程序环节结束之日</w:t>
      </w:r>
      <w:r>
        <w:rPr>
          <w:rFonts w:hint="eastAsia" w:ascii="宋体" w:hAnsi="宋体" w:cs="宋体"/>
          <w:color w:val="auto"/>
          <w:kern w:val="0"/>
          <w:szCs w:val="21"/>
          <w:highlight w:val="none"/>
        </w:rPr>
        <w:t>；</w:t>
      </w:r>
    </w:p>
    <w:p w14:paraId="3EAF153A">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对成交结果提出质疑的，为成交结果公告期限届满之日</w:t>
      </w:r>
      <w:r>
        <w:rPr>
          <w:rFonts w:hint="eastAsia" w:ascii="宋体" w:hAnsi="宋体" w:cs="宋体"/>
          <w:color w:val="auto"/>
          <w:kern w:val="0"/>
          <w:szCs w:val="21"/>
          <w:highlight w:val="none"/>
        </w:rPr>
        <w:t>。</w:t>
      </w:r>
    </w:p>
    <w:p w14:paraId="5DCE3187">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1.16.2.2</w:t>
      </w:r>
      <w:r>
        <w:rPr>
          <w:rFonts w:hint="eastAsia" w:ascii="宋体" w:hAnsi="宋体" w:cs="宋体"/>
          <w:b/>
          <w:color w:val="auto"/>
          <w:szCs w:val="21"/>
          <w:highlight w:val="none"/>
        </w:rPr>
        <w:t>供应商提出质疑应当递交质疑函和必要的证明材料。</w:t>
      </w:r>
      <w:r>
        <w:rPr>
          <w:rFonts w:hint="eastAsia" w:ascii="宋体" w:hAnsi="宋体" w:cs="宋体"/>
          <w:color w:val="auto"/>
          <w:szCs w:val="21"/>
          <w:highlight w:val="none"/>
        </w:rPr>
        <w:t>质疑函应当包括下列内容：</w:t>
      </w:r>
    </w:p>
    <w:p w14:paraId="4A4EF19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）供应商的姓名或者名称、地址、邮编、联系人及联系电话；</w:t>
      </w:r>
    </w:p>
    <w:p w14:paraId="5198119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）质疑项目的名称、编号；</w:t>
      </w:r>
    </w:p>
    <w:p w14:paraId="51E89E5C">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）具体、明确的质疑事项和与质疑事项相关的请求；</w:t>
      </w:r>
    </w:p>
    <w:p w14:paraId="640FFF9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）事实依据；</w:t>
      </w:r>
    </w:p>
    <w:p w14:paraId="54CD51B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）必要的法律依据；</w:t>
      </w:r>
    </w:p>
    <w:p w14:paraId="63C3ED95">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）提出质疑的日期。</w:t>
      </w:r>
    </w:p>
    <w:p w14:paraId="6E7E57C0">
      <w:pPr>
        <w:spacing w:line="360" w:lineRule="auto"/>
        <w:ind w:firstLine="422" w:firstLineChars="200"/>
        <w:rPr>
          <w:rFonts w:ascii="宋体" w:cs="宋体"/>
          <w:b/>
          <w:color w:val="auto"/>
          <w:kern w:val="0"/>
          <w:szCs w:val="21"/>
          <w:highlight w:val="none"/>
        </w:rPr>
      </w:pPr>
      <w:r>
        <w:rPr>
          <w:rFonts w:hint="eastAsia" w:ascii="宋体" w:hAnsi="宋体" w:cs="宋体"/>
          <w:b/>
          <w:color w:val="auto"/>
          <w:szCs w:val="21"/>
          <w:highlight w:val="none"/>
        </w:rPr>
        <w:t>供应商为自然人的，应当由本人签字并附上身份证明；供应商为法人或者其他组织的，应当由法定代表人或者其授权代表签字或者盖章，并加盖公章。</w:t>
      </w:r>
    </w:p>
    <w:p w14:paraId="7FF94CCB">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1.16.2.3</w:t>
      </w:r>
      <w:r>
        <w:rPr>
          <w:rFonts w:hint="eastAsia" w:ascii="宋体" w:hAnsi="宋体" w:cs="宋体"/>
          <w:b/>
          <w:color w:val="auto"/>
          <w:kern w:val="0"/>
          <w:szCs w:val="21"/>
          <w:highlight w:val="none"/>
        </w:rPr>
        <w:t>供应商认可采购组织机构在质疑答复程序中启用的调查和重新评审等程序，在该程序操作过程未明显违反法律禁止性规定时，不得再提出异议；</w:t>
      </w:r>
    </w:p>
    <w:p w14:paraId="1A040541">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1.16.2.4</w:t>
      </w:r>
      <w:r>
        <w:rPr>
          <w:rFonts w:hint="eastAsia" w:ascii="宋体" w:hAnsi="宋体" w:cs="宋体"/>
          <w:b/>
          <w:color w:val="auto"/>
          <w:kern w:val="0"/>
          <w:szCs w:val="21"/>
          <w:highlight w:val="none"/>
        </w:rPr>
        <w:t>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宋体" w:hAnsi="宋体" w:cs="宋体"/>
          <w:b/>
          <w:color w:val="auto"/>
          <w:kern w:val="0"/>
          <w:szCs w:val="21"/>
          <w:highlight w:val="none"/>
          <w:u w:val="single"/>
        </w:rPr>
        <w:t>即通过合法手段获得的能够证明供应商的诉求成立的必要材料</w:t>
      </w:r>
      <w:r>
        <w:rPr>
          <w:rFonts w:hint="eastAsia" w:ascii="宋体" w:hAnsi="宋体" w:cs="宋体"/>
          <w:b/>
          <w:color w:val="auto"/>
          <w:kern w:val="0"/>
          <w:szCs w:val="21"/>
          <w:highlight w:val="none"/>
        </w:rPr>
        <w:t>）；</w:t>
      </w:r>
    </w:p>
    <w:p w14:paraId="274A4BAF">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1.16.3</w:t>
      </w:r>
      <w:r>
        <w:rPr>
          <w:rFonts w:hint="eastAsia" w:ascii="宋体" w:hAnsi="宋体" w:cs="宋体"/>
          <w:b/>
          <w:color w:val="auto"/>
          <w:kern w:val="0"/>
          <w:szCs w:val="21"/>
          <w:highlight w:val="none"/>
        </w:rPr>
        <w:t>投诉：</w:t>
      </w:r>
      <w:r>
        <w:rPr>
          <w:rFonts w:hint="eastAsia" w:ascii="宋体" w:hAnsi="宋体" w:cs="宋体"/>
          <w:color w:val="auto"/>
          <w:kern w:val="0"/>
          <w:szCs w:val="21"/>
          <w:highlight w:val="none"/>
        </w:rPr>
        <w:t>供应商对采购组织机构的质疑答复不满意或者采购组织机构未在规定时间内作出答复的，可以在答复期满后十五个工作日内向同级政府采购监督管理部门投诉。</w:t>
      </w:r>
    </w:p>
    <w:p w14:paraId="68462D7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1.17 </w:t>
      </w:r>
      <w:r>
        <w:rPr>
          <w:rFonts w:hint="eastAsia" w:ascii="宋体" w:hAnsi="宋体" w:cs="宋体"/>
          <w:b/>
          <w:bCs/>
          <w:color w:val="auto"/>
          <w:szCs w:val="21"/>
          <w:highlight w:val="none"/>
        </w:rPr>
        <w:t>磋商保证金</w:t>
      </w:r>
    </w:p>
    <w:p w14:paraId="674B5DEF">
      <w:pPr>
        <w:spacing w:line="360" w:lineRule="auto"/>
        <w:ind w:firstLine="420" w:firstLineChars="200"/>
        <w:rPr>
          <w:rFonts w:ascii="宋体" w:cs="宋体"/>
          <w:bCs/>
          <w:color w:val="auto"/>
          <w:kern w:val="0"/>
          <w:szCs w:val="21"/>
          <w:highlight w:val="none"/>
        </w:rPr>
      </w:pPr>
      <w:r>
        <w:rPr>
          <w:rFonts w:hint="eastAsia" w:ascii="宋体" w:hAnsi="宋体" w:cs="宋体"/>
          <w:bCs/>
          <w:color w:val="auto"/>
          <w:kern w:val="0"/>
          <w:szCs w:val="21"/>
          <w:highlight w:val="none"/>
        </w:rPr>
        <w:t>本项目是否要求磋商响应供应商提交保证金，及要求磋商响应供应商应提交的保证金金额及相关规定</w:t>
      </w:r>
      <w:r>
        <w:rPr>
          <w:rFonts w:hint="eastAsia" w:ascii="宋体" w:hAnsi="宋体" w:cs="宋体"/>
          <w:b/>
          <w:bCs/>
          <w:color w:val="auto"/>
          <w:szCs w:val="21"/>
          <w:highlight w:val="none"/>
          <w:u w:val="single"/>
        </w:rPr>
        <w:t>见《磋商须知前附表》</w:t>
      </w:r>
      <w:r>
        <w:rPr>
          <w:rFonts w:hint="eastAsia" w:ascii="宋体" w:hAnsi="宋体" w:cs="宋体"/>
          <w:bCs/>
          <w:color w:val="auto"/>
          <w:kern w:val="0"/>
          <w:szCs w:val="21"/>
          <w:highlight w:val="none"/>
        </w:rPr>
        <w:t>。</w:t>
      </w:r>
    </w:p>
    <w:p w14:paraId="515F9801">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1.17.1</w:t>
      </w:r>
      <w:r>
        <w:rPr>
          <w:rFonts w:hint="eastAsia" w:ascii="宋体" w:hAnsi="宋体" w:cs="宋体"/>
          <w:bCs/>
          <w:color w:val="auto"/>
          <w:kern w:val="0"/>
          <w:szCs w:val="21"/>
          <w:highlight w:val="none"/>
        </w:rPr>
        <w:t>未按上述要求提交保证金或提交的保证金金额不足的，其响应文件无效。</w:t>
      </w:r>
    </w:p>
    <w:p w14:paraId="5B5733B5">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1.17.2</w:t>
      </w:r>
      <w:r>
        <w:rPr>
          <w:rFonts w:hint="eastAsia" w:ascii="宋体" w:hAnsi="宋体" w:cs="宋体"/>
          <w:bCs/>
          <w:color w:val="auto"/>
          <w:kern w:val="0"/>
          <w:szCs w:val="21"/>
          <w:highlight w:val="none"/>
        </w:rPr>
        <w:t>采购人因重大变故取消采购任务的，采购组织机构在财政部门指定的政府采购信息发布媒体上发布终止公告，并以发布公告的形式通知已经获取采购文件的潜在磋商供应商，对已经交纳响应保证金的，采购组织机构在终止公告发布后</w:t>
      </w:r>
      <w:r>
        <w:rPr>
          <w:rFonts w:ascii="宋体" w:hAnsi="宋体" w:cs="宋体"/>
          <w:bCs/>
          <w:color w:val="auto"/>
          <w:kern w:val="0"/>
          <w:szCs w:val="21"/>
          <w:highlight w:val="none"/>
        </w:rPr>
        <w:t>5</w:t>
      </w:r>
      <w:r>
        <w:rPr>
          <w:rFonts w:hint="eastAsia" w:ascii="宋体" w:hAnsi="宋体" w:cs="宋体"/>
          <w:bCs/>
          <w:color w:val="auto"/>
          <w:kern w:val="0"/>
          <w:szCs w:val="21"/>
          <w:highlight w:val="none"/>
        </w:rPr>
        <w:t>个工作日内予以退还。</w:t>
      </w:r>
    </w:p>
    <w:p w14:paraId="3B677C53">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1.17.3</w:t>
      </w:r>
      <w:r>
        <w:rPr>
          <w:rFonts w:hint="eastAsia" w:ascii="宋体" w:hAnsi="宋体" w:cs="宋体"/>
          <w:bCs/>
          <w:color w:val="auto"/>
          <w:kern w:val="0"/>
          <w:szCs w:val="21"/>
          <w:highlight w:val="none"/>
        </w:rPr>
        <w:t>有下列情形之一的，保证金不予退还：</w:t>
      </w:r>
    </w:p>
    <w:p w14:paraId="0C194044">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A.</w:t>
      </w:r>
      <w:r>
        <w:rPr>
          <w:rFonts w:hint="eastAsia" w:ascii="宋体" w:hAnsi="宋体" w:cs="宋体"/>
          <w:bCs/>
          <w:color w:val="auto"/>
          <w:kern w:val="0"/>
          <w:szCs w:val="21"/>
          <w:highlight w:val="none"/>
        </w:rPr>
        <w:t>供应商在提交响应文件截止时间后撤回响应文件的；</w:t>
      </w:r>
    </w:p>
    <w:p w14:paraId="3FC32873">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供应商在响应文件中提供虚假材料的；</w:t>
      </w:r>
    </w:p>
    <w:p w14:paraId="3CF3A303">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C.</w:t>
      </w:r>
      <w:r>
        <w:rPr>
          <w:rFonts w:hint="eastAsia" w:ascii="宋体" w:hAnsi="宋体" w:cs="宋体"/>
          <w:bCs/>
          <w:color w:val="auto"/>
          <w:kern w:val="0"/>
          <w:szCs w:val="21"/>
          <w:highlight w:val="none"/>
        </w:rPr>
        <w:t>除因不可抗力或磋商文件认可的情形以外，成交供应商不与采购人签订合同的；</w:t>
      </w:r>
    </w:p>
    <w:p w14:paraId="69C17EC2">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D.</w:t>
      </w:r>
      <w:r>
        <w:rPr>
          <w:rFonts w:hint="eastAsia" w:ascii="宋体" w:hAnsi="宋体" w:cs="宋体"/>
          <w:bCs/>
          <w:color w:val="auto"/>
          <w:kern w:val="0"/>
          <w:szCs w:val="21"/>
          <w:highlight w:val="none"/>
        </w:rPr>
        <w:t>供应商与采购人、其他供应商或者采购代理机构恶意串通的；</w:t>
      </w:r>
    </w:p>
    <w:p w14:paraId="3F28BC0E">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E.</w:t>
      </w:r>
      <w:r>
        <w:rPr>
          <w:rFonts w:hint="eastAsia" w:ascii="宋体" w:hAnsi="宋体" w:cs="宋体"/>
          <w:bCs/>
          <w:color w:val="auto"/>
          <w:kern w:val="0"/>
          <w:szCs w:val="21"/>
          <w:highlight w:val="none"/>
        </w:rPr>
        <w:t>磋商文件规定的其他情形。</w:t>
      </w:r>
    </w:p>
    <w:p w14:paraId="18C34E4A">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1.18 </w:t>
      </w:r>
      <w:r>
        <w:rPr>
          <w:rFonts w:hint="eastAsia" w:ascii="宋体" w:hAnsi="宋体" w:cs="宋体"/>
          <w:b/>
          <w:bCs/>
          <w:color w:val="auto"/>
          <w:szCs w:val="21"/>
          <w:highlight w:val="none"/>
        </w:rPr>
        <w:t>其他说明</w:t>
      </w:r>
    </w:p>
    <w:p w14:paraId="179F2143">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1.18.1</w:t>
      </w:r>
      <w:r>
        <w:rPr>
          <w:rFonts w:hint="eastAsia" w:ascii="宋体" w:hAnsi="宋体" w:cs="宋体"/>
          <w:b/>
          <w:color w:val="auto"/>
          <w:kern w:val="0"/>
          <w:szCs w:val="21"/>
          <w:highlight w:val="none"/>
        </w:rPr>
        <w:t>磋商响应供应商磋商所使用的资格、信誉、荣誉、磋商响应供应商业绩与企业认证必须为本法人所拥有。磋商响应供应商磋商所使用的项目实施人员可以为其控股公司的工作人员。</w:t>
      </w:r>
      <w:r>
        <w:rPr>
          <w:rFonts w:hint="eastAsia" w:ascii="宋体" w:hAnsi="宋体" w:cs="宋体"/>
          <w:color w:val="auto"/>
          <w:kern w:val="0"/>
          <w:szCs w:val="21"/>
          <w:highlight w:val="none"/>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14:paraId="4ECBB98B">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1.18.2</w:t>
      </w:r>
      <w:r>
        <w:rPr>
          <w:rFonts w:hint="eastAsia" w:ascii="宋体" w:hAnsi="宋体" w:cs="宋体"/>
          <w:b/>
          <w:color w:val="auto"/>
          <w:kern w:val="0"/>
          <w:szCs w:val="21"/>
          <w:highlight w:val="none"/>
        </w:rPr>
        <w:t>磋商响应供应商在磋商活动中提供任何虚假材料或从事其他违法活动的，其磋商响应无效，并报政府采购监督管理部门查处；成交后发现的，成交结果无效，并须依照相关规定双倍赔偿给采购人。且民事赔偿并不免除违法磋商响应供应商的行政与刑事责任。</w:t>
      </w:r>
    </w:p>
    <w:p w14:paraId="7899D7C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1.18.3</w:t>
      </w:r>
      <w:r>
        <w:rPr>
          <w:rFonts w:hint="eastAsia" w:ascii="宋体" w:hAnsi="宋体" w:cs="宋体"/>
          <w:color w:val="auto"/>
          <w:kern w:val="0"/>
          <w:szCs w:val="21"/>
          <w:highlight w:val="none"/>
        </w:rPr>
        <w:t>磋商响应供应商应仔细阅读竞争性磋商文件的所有内容，按照竞争性磋商文件的要求递交《磋商响应文件》。</w:t>
      </w:r>
      <w:r>
        <w:rPr>
          <w:rFonts w:hint="eastAsia" w:ascii="宋体" w:hAnsi="宋体" w:cs="宋体"/>
          <w:bCs/>
          <w:color w:val="auto"/>
          <w:kern w:val="0"/>
          <w:szCs w:val="21"/>
          <w:highlight w:val="none"/>
        </w:rPr>
        <w:t>《磋商响应文件》应对竞争性磋商文件的要求作出实质性响应，并对所提供的全部资料的真实性承担法律责任。</w:t>
      </w:r>
    </w:p>
    <w:p w14:paraId="40F87FD5">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1.18.4</w:t>
      </w:r>
      <w:r>
        <w:rPr>
          <w:rFonts w:hint="eastAsia" w:ascii="宋体" w:hAnsi="宋体" w:cs="宋体"/>
          <w:color w:val="auto"/>
          <w:kern w:val="0"/>
          <w:szCs w:val="21"/>
          <w:highlight w:val="none"/>
        </w:rPr>
        <w:t>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14:paraId="184CD63D">
      <w:pPr>
        <w:pStyle w:val="627"/>
        <w:pBdr>
          <w:bottom w:val="none" w:color="auto" w:sz="0" w:space="0"/>
        </w:pBdr>
        <w:spacing w:line="360" w:lineRule="auto"/>
        <w:ind w:firstLine="422" w:firstLineChars="200"/>
        <w:rPr>
          <w:rFonts w:ascii="宋体" w:cs="宋体"/>
          <w:bCs/>
          <w:color w:val="auto"/>
          <w:sz w:val="21"/>
          <w:szCs w:val="21"/>
          <w:highlight w:val="none"/>
        </w:rPr>
      </w:pPr>
      <w:r>
        <w:rPr>
          <w:rFonts w:ascii="宋体" w:hAnsi="宋体" w:cs="宋体"/>
          <w:b/>
          <w:bCs/>
          <w:color w:val="auto"/>
          <w:kern w:val="0"/>
          <w:sz w:val="21"/>
          <w:szCs w:val="21"/>
          <w:highlight w:val="none"/>
        </w:rPr>
        <w:t>1.18.5</w:t>
      </w:r>
      <w:r>
        <w:rPr>
          <w:rFonts w:hint="eastAsia" w:ascii="宋体" w:hAnsi="宋体" w:cs="宋体"/>
          <w:b/>
          <w:bCs/>
          <w:color w:val="auto"/>
          <w:sz w:val="21"/>
          <w:szCs w:val="21"/>
          <w:highlight w:val="none"/>
          <w:u w:val="single"/>
        </w:rPr>
        <w:t>磋商响应供应商对所响应项内的采购内容必须全部进行响应。</w:t>
      </w:r>
    </w:p>
    <w:p w14:paraId="56C39D0D">
      <w:pPr>
        <w:pStyle w:val="627"/>
        <w:pBdr>
          <w:bottom w:val="none" w:color="auto" w:sz="0" w:space="0"/>
        </w:pBdr>
        <w:spacing w:line="360" w:lineRule="auto"/>
        <w:ind w:firstLine="420" w:firstLineChars="200"/>
        <w:rPr>
          <w:rFonts w:ascii="宋体" w:cs="宋体"/>
          <w:bCs/>
          <w:color w:val="auto"/>
          <w:sz w:val="21"/>
          <w:szCs w:val="21"/>
          <w:highlight w:val="none"/>
        </w:rPr>
      </w:pPr>
      <w:r>
        <w:rPr>
          <w:rFonts w:ascii="宋体" w:hAnsi="宋体" w:cs="宋体"/>
          <w:color w:val="auto"/>
          <w:kern w:val="0"/>
          <w:sz w:val="21"/>
          <w:szCs w:val="21"/>
          <w:highlight w:val="none"/>
        </w:rPr>
        <w:t>1.18.6</w:t>
      </w:r>
      <w:r>
        <w:rPr>
          <w:rFonts w:hint="eastAsia" w:ascii="宋体" w:hAnsi="宋体" w:cs="宋体"/>
          <w:bCs/>
          <w:color w:val="auto"/>
          <w:sz w:val="21"/>
          <w:szCs w:val="21"/>
          <w:highlight w:val="none"/>
        </w:rPr>
        <w:t>竞争性磋商文件中如有描述歧义或前后不一致的地方，磋商小组有权按公平、合理的原则进行评判，但对同一条款的评判适用于每个供应商。</w:t>
      </w:r>
    </w:p>
    <w:p w14:paraId="296CF316">
      <w:pPr>
        <w:pStyle w:val="627"/>
        <w:pBdr>
          <w:bottom w:val="none" w:color="auto" w:sz="0" w:space="0"/>
        </w:pBdr>
        <w:spacing w:line="360" w:lineRule="auto"/>
        <w:ind w:firstLine="420" w:firstLineChars="200"/>
        <w:rPr>
          <w:rFonts w:ascii="宋体" w:cs="宋体"/>
          <w:bCs/>
          <w:color w:val="auto"/>
          <w:sz w:val="21"/>
          <w:szCs w:val="21"/>
          <w:highlight w:val="none"/>
        </w:rPr>
      </w:pPr>
      <w:r>
        <w:rPr>
          <w:rFonts w:ascii="宋体" w:hAnsi="宋体" w:cs="宋体"/>
          <w:color w:val="auto"/>
          <w:kern w:val="0"/>
          <w:sz w:val="21"/>
          <w:szCs w:val="21"/>
          <w:highlight w:val="none"/>
        </w:rPr>
        <w:t>1.18.7</w:t>
      </w:r>
      <w:r>
        <w:rPr>
          <w:rFonts w:hint="eastAsia" w:ascii="宋体" w:hAnsi="宋体" w:cs="宋体"/>
          <w:bCs/>
          <w:color w:val="auto"/>
          <w:sz w:val="21"/>
          <w:szCs w:val="21"/>
          <w:highlight w:val="none"/>
        </w:rPr>
        <w:t>响应文件的响应内容必须真实、明确、准确。否则，磋商小组将对其作出不利的评审。</w:t>
      </w:r>
    </w:p>
    <w:p w14:paraId="53B65407">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1.18.8</w:t>
      </w:r>
      <w:r>
        <w:rPr>
          <w:rFonts w:hint="eastAsia" w:ascii="宋体" w:hAnsi="宋体" w:cs="宋体"/>
          <w:color w:val="auto"/>
          <w:szCs w:val="21"/>
          <w:highlight w:val="none"/>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60"/>
    <w:bookmarkEnd w:id="61"/>
    <w:p w14:paraId="14C283DC">
      <w:pPr>
        <w:pStyle w:val="3"/>
        <w:spacing w:before="317" w:beforeLines="100" w:after="317" w:afterLines="100" w:line="360" w:lineRule="auto"/>
        <w:rPr>
          <w:rFonts w:ascii="宋体" w:hAnsi="宋体" w:eastAsia="宋体" w:cs="宋体"/>
          <w:color w:val="auto"/>
          <w:sz w:val="24"/>
          <w:szCs w:val="24"/>
          <w:highlight w:val="none"/>
        </w:rPr>
      </w:pPr>
      <w:bookmarkStart w:id="62" w:name="_Toc28352"/>
      <w:bookmarkStart w:id="63" w:name="_Toc81341319"/>
      <w:bookmarkStart w:id="64" w:name="_Toc29661"/>
      <w:bookmarkStart w:id="65" w:name="_Toc10168"/>
      <w:r>
        <w:rPr>
          <w:rFonts w:hint="eastAsia" w:ascii="宋体" w:hAnsi="宋体" w:eastAsia="宋体" w:cs="宋体"/>
          <w:color w:val="auto"/>
          <w:sz w:val="24"/>
          <w:szCs w:val="24"/>
          <w:highlight w:val="none"/>
        </w:rPr>
        <w:t>二、落实的政府采购政策</w:t>
      </w:r>
      <w:bookmarkEnd w:id="62"/>
      <w:bookmarkEnd w:id="63"/>
    </w:p>
    <w:p w14:paraId="0549574E">
      <w:pPr>
        <w:keepNext/>
        <w:keepLines/>
        <w:spacing w:line="360" w:lineRule="auto"/>
        <w:ind w:firstLine="422" w:firstLineChars="200"/>
        <w:outlineLvl w:val="2"/>
        <w:rPr>
          <w:rFonts w:ascii="宋体" w:cs="宋体"/>
          <w:b/>
          <w:bCs/>
          <w:color w:val="auto"/>
          <w:szCs w:val="21"/>
          <w:highlight w:val="none"/>
        </w:rPr>
      </w:pPr>
      <w:bookmarkStart w:id="66" w:name="_Toc82873324"/>
      <w:bookmarkStart w:id="67" w:name="_Toc82338241"/>
      <w:r>
        <w:rPr>
          <w:rFonts w:ascii="宋体" w:hAnsi="宋体" w:cs="宋体"/>
          <w:b/>
          <w:bCs/>
          <w:color w:val="auto"/>
          <w:szCs w:val="21"/>
          <w:highlight w:val="none"/>
        </w:rPr>
        <w:t>2.1</w:t>
      </w:r>
      <w:r>
        <w:rPr>
          <w:rFonts w:hint="eastAsia" w:ascii="宋体" w:hAnsi="宋体" w:cs="宋体"/>
          <w:b/>
          <w:bCs/>
          <w:color w:val="auto"/>
          <w:szCs w:val="21"/>
          <w:highlight w:val="none"/>
        </w:rPr>
        <w:t>支持本国企业</w:t>
      </w:r>
    </w:p>
    <w:p w14:paraId="69A710A4">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根据《中华人民共和国政府采购法》第十条的规定，政府采购应当采购本国货物、工程和服务。但有下列情形之一的除外：</w:t>
      </w:r>
    </w:p>
    <w:p w14:paraId="49366474">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（一）需要采购的货物、工程或者服务在中国境内无法获取或者无法以合理的商业条件获取的；</w:t>
      </w:r>
      <w:r>
        <w:rPr>
          <w:rFonts w:ascii="宋体" w:hAnsi="宋体" w:cs="宋体"/>
          <w:color w:val="auto"/>
          <w:szCs w:val="21"/>
          <w:highlight w:val="none"/>
        </w:rPr>
        <w:t xml:space="preserve"> </w:t>
      </w:r>
    </w:p>
    <w:p w14:paraId="46B8A02A">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（二）为在中国境外使用而进行采购的；</w:t>
      </w:r>
      <w:r>
        <w:rPr>
          <w:rFonts w:ascii="宋体" w:hAnsi="宋体" w:cs="宋体"/>
          <w:color w:val="auto"/>
          <w:szCs w:val="21"/>
          <w:highlight w:val="none"/>
        </w:rPr>
        <w:t xml:space="preserve"> </w:t>
      </w:r>
    </w:p>
    <w:p w14:paraId="33E545EC">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（三）其他法律、行政法规另有规定的。</w:t>
      </w:r>
      <w:r>
        <w:rPr>
          <w:rFonts w:ascii="宋体" w:hAnsi="宋体" w:cs="宋体"/>
          <w:color w:val="auto"/>
          <w:szCs w:val="21"/>
          <w:highlight w:val="none"/>
        </w:rPr>
        <w:t xml:space="preserve"> </w:t>
      </w:r>
    </w:p>
    <w:p w14:paraId="7DB8405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前款所称本国货物、工程和服务的界定，依照国务院有关规定执行。</w:t>
      </w:r>
    </w:p>
    <w:p w14:paraId="2088CF4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本项目是否允许中国境外工程供应商参加</w:t>
      </w:r>
      <w:r>
        <w:rPr>
          <w:rFonts w:hint="eastAsia" w:ascii="宋体" w:hAnsi="宋体" w:cs="宋体"/>
          <w:b/>
          <w:bCs/>
          <w:color w:val="auto"/>
          <w:szCs w:val="21"/>
          <w:highlight w:val="none"/>
          <w:u w:val="single"/>
        </w:rPr>
        <w:t>见《磋商须知前附表》</w:t>
      </w:r>
      <w:r>
        <w:rPr>
          <w:rFonts w:hint="eastAsia" w:ascii="宋体" w:hAnsi="宋体" w:cs="宋体"/>
          <w:color w:val="auto"/>
          <w:szCs w:val="21"/>
          <w:highlight w:val="none"/>
        </w:rPr>
        <w:t>。</w:t>
      </w:r>
    </w:p>
    <w:p w14:paraId="3B858F52">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2.2</w:t>
      </w:r>
      <w:r>
        <w:rPr>
          <w:rFonts w:hint="eastAsia" w:ascii="宋体" w:hAnsi="宋体" w:cs="宋体"/>
          <w:b/>
          <w:bCs/>
          <w:color w:val="auto"/>
          <w:szCs w:val="21"/>
          <w:highlight w:val="none"/>
        </w:rPr>
        <w:t>节能、环保产品政府采购政策：</w:t>
      </w:r>
    </w:p>
    <w:p w14:paraId="0DD8082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2.2.1</w:t>
      </w:r>
      <w:r>
        <w:rPr>
          <w:rFonts w:hint="eastAsia" w:ascii="宋体" w:hAnsi="宋体" w:cs="宋体"/>
          <w:color w:val="auto"/>
          <w:szCs w:val="21"/>
          <w:highlight w:val="none"/>
        </w:rPr>
        <w:t>根据财政部、国家发展改革委、生态环境部、国家市场监管总局《关于调整优化节能产品、环境标志产品政府采购执行机制的通知》财库〔</w:t>
      </w:r>
      <w:r>
        <w:rPr>
          <w:rFonts w:ascii="宋体" w:hAnsi="宋体" w:cs="宋体"/>
          <w:color w:val="auto"/>
          <w:szCs w:val="21"/>
          <w:highlight w:val="none"/>
        </w:rPr>
        <w:t>2019</w:t>
      </w: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号文件规定，对政府采购节能产品、环境标志产品实施品目清单管理，依据品目清单和认证证书实施政府优先采购和强制采购。</w:t>
      </w:r>
    </w:p>
    <w:p w14:paraId="33BE291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2.2.2</w:t>
      </w:r>
      <w:r>
        <w:rPr>
          <w:rFonts w:hint="eastAsia" w:ascii="宋体" w:hAnsi="宋体" w:cs="宋体"/>
          <w:color w:val="auto"/>
          <w:szCs w:val="21"/>
          <w:highlight w:val="none"/>
        </w:rPr>
        <w:t>《节能产品政府采购品目清单》详见《关于印发节能产品政府采购品目清单的通知（财库</w:t>
      </w:r>
      <w:r>
        <w:rPr>
          <w:rFonts w:ascii="宋体" w:hAnsi="宋体" w:cs="宋体"/>
          <w:color w:val="auto"/>
          <w:szCs w:val="21"/>
          <w:highlight w:val="none"/>
        </w:rPr>
        <w:t>[2019]19</w:t>
      </w:r>
      <w:r>
        <w:rPr>
          <w:rFonts w:hint="eastAsia" w:ascii="宋体" w:hAnsi="宋体" w:cs="宋体"/>
          <w:color w:val="auto"/>
          <w:szCs w:val="21"/>
          <w:highlight w:val="none"/>
        </w:rPr>
        <w:t>号）》（如遇调整，按最新清单执行）。</w:t>
      </w:r>
    </w:p>
    <w:p w14:paraId="213C596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2.2.3</w:t>
      </w:r>
      <w:r>
        <w:rPr>
          <w:rFonts w:hint="eastAsia" w:ascii="宋体" w:hAnsi="宋体" w:cs="宋体"/>
          <w:color w:val="auto"/>
          <w:szCs w:val="21"/>
          <w:highlight w:val="none"/>
        </w:rPr>
        <w:t>本次采购需落实《节能产品政府采购品目清单》中规定的属于国家强制性采购的，必须符合要求，并提供承诺书，未提供承诺书的，磋商响应文件无效。</w:t>
      </w:r>
    </w:p>
    <w:p w14:paraId="233DFD9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2.2.4</w:t>
      </w:r>
      <w:r>
        <w:rPr>
          <w:rFonts w:hint="eastAsia" w:ascii="宋体" w:hAnsi="宋体" w:cs="宋体"/>
          <w:color w:val="auto"/>
          <w:szCs w:val="21"/>
          <w:highlight w:val="none"/>
        </w:rPr>
        <w:t>《环境标志产品政府采购品目清单》详见《关于印发环境标志产品政府采购品目清单的通知（财库</w:t>
      </w:r>
      <w:r>
        <w:rPr>
          <w:rFonts w:ascii="宋体" w:hAnsi="宋体" w:cs="宋体"/>
          <w:color w:val="auto"/>
          <w:szCs w:val="21"/>
          <w:highlight w:val="none"/>
        </w:rPr>
        <w:t>[2019]18</w:t>
      </w:r>
      <w:r>
        <w:rPr>
          <w:rFonts w:hint="eastAsia" w:ascii="宋体" w:hAnsi="宋体" w:cs="宋体"/>
          <w:color w:val="auto"/>
          <w:szCs w:val="21"/>
          <w:highlight w:val="none"/>
        </w:rPr>
        <w:t>号）》（如遇调整，按最新清单执行）。</w:t>
      </w:r>
    </w:p>
    <w:p w14:paraId="1C3730E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2.2.5</w:t>
      </w:r>
      <w:r>
        <w:rPr>
          <w:rFonts w:hint="eastAsia" w:ascii="宋体" w:hAnsi="宋体" w:cs="宋体"/>
          <w:color w:val="auto"/>
          <w:szCs w:val="21"/>
          <w:highlight w:val="none"/>
        </w:rPr>
        <w:t>本次采购属于《环境标志产品政府采购品目清单》范围，但不属于政府强制采购产品的，实施优先采购，并提供承诺书，未承诺书的，磋商响应文件无效。</w:t>
      </w:r>
    </w:p>
    <w:p w14:paraId="0C5CB31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2.2.6</w:t>
      </w:r>
      <w:r>
        <w:rPr>
          <w:rFonts w:hint="eastAsia" w:ascii="宋体" w:hAnsi="宋体" w:cs="宋体"/>
          <w:color w:val="auto"/>
          <w:szCs w:val="21"/>
          <w:highlight w:val="none"/>
        </w:rPr>
        <w:t>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5B50302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2.2.7</w:t>
      </w:r>
      <w:r>
        <w:rPr>
          <w:rFonts w:hint="eastAsia" w:ascii="宋体" w:hAnsi="宋体" w:cs="宋体"/>
          <w:color w:val="auto"/>
          <w:szCs w:val="21"/>
          <w:highlight w:val="none"/>
        </w:rPr>
        <w:t>国家确定的认证机构以国家市场监管总局发布的参与实施政府采购节能产品、环境标志产品认证机构名录为准（如遇调整，请以最新公布的为准）。</w:t>
      </w:r>
    </w:p>
    <w:p w14:paraId="2E545975">
      <w:pPr>
        <w:spacing w:line="360" w:lineRule="auto"/>
        <w:ind w:firstLine="422" w:firstLineChars="200"/>
        <w:rPr>
          <w:rFonts w:ascii="宋体" w:cs="宋体"/>
          <w:b/>
          <w:bCs/>
          <w:color w:val="auto"/>
          <w:szCs w:val="21"/>
          <w:highlight w:val="none"/>
        </w:rPr>
      </w:pPr>
      <w:r>
        <w:rPr>
          <w:rFonts w:ascii="宋体" w:hAnsi="宋体" w:cs="宋体"/>
          <w:b/>
          <w:bCs/>
          <w:color w:val="auto"/>
          <w:szCs w:val="21"/>
          <w:highlight w:val="none"/>
        </w:rPr>
        <w:t>2.3</w:t>
      </w:r>
      <w:r>
        <w:rPr>
          <w:rFonts w:hint="eastAsia" w:ascii="宋体" w:hAnsi="宋体" w:cs="宋体"/>
          <w:b/>
          <w:bCs/>
          <w:color w:val="auto"/>
          <w:szCs w:val="21"/>
          <w:highlight w:val="none"/>
        </w:rPr>
        <w:t>正版软件及信息安全产品政府采购政策：</w:t>
      </w:r>
    </w:p>
    <w:p w14:paraId="74F898B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）本项目涉及正版软件的要求：供应商需承诺投报的计算机产品预装正版操作系统，投报的硬件产品内的预装软件为正版软件。</w:t>
      </w:r>
    </w:p>
    <w:p w14:paraId="0006D18A">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）本项目涉及信息安全产品的要求：投标货物中如含有财政部会同有关部门制定下发的《信息安全产品强制性认证目录》中的产品（</w:t>
      </w:r>
      <w:r>
        <w:rPr>
          <w:rFonts w:ascii="宋体" w:hAnsi="宋体" w:cs="宋体"/>
          <w:color w:val="auto"/>
          <w:szCs w:val="21"/>
          <w:highlight w:val="none"/>
        </w:rPr>
        <w:t>8</w:t>
      </w:r>
      <w:r>
        <w:rPr>
          <w:rFonts w:hint="eastAsia" w:ascii="宋体" w:hAnsi="宋体" w:cs="宋体"/>
          <w:color w:val="auto"/>
          <w:szCs w:val="21"/>
          <w:highlight w:val="none"/>
        </w:rPr>
        <w:t>类</w:t>
      </w:r>
      <w:r>
        <w:rPr>
          <w:rFonts w:ascii="宋体" w:hAnsi="宋体" w:cs="宋体"/>
          <w:color w:val="auto"/>
          <w:szCs w:val="21"/>
          <w:highlight w:val="none"/>
        </w:rPr>
        <w:t>13</w:t>
      </w:r>
      <w:r>
        <w:rPr>
          <w:rFonts w:hint="eastAsia" w:ascii="宋体" w:hAnsi="宋体" w:cs="宋体"/>
          <w:color w:val="auto"/>
          <w:szCs w:val="21"/>
          <w:highlight w:val="none"/>
        </w:rPr>
        <w:t>项），需提供中国信息安全认证中心或中国网络安全审查技术与认证中心按国家标准认证颁发的有效认证证书。</w:t>
      </w:r>
    </w:p>
    <w:p w14:paraId="20A14BC3">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2.4</w:t>
      </w:r>
      <w:r>
        <w:rPr>
          <w:rFonts w:hint="eastAsia" w:ascii="宋体" w:hAnsi="宋体" w:cs="宋体"/>
          <w:b/>
          <w:bCs/>
          <w:color w:val="auto"/>
          <w:szCs w:val="21"/>
          <w:highlight w:val="none"/>
        </w:rPr>
        <w:t>无线局域网产品政府采购政策：</w:t>
      </w:r>
    </w:p>
    <w:p w14:paraId="66E44D4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本项目采购的产品属于中国政府采购网公布的《无线局域网认证产品政府采购清单》且在有效期内的，提供《中国政府采购网》公布的无线局域网产品政府采购清单封面及对应页，实行优先采购。</w:t>
      </w:r>
    </w:p>
    <w:p w14:paraId="5F74C726">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2.5</w:t>
      </w:r>
      <w:r>
        <w:rPr>
          <w:rFonts w:hint="eastAsia" w:ascii="宋体" w:hAnsi="宋体" w:cs="宋体"/>
          <w:b/>
          <w:bCs/>
          <w:color w:val="auto"/>
          <w:szCs w:val="21"/>
          <w:highlight w:val="none"/>
        </w:rPr>
        <w:t>支持中小企业发展</w:t>
      </w:r>
    </w:p>
    <w:p w14:paraId="1E08E56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2.5.1</w:t>
      </w:r>
      <w:r>
        <w:rPr>
          <w:rFonts w:hint="eastAsia" w:ascii="宋体" w:hAnsi="宋体" w:cs="宋体"/>
          <w:color w:val="auto"/>
          <w:szCs w:val="21"/>
          <w:highlight w:val="none"/>
        </w:rPr>
        <w:t>是否专门面向中小企业采购：</w:t>
      </w:r>
      <w:r>
        <w:rPr>
          <w:rFonts w:hint="eastAsia" w:ascii="宋体" w:hAnsi="宋体" w:cs="宋体"/>
          <w:b/>
          <w:bCs/>
          <w:color w:val="auto"/>
          <w:szCs w:val="21"/>
          <w:highlight w:val="none"/>
          <w:u w:val="single"/>
        </w:rPr>
        <w:t>见《磋商须知前附表》</w:t>
      </w:r>
      <w:r>
        <w:rPr>
          <w:rFonts w:hint="eastAsia" w:ascii="宋体" w:hAnsi="宋体" w:cs="宋体"/>
          <w:color w:val="auto"/>
          <w:szCs w:val="21"/>
          <w:highlight w:val="none"/>
        </w:rPr>
        <w:t>；</w:t>
      </w:r>
    </w:p>
    <w:p w14:paraId="5655902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2.5.2</w:t>
      </w:r>
      <w:r>
        <w:rPr>
          <w:rFonts w:hint="eastAsia" w:ascii="宋体" w:hAnsi="宋体" w:cs="宋体"/>
          <w:color w:val="auto"/>
          <w:szCs w:val="21"/>
          <w:highlight w:val="none"/>
        </w:rPr>
        <w:t>本项目对应的中小企业划分标准所属行业：</w:t>
      </w:r>
      <w:r>
        <w:rPr>
          <w:rFonts w:hint="eastAsia" w:ascii="宋体" w:hAnsi="宋体" w:cs="宋体"/>
          <w:b/>
          <w:color w:val="auto"/>
          <w:kern w:val="0"/>
          <w:szCs w:val="21"/>
          <w:highlight w:val="none"/>
          <w:u w:val="single"/>
        </w:rPr>
        <w:t>见《磋商须知前附表》</w:t>
      </w:r>
      <w:r>
        <w:rPr>
          <w:rFonts w:hint="eastAsia" w:ascii="宋体" w:hAnsi="宋体" w:cs="宋体"/>
          <w:color w:val="auto"/>
          <w:szCs w:val="21"/>
          <w:highlight w:val="none"/>
        </w:rPr>
        <w:t>：</w:t>
      </w:r>
      <w:r>
        <w:rPr>
          <w:rFonts w:ascii="宋体" w:hAnsi="宋体" w:cs="宋体"/>
          <w:color w:val="auto"/>
          <w:szCs w:val="21"/>
          <w:highlight w:val="none"/>
        </w:rPr>
        <w:t xml:space="preserve">       </w:t>
      </w:r>
    </w:p>
    <w:p w14:paraId="2B8761E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2.5.3</w:t>
      </w:r>
      <w:r>
        <w:rPr>
          <w:rFonts w:hint="eastAsia" w:ascii="宋体" w:hAnsi="宋体" w:cs="宋体"/>
          <w:color w:val="auto"/>
          <w:szCs w:val="21"/>
          <w:highlight w:val="none"/>
        </w:rPr>
        <w:t>在政府采购活动中，供应商提供的工程符合下列情形的，享受中小企业扶持政策：</w:t>
      </w:r>
    </w:p>
    <w:p w14:paraId="03C30CC6">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）在工程采购项目中，工程由中小企业承建，即工程施工单位为中小企业；</w:t>
      </w:r>
    </w:p>
    <w:p w14:paraId="6CCDAA1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2903545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2.5.4</w:t>
      </w:r>
      <w:r>
        <w:rPr>
          <w:rFonts w:hint="eastAsia" w:ascii="宋体" w:hAnsi="宋体" w:cs="宋体"/>
          <w:color w:val="auto"/>
          <w:szCs w:val="21"/>
          <w:highlight w:val="none"/>
        </w:rPr>
        <w:t>对于未预留份额专门面向中小企业采购的采购项目，以及预留份额项目中的非预留部分采购包，对小微企业报价给予</w:t>
      </w:r>
      <w:bookmarkStart w:id="68" w:name="PO_3000009629_PM001386"/>
      <w:r>
        <w:rPr>
          <w:rFonts w:ascii="宋体" w:hAnsi="宋体" w:cs="宋体"/>
          <w:color w:val="auto"/>
          <w:szCs w:val="21"/>
          <w:highlight w:val="none"/>
          <w:u w:val="single"/>
        </w:rPr>
        <w:t xml:space="preserve"> </w:t>
      </w:r>
      <w:bookmarkEnd w:id="68"/>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的扣除，用扣除后的价格参加评审。</w:t>
      </w:r>
    </w:p>
    <w:p w14:paraId="7FC6ECD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2.5.5</w:t>
      </w:r>
      <w:r>
        <w:rPr>
          <w:rFonts w:hint="eastAsia" w:ascii="宋体" w:hAnsi="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color w:val="auto"/>
          <w:szCs w:val="21"/>
          <w:highlight w:val="none"/>
        </w:rPr>
        <w:t>30%</w:t>
      </w:r>
      <w:r>
        <w:rPr>
          <w:rFonts w:hint="eastAsia" w:ascii="宋体" w:hAnsi="宋体" w:cs="宋体"/>
          <w:color w:val="auto"/>
          <w:szCs w:val="21"/>
          <w:highlight w:val="none"/>
        </w:rPr>
        <w:t>以上的，本项目对联合体或者大中型企业的报价给予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的扣除，用扣除后的价格参加评审。组成联合体或者接受分包的小微企业与联合体内其他企业、分包企业之间存在直接控股、管理关系的，不享受价格扣除优惠政策。</w:t>
      </w:r>
    </w:p>
    <w:p w14:paraId="0D79A5A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2.5.6</w:t>
      </w:r>
      <w:r>
        <w:rPr>
          <w:rFonts w:hint="eastAsia" w:ascii="宋体" w:hAnsi="宋体" w:cs="宋体"/>
          <w:color w:val="auto"/>
          <w:szCs w:val="21"/>
          <w:highlight w:val="none"/>
        </w:rPr>
        <w:t>可享受中小企业扶持政策的供应商应按照磋商响应文件格式要求提供《中小企业声明函》。</w:t>
      </w:r>
    </w:p>
    <w:p w14:paraId="0ED53A6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2.5.7</w:t>
      </w:r>
      <w:r>
        <w:rPr>
          <w:rFonts w:hint="eastAsia" w:ascii="宋体" w:hAnsi="宋体" w:cs="宋体"/>
          <w:color w:val="auto"/>
          <w:szCs w:val="21"/>
          <w:highlight w:val="none"/>
        </w:rPr>
        <w:t>中小企业享受扶持政策获得政府采购合同的，小微企业不得将合同分包给大中型企业，中型企业不得将合同分包给大型企业。</w:t>
      </w:r>
    </w:p>
    <w:p w14:paraId="252E84D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2.6</w:t>
      </w:r>
      <w:r>
        <w:rPr>
          <w:rFonts w:hint="eastAsia" w:ascii="宋体" w:hAnsi="宋体" w:cs="宋体"/>
          <w:b/>
          <w:bCs/>
          <w:color w:val="auto"/>
          <w:szCs w:val="21"/>
          <w:highlight w:val="none"/>
        </w:rPr>
        <w:t>支持监狱企业发展</w:t>
      </w:r>
    </w:p>
    <w:p w14:paraId="04AB1CE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2.6.1</w:t>
      </w:r>
      <w:r>
        <w:rPr>
          <w:rFonts w:hint="eastAsia" w:ascii="宋体" w:hAnsi="宋体" w:cs="宋体"/>
          <w:color w:val="auto"/>
          <w:szCs w:val="21"/>
          <w:highlight w:val="none"/>
        </w:rPr>
        <w:t>符合《财政部、司法部关于政府采购支持监狱企业发展有关问题的通知》（财库</w:t>
      </w:r>
      <w:r>
        <w:rPr>
          <w:rFonts w:ascii="宋体" w:hAnsi="宋体" w:cs="宋体"/>
          <w:color w:val="auto"/>
          <w:szCs w:val="21"/>
          <w:highlight w:val="none"/>
        </w:rPr>
        <w:t>[2014]68</w:t>
      </w:r>
      <w:r>
        <w:rPr>
          <w:rFonts w:hint="eastAsia" w:ascii="宋体" w:hAnsi="宋体" w:cs="宋体"/>
          <w:color w:val="auto"/>
          <w:szCs w:val="21"/>
          <w:highlight w:val="none"/>
        </w:rPr>
        <w:t>号）规定的监狱企业在全部提供本单位制造的货物（由本单位承担工程</w:t>
      </w:r>
      <w:r>
        <w:rPr>
          <w:rFonts w:ascii="宋体" w:hAnsi="宋体" w:cs="宋体"/>
          <w:color w:val="auto"/>
          <w:szCs w:val="21"/>
          <w:highlight w:val="none"/>
        </w:rPr>
        <w:t>/</w:t>
      </w:r>
      <w:r>
        <w:rPr>
          <w:rFonts w:hint="eastAsia" w:ascii="宋体" w:hAnsi="宋体" w:cs="宋体"/>
          <w:color w:val="auto"/>
          <w:szCs w:val="21"/>
          <w:highlight w:val="none"/>
        </w:rPr>
        <w:t>提供服务）或者提供其他监狱企业制造的货物（不包括使用非监狱企业注册商标的货物）参加本政府采购活动时，视同小型、微型企业。</w:t>
      </w:r>
    </w:p>
    <w:p w14:paraId="337F7F0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监狱企业证明文件：省级或以上监狱管理局、戒毒管理局（含新疆生产建设兵团）出具的属于监狱企业的证明文件。</w:t>
      </w:r>
    </w:p>
    <w:p w14:paraId="3D38746D">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2.7</w:t>
      </w:r>
      <w:r>
        <w:rPr>
          <w:rFonts w:hint="eastAsia" w:ascii="宋体" w:hAnsi="宋体" w:cs="宋体"/>
          <w:b/>
          <w:bCs/>
          <w:color w:val="auto"/>
          <w:szCs w:val="21"/>
          <w:highlight w:val="none"/>
        </w:rPr>
        <w:t>促进残疾人就业</w:t>
      </w:r>
    </w:p>
    <w:p w14:paraId="39D7476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2.7.1</w:t>
      </w:r>
      <w:r>
        <w:rPr>
          <w:rFonts w:hint="eastAsia" w:ascii="宋体" w:hAnsi="宋体" w:cs="宋体"/>
          <w:color w:val="auto"/>
          <w:szCs w:val="21"/>
          <w:highlight w:val="none"/>
        </w:rPr>
        <w:t>符合《财政部、民政部、中国残疾人联合会关于促进残疾人就业政府采购政策的通知》（财库</w:t>
      </w:r>
      <w:r>
        <w:rPr>
          <w:rFonts w:ascii="宋体" w:hAnsi="宋体" w:cs="宋体"/>
          <w:color w:val="auto"/>
          <w:szCs w:val="21"/>
          <w:highlight w:val="none"/>
        </w:rPr>
        <w:t>[2017]141</w:t>
      </w:r>
      <w:r>
        <w:rPr>
          <w:rFonts w:hint="eastAsia" w:ascii="宋体" w:hAnsi="宋体" w:cs="宋体"/>
          <w:color w:val="auto"/>
          <w:szCs w:val="21"/>
          <w:highlight w:val="none"/>
        </w:rPr>
        <w:t>号）规定的残疾人福利性单位，在全部提供本单位制造的货物（由本单位承担工程</w:t>
      </w:r>
      <w:r>
        <w:rPr>
          <w:rFonts w:ascii="宋体" w:hAnsi="宋体" w:cs="宋体"/>
          <w:color w:val="auto"/>
          <w:szCs w:val="21"/>
          <w:highlight w:val="none"/>
        </w:rPr>
        <w:t>/</w:t>
      </w:r>
      <w:r>
        <w:rPr>
          <w:rFonts w:hint="eastAsia" w:ascii="宋体" w:hAnsi="宋体" w:cs="宋体"/>
          <w:color w:val="auto"/>
          <w:szCs w:val="21"/>
          <w:highlight w:val="none"/>
        </w:rPr>
        <w:t>提供服务）或者提供其他残疾人福利性单位制造的货物（不包括使用非残疾人福利性单位注册商标的货物）参加本政府采购活动时，视同小型、微型企业。</w:t>
      </w:r>
    </w:p>
    <w:p w14:paraId="12D9F62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2.7.2</w:t>
      </w:r>
      <w:r>
        <w:rPr>
          <w:rFonts w:hint="eastAsia" w:ascii="宋体" w:hAnsi="宋体" w:cs="宋体"/>
          <w:color w:val="auto"/>
          <w:szCs w:val="21"/>
          <w:highlight w:val="none"/>
        </w:rPr>
        <w:t>残疾人福利性单位证明材料：残疾人福利性单位声明函</w:t>
      </w:r>
      <w:r>
        <w:rPr>
          <w:rFonts w:hint="eastAsia" w:ascii="宋体" w:hAnsi="宋体" w:cs="宋体"/>
          <w:b/>
          <w:bCs/>
          <w:color w:val="auto"/>
          <w:szCs w:val="21"/>
          <w:highlight w:val="none"/>
          <w:u w:val="single"/>
        </w:rPr>
        <w:t>（格式见第五章）</w:t>
      </w:r>
      <w:r>
        <w:rPr>
          <w:rFonts w:hint="eastAsia" w:ascii="宋体" w:hAnsi="宋体" w:cs="宋体"/>
          <w:color w:val="auto"/>
          <w:szCs w:val="21"/>
          <w:highlight w:val="none"/>
        </w:rPr>
        <w:t>。</w:t>
      </w:r>
    </w:p>
    <w:p w14:paraId="4EC6276A">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2.8</w:t>
      </w:r>
      <w:r>
        <w:rPr>
          <w:rFonts w:hint="eastAsia" w:ascii="宋体" w:hAnsi="宋体" w:cs="宋体"/>
          <w:b/>
          <w:bCs/>
          <w:color w:val="auto"/>
          <w:szCs w:val="21"/>
          <w:highlight w:val="none"/>
        </w:rPr>
        <w:t>创新产品、创新服务</w:t>
      </w:r>
    </w:p>
    <w:p w14:paraId="22E2EC2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2.8.1</w:t>
      </w:r>
      <w:r>
        <w:rPr>
          <w:rFonts w:hint="eastAsia" w:ascii="宋体" w:hAnsi="宋体" w:cs="宋体"/>
          <w:color w:val="auto"/>
          <w:szCs w:val="21"/>
          <w:highlight w:val="none"/>
        </w:rPr>
        <w:t>磋商响应供应商投报产品或服务属于《山西省创新产品和服务推荐清单》中创新产品或创新服务的，项目涉及创新产品和服务的在评审时享受评审加分。</w:t>
      </w:r>
    </w:p>
    <w:p w14:paraId="768A0AB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2.8.2</w:t>
      </w:r>
      <w:r>
        <w:rPr>
          <w:rFonts w:hint="eastAsia" w:ascii="宋体" w:hAnsi="宋体" w:cs="宋体"/>
          <w:color w:val="auto"/>
          <w:szCs w:val="21"/>
          <w:highlight w:val="none"/>
        </w:rPr>
        <w:t>磋商响应供应商投报创新产品或创新服务的，应在响应文件中“施工设计”中提供《创新产品或创新服务明细表》。</w:t>
      </w:r>
    </w:p>
    <w:p w14:paraId="28CA5FC2">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2.9</w:t>
      </w:r>
      <w:r>
        <w:rPr>
          <w:rFonts w:hint="eastAsia" w:ascii="宋体" w:hAnsi="宋体" w:cs="宋体"/>
          <w:b/>
          <w:bCs/>
          <w:color w:val="auto"/>
          <w:szCs w:val="21"/>
          <w:highlight w:val="none"/>
        </w:rPr>
        <w:t>商品包装和快递包装</w:t>
      </w:r>
    </w:p>
    <w:p w14:paraId="76C85563">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磋商响应供应商需填写商品包装和快递包装承诺函，承诺商品包装符合《商品包装政府采购需求标准（试行）》，快递包装符合《快递包装政府采购需求标准（试行）》</w:t>
      </w:r>
      <w:r>
        <w:rPr>
          <w:rFonts w:hint="eastAsia" w:ascii="宋体" w:hAnsi="宋体" w:cs="宋体"/>
          <w:b/>
          <w:bCs/>
          <w:color w:val="auto"/>
          <w:szCs w:val="21"/>
          <w:highlight w:val="none"/>
          <w:u w:val="single"/>
        </w:rPr>
        <w:t>（格式见第五章）</w:t>
      </w:r>
      <w:r>
        <w:rPr>
          <w:rFonts w:hint="eastAsia" w:ascii="宋体" w:hAnsi="宋体" w:cs="宋体"/>
          <w:color w:val="auto"/>
          <w:szCs w:val="21"/>
          <w:highlight w:val="none"/>
        </w:rPr>
        <w:t>，未提供承诺书的，磋商响应文件无效。</w:t>
      </w:r>
    </w:p>
    <w:p w14:paraId="7E80B4D7">
      <w:pPr>
        <w:spacing w:line="360" w:lineRule="auto"/>
        <w:ind w:firstLine="422" w:firstLineChars="200"/>
        <w:rPr>
          <w:rFonts w:ascii="宋体" w:cs="宋体"/>
          <w:b/>
          <w:bCs/>
          <w:color w:val="auto"/>
          <w:szCs w:val="21"/>
          <w:highlight w:val="none"/>
        </w:rPr>
      </w:pPr>
      <w:r>
        <w:rPr>
          <w:rFonts w:ascii="宋体" w:hAnsi="宋体" w:cs="宋体"/>
          <w:b/>
          <w:bCs/>
          <w:color w:val="auto"/>
          <w:szCs w:val="21"/>
          <w:highlight w:val="none"/>
        </w:rPr>
        <w:t>2.10</w:t>
      </w:r>
      <w:r>
        <w:rPr>
          <w:rFonts w:hint="eastAsia" w:ascii="宋体" w:hAnsi="宋体" w:cs="宋体"/>
          <w:b/>
          <w:bCs/>
          <w:color w:val="auto"/>
          <w:szCs w:val="21"/>
          <w:highlight w:val="none"/>
        </w:rPr>
        <w:t>支持绿色建材促进建筑品质提升</w:t>
      </w:r>
    </w:p>
    <w:p w14:paraId="2AA6A24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2.10.1</w:t>
      </w:r>
      <w:r>
        <w:rPr>
          <w:rFonts w:hint="eastAsia" w:ascii="宋体" w:hAnsi="宋体" w:cs="宋体"/>
          <w:color w:val="auto"/>
          <w:szCs w:val="21"/>
          <w:highlight w:val="none"/>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rPr>
          <w:color w:val="auto"/>
          <w:highlight w:val="none"/>
        </w:rPr>
        <w:fldChar w:fldCharType="begin"/>
      </w:r>
      <w:r>
        <w:rPr>
          <w:color w:val="auto"/>
          <w:highlight w:val="none"/>
        </w:rPr>
        <w:instrText xml:space="preserve"> HYPERLINK "http://www.mof.gov.cn/" </w:instrText>
      </w:r>
      <w:r>
        <w:rPr>
          <w:color w:val="auto"/>
          <w:highlight w:val="none"/>
        </w:rPr>
        <w:fldChar w:fldCharType="separate"/>
      </w:r>
      <w:r>
        <w:rPr>
          <w:rFonts w:ascii="宋体" w:hAnsi="宋体" w:cs="宋体"/>
          <w:color w:val="auto"/>
          <w:szCs w:val="21"/>
          <w:highlight w:val="none"/>
        </w:rPr>
        <w:t>www.mof.gov.cn</w:t>
      </w:r>
      <w:r>
        <w:rPr>
          <w:rFonts w:ascii="宋体" w:hAnsi="宋体" w:cs="宋体"/>
          <w:color w:val="auto"/>
          <w:szCs w:val="21"/>
          <w:highlight w:val="none"/>
        </w:rPr>
        <w:fldChar w:fldCharType="end"/>
      </w:r>
      <w:r>
        <w:rPr>
          <w:rFonts w:hint="eastAsia" w:ascii="宋体" w:hAnsi="宋体" w:cs="宋体"/>
          <w:color w:val="auto"/>
          <w:szCs w:val="21"/>
          <w:highlight w:val="none"/>
        </w:rPr>
        <w:t>）、住房和城乡建设部网站（</w:t>
      </w:r>
      <w:r>
        <w:rPr>
          <w:color w:val="auto"/>
          <w:highlight w:val="none"/>
        </w:rPr>
        <w:fldChar w:fldCharType="begin"/>
      </w:r>
      <w:r>
        <w:rPr>
          <w:color w:val="auto"/>
          <w:highlight w:val="none"/>
        </w:rPr>
        <w:instrText xml:space="preserve"> HYPERLINK "http://www.mohurd.gov.cn/" </w:instrText>
      </w:r>
      <w:r>
        <w:rPr>
          <w:color w:val="auto"/>
          <w:highlight w:val="none"/>
        </w:rPr>
        <w:fldChar w:fldCharType="separate"/>
      </w:r>
      <w:r>
        <w:rPr>
          <w:rFonts w:ascii="宋体" w:hAnsi="宋体" w:cs="宋体"/>
          <w:color w:val="auto"/>
          <w:szCs w:val="21"/>
          <w:highlight w:val="none"/>
        </w:rPr>
        <w:t>www.mohurd.gov.cn</w:t>
      </w:r>
      <w:r>
        <w:rPr>
          <w:rFonts w:ascii="宋体" w:hAnsi="宋体" w:cs="宋体"/>
          <w:color w:val="auto"/>
          <w:szCs w:val="21"/>
          <w:highlight w:val="none"/>
        </w:rPr>
        <w:fldChar w:fldCharType="end"/>
      </w:r>
      <w:r>
        <w:rPr>
          <w:rFonts w:hint="eastAsia" w:ascii="宋体" w:hAnsi="宋体" w:cs="宋体"/>
          <w:color w:val="auto"/>
          <w:szCs w:val="21"/>
          <w:highlight w:val="none"/>
        </w:rPr>
        <w:t>）和中国政府采购网（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cs="宋体"/>
          <w:color w:val="auto"/>
          <w:szCs w:val="21"/>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）发布。</w:t>
      </w:r>
    </w:p>
    <w:p w14:paraId="55AD4A1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2.10.2</w:t>
      </w:r>
      <w:r>
        <w:rPr>
          <w:rFonts w:hint="eastAsia" w:ascii="宋体" w:hAnsi="宋体" w:cs="宋体"/>
          <w:color w:val="auto"/>
          <w:szCs w:val="21"/>
          <w:highlight w:val="none"/>
        </w:rPr>
        <w:t>供应商须落实绿色建材采购要求，鼓励供应商提供获得绿色建材评价标识、认证或者获得环境标志产品认证的绿色建材产品，满足《基本要求》的有关规定。</w:t>
      </w:r>
    </w:p>
    <w:bookmarkEnd w:id="64"/>
    <w:bookmarkEnd w:id="66"/>
    <w:bookmarkEnd w:id="67"/>
    <w:p w14:paraId="74009106">
      <w:pPr>
        <w:pStyle w:val="3"/>
        <w:spacing w:before="317" w:beforeLines="100" w:after="317" w:afterLines="100" w:line="360" w:lineRule="auto"/>
        <w:rPr>
          <w:rFonts w:ascii="宋体" w:hAnsi="宋体" w:eastAsia="宋体" w:cs="宋体"/>
          <w:color w:val="auto"/>
          <w:sz w:val="24"/>
          <w:szCs w:val="24"/>
          <w:highlight w:val="none"/>
        </w:rPr>
      </w:pPr>
      <w:bookmarkStart w:id="69" w:name="_Toc81341320"/>
      <w:bookmarkStart w:id="70" w:name="_Toc19320"/>
      <w:r>
        <w:rPr>
          <w:rFonts w:hint="eastAsia" w:ascii="宋体" w:hAnsi="宋体" w:eastAsia="宋体" w:cs="宋体"/>
          <w:color w:val="auto"/>
          <w:sz w:val="24"/>
          <w:szCs w:val="24"/>
          <w:highlight w:val="none"/>
        </w:rPr>
        <w:t>三、竞争性磋商文件</w:t>
      </w:r>
      <w:bookmarkEnd w:id="65"/>
      <w:bookmarkEnd w:id="69"/>
      <w:bookmarkEnd w:id="70"/>
    </w:p>
    <w:p w14:paraId="54C87B4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3.1 </w:t>
      </w:r>
      <w:r>
        <w:rPr>
          <w:rFonts w:hint="eastAsia" w:ascii="宋体" w:hAnsi="宋体" w:cs="宋体"/>
          <w:b/>
          <w:bCs/>
          <w:color w:val="auto"/>
          <w:szCs w:val="21"/>
          <w:highlight w:val="none"/>
        </w:rPr>
        <w:t>竞争性磋商文件的组成</w:t>
      </w:r>
    </w:p>
    <w:p w14:paraId="2A2D51FE">
      <w:pPr>
        <w:spacing w:line="360" w:lineRule="auto"/>
        <w:ind w:left="420" w:leftChars="200"/>
        <w:rPr>
          <w:rFonts w:ascii="宋体" w:cs="宋体"/>
          <w:color w:val="auto"/>
          <w:kern w:val="0"/>
          <w:szCs w:val="21"/>
          <w:highlight w:val="none"/>
        </w:rPr>
      </w:pPr>
      <w:r>
        <w:rPr>
          <w:rFonts w:hint="eastAsia" w:ascii="宋体" w:hAnsi="宋体" w:cs="宋体"/>
          <w:color w:val="auto"/>
          <w:kern w:val="0"/>
          <w:szCs w:val="21"/>
          <w:highlight w:val="none"/>
        </w:rPr>
        <w:t>第一章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竞争性磋商公告；</w:t>
      </w:r>
    </w:p>
    <w:p w14:paraId="27AF4DE6">
      <w:pPr>
        <w:spacing w:line="360" w:lineRule="auto"/>
        <w:ind w:left="420" w:leftChars="200"/>
        <w:rPr>
          <w:rFonts w:ascii="宋体" w:cs="宋体"/>
          <w:color w:val="auto"/>
          <w:kern w:val="0"/>
          <w:szCs w:val="21"/>
          <w:highlight w:val="none"/>
        </w:rPr>
      </w:pPr>
      <w:r>
        <w:rPr>
          <w:rFonts w:hint="eastAsia" w:ascii="宋体" w:hAnsi="宋体" w:cs="宋体"/>
          <w:color w:val="auto"/>
          <w:kern w:val="0"/>
          <w:szCs w:val="21"/>
          <w:highlight w:val="none"/>
        </w:rPr>
        <w:t>第二章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磋商须知及前附表；</w:t>
      </w:r>
    </w:p>
    <w:p w14:paraId="0B4C351E">
      <w:pPr>
        <w:spacing w:line="360" w:lineRule="auto"/>
        <w:ind w:left="420" w:leftChars="200"/>
        <w:rPr>
          <w:rFonts w:ascii="宋体" w:cs="宋体"/>
          <w:color w:val="auto"/>
          <w:kern w:val="0"/>
          <w:szCs w:val="21"/>
          <w:highlight w:val="none"/>
        </w:rPr>
      </w:pPr>
      <w:r>
        <w:rPr>
          <w:rFonts w:hint="eastAsia" w:ascii="宋体" w:hAnsi="宋体" w:cs="宋体"/>
          <w:color w:val="auto"/>
          <w:kern w:val="0"/>
          <w:szCs w:val="21"/>
          <w:highlight w:val="none"/>
        </w:rPr>
        <w:t>第三章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采购内容及技术要求；</w:t>
      </w:r>
    </w:p>
    <w:p w14:paraId="059E7B18">
      <w:pPr>
        <w:spacing w:line="360" w:lineRule="auto"/>
        <w:ind w:left="420" w:leftChars="200"/>
        <w:rPr>
          <w:rFonts w:ascii="宋体" w:cs="宋体"/>
          <w:color w:val="auto"/>
          <w:kern w:val="0"/>
          <w:szCs w:val="21"/>
          <w:highlight w:val="none"/>
        </w:rPr>
      </w:pPr>
      <w:r>
        <w:rPr>
          <w:rFonts w:hint="eastAsia" w:ascii="宋体" w:hAnsi="宋体" w:cs="宋体"/>
          <w:color w:val="auto"/>
          <w:kern w:val="0"/>
          <w:szCs w:val="21"/>
          <w:highlight w:val="none"/>
        </w:rPr>
        <w:t>第四章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合同；</w:t>
      </w:r>
    </w:p>
    <w:p w14:paraId="2BE50E3A">
      <w:pPr>
        <w:spacing w:line="360" w:lineRule="auto"/>
        <w:ind w:left="420" w:leftChars="200"/>
        <w:rPr>
          <w:rFonts w:ascii="宋体" w:cs="宋体"/>
          <w:color w:val="auto"/>
          <w:kern w:val="0"/>
          <w:szCs w:val="21"/>
          <w:highlight w:val="none"/>
        </w:rPr>
      </w:pPr>
      <w:r>
        <w:rPr>
          <w:rFonts w:hint="eastAsia" w:ascii="宋体" w:hAnsi="宋体" w:cs="宋体"/>
          <w:color w:val="auto"/>
          <w:kern w:val="0"/>
          <w:szCs w:val="21"/>
          <w:highlight w:val="none"/>
        </w:rPr>
        <w:t>第五章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磋商响应文件格式；</w:t>
      </w:r>
    </w:p>
    <w:p w14:paraId="0D5F9DFE">
      <w:pPr>
        <w:spacing w:line="360" w:lineRule="auto"/>
        <w:ind w:left="420" w:leftChars="200"/>
        <w:rPr>
          <w:rFonts w:ascii="宋体" w:cs="宋体"/>
          <w:color w:val="auto"/>
          <w:kern w:val="0"/>
          <w:szCs w:val="21"/>
          <w:highlight w:val="none"/>
        </w:rPr>
      </w:pPr>
      <w:r>
        <w:rPr>
          <w:rFonts w:hint="eastAsia" w:ascii="宋体" w:hAnsi="宋体" w:cs="宋体"/>
          <w:color w:val="auto"/>
          <w:kern w:val="0"/>
          <w:szCs w:val="21"/>
          <w:highlight w:val="none"/>
        </w:rPr>
        <w:t>第六章</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评审办法</w:t>
      </w:r>
    </w:p>
    <w:p w14:paraId="283CC15D">
      <w:pPr>
        <w:spacing w:line="360" w:lineRule="auto"/>
        <w:ind w:left="420" w:leftChars="200"/>
        <w:rPr>
          <w:rFonts w:ascii="宋体" w:cs="宋体"/>
          <w:color w:val="auto"/>
          <w:kern w:val="0"/>
          <w:szCs w:val="21"/>
          <w:highlight w:val="none"/>
        </w:rPr>
      </w:pPr>
      <w:r>
        <w:rPr>
          <w:rFonts w:hint="eastAsia" w:ascii="宋体" w:hAnsi="宋体" w:cs="宋体"/>
          <w:color w:val="auto"/>
          <w:kern w:val="0"/>
          <w:szCs w:val="21"/>
          <w:highlight w:val="none"/>
        </w:rPr>
        <w:t>竞争性磋商文件的澄清、修改文件以及磋商过程中对磋商文件作出的实质性变动（如有，另册）。</w:t>
      </w:r>
    </w:p>
    <w:p w14:paraId="3DD2C714">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3.2 </w:t>
      </w:r>
      <w:r>
        <w:rPr>
          <w:rFonts w:hint="eastAsia" w:ascii="宋体" w:hAnsi="宋体" w:cs="宋体"/>
          <w:b/>
          <w:bCs/>
          <w:color w:val="auto"/>
          <w:szCs w:val="21"/>
          <w:highlight w:val="none"/>
        </w:rPr>
        <w:t>竞争性磋商文件的提疑</w:t>
      </w:r>
    </w:p>
    <w:p w14:paraId="5A2C303E">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3.2.1</w:t>
      </w:r>
      <w:r>
        <w:rPr>
          <w:rFonts w:hint="eastAsia" w:ascii="宋体" w:hAnsi="宋体" w:cs="宋体"/>
          <w:b/>
          <w:color w:val="auto"/>
          <w:kern w:val="0"/>
          <w:szCs w:val="21"/>
          <w:highlight w:val="none"/>
        </w:rPr>
        <w:t>竞争性磋商文件提疑截止时间：</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6C439C87">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3.2.2</w:t>
      </w:r>
      <w:r>
        <w:rPr>
          <w:rFonts w:hint="eastAsia" w:ascii="宋体" w:hAnsi="宋体" w:cs="宋体"/>
          <w:b/>
          <w:color w:val="auto"/>
          <w:kern w:val="0"/>
          <w:szCs w:val="21"/>
          <w:highlight w:val="none"/>
        </w:rPr>
        <w:t>供应商应认真阅读通过“山西省政府采购网”获取的竞争性磋商文件，如发现竞争性磋商文件或清单中有前后不一致或不清楚或有误的内容，应在“竞争性磋商文件提疑截止时间”前以书面形式向采购组织机构提出，否则造成的一切后果由供应商自行承担，采购组织机构概不负责；</w:t>
      </w:r>
    </w:p>
    <w:p w14:paraId="78D8D75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3.2.3</w:t>
      </w:r>
      <w:r>
        <w:rPr>
          <w:rFonts w:hint="eastAsia" w:ascii="宋体" w:hAnsi="宋体" w:cs="宋体"/>
          <w:color w:val="auto"/>
          <w:kern w:val="0"/>
          <w:szCs w:val="21"/>
          <w:highlight w:val="none"/>
        </w:rPr>
        <w:t>采购组织机构将在收到供应商递交的《疑问函》后三个工作日内以书面形式答复供应商提出的问题，并将不包含问题来源的答复通知所有已登记获取竞争性磋商文件的供应商。</w:t>
      </w:r>
    </w:p>
    <w:p w14:paraId="31CAC90D">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3.3 </w:t>
      </w:r>
      <w:r>
        <w:rPr>
          <w:rFonts w:hint="eastAsia" w:ascii="宋体" w:hAnsi="宋体" w:cs="宋体"/>
          <w:b/>
          <w:bCs/>
          <w:color w:val="auto"/>
          <w:szCs w:val="21"/>
          <w:highlight w:val="none"/>
        </w:rPr>
        <w:t>竞争性磋商文件的澄清、修改（更正）</w:t>
      </w:r>
    </w:p>
    <w:p w14:paraId="4B8FCF77">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3.3.1</w:t>
      </w:r>
      <w:r>
        <w:rPr>
          <w:rFonts w:hint="eastAsia" w:ascii="宋体" w:hAnsi="宋体" w:cs="宋体"/>
          <w:b/>
          <w:color w:val="auto"/>
          <w:kern w:val="0"/>
          <w:szCs w:val="21"/>
          <w:highlight w:val="none"/>
        </w:rPr>
        <w:t>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14:paraId="6716D69A">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3.3.2</w:t>
      </w:r>
      <w:r>
        <w:rPr>
          <w:rFonts w:hint="eastAsia" w:ascii="宋体" w:hAnsi="宋体" w:cs="宋体"/>
          <w:b/>
          <w:color w:val="auto"/>
          <w:kern w:val="0"/>
          <w:szCs w:val="21"/>
          <w:highlight w:val="none"/>
        </w:rPr>
        <w:t>竞争性磋商文件的澄清或者修改内容为竞争性磋商文件的组成部分，对所有参加本次采购活动的供应商均有约束力；</w:t>
      </w:r>
      <w:r>
        <w:rPr>
          <w:rFonts w:hint="eastAsia" w:ascii="宋体" w:hAnsi="宋体" w:cs="宋体"/>
          <w:color w:val="auto"/>
          <w:kern w:val="0"/>
          <w:szCs w:val="21"/>
          <w:highlight w:val="none"/>
        </w:rPr>
        <w:t>当原竞争性磋商文件与澄清、修改的内容就同一事项的表述不一致时，以最后发出的文件为准；</w:t>
      </w:r>
    </w:p>
    <w:p w14:paraId="7233D1FF">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3.3.3</w:t>
      </w:r>
      <w:r>
        <w:rPr>
          <w:rFonts w:hint="eastAsia" w:ascii="宋体" w:hAnsi="宋体" w:cs="宋体"/>
          <w:color w:val="auto"/>
          <w:kern w:val="0"/>
          <w:szCs w:val="21"/>
          <w:highlight w:val="none"/>
        </w:rPr>
        <w:t>竞争性磋商文件的澄清、修改的内容影响到供应商磋商响应文件编制的，采购人或采购代理机构将按相关规定顺延磋商响应文件截止时间及开启时间，使之满足政府采购相关规定；</w:t>
      </w:r>
    </w:p>
    <w:p w14:paraId="490C0DBC">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3.3.4</w:t>
      </w:r>
      <w:r>
        <w:rPr>
          <w:rFonts w:hint="eastAsia" w:ascii="宋体" w:hAnsi="宋体" w:cs="宋体"/>
          <w:b/>
          <w:color w:val="auto"/>
          <w:kern w:val="0"/>
          <w:szCs w:val="21"/>
          <w:highlight w:val="none"/>
        </w:rPr>
        <w:t>供应商收到采购组织机构发出的澄清、修改（更正）文件后，应在</w:t>
      </w:r>
      <w:r>
        <w:rPr>
          <w:rFonts w:ascii="宋体" w:hAnsi="宋体" w:cs="宋体"/>
          <w:b/>
          <w:color w:val="auto"/>
          <w:kern w:val="0"/>
          <w:szCs w:val="21"/>
          <w:highlight w:val="none"/>
        </w:rPr>
        <w:t>24</w:t>
      </w:r>
      <w:r>
        <w:rPr>
          <w:rFonts w:hint="eastAsia" w:ascii="宋体" w:hAnsi="宋体" w:cs="宋体"/>
          <w:b/>
          <w:color w:val="auto"/>
          <w:kern w:val="0"/>
          <w:szCs w:val="21"/>
          <w:highlight w:val="none"/>
        </w:rPr>
        <w:t>小时内向采购组织机构递交书面回执；</w:t>
      </w:r>
    </w:p>
    <w:p w14:paraId="6E77C6ED">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3.3.5</w:t>
      </w:r>
      <w:r>
        <w:rPr>
          <w:rFonts w:hint="eastAsia" w:ascii="宋体" w:hAnsi="宋体" w:cs="宋体"/>
          <w:color w:val="auto"/>
          <w:kern w:val="0"/>
          <w:szCs w:val="21"/>
          <w:highlight w:val="none"/>
        </w:rPr>
        <w:t>供应商对收到的澄清、修改（更正）文件内容有疑问的，应当同时在书面回执中加注说明并与采购人或采购代理机构确认，疑问内容应加盖单位公章、写明日期；</w:t>
      </w:r>
    </w:p>
    <w:p w14:paraId="041765F1">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3.3.6</w:t>
      </w:r>
      <w:r>
        <w:rPr>
          <w:rFonts w:hint="eastAsia" w:ascii="宋体" w:hAnsi="宋体" w:cs="宋体"/>
          <w:color w:val="auto"/>
          <w:kern w:val="0"/>
          <w:szCs w:val="21"/>
          <w:highlight w:val="none"/>
        </w:rPr>
        <w:t>任何口头形式的答复、说明均不属于竞争性磋商文件的组成部分。</w:t>
      </w:r>
    </w:p>
    <w:p w14:paraId="10AE7B23">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3.4 </w:t>
      </w:r>
      <w:r>
        <w:rPr>
          <w:rFonts w:hint="eastAsia" w:ascii="宋体" w:hAnsi="宋体" w:cs="宋体"/>
          <w:b/>
          <w:bCs/>
          <w:color w:val="auto"/>
          <w:szCs w:val="21"/>
          <w:highlight w:val="none"/>
        </w:rPr>
        <w:t>竞争性磋商文件的质疑</w:t>
      </w:r>
    </w:p>
    <w:p w14:paraId="10B6A41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供应商认为竞争性磋商文件使自己的合法权益受到损害的，应当以书面形式一次性向采购人、采购代理机构提出质疑。质疑供应商对采购人、采购代理机构的答复不满意或者采购人、采购代理机构未在规定的时间内作出答复的，可以在答复期满后</w:t>
      </w:r>
      <w:r>
        <w:rPr>
          <w:rFonts w:ascii="宋体" w:hAnsi="宋体" w:cs="宋体"/>
          <w:color w:val="auto"/>
          <w:kern w:val="0"/>
          <w:szCs w:val="21"/>
          <w:highlight w:val="none"/>
        </w:rPr>
        <w:t>15</w:t>
      </w:r>
      <w:r>
        <w:rPr>
          <w:rFonts w:hint="eastAsia" w:ascii="宋体" w:hAnsi="宋体" w:cs="宋体"/>
          <w:color w:val="auto"/>
          <w:kern w:val="0"/>
          <w:szCs w:val="21"/>
          <w:highlight w:val="none"/>
        </w:rPr>
        <w:t>个工作日内向同级政府采购监督管理部门投诉。质疑函范本、投诉书范本请到山西省政府采购网下载专区下载。</w:t>
      </w:r>
    </w:p>
    <w:p w14:paraId="49C2C16E">
      <w:pPr>
        <w:pStyle w:val="3"/>
        <w:spacing w:before="317" w:beforeLines="100" w:after="317" w:afterLines="100" w:line="360" w:lineRule="auto"/>
        <w:rPr>
          <w:rFonts w:ascii="宋体" w:hAnsi="宋体" w:eastAsia="宋体" w:cs="宋体"/>
          <w:color w:val="auto"/>
          <w:sz w:val="24"/>
          <w:szCs w:val="24"/>
          <w:highlight w:val="none"/>
        </w:rPr>
      </w:pPr>
      <w:bookmarkStart w:id="71" w:name="_Toc16412"/>
      <w:bookmarkStart w:id="72" w:name="_Toc81341321"/>
      <w:r>
        <w:rPr>
          <w:rFonts w:hint="eastAsia" w:ascii="宋体" w:hAnsi="宋体" w:eastAsia="宋体" w:cs="宋体"/>
          <w:color w:val="auto"/>
          <w:sz w:val="24"/>
          <w:szCs w:val="24"/>
          <w:highlight w:val="none"/>
        </w:rPr>
        <w:t>四、磋商响应文件</w:t>
      </w:r>
      <w:bookmarkEnd w:id="71"/>
      <w:bookmarkEnd w:id="72"/>
    </w:p>
    <w:p w14:paraId="4F836B15">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4.1 </w:t>
      </w:r>
      <w:r>
        <w:rPr>
          <w:rFonts w:hint="eastAsia" w:ascii="宋体" w:hAnsi="宋体" w:cs="宋体"/>
          <w:b/>
          <w:bCs/>
          <w:color w:val="auto"/>
          <w:szCs w:val="21"/>
          <w:highlight w:val="none"/>
        </w:rPr>
        <w:t>磋商响应文件的形式</w:t>
      </w:r>
    </w:p>
    <w:p w14:paraId="7FAFE176">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4.1.1</w:t>
      </w:r>
      <w:r>
        <w:rPr>
          <w:rFonts w:hint="eastAsia" w:ascii="宋体" w:hAnsi="宋体" w:cs="宋体"/>
          <w:bCs/>
          <w:color w:val="auto"/>
          <w:szCs w:val="21"/>
          <w:highlight w:val="none"/>
        </w:rPr>
        <w:t>磋商响应文件的形式：</w:t>
      </w:r>
      <w:r>
        <w:rPr>
          <w:rFonts w:hint="eastAsia" w:ascii="宋体" w:hAnsi="宋体" w:cs="宋体"/>
          <w:bCs/>
          <w:color w:val="auto"/>
          <w:szCs w:val="21"/>
          <w:highlight w:val="none"/>
          <w:u w:val="single"/>
        </w:rPr>
        <w:t>电子加密磋商响应文件</w:t>
      </w:r>
      <w:r>
        <w:rPr>
          <w:rFonts w:hint="eastAsia" w:ascii="宋体" w:hAnsi="宋体" w:cs="宋体"/>
          <w:bCs/>
          <w:color w:val="auto"/>
          <w:szCs w:val="21"/>
          <w:highlight w:val="none"/>
        </w:rPr>
        <w:t>（是指通过“政采云电子交易客户端”完成磋商响应文件编制后生成并加密的数据电文形式的磋商响应文件，文件格式“</w:t>
      </w:r>
      <w:r>
        <w:rPr>
          <w:rFonts w:ascii="宋体" w:hAnsi="宋体" w:cs="宋体"/>
          <w:bCs/>
          <w:color w:val="auto"/>
          <w:szCs w:val="21"/>
          <w:highlight w:val="none"/>
        </w:rPr>
        <w:t>.jmbs</w:t>
      </w:r>
      <w:r>
        <w:rPr>
          <w:rFonts w:hint="eastAsia" w:ascii="宋体" w:hAnsi="宋体" w:cs="宋体"/>
          <w:bCs/>
          <w:color w:val="auto"/>
          <w:szCs w:val="21"/>
          <w:highlight w:val="none"/>
        </w:rPr>
        <w:t>”）。</w:t>
      </w:r>
    </w:p>
    <w:p w14:paraId="19696E1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4.2 </w:t>
      </w:r>
      <w:r>
        <w:rPr>
          <w:rFonts w:hint="eastAsia" w:ascii="宋体" w:hAnsi="宋体" w:cs="宋体"/>
          <w:b/>
          <w:bCs/>
          <w:color w:val="auto"/>
          <w:szCs w:val="21"/>
          <w:highlight w:val="none"/>
        </w:rPr>
        <w:t>磋商响应文件的组成</w:t>
      </w:r>
    </w:p>
    <w:p w14:paraId="7CB15CDE">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4.2.1</w:t>
      </w:r>
      <w:r>
        <w:rPr>
          <w:rFonts w:hint="eastAsia" w:ascii="宋体" w:hAnsi="宋体" w:cs="宋体"/>
          <w:bCs/>
          <w:color w:val="auto"/>
          <w:szCs w:val="21"/>
          <w:highlight w:val="none"/>
        </w:rPr>
        <w:t>完整的磋商响应文件由《资格文件》、《商务技术文件》和《报价文件》三个部分组成</w:t>
      </w:r>
      <w:r>
        <w:rPr>
          <w:rFonts w:hint="eastAsia" w:ascii="宋体" w:hAnsi="宋体" w:cs="宋体"/>
          <w:bCs/>
          <w:color w:val="auto"/>
          <w:kern w:val="0"/>
          <w:szCs w:val="21"/>
          <w:highlight w:val="none"/>
        </w:rPr>
        <w:t>（以下统称“磋商响应文件”）。</w:t>
      </w:r>
    </w:p>
    <w:p w14:paraId="3B449BCC">
      <w:pPr>
        <w:spacing w:line="360" w:lineRule="auto"/>
        <w:ind w:firstLine="420" w:firstLineChars="200"/>
        <w:rPr>
          <w:rFonts w:ascii="宋体" w:cs="宋体"/>
          <w:b/>
          <w:color w:val="auto"/>
          <w:szCs w:val="21"/>
          <w:highlight w:val="none"/>
        </w:rPr>
      </w:pPr>
      <w:r>
        <w:rPr>
          <w:rFonts w:ascii="宋体" w:hAnsi="宋体" w:cs="宋体"/>
          <w:bCs/>
          <w:color w:val="auto"/>
          <w:kern w:val="0"/>
          <w:szCs w:val="21"/>
          <w:highlight w:val="none"/>
        </w:rPr>
        <w:t>4.2.2</w:t>
      </w:r>
      <w:r>
        <w:rPr>
          <w:rFonts w:hint="eastAsia" w:ascii="宋体" w:hAnsi="宋体" w:cs="宋体"/>
          <w:bCs/>
          <w:color w:val="auto"/>
          <w:kern w:val="0"/>
          <w:szCs w:val="21"/>
          <w:highlight w:val="none"/>
        </w:rPr>
        <w:t>磋商响应文件内容组成</w:t>
      </w:r>
      <w:r>
        <w:rPr>
          <w:rFonts w:hint="eastAsia" w:ascii="宋体" w:hAnsi="宋体" w:cs="宋体"/>
          <w:b/>
          <w:color w:val="auto"/>
          <w:kern w:val="0"/>
          <w:szCs w:val="21"/>
          <w:highlight w:val="none"/>
          <w:u w:val="single"/>
        </w:rPr>
        <w:t>见《磋商须知前附表》</w:t>
      </w:r>
    </w:p>
    <w:p w14:paraId="5219B15B">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4.3 </w:t>
      </w:r>
      <w:r>
        <w:rPr>
          <w:rFonts w:hint="eastAsia" w:ascii="宋体" w:hAnsi="宋体" w:cs="宋体"/>
          <w:b/>
          <w:bCs/>
          <w:color w:val="auto"/>
          <w:szCs w:val="21"/>
          <w:highlight w:val="none"/>
        </w:rPr>
        <w:t>磋商响应文件的编制</w:t>
      </w:r>
    </w:p>
    <w:p w14:paraId="3EB5DE81">
      <w:pPr>
        <w:spacing w:line="360" w:lineRule="auto"/>
        <w:ind w:firstLine="420" w:firstLineChars="200"/>
        <w:rPr>
          <w:rFonts w:ascii="宋体" w:cs="宋体"/>
          <w:bCs/>
          <w:color w:val="auto"/>
          <w:szCs w:val="21"/>
          <w:highlight w:val="none"/>
        </w:rPr>
      </w:pPr>
      <w:r>
        <w:rPr>
          <w:rFonts w:ascii="宋体" w:hAnsi="宋体" w:cs="宋体"/>
          <w:bCs/>
          <w:color w:val="auto"/>
          <w:kern w:val="0"/>
          <w:szCs w:val="21"/>
          <w:highlight w:val="none"/>
        </w:rPr>
        <w:t>4.3.1</w:t>
      </w:r>
      <w:r>
        <w:rPr>
          <w:rFonts w:hint="eastAsia" w:ascii="宋体" w:hAnsi="宋体" w:cs="宋体"/>
          <w:bCs/>
          <w:color w:val="auto"/>
          <w:szCs w:val="21"/>
          <w:highlight w:val="none"/>
        </w:rPr>
        <w:t>本项目通过“山西省政府采购网”（网址：</w:t>
      </w:r>
      <w:r>
        <w:rPr>
          <w:rFonts w:ascii="宋体" w:hAnsi="宋体" w:cs="宋体"/>
          <w:bCs/>
          <w:color w:val="auto"/>
          <w:szCs w:val="21"/>
          <w:highlight w:val="none"/>
        </w:rPr>
        <w:t>http://www.ccgp-shanxi.gov.cn/home.html</w:t>
      </w:r>
      <w:r>
        <w:rPr>
          <w:rFonts w:hint="eastAsia" w:ascii="宋体" w:hAnsi="宋体" w:cs="宋体"/>
          <w:bCs/>
          <w:color w:val="auto"/>
          <w:szCs w:val="21"/>
          <w:highlight w:val="none"/>
        </w:rPr>
        <w:t>）实行电子交易（在线磋商响应）。供应商参加本项目电子交易应当安装“政采云电子交易客户端”，并按照本竞争性磋商文件和“山西省政府采购网”的要求编制并加密磋商响应文件。</w:t>
      </w:r>
      <w:r>
        <w:rPr>
          <w:rFonts w:hint="eastAsia" w:ascii="宋体" w:hAnsi="宋体" w:cs="宋体"/>
          <w:bCs/>
          <w:color w:val="auto"/>
          <w:szCs w:val="21"/>
          <w:highlight w:val="none"/>
          <w:u w:val="single"/>
        </w:rPr>
        <w:t>供应商未按规定加密的磋商响应文件，“山西省政府采购网”将予以拒收</w:t>
      </w:r>
      <w:r>
        <w:rPr>
          <w:rFonts w:hint="eastAsia" w:ascii="宋体" w:hAnsi="宋体" w:cs="宋体"/>
          <w:bCs/>
          <w:color w:val="auto"/>
          <w:szCs w:val="21"/>
          <w:highlight w:val="none"/>
        </w:rPr>
        <w:t>。</w:t>
      </w:r>
    </w:p>
    <w:p w14:paraId="6225CAA9">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4.3.2</w:t>
      </w:r>
      <w:r>
        <w:rPr>
          <w:rFonts w:hint="eastAsia" w:ascii="宋体" w:hAnsi="宋体" w:cs="宋体"/>
          <w:bCs/>
          <w:color w:val="auto"/>
          <w:kern w:val="0"/>
          <w:szCs w:val="21"/>
          <w:highlight w:val="none"/>
        </w:rPr>
        <w:t>供应商应当按照本章节第</w:t>
      </w:r>
      <w:r>
        <w:rPr>
          <w:rFonts w:ascii="宋体" w:hAnsi="宋体" w:cs="宋体"/>
          <w:bCs/>
          <w:color w:val="auto"/>
          <w:kern w:val="0"/>
          <w:szCs w:val="21"/>
          <w:highlight w:val="none"/>
        </w:rPr>
        <w:t>4.2.2</w:t>
      </w:r>
      <w:r>
        <w:rPr>
          <w:rFonts w:hint="eastAsia" w:ascii="宋体" w:hAnsi="宋体" w:cs="宋体"/>
          <w:bCs/>
          <w:color w:val="auto"/>
          <w:kern w:val="0"/>
          <w:szCs w:val="21"/>
          <w:highlight w:val="none"/>
        </w:rPr>
        <w:t>款规定的内容在“政采云电子交易客户端”编制磋商响应文件。</w:t>
      </w:r>
    </w:p>
    <w:p w14:paraId="5EDCA064">
      <w:pPr>
        <w:spacing w:line="360" w:lineRule="auto"/>
        <w:ind w:firstLine="420" w:firstLineChars="200"/>
        <w:rPr>
          <w:rFonts w:ascii="宋体" w:cs="宋体"/>
          <w:bCs/>
          <w:color w:val="auto"/>
          <w:szCs w:val="21"/>
          <w:highlight w:val="none"/>
        </w:rPr>
      </w:pPr>
      <w:r>
        <w:rPr>
          <w:rFonts w:ascii="宋体" w:hAnsi="宋体" w:cs="宋体"/>
          <w:bCs/>
          <w:color w:val="auto"/>
          <w:kern w:val="0"/>
          <w:szCs w:val="21"/>
          <w:highlight w:val="none"/>
        </w:rPr>
        <w:t>4.3.3</w:t>
      </w:r>
      <w:r>
        <w:rPr>
          <w:rFonts w:hint="eastAsia" w:ascii="宋体" w:hAnsi="宋体" w:cs="宋体"/>
          <w:bCs/>
          <w:color w:val="auto"/>
          <w:szCs w:val="21"/>
          <w:highlight w:val="none"/>
        </w:rPr>
        <w:t>本文件《第五章</w:t>
      </w:r>
      <w:r>
        <w:rPr>
          <w:rFonts w:ascii="宋体" w:hAnsi="宋体" w:cs="宋体"/>
          <w:bCs/>
          <w:color w:val="auto"/>
          <w:szCs w:val="21"/>
          <w:highlight w:val="none"/>
        </w:rPr>
        <w:t xml:space="preserve"> </w:t>
      </w:r>
      <w:r>
        <w:rPr>
          <w:rFonts w:hint="eastAsia" w:ascii="宋体" w:hAnsi="宋体" w:cs="宋体"/>
          <w:bCs/>
          <w:color w:val="auto"/>
          <w:szCs w:val="21"/>
          <w:highlight w:val="none"/>
        </w:rPr>
        <w:t>磋商响应文件格式》中有提供格式的，供应商应按照格式进行编制（格式中要求提供相关证明材料的还需后附相关证明材料），并按格式要求在指定位置根据要求进行签章，否则视为未提供；本文件《第五章磋商响应文件格式》未提供格式的，请供应商自行拟定格式，并加盖单位公章，否则视为未提供。</w:t>
      </w:r>
    </w:p>
    <w:p w14:paraId="510204DA">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4.3.4</w:t>
      </w:r>
      <w:r>
        <w:rPr>
          <w:rFonts w:hint="eastAsia" w:ascii="宋体" w:hAnsi="宋体" w:cs="宋体"/>
          <w:bCs/>
          <w:color w:val="auto"/>
          <w:kern w:val="0"/>
          <w:szCs w:val="21"/>
          <w:highlight w:val="none"/>
        </w:rPr>
        <w:t>本章节第</w:t>
      </w:r>
      <w:r>
        <w:rPr>
          <w:rFonts w:ascii="宋体" w:hAnsi="宋体" w:cs="宋体"/>
          <w:bCs/>
          <w:color w:val="auto"/>
          <w:kern w:val="0"/>
          <w:szCs w:val="21"/>
          <w:highlight w:val="none"/>
        </w:rPr>
        <w:t>4.2.2</w:t>
      </w:r>
      <w:r>
        <w:rPr>
          <w:rFonts w:hint="eastAsia" w:ascii="宋体" w:hAnsi="宋体" w:cs="宋体"/>
          <w:bCs/>
          <w:color w:val="auto"/>
          <w:kern w:val="0"/>
          <w:szCs w:val="21"/>
          <w:highlight w:val="none"/>
        </w:rPr>
        <w:t>款内容中约定</w:t>
      </w:r>
      <w:r>
        <w:rPr>
          <w:rFonts w:hint="eastAsia" w:ascii="宋体" w:hAnsi="宋体" w:cs="宋体"/>
          <w:bCs/>
          <w:color w:val="auto"/>
          <w:szCs w:val="21"/>
          <w:highlight w:val="none"/>
        </w:rPr>
        <w:t>可以提供复印件（或复制件）的相关证明材料必须加盖供应商公章，否则视为未提供（例如：各类资格资质证书、业绩材料、许可材料、荣誉证书、产品注册登记材料、产品检测材料、验收材料等）。</w:t>
      </w:r>
    </w:p>
    <w:p w14:paraId="558107F2">
      <w:pPr>
        <w:spacing w:line="360" w:lineRule="auto"/>
        <w:ind w:firstLine="420" w:firstLineChars="200"/>
        <w:rPr>
          <w:rFonts w:ascii="宋体" w:cs="宋体"/>
          <w:bCs/>
          <w:color w:val="auto"/>
          <w:kern w:val="0"/>
          <w:szCs w:val="21"/>
          <w:highlight w:val="none"/>
        </w:rPr>
      </w:pPr>
      <w:r>
        <w:rPr>
          <w:rFonts w:ascii="宋体" w:hAnsi="宋体" w:cs="宋体"/>
          <w:bCs/>
          <w:color w:val="auto"/>
          <w:szCs w:val="21"/>
          <w:highlight w:val="none"/>
        </w:rPr>
        <w:t>4.3.5</w:t>
      </w:r>
      <w:r>
        <w:rPr>
          <w:rFonts w:hint="eastAsia" w:ascii="宋体" w:hAnsi="宋体" w:cs="宋体"/>
          <w:bCs/>
          <w:color w:val="auto"/>
          <w:kern w:val="0"/>
          <w:szCs w:val="21"/>
          <w:highlight w:val="none"/>
        </w:rPr>
        <w:t>本章节第</w:t>
      </w:r>
      <w:r>
        <w:rPr>
          <w:rFonts w:ascii="宋体" w:hAnsi="宋体" w:cs="宋体"/>
          <w:bCs/>
          <w:color w:val="auto"/>
          <w:kern w:val="0"/>
          <w:szCs w:val="21"/>
          <w:highlight w:val="none"/>
        </w:rPr>
        <w:t>4.2.2</w:t>
      </w:r>
      <w:r>
        <w:rPr>
          <w:rFonts w:hint="eastAsia" w:ascii="宋体" w:hAnsi="宋体" w:cs="宋体"/>
          <w:bCs/>
          <w:color w:val="auto"/>
          <w:kern w:val="0"/>
          <w:szCs w:val="21"/>
          <w:highlight w:val="none"/>
        </w:rPr>
        <w:t>款内容中标注“★”的内容为必须提供的内容，未提供的磋商响应文件无效。</w:t>
      </w:r>
    </w:p>
    <w:p w14:paraId="521AA634">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4.3.6</w:t>
      </w:r>
      <w:r>
        <w:rPr>
          <w:rFonts w:hint="eastAsia" w:ascii="宋体" w:hAnsi="宋体" w:cs="宋体"/>
          <w:color w:val="auto"/>
          <w:kern w:val="0"/>
          <w:szCs w:val="21"/>
          <w:highlight w:val="none"/>
        </w:rPr>
        <w:t>《磋商响应文件》内容不完整、编排混乱导致《磋商响应文件》被误读、漏读或者查找不到相关内容的，是磋商响应供应商的责任。</w:t>
      </w:r>
    </w:p>
    <w:p w14:paraId="63670A2E">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4.3.7</w:t>
      </w:r>
      <w:r>
        <w:rPr>
          <w:rFonts w:hint="eastAsia" w:ascii="宋体" w:hAnsi="宋体" w:cs="宋体"/>
          <w:color w:val="auto"/>
          <w:kern w:val="0"/>
          <w:szCs w:val="21"/>
          <w:highlight w:val="none"/>
        </w:rPr>
        <w:t>《磋商响应文件》因字迹潦草或表达不清所引起的后果由磋商响应供应商负责。</w:t>
      </w:r>
    </w:p>
    <w:p w14:paraId="02FE7921">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4.3.8</w:t>
      </w:r>
      <w:r>
        <w:rPr>
          <w:rFonts w:hint="eastAsia" w:ascii="宋体" w:hAnsi="宋体" w:cs="宋体"/>
          <w:color w:val="auto"/>
          <w:kern w:val="0"/>
          <w:szCs w:val="21"/>
          <w:highlight w:val="none"/>
        </w:rPr>
        <w:t>磋商响应供应商没有按照本章节第</w:t>
      </w:r>
      <w:r>
        <w:rPr>
          <w:rFonts w:ascii="宋体" w:hAnsi="宋体" w:cs="宋体"/>
          <w:color w:val="auto"/>
          <w:kern w:val="0"/>
          <w:szCs w:val="21"/>
          <w:highlight w:val="none"/>
        </w:rPr>
        <w:t>4.2.2</w:t>
      </w:r>
      <w:r>
        <w:rPr>
          <w:rFonts w:hint="eastAsia" w:ascii="宋体" w:hAnsi="宋体" w:cs="宋体"/>
          <w:color w:val="auto"/>
          <w:kern w:val="0"/>
          <w:szCs w:val="21"/>
          <w:highlight w:val="none"/>
        </w:rPr>
        <w:t>款“磋商响应文件内容组成”要求提供全部资料，或者没有仔细阅读竞争性磋商文件，或者没有对竞争性磋商文件在各方面的要求作出实质性响应是磋商响应供应商的风险，由此造成的一切后果由磋商响应供应商自行承担。</w:t>
      </w:r>
    </w:p>
    <w:p w14:paraId="7779A87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4.4 </w:t>
      </w:r>
      <w:r>
        <w:rPr>
          <w:rFonts w:hint="eastAsia" w:ascii="宋体" w:hAnsi="宋体" w:cs="宋体"/>
          <w:b/>
          <w:bCs/>
          <w:color w:val="auto"/>
          <w:szCs w:val="21"/>
          <w:highlight w:val="none"/>
        </w:rPr>
        <w:t>磋商响应文件的签章</w:t>
      </w:r>
    </w:p>
    <w:p w14:paraId="114120B9">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4.4.1</w:t>
      </w:r>
      <w:r>
        <w:rPr>
          <w:rFonts w:hint="eastAsia" w:ascii="宋体" w:hAnsi="宋体" w:cs="宋体"/>
          <w:b/>
          <w:color w:val="auto"/>
          <w:kern w:val="0"/>
          <w:szCs w:val="21"/>
          <w:highlight w:val="none"/>
        </w:rPr>
        <w:t>磋商响应文件的签章形式：</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0A911FDE">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4.4.2</w:t>
      </w:r>
      <w:r>
        <w:rPr>
          <w:rFonts w:hint="eastAsia" w:ascii="宋体" w:hAnsi="宋体" w:cs="宋体"/>
          <w:b/>
          <w:color w:val="auto"/>
          <w:kern w:val="0"/>
          <w:szCs w:val="21"/>
          <w:highlight w:val="none"/>
        </w:rPr>
        <w:t>《磋商响应文件》内容应按</w:t>
      </w:r>
      <w:r>
        <w:rPr>
          <w:rFonts w:hint="eastAsia" w:ascii="宋体" w:hAnsi="宋体" w:cs="宋体"/>
          <w:b/>
          <w:color w:val="auto"/>
          <w:szCs w:val="21"/>
          <w:highlight w:val="none"/>
        </w:rPr>
        <w:t>《第二章</w:t>
      </w:r>
      <w:r>
        <w:rPr>
          <w:rFonts w:ascii="宋体" w:hAnsi="宋体" w:cs="宋体"/>
          <w:b/>
          <w:color w:val="auto"/>
          <w:szCs w:val="21"/>
          <w:highlight w:val="none"/>
        </w:rPr>
        <w:t xml:space="preserve"> </w:t>
      </w:r>
      <w:r>
        <w:rPr>
          <w:rFonts w:hint="eastAsia" w:ascii="宋体" w:hAnsi="宋体" w:cs="宋体"/>
          <w:b/>
          <w:color w:val="auto"/>
          <w:szCs w:val="21"/>
          <w:highlight w:val="none"/>
        </w:rPr>
        <w:t>磋商须知及前附表》规定和</w:t>
      </w:r>
      <w:r>
        <w:rPr>
          <w:rFonts w:hint="eastAsia" w:ascii="宋体" w:hAnsi="宋体" w:cs="宋体"/>
          <w:b/>
          <w:color w:val="auto"/>
          <w:kern w:val="0"/>
          <w:szCs w:val="21"/>
          <w:highlight w:val="none"/>
        </w:rPr>
        <w:t>《第五章</w:t>
      </w:r>
      <w:r>
        <w:rPr>
          <w:rFonts w:ascii="宋体" w:hAnsi="宋体" w:cs="宋体"/>
          <w:b/>
          <w:color w:val="auto"/>
          <w:kern w:val="0"/>
          <w:szCs w:val="21"/>
          <w:highlight w:val="none"/>
        </w:rPr>
        <w:t xml:space="preserve"> </w:t>
      </w:r>
      <w:r>
        <w:rPr>
          <w:rFonts w:hint="eastAsia" w:ascii="宋体" w:hAnsi="宋体" w:cs="宋体"/>
          <w:b/>
          <w:color w:val="auto"/>
          <w:kern w:val="0"/>
          <w:szCs w:val="21"/>
          <w:highlight w:val="none"/>
        </w:rPr>
        <w:t>磋商响应文件格式》</w:t>
      </w:r>
      <w:r>
        <w:rPr>
          <w:rFonts w:hint="eastAsia" w:ascii="宋体" w:hAnsi="宋体" w:cs="宋体"/>
          <w:b/>
          <w:color w:val="auto"/>
          <w:szCs w:val="21"/>
          <w:highlight w:val="none"/>
        </w:rPr>
        <w:t>标注的要求进行盖章、签署</w:t>
      </w:r>
      <w:r>
        <w:rPr>
          <w:rFonts w:hint="eastAsia" w:ascii="宋体" w:hAnsi="宋体" w:cs="宋体"/>
          <w:b/>
          <w:color w:val="auto"/>
          <w:kern w:val="0"/>
          <w:szCs w:val="21"/>
          <w:highlight w:val="none"/>
        </w:rPr>
        <w:t>，应签章而未签章的材料视为未提供。请各供应商详细查阅本章节第</w:t>
      </w:r>
      <w:r>
        <w:rPr>
          <w:rFonts w:ascii="宋体" w:hAnsi="宋体" w:cs="宋体"/>
          <w:b/>
          <w:color w:val="auto"/>
          <w:kern w:val="0"/>
          <w:szCs w:val="21"/>
          <w:highlight w:val="none"/>
        </w:rPr>
        <w:t>4.3</w:t>
      </w:r>
      <w:r>
        <w:rPr>
          <w:rFonts w:hint="eastAsia" w:ascii="宋体" w:hAnsi="宋体" w:cs="宋体"/>
          <w:b/>
          <w:color w:val="auto"/>
          <w:kern w:val="0"/>
          <w:szCs w:val="21"/>
          <w:highlight w:val="none"/>
        </w:rPr>
        <w:t>款“磋商响应文件的编制”规定（磋商响应供应商为自然人的，须由自然人本人签字（或盖章），同时提供自然人本人有效身份证明材料，否则视为未提供）。</w:t>
      </w:r>
    </w:p>
    <w:p w14:paraId="7C804623">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4.5 </w:t>
      </w:r>
      <w:r>
        <w:rPr>
          <w:rFonts w:hint="eastAsia" w:ascii="宋体" w:hAnsi="宋体" w:cs="宋体"/>
          <w:b/>
          <w:bCs/>
          <w:color w:val="auto"/>
          <w:szCs w:val="21"/>
          <w:highlight w:val="none"/>
        </w:rPr>
        <w:t>磋商报价</w:t>
      </w:r>
    </w:p>
    <w:p w14:paraId="600F9949">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4.5.1</w:t>
      </w:r>
      <w:r>
        <w:rPr>
          <w:rFonts w:hint="eastAsia" w:ascii="宋体" w:hAnsi="宋体" w:cs="宋体"/>
          <w:b/>
          <w:color w:val="auto"/>
          <w:kern w:val="0"/>
          <w:szCs w:val="21"/>
          <w:highlight w:val="none"/>
        </w:rPr>
        <w:t>磋商报价应按《第五章</w:t>
      </w:r>
      <w:r>
        <w:rPr>
          <w:rFonts w:ascii="宋体" w:hAnsi="宋体" w:cs="宋体"/>
          <w:b/>
          <w:color w:val="auto"/>
          <w:kern w:val="0"/>
          <w:szCs w:val="21"/>
          <w:highlight w:val="none"/>
        </w:rPr>
        <w:t xml:space="preserve"> </w:t>
      </w:r>
      <w:r>
        <w:rPr>
          <w:rFonts w:hint="eastAsia" w:ascii="宋体" w:hAnsi="宋体" w:cs="宋体"/>
          <w:b/>
          <w:color w:val="auto"/>
          <w:kern w:val="0"/>
          <w:szCs w:val="21"/>
          <w:highlight w:val="none"/>
        </w:rPr>
        <w:t>磋商响应文件格式》中提供的相关报价格式填写；</w:t>
      </w:r>
    </w:p>
    <w:p w14:paraId="51786700">
      <w:pPr>
        <w:spacing w:line="360" w:lineRule="auto"/>
        <w:ind w:firstLine="422" w:firstLineChars="200"/>
        <w:rPr>
          <w:rFonts w:ascii="宋体" w:cs="宋体"/>
          <w:b/>
          <w:color w:val="auto"/>
          <w:kern w:val="0"/>
          <w:szCs w:val="21"/>
          <w:highlight w:val="none"/>
        </w:rPr>
      </w:pPr>
      <w:r>
        <w:rPr>
          <w:rFonts w:ascii="宋体" w:hAnsi="宋体" w:cs="宋体"/>
          <w:b/>
          <w:color w:val="auto"/>
          <w:szCs w:val="21"/>
          <w:highlight w:val="none"/>
        </w:rPr>
        <w:t>4.5.2</w:t>
      </w:r>
      <w:r>
        <w:rPr>
          <w:rFonts w:hint="eastAsia" w:ascii="宋体" w:hAnsi="宋体" w:cs="宋体"/>
          <w:b/>
          <w:color w:val="auto"/>
          <w:szCs w:val="21"/>
          <w:highlight w:val="none"/>
        </w:rPr>
        <w:t>本项目招标控制价：</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131450E8">
      <w:pPr>
        <w:spacing w:line="360" w:lineRule="auto"/>
        <w:ind w:firstLine="422" w:firstLineChars="200"/>
        <w:rPr>
          <w:rFonts w:ascii="宋体" w:cs="宋体"/>
          <w:b/>
          <w:color w:val="auto"/>
          <w:kern w:val="0"/>
          <w:szCs w:val="21"/>
          <w:highlight w:val="none"/>
          <w:u w:val="single"/>
        </w:rPr>
      </w:pPr>
      <w:r>
        <w:rPr>
          <w:rFonts w:ascii="宋体" w:hAnsi="宋体" w:cs="宋体"/>
          <w:b/>
          <w:color w:val="auto"/>
          <w:kern w:val="0"/>
          <w:szCs w:val="21"/>
          <w:highlight w:val="none"/>
          <w:u w:val="single"/>
        </w:rPr>
        <w:t>4.5.3</w:t>
      </w:r>
      <w:r>
        <w:rPr>
          <w:rFonts w:hint="eastAsia" w:ascii="宋体" w:hAnsi="宋体" w:cs="宋体"/>
          <w:b/>
          <w:color w:val="auto"/>
          <w:kern w:val="0"/>
          <w:szCs w:val="21"/>
          <w:highlight w:val="none"/>
          <w:u w:val="single"/>
        </w:rPr>
        <w:t>《磋商响应文件》针对每个标项每一轮只允许有一个报价，不接受有选择报价的磋商响应（作无效标处理）；</w:t>
      </w:r>
    </w:p>
    <w:p w14:paraId="0D7088F6">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4.5.5</w:t>
      </w:r>
      <w:r>
        <w:rPr>
          <w:rFonts w:hint="eastAsia" w:ascii="宋体" w:hAnsi="宋体" w:cs="宋体"/>
          <w:b/>
          <w:color w:val="auto"/>
          <w:kern w:val="0"/>
          <w:szCs w:val="21"/>
          <w:highlight w:val="none"/>
        </w:rPr>
        <w:t>最低报价不是成交的保证，采购人及采购代理机构不作任何落标解释。</w:t>
      </w:r>
    </w:p>
    <w:p w14:paraId="3142ED15">
      <w:pPr>
        <w:pStyle w:val="627"/>
        <w:pBdr>
          <w:bottom w:val="none" w:color="auto" w:sz="0" w:space="0"/>
        </w:pBdr>
        <w:spacing w:line="360" w:lineRule="auto"/>
        <w:ind w:firstLine="480" w:firstLineChars="200"/>
        <w:rPr>
          <w:rFonts w:ascii="宋体" w:cs="宋体"/>
          <w:color w:val="auto"/>
          <w:szCs w:val="21"/>
          <w:highlight w:val="none"/>
          <w:u w:val="thick"/>
        </w:rPr>
      </w:pPr>
      <w:r>
        <w:rPr>
          <w:rFonts w:ascii="宋体" w:hAnsi="宋体" w:cs="宋体"/>
          <w:color w:val="auto"/>
          <w:szCs w:val="21"/>
          <w:highlight w:val="none"/>
        </w:rPr>
        <w:t xml:space="preserve">4.5.6 </w:t>
      </w:r>
      <w:r>
        <w:rPr>
          <w:rFonts w:hint="eastAsia" w:ascii="宋体" w:hAnsi="宋体" w:cs="宋体"/>
          <w:color w:val="auto"/>
          <w:szCs w:val="21"/>
          <w:highlight w:val="none"/>
        </w:rPr>
        <w:t>★</w:t>
      </w:r>
      <w:r>
        <w:rPr>
          <w:rFonts w:hint="eastAsia" w:ascii="宋体" w:hAnsi="宋体" w:cs="宋体"/>
          <w:b/>
          <w:color w:val="auto"/>
          <w:kern w:val="0"/>
          <w:szCs w:val="21"/>
          <w:highlight w:val="none"/>
          <w:u w:val="single"/>
        </w:rPr>
        <w:t>本次磋商报价为含税人民币价。</w:t>
      </w:r>
    </w:p>
    <w:p w14:paraId="6F8DFC71">
      <w:pPr>
        <w:pStyle w:val="390"/>
        <w:adjustRightInd w:val="0"/>
        <w:snapToGrid w:val="0"/>
        <w:spacing w:before="0"/>
        <w:ind w:firstLine="420"/>
        <w:rPr>
          <w:rFonts w:ascii="宋体" w:cs="宋体"/>
          <w:bCs/>
          <w:color w:val="auto"/>
          <w:sz w:val="21"/>
          <w:szCs w:val="21"/>
          <w:highlight w:val="none"/>
        </w:rPr>
      </w:pPr>
      <w:r>
        <w:rPr>
          <w:rFonts w:ascii="宋体" w:hAnsi="宋体" w:cs="宋体"/>
          <w:color w:val="auto"/>
          <w:sz w:val="21"/>
          <w:szCs w:val="21"/>
          <w:highlight w:val="none"/>
        </w:rPr>
        <w:t>4.5.7</w:t>
      </w:r>
      <w:r>
        <w:rPr>
          <w:rFonts w:hint="eastAsia" w:ascii="宋体" w:hAnsi="宋体" w:cs="宋体"/>
          <w:color w:val="auto"/>
          <w:sz w:val="21"/>
          <w:szCs w:val="21"/>
          <w:highlight w:val="none"/>
        </w:rPr>
        <w:t>磋商报价为磋商响应供应商的磋商响应文件中提出的各项支付金额的总和。</w:t>
      </w:r>
    </w:p>
    <w:p w14:paraId="351A75A2">
      <w:pPr>
        <w:pStyle w:val="627"/>
        <w:pBdr>
          <w:bottom w:val="none" w:color="auto" w:sz="0" w:space="0"/>
        </w:pBdr>
        <w:spacing w:line="360" w:lineRule="auto"/>
        <w:ind w:firstLine="420" w:firstLineChars="200"/>
        <w:rPr>
          <w:rFonts w:ascii="宋体" w:cs="宋体"/>
          <w:bCs/>
          <w:color w:val="auto"/>
          <w:sz w:val="21"/>
          <w:szCs w:val="21"/>
          <w:highlight w:val="none"/>
        </w:rPr>
      </w:pPr>
      <w:r>
        <w:rPr>
          <w:rFonts w:ascii="宋体" w:hAnsi="宋体" w:cs="宋体"/>
          <w:color w:val="auto"/>
          <w:sz w:val="21"/>
          <w:szCs w:val="21"/>
          <w:highlight w:val="none"/>
        </w:rPr>
        <w:t>4.5.8</w:t>
      </w:r>
      <w:r>
        <w:rPr>
          <w:rFonts w:hint="eastAsia" w:ascii="宋体" w:hAnsi="宋体" w:cs="宋体"/>
          <w:color w:val="auto"/>
          <w:sz w:val="21"/>
          <w:szCs w:val="21"/>
          <w:highlight w:val="none"/>
        </w:rPr>
        <w:t>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宋体" w:hAnsi="宋体" w:cs="宋体"/>
          <w:bCs/>
          <w:color w:val="auto"/>
          <w:sz w:val="21"/>
          <w:szCs w:val="21"/>
          <w:highlight w:val="none"/>
        </w:rPr>
        <w:t>。</w:t>
      </w:r>
    </w:p>
    <w:p w14:paraId="531FA7FC">
      <w:pPr>
        <w:pStyle w:val="627"/>
        <w:pBdr>
          <w:bottom w:val="none" w:color="auto" w:sz="0" w:space="0"/>
        </w:pBdr>
        <w:spacing w:line="360" w:lineRule="auto"/>
        <w:ind w:firstLine="420" w:firstLineChars="200"/>
        <w:rPr>
          <w:rFonts w:ascii="宋体" w:cs="宋体"/>
          <w:color w:val="auto"/>
          <w:sz w:val="21"/>
          <w:szCs w:val="21"/>
          <w:highlight w:val="none"/>
        </w:rPr>
      </w:pPr>
      <w:r>
        <w:rPr>
          <w:rFonts w:ascii="宋体" w:hAnsi="宋体" w:cs="宋体"/>
          <w:color w:val="auto"/>
          <w:sz w:val="21"/>
          <w:szCs w:val="21"/>
          <w:highlight w:val="none"/>
        </w:rPr>
        <w:t>4.5.9</w:t>
      </w:r>
      <w:r>
        <w:rPr>
          <w:rFonts w:hint="eastAsia" w:ascii="宋体" w:hAnsi="宋体" w:cs="宋体"/>
          <w:color w:val="auto"/>
          <w:sz w:val="21"/>
          <w:szCs w:val="21"/>
          <w:highlight w:val="none"/>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14:paraId="007C4A1D">
      <w:pPr>
        <w:pStyle w:val="627"/>
        <w:pBdr>
          <w:bottom w:val="none" w:color="auto" w:sz="0" w:space="0"/>
        </w:pBdr>
        <w:spacing w:line="360" w:lineRule="auto"/>
        <w:ind w:firstLine="420" w:firstLineChars="200"/>
        <w:rPr>
          <w:rFonts w:ascii="宋体" w:cs="宋体"/>
          <w:b/>
          <w:bCs/>
          <w:color w:val="auto"/>
          <w:sz w:val="21"/>
          <w:szCs w:val="21"/>
          <w:highlight w:val="none"/>
        </w:rPr>
      </w:pPr>
      <w:r>
        <w:rPr>
          <w:rFonts w:ascii="宋体" w:hAnsi="宋体" w:cs="宋体"/>
          <w:color w:val="auto"/>
          <w:sz w:val="21"/>
          <w:szCs w:val="21"/>
          <w:highlight w:val="none"/>
        </w:rPr>
        <w:t>4.5.10</w:t>
      </w:r>
      <w:r>
        <w:rPr>
          <w:rFonts w:hint="eastAsia" w:ascii="宋体" w:hAnsi="宋体" w:cs="宋体"/>
          <w:color w:val="auto"/>
          <w:sz w:val="21"/>
          <w:szCs w:val="21"/>
          <w:highlight w:val="none"/>
        </w:rPr>
        <w:t>最后报价同比例下浮；</w:t>
      </w:r>
    </w:p>
    <w:p w14:paraId="3B33ECAA">
      <w:pPr>
        <w:pStyle w:val="627"/>
        <w:pBdr>
          <w:bottom w:val="none" w:color="auto" w:sz="0" w:space="0"/>
        </w:pBdr>
        <w:spacing w:line="360" w:lineRule="auto"/>
        <w:ind w:firstLine="420" w:firstLineChars="200"/>
        <w:rPr>
          <w:rFonts w:ascii="宋体" w:cs="宋体"/>
          <w:color w:val="auto"/>
          <w:sz w:val="21"/>
          <w:szCs w:val="21"/>
          <w:highlight w:val="none"/>
        </w:rPr>
      </w:pPr>
      <w:r>
        <w:rPr>
          <w:rFonts w:ascii="宋体" w:hAnsi="宋体" w:cs="宋体"/>
          <w:color w:val="auto"/>
          <w:sz w:val="21"/>
          <w:szCs w:val="21"/>
          <w:highlight w:val="none"/>
        </w:rPr>
        <w:t>4.5.11</w:t>
      </w:r>
      <w:r>
        <w:rPr>
          <w:rFonts w:hint="eastAsia" w:ascii="宋体" w:hAnsi="宋体" w:cs="宋体"/>
          <w:color w:val="auto"/>
          <w:sz w:val="21"/>
          <w:szCs w:val="21"/>
          <w:highlight w:val="none"/>
        </w:rPr>
        <w:t>除非合同中另有规定，磋商响应供应商在磋商总价中的价格均包括完成该工程项目的直接费、间接费、利润、税金、风险费等所有费用；</w:t>
      </w:r>
    </w:p>
    <w:p w14:paraId="520AFD17">
      <w:pPr>
        <w:pStyle w:val="627"/>
        <w:pBdr>
          <w:bottom w:val="none" w:color="auto" w:sz="0" w:space="0"/>
        </w:pBdr>
        <w:spacing w:line="360" w:lineRule="auto"/>
        <w:ind w:firstLine="420" w:firstLineChars="200"/>
        <w:rPr>
          <w:rFonts w:ascii="宋体" w:cs="宋体"/>
          <w:color w:val="auto"/>
          <w:sz w:val="21"/>
          <w:szCs w:val="21"/>
          <w:highlight w:val="none"/>
        </w:rPr>
      </w:pPr>
      <w:r>
        <w:rPr>
          <w:rFonts w:ascii="宋体" w:hAnsi="宋体" w:cs="宋体"/>
          <w:color w:val="auto"/>
          <w:sz w:val="21"/>
          <w:szCs w:val="21"/>
          <w:highlight w:val="none"/>
        </w:rPr>
        <w:t>4.5.12</w:t>
      </w:r>
      <w:r>
        <w:rPr>
          <w:rFonts w:hint="eastAsia" w:ascii="宋体" w:hAnsi="宋体" w:cs="宋体"/>
          <w:color w:val="auto"/>
          <w:sz w:val="21"/>
          <w:szCs w:val="21"/>
          <w:highlight w:val="none"/>
        </w:rPr>
        <w:t>磋商响应供应商应先到工地踏勘以充分了解工地位置、情况、道路、储存空间、装卸限制及任何其它足以影响承包价的情况，任何因忽视或误解工地情况而导致的索赔或工期延长申请将不获批准；</w:t>
      </w:r>
    </w:p>
    <w:p w14:paraId="0A9C3DAA">
      <w:pPr>
        <w:pStyle w:val="627"/>
        <w:pBdr>
          <w:bottom w:val="none" w:color="auto" w:sz="0" w:space="0"/>
        </w:pBdr>
        <w:spacing w:line="360" w:lineRule="auto"/>
        <w:ind w:firstLine="420" w:firstLineChars="200"/>
        <w:rPr>
          <w:rFonts w:ascii="宋体" w:cs="宋体"/>
          <w:color w:val="auto"/>
          <w:sz w:val="21"/>
          <w:szCs w:val="21"/>
          <w:highlight w:val="none"/>
        </w:rPr>
      </w:pPr>
      <w:r>
        <w:rPr>
          <w:rFonts w:ascii="宋体" w:hAnsi="宋体" w:cs="宋体"/>
          <w:color w:val="auto"/>
          <w:sz w:val="21"/>
          <w:szCs w:val="21"/>
          <w:highlight w:val="none"/>
        </w:rPr>
        <w:t>4.5.13</w:t>
      </w:r>
      <w:r>
        <w:rPr>
          <w:rFonts w:hint="eastAsia" w:ascii="宋体" w:hAnsi="宋体" w:cs="宋体"/>
          <w:color w:val="auto"/>
          <w:sz w:val="21"/>
          <w:szCs w:val="21"/>
          <w:highlight w:val="none"/>
        </w:rPr>
        <w:t>除非本磋商文件对工程量清单编制和报价另有说明的，否则，磋商响应供应商应按工程量清单中的项目和数量进行报价。</w:t>
      </w:r>
    </w:p>
    <w:p w14:paraId="26F66239">
      <w:pPr>
        <w:pStyle w:val="627"/>
        <w:pBdr>
          <w:bottom w:val="none" w:color="auto" w:sz="0" w:space="0"/>
        </w:pBdr>
        <w:spacing w:line="360" w:lineRule="auto"/>
        <w:ind w:firstLine="420" w:firstLineChars="200"/>
        <w:rPr>
          <w:rFonts w:ascii="宋体" w:cs="宋体"/>
          <w:color w:val="auto"/>
          <w:sz w:val="21"/>
          <w:szCs w:val="21"/>
          <w:highlight w:val="none"/>
        </w:rPr>
      </w:pPr>
      <w:r>
        <w:rPr>
          <w:rFonts w:ascii="宋体" w:hAnsi="宋体" w:cs="宋体"/>
          <w:color w:val="auto"/>
          <w:sz w:val="21"/>
          <w:szCs w:val="21"/>
          <w:highlight w:val="none"/>
        </w:rPr>
        <w:t>4.5.14</w:t>
      </w:r>
      <w:r>
        <w:rPr>
          <w:rFonts w:hint="eastAsia" w:ascii="宋体" w:hAnsi="宋体" w:cs="宋体"/>
          <w:color w:val="auto"/>
          <w:sz w:val="21"/>
          <w:szCs w:val="21"/>
          <w:highlight w:val="none"/>
        </w:rPr>
        <w:t>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14:paraId="5522F8C7">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4.6 </w:t>
      </w:r>
      <w:r>
        <w:rPr>
          <w:rFonts w:hint="eastAsia" w:ascii="宋体" w:hAnsi="宋体" w:cs="宋体"/>
          <w:b/>
          <w:bCs/>
          <w:color w:val="auto"/>
          <w:szCs w:val="21"/>
          <w:highlight w:val="none"/>
        </w:rPr>
        <w:t>磋商响应文件的有效期</w:t>
      </w:r>
    </w:p>
    <w:p w14:paraId="39AEBC7D">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4.6.1</w:t>
      </w:r>
      <w:r>
        <w:rPr>
          <w:rFonts w:hint="eastAsia" w:ascii="宋体" w:hAnsi="宋体" w:cs="宋体"/>
          <w:b/>
          <w:color w:val="auto"/>
          <w:kern w:val="0"/>
          <w:szCs w:val="21"/>
          <w:highlight w:val="none"/>
        </w:rPr>
        <w:t>《磋商响应文件》有效期：</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，《磋商响应文件》有效期少于这个规定期限的投标将作无效标处理；</w:t>
      </w:r>
    </w:p>
    <w:p w14:paraId="7F81EB36">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4.6.2</w:t>
      </w:r>
      <w:r>
        <w:rPr>
          <w:rFonts w:hint="eastAsia" w:ascii="宋体" w:hAnsi="宋体" w:cs="宋体"/>
          <w:color w:val="auto"/>
          <w:kern w:val="0"/>
          <w:szCs w:val="21"/>
          <w:highlight w:val="none"/>
        </w:rPr>
        <w:t>在特殊情况下，采购人可与磋商响应供应商协商延长《磋商响应文件》的有效期，协商过程以书面形式进行；</w:t>
      </w:r>
    </w:p>
    <w:p w14:paraId="362974B9">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4.6.3</w:t>
      </w:r>
      <w:r>
        <w:rPr>
          <w:rFonts w:hint="eastAsia" w:ascii="宋体" w:hAnsi="宋体" w:cs="宋体"/>
          <w:color w:val="auto"/>
          <w:kern w:val="0"/>
          <w:szCs w:val="21"/>
          <w:highlight w:val="none"/>
        </w:rPr>
        <w:t>磋商响应供应商可拒绝接受延期要求，同意延长有效期的磋商响应供应商不能修改《磋商响应文件》；</w:t>
      </w:r>
    </w:p>
    <w:p w14:paraId="6F6FABA8">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4.6.4</w:t>
      </w:r>
      <w:r>
        <w:rPr>
          <w:rFonts w:hint="eastAsia" w:ascii="宋体" w:hAnsi="宋体" w:cs="宋体"/>
          <w:color w:val="auto"/>
          <w:kern w:val="0"/>
          <w:szCs w:val="21"/>
          <w:highlight w:val="none"/>
        </w:rPr>
        <w:t>成交供应商的《磋商响应文件》作为合同组成部分，其有效期自动延长至合同履行完毕止；</w:t>
      </w:r>
    </w:p>
    <w:p w14:paraId="2A192CB1">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4.6.5</w:t>
      </w:r>
      <w:r>
        <w:rPr>
          <w:rFonts w:hint="eastAsia" w:ascii="宋体" w:hAnsi="宋体" w:cs="宋体"/>
          <w:b/>
          <w:color w:val="auto"/>
          <w:kern w:val="0"/>
          <w:szCs w:val="21"/>
          <w:highlight w:val="none"/>
        </w:rPr>
        <w:t>磋商响应供应商在《磋商响应文件》有效期内强行撤回（撤销）其磋商响应文件的，</w:t>
      </w:r>
      <w:r>
        <w:rPr>
          <w:rFonts w:hint="eastAsia" w:ascii="宋体" w:hAnsi="宋体" w:cs="宋体"/>
          <w:b/>
          <w:color w:val="auto"/>
          <w:szCs w:val="21"/>
          <w:highlight w:val="none"/>
        </w:rPr>
        <w:t>采购组织机构将上报至同级政府采购监督管理部门依法处理。</w:t>
      </w:r>
    </w:p>
    <w:p w14:paraId="22D4421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4.7 </w:t>
      </w:r>
      <w:r>
        <w:rPr>
          <w:rFonts w:hint="eastAsia" w:ascii="宋体" w:hAnsi="宋体" w:cs="宋体"/>
          <w:b/>
          <w:bCs/>
          <w:color w:val="auto"/>
          <w:szCs w:val="21"/>
          <w:highlight w:val="none"/>
        </w:rPr>
        <w:t>备份磋商响应文件</w:t>
      </w:r>
    </w:p>
    <w:p w14:paraId="43F74FC1">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4.7.1</w:t>
      </w:r>
      <w:r>
        <w:rPr>
          <w:rFonts w:hint="eastAsia" w:ascii="宋体" w:hAnsi="宋体" w:cs="宋体"/>
          <w:b/>
          <w:color w:val="auto"/>
          <w:szCs w:val="21"/>
          <w:highlight w:val="none"/>
        </w:rPr>
        <w:t>备份磋商响应文件的约定：</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01BB8731">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4.7.2</w:t>
      </w:r>
      <w:r>
        <w:rPr>
          <w:rFonts w:hint="eastAsia" w:ascii="宋体" w:hAnsi="宋体" w:cs="宋体"/>
          <w:b/>
          <w:color w:val="auto"/>
          <w:szCs w:val="21"/>
          <w:highlight w:val="none"/>
        </w:rPr>
        <w:t>备份磋商响应文件的编制：</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123E21BE">
      <w:pPr>
        <w:spacing w:line="360" w:lineRule="auto"/>
        <w:ind w:firstLine="422" w:firstLineChars="200"/>
        <w:jc w:val="left"/>
        <w:rPr>
          <w:rFonts w:ascii="宋体" w:cs="宋体"/>
          <w:b/>
          <w:color w:val="auto"/>
          <w:szCs w:val="21"/>
          <w:highlight w:val="none"/>
        </w:rPr>
      </w:pPr>
      <w:r>
        <w:rPr>
          <w:rFonts w:ascii="宋体" w:hAnsi="宋体" w:cs="宋体"/>
          <w:b/>
          <w:color w:val="auto"/>
          <w:szCs w:val="21"/>
          <w:highlight w:val="none"/>
        </w:rPr>
        <w:t>4.7.3</w:t>
      </w:r>
      <w:r>
        <w:rPr>
          <w:rFonts w:hint="eastAsia" w:ascii="宋体" w:hAnsi="宋体" w:cs="宋体"/>
          <w:b/>
          <w:color w:val="auto"/>
          <w:szCs w:val="21"/>
          <w:highlight w:val="none"/>
        </w:rPr>
        <w:t>备份磋商响应文件的递交与接收</w:t>
      </w:r>
    </w:p>
    <w:p w14:paraId="74A13FAD">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）递交与接收：</w:t>
      </w:r>
      <w:r>
        <w:rPr>
          <w:rFonts w:hint="eastAsia" w:ascii="宋体" w:hAnsi="宋体" w:cs="宋体"/>
          <w:b/>
          <w:color w:val="auto"/>
          <w:kern w:val="0"/>
          <w:szCs w:val="21"/>
          <w:highlight w:val="none"/>
          <w:u w:val="single"/>
        </w:rPr>
        <w:t>见《磋商须知前附表》，备份磋商响应文件逾期送达的视为未递交</w:t>
      </w:r>
      <w:r>
        <w:rPr>
          <w:rFonts w:hint="eastAsia" w:ascii="宋体" w:hAnsi="宋体" w:cs="宋体"/>
          <w:b/>
          <w:color w:val="auto"/>
          <w:szCs w:val="21"/>
          <w:highlight w:val="none"/>
        </w:rPr>
        <w:t>。</w:t>
      </w:r>
    </w:p>
    <w:p w14:paraId="6914D5E4">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4.7.4</w:t>
      </w:r>
      <w:r>
        <w:rPr>
          <w:rFonts w:hint="eastAsia" w:ascii="宋体" w:hAnsi="宋体" w:cs="宋体"/>
          <w:b/>
          <w:color w:val="auto"/>
          <w:szCs w:val="21"/>
          <w:highlight w:val="none"/>
        </w:rPr>
        <w:t>备份磋商响应文件的使用与失效</w:t>
      </w:r>
    </w:p>
    <w:p w14:paraId="5F5E8A6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合格的备份磋商响应文件在电子加密“磋商响应文件”解密异常时拆封、使用，电子加密“磋商响应文件”正常解密的备份磋商响应文件自动失效，不再使用。</w:t>
      </w:r>
      <w:r>
        <w:rPr>
          <w:rFonts w:hint="eastAsia" w:ascii="宋体" w:hAnsi="宋体" w:cs="宋体"/>
          <w:b/>
          <w:color w:val="auto"/>
          <w:szCs w:val="21"/>
          <w:highlight w:val="none"/>
        </w:rPr>
        <w:t>“磋商响应文件解密异常情况处理”办法见《磋商须知前附表》。</w:t>
      </w:r>
    </w:p>
    <w:p w14:paraId="48EFA36C">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4.7.5</w:t>
      </w:r>
      <w:r>
        <w:rPr>
          <w:rFonts w:hint="eastAsia" w:ascii="宋体" w:hAnsi="宋体" w:cs="宋体"/>
          <w:b/>
          <w:color w:val="auto"/>
          <w:szCs w:val="21"/>
          <w:highlight w:val="none"/>
        </w:rPr>
        <w:t>“备份磋商响应文件”与电子加密的“磋商响应文件”同时生成，不属于磋商响应备选（替代）方案。</w:t>
      </w:r>
    </w:p>
    <w:p w14:paraId="2C5D4D90">
      <w:pPr>
        <w:pStyle w:val="3"/>
        <w:spacing w:before="317" w:beforeLines="100" w:after="317" w:afterLines="100" w:line="360" w:lineRule="auto"/>
        <w:rPr>
          <w:rFonts w:ascii="宋体" w:hAnsi="宋体" w:eastAsia="宋体" w:cs="宋体"/>
          <w:color w:val="auto"/>
          <w:sz w:val="24"/>
          <w:szCs w:val="24"/>
          <w:highlight w:val="none"/>
        </w:rPr>
      </w:pPr>
      <w:bookmarkStart w:id="73" w:name="_Toc82338242"/>
      <w:bookmarkStart w:id="74" w:name="_Toc82873325"/>
      <w:bookmarkStart w:id="75" w:name="_Toc379"/>
      <w:bookmarkStart w:id="76" w:name="_Toc81341322"/>
      <w:r>
        <w:rPr>
          <w:rFonts w:hint="eastAsia" w:ascii="宋体" w:hAnsi="宋体" w:eastAsia="宋体" w:cs="宋体"/>
          <w:color w:val="auto"/>
          <w:sz w:val="24"/>
          <w:szCs w:val="24"/>
          <w:highlight w:val="none"/>
        </w:rPr>
        <w:t>五、</w:t>
      </w:r>
      <w:bookmarkEnd w:id="73"/>
      <w:bookmarkEnd w:id="74"/>
      <w:r>
        <w:rPr>
          <w:rFonts w:hint="eastAsia" w:ascii="宋体" w:hAnsi="宋体" w:eastAsia="宋体" w:cs="宋体"/>
          <w:color w:val="auto"/>
          <w:sz w:val="24"/>
          <w:szCs w:val="24"/>
          <w:highlight w:val="none"/>
        </w:rPr>
        <w:t>磋商响应</w:t>
      </w:r>
      <w:bookmarkEnd w:id="75"/>
      <w:bookmarkEnd w:id="76"/>
    </w:p>
    <w:p w14:paraId="1275534C">
      <w:pPr>
        <w:keepNext/>
        <w:keepLines/>
        <w:spacing w:line="360" w:lineRule="auto"/>
        <w:ind w:firstLine="422" w:firstLineChars="200"/>
        <w:outlineLvl w:val="2"/>
        <w:rPr>
          <w:rFonts w:ascii="宋体" w:cs="宋体"/>
          <w:b/>
          <w:bCs/>
          <w:color w:val="auto"/>
          <w:szCs w:val="21"/>
          <w:highlight w:val="none"/>
        </w:rPr>
      </w:pPr>
      <w:bookmarkStart w:id="77" w:name="_Toc82873326"/>
      <w:bookmarkStart w:id="78" w:name="_Toc82338243"/>
      <w:r>
        <w:rPr>
          <w:rFonts w:ascii="宋体" w:hAnsi="宋体" w:cs="宋体"/>
          <w:b/>
          <w:bCs/>
          <w:color w:val="auto"/>
          <w:szCs w:val="21"/>
          <w:highlight w:val="none"/>
        </w:rPr>
        <w:t xml:space="preserve">5.1 </w:t>
      </w:r>
      <w:r>
        <w:rPr>
          <w:rFonts w:hint="eastAsia" w:ascii="宋体" w:hAnsi="宋体" w:cs="宋体"/>
          <w:b/>
          <w:bCs/>
          <w:color w:val="auto"/>
          <w:szCs w:val="21"/>
          <w:highlight w:val="none"/>
        </w:rPr>
        <w:t>磋商响应文件提交截止时间</w:t>
      </w:r>
    </w:p>
    <w:p w14:paraId="3A09571D">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5.1.1</w:t>
      </w:r>
      <w:r>
        <w:rPr>
          <w:rFonts w:hint="eastAsia" w:ascii="宋体" w:hAnsi="宋体" w:cs="宋体"/>
          <w:b/>
          <w:color w:val="auto"/>
          <w:szCs w:val="21"/>
          <w:highlight w:val="none"/>
        </w:rPr>
        <w:t>磋商响应文件提交截止时间：</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135FB87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5.2 </w:t>
      </w:r>
      <w:r>
        <w:rPr>
          <w:rFonts w:hint="eastAsia" w:ascii="宋体" w:hAnsi="宋体" w:cs="宋体"/>
          <w:b/>
          <w:bCs/>
          <w:color w:val="auto"/>
          <w:szCs w:val="21"/>
          <w:highlight w:val="none"/>
        </w:rPr>
        <w:t>磋商地点</w:t>
      </w:r>
    </w:p>
    <w:p w14:paraId="5A34B1A1">
      <w:pPr>
        <w:spacing w:line="360" w:lineRule="auto"/>
        <w:ind w:firstLine="422" w:firstLineChars="200"/>
        <w:rPr>
          <w:rFonts w:ascii="宋体" w:cs="宋体"/>
          <w:color w:val="auto"/>
          <w:szCs w:val="21"/>
          <w:highlight w:val="none"/>
        </w:rPr>
      </w:pPr>
      <w:r>
        <w:rPr>
          <w:rFonts w:ascii="宋体" w:hAnsi="宋体" w:cs="宋体"/>
          <w:b/>
          <w:color w:val="auto"/>
          <w:szCs w:val="21"/>
          <w:highlight w:val="none"/>
        </w:rPr>
        <w:t>5.2.1</w:t>
      </w:r>
      <w:r>
        <w:rPr>
          <w:rFonts w:hint="eastAsia" w:ascii="宋体" w:hAnsi="宋体" w:cs="宋体"/>
          <w:b/>
          <w:color w:val="auto"/>
          <w:szCs w:val="21"/>
          <w:highlight w:val="none"/>
        </w:rPr>
        <w:t>磋商响应文件提交地点：</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328F45C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5.3 </w:t>
      </w:r>
      <w:r>
        <w:rPr>
          <w:rFonts w:hint="eastAsia" w:ascii="宋体" w:hAnsi="宋体" w:cs="宋体"/>
          <w:b/>
          <w:bCs/>
          <w:color w:val="auto"/>
          <w:szCs w:val="21"/>
          <w:highlight w:val="none"/>
        </w:rPr>
        <w:t>磋商响应文件的传输递交</w:t>
      </w:r>
    </w:p>
    <w:p w14:paraId="3D73D5E7">
      <w:pPr>
        <w:spacing w:line="360" w:lineRule="auto"/>
        <w:ind w:firstLine="422" w:firstLineChars="200"/>
        <w:rPr>
          <w:rFonts w:ascii="宋体" w:cs="宋体"/>
          <w:b/>
          <w:color w:val="auto"/>
          <w:szCs w:val="21"/>
          <w:highlight w:val="none"/>
        </w:rPr>
      </w:pPr>
      <w:r>
        <w:rPr>
          <w:rFonts w:ascii="宋体" w:hAnsi="宋体" w:cs="宋体"/>
          <w:b/>
          <w:color w:val="auto"/>
          <w:kern w:val="0"/>
          <w:szCs w:val="21"/>
          <w:highlight w:val="none"/>
        </w:rPr>
        <w:t>5.3.1</w:t>
      </w:r>
      <w:r>
        <w:rPr>
          <w:rFonts w:hint="eastAsia" w:ascii="宋体" w:hAnsi="宋体" w:cs="宋体"/>
          <w:b/>
          <w:color w:val="auto"/>
          <w:kern w:val="0"/>
          <w:szCs w:val="21"/>
          <w:highlight w:val="none"/>
        </w:rPr>
        <w:t>电子加密“磋商响应文件”的传输递交：</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1FE1E220">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5.4 </w:t>
      </w:r>
      <w:r>
        <w:rPr>
          <w:rFonts w:hint="eastAsia" w:ascii="宋体" w:hAnsi="宋体" w:cs="宋体"/>
          <w:b/>
          <w:bCs/>
          <w:color w:val="auto"/>
          <w:szCs w:val="21"/>
          <w:highlight w:val="none"/>
        </w:rPr>
        <w:t>磋商响应文件的补充、修改或撤回</w:t>
      </w:r>
    </w:p>
    <w:p w14:paraId="37ACABFC">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5.4.1</w:t>
      </w:r>
      <w:r>
        <w:rPr>
          <w:rFonts w:hint="eastAsia" w:ascii="宋体" w:hAnsi="宋体" w:cs="宋体"/>
          <w:b/>
          <w:color w:val="auto"/>
          <w:kern w:val="0"/>
          <w:szCs w:val="21"/>
          <w:highlight w:val="none"/>
        </w:rPr>
        <w:t>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山西省政府采购网”将予以拒收。</w:t>
      </w:r>
    </w:p>
    <w:p w14:paraId="764EAB86">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5.4.2</w:t>
      </w:r>
      <w:r>
        <w:rPr>
          <w:rFonts w:hint="eastAsia" w:ascii="宋体" w:hAnsi="宋体" w:cs="宋体"/>
          <w:b/>
          <w:color w:val="auto"/>
          <w:kern w:val="0"/>
          <w:szCs w:val="21"/>
          <w:highlight w:val="none"/>
        </w:rPr>
        <w:t>磋商响应文件提交截止时间后，供应商不得对磋商响应文件进行补充、修改或撤回。</w:t>
      </w:r>
    </w:p>
    <w:p w14:paraId="431730BC">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5.5 </w:t>
      </w:r>
      <w:r>
        <w:rPr>
          <w:rFonts w:hint="eastAsia" w:ascii="宋体" w:hAnsi="宋体" w:cs="宋体"/>
          <w:b/>
          <w:bCs/>
          <w:color w:val="auto"/>
          <w:szCs w:val="21"/>
          <w:highlight w:val="none"/>
        </w:rPr>
        <w:t>磋商响应文件的备选方案</w:t>
      </w:r>
    </w:p>
    <w:p w14:paraId="6BB57C47">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5.5.1</w:t>
      </w:r>
      <w:r>
        <w:rPr>
          <w:rFonts w:hint="eastAsia" w:ascii="宋体" w:hAnsi="宋体" w:cs="宋体"/>
          <w:b/>
          <w:color w:val="auto"/>
          <w:szCs w:val="21"/>
          <w:highlight w:val="none"/>
        </w:rPr>
        <w:t>磋商响应供应商不得递交任何的</w:t>
      </w:r>
      <w:r>
        <w:rPr>
          <w:rFonts w:hint="eastAsia" w:ascii="宋体" w:hAnsi="宋体" w:cs="宋体"/>
          <w:b/>
          <w:color w:val="auto"/>
          <w:kern w:val="0"/>
          <w:szCs w:val="21"/>
          <w:highlight w:val="none"/>
        </w:rPr>
        <w:t>磋商响应备选（替代）方案</w:t>
      </w:r>
      <w:r>
        <w:rPr>
          <w:rFonts w:hint="eastAsia" w:ascii="宋体" w:hAnsi="宋体" w:cs="宋体"/>
          <w:b/>
          <w:color w:val="auto"/>
          <w:szCs w:val="21"/>
          <w:highlight w:val="none"/>
        </w:rPr>
        <w:t>，否则作无效标处理。</w:t>
      </w:r>
    </w:p>
    <w:p w14:paraId="2C6DA3C9">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5.5.2</w:t>
      </w:r>
      <w:r>
        <w:rPr>
          <w:rFonts w:hint="eastAsia" w:ascii="宋体" w:hAnsi="宋体" w:cs="宋体"/>
          <w:b/>
          <w:color w:val="auto"/>
          <w:szCs w:val="21"/>
          <w:highlight w:val="none"/>
        </w:rPr>
        <w:t>与“电子加密磋商响应文件”同时生成的“备份磋商响应文件”不是磋商响应备选（替代）方案。</w:t>
      </w:r>
    </w:p>
    <w:p w14:paraId="05311065">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5.6 </w:t>
      </w:r>
      <w:r>
        <w:rPr>
          <w:rFonts w:hint="eastAsia" w:ascii="宋体" w:hAnsi="宋体" w:cs="宋体"/>
          <w:b/>
          <w:bCs/>
          <w:color w:val="auto"/>
          <w:szCs w:val="21"/>
          <w:highlight w:val="none"/>
        </w:rPr>
        <w:t>磋商响应供应商不足法定数量的处理</w:t>
      </w:r>
    </w:p>
    <w:p w14:paraId="464E92E9">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5.6.1</w:t>
      </w:r>
      <w:r>
        <w:rPr>
          <w:rFonts w:hint="eastAsia" w:ascii="宋体" w:hAnsi="宋体" w:cs="宋体"/>
          <w:b/>
          <w:color w:val="auto"/>
          <w:kern w:val="0"/>
          <w:szCs w:val="21"/>
          <w:highlight w:val="none"/>
        </w:rPr>
        <w:t>到磋商响应文件提交截止时间止，若某个标项成功解密（备份磋商响应文件成功上传的视为成功解密）《磋商响应文件》的供应商少于三家的，除采购任务取消情形外，采购人可选择以下方式之一处理：</w:t>
      </w:r>
    </w:p>
    <w:p w14:paraId="4F66D287">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）不再进行开标，将本标项作废标处理，重新组织采购；</w:t>
      </w:r>
    </w:p>
    <w:p w14:paraId="36A775BC">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）按同级政府采购监督管理部门的审批意见采用其他采购方式组织采购。</w:t>
      </w:r>
    </w:p>
    <w:p w14:paraId="515C8E54">
      <w:pPr>
        <w:pStyle w:val="3"/>
        <w:spacing w:before="317" w:beforeLines="100" w:after="317" w:afterLines="100" w:line="360" w:lineRule="auto"/>
        <w:rPr>
          <w:rFonts w:ascii="宋体" w:hAnsi="宋体" w:eastAsia="宋体" w:cs="宋体"/>
          <w:color w:val="auto"/>
          <w:sz w:val="24"/>
          <w:szCs w:val="24"/>
          <w:highlight w:val="none"/>
        </w:rPr>
      </w:pPr>
      <w:bookmarkStart w:id="79" w:name="_Toc24682"/>
      <w:bookmarkStart w:id="80" w:name="_Toc81341323"/>
      <w:r>
        <w:rPr>
          <w:rFonts w:hint="eastAsia" w:ascii="宋体" w:hAnsi="宋体" w:eastAsia="宋体" w:cs="宋体"/>
          <w:color w:val="auto"/>
          <w:sz w:val="24"/>
          <w:szCs w:val="24"/>
          <w:highlight w:val="none"/>
        </w:rPr>
        <w:t>六、</w:t>
      </w:r>
      <w:bookmarkEnd w:id="77"/>
      <w:bookmarkEnd w:id="78"/>
      <w:r>
        <w:rPr>
          <w:rFonts w:hint="eastAsia" w:ascii="宋体" w:hAnsi="宋体" w:eastAsia="宋体" w:cs="宋体"/>
          <w:color w:val="auto"/>
          <w:sz w:val="24"/>
          <w:szCs w:val="24"/>
          <w:highlight w:val="none"/>
        </w:rPr>
        <w:t>开标</w:t>
      </w:r>
      <w:bookmarkEnd w:id="79"/>
      <w:bookmarkEnd w:id="80"/>
    </w:p>
    <w:p w14:paraId="66CD0EF8">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6.1 </w:t>
      </w:r>
      <w:r>
        <w:rPr>
          <w:rFonts w:hint="eastAsia" w:ascii="宋体" w:hAnsi="宋体" w:cs="宋体"/>
          <w:b/>
          <w:bCs/>
          <w:color w:val="auto"/>
          <w:szCs w:val="21"/>
          <w:highlight w:val="none"/>
        </w:rPr>
        <w:t>磋商时间、地点</w:t>
      </w:r>
    </w:p>
    <w:p w14:paraId="63C433DB">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6.1.1</w:t>
      </w:r>
      <w:r>
        <w:rPr>
          <w:rFonts w:hint="eastAsia" w:ascii="宋体" w:hAnsi="宋体" w:cs="宋体"/>
          <w:b/>
          <w:color w:val="auto"/>
          <w:szCs w:val="21"/>
          <w:highlight w:val="none"/>
        </w:rPr>
        <w:t>磋商时间：</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79064ABF">
      <w:pPr>
        <w:spacing w:line="360" w:lineRule="auto"/>
        <w:ind w:firstLine="422" w:firstLineChars="200"/>
        <w:rPr>
          <w:rFonts w:ascii="宋体" w:cs="宋体"/>
          <w:color w:val="auto"/>
          <w:szCs w:val="21"/>
          <w:highlight w:val="none"/>
        </w:rPr>
      </w:pPr>
      <w:r>
        <w:rPr>
          <w:rFonts w:ascii="宋体" w:hAnsi="宋体" w:cs="宋体"/>
          <w:b/>
          <w:color w:val="auto"/>
          <w:szCs w:val="21"/>
          <w:highlight w:val="none"/>
        </w:rPr>
        <w:t>6.1.2</w:t>
      </w:r>
      <w:r>
        <w:rPr>
          <w:rFonts w:hint="eastAsia" w:ascii="宋体" w:hAnsi="宋体" w:cs="宋体"/>
          <w:b/>
          <w:color w:val="auto"/>
          <w:szCs w:val="21"/>
          <w:highlight w:val="none"/>
        </w:rPr>
        <w:t>磋商地点：</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016E7AB3">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6.2 </w:t>
      </w:r>
      <w:r>
        <w:rPr>
          <w:rFonts w:hint="eastAsia" w:ascii="宋体" w:hAnsi="宋体" w:cs="宋体"/>
          <w:b/>
          <w:bCs/>
          <w:color w:val="auto"/>
          <w:szCs w:val="21"/>
          <w:highlight w:val="none"/>
        </w:rPr>
        <w:t>磋商组织与邀请</w:t>
      </w:r>
    </w:p>
    <w:p w14:paraId="0665DB81">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6.2.1</w:t>
      </w:r>
      <w:r>
        <w:rPr>
          <w:rFonts w:hint="eastAsia" w:ascii="宋体" w:hAnsi="宋体" w:cs="宋体"/>
          <w:b/>
          <w:color w:val="auto"/>
          <w:kern w:val="0"/>
          <w:szCs w:val="21"/>
          <w:highlight w:val="none"/>
        </w:rPr>
        <w:t>磋商准备：</w:t>
      </w:r>
      <w:r>
        <w:rPr>
          <w:rFonts w:hint="eastAsia" w:ascii="宋体" w:hAnsi="宋体" w:cs="宋体"/>
          <w:color w:val="auto"/>
          <w:kern w:val="0"/>
          <w:szCs w:val="21"/>
          <w:highlight w:val="none"/>
        </w:rPr>
        <w:t>本项目磋商现场活动由采购人或采购代理机构（以下简称“采购组织机构”）组织实施，准备工作由采购组织机构负责落实，磋商过程由采购组织机构负责记录，磋商现场由采购组织机构人员主持。</w:t>
      </w:r>
    </w:p>
    <w:p w14:paraId="0CA2995E">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6.2.2</w:t>
      </w:r>
      <w:r>
        <w:rPr>
          <w:rFonts w:hint="eastAsia" w:ascii="宋体" w:hAnsi="宋体" w:cs="宋体"/>
          <w:b/>
          <w:color w:val="auto"/>
          <w:kern w:val="0"/>
          <w:szCs w:val="21"/>
          <w:highlight w:val="none"/>
        </w:rPr>
        <w:t>磋商邀请：本项目采用电子交易，采购组织机构将按照竞争性磋商文件规定的时间通过“山西省政府采购网，网址：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75"/>
          <w:rFonts w:ascii="宋体" w:hAnsi="宋体" w:cs="宋体"/>
          <w:b/>
          <w:color w:val="auto"/>
          <w:kern w:val="0"/>
          <w:szCs w:val="21"/>
          <w:highlight w:val="none"/>
        </w:rPr>
        <w:t>http://www.ccgp-shanxi.gov.cn/home.html</w:t>
      </w:r>
      <w:r>
        <w:rPr>
          <w:rStyle w:val="75"/>
          <w:rFonts w:ascii="宋体" w:hAnsi="宋体" w:cs="宋体"/>
          <w:b/>
          <w:color w:val="auto"/>
          <w:kern w:val="0"/>
          <w:szCs w:val="21"/>
          <w:highlight w:val="none"/>
        </w:rPr>
        <w:fldChar w:fldCharType="end"/>
      </w:r>
      <w:r>
        <w:rPr>
          <w:rFonts w:hint="eastAsia" w:ascii="宋体" w:hAnsi="宋体" w:cs="宋体"/>
          <w:b/>
          <w:color w:val="auto"/>
          <w:kern w:val="0"/>
          <w:szCs w:val="21"/>
          <w:highlight w:val="none"/>
        </w:rPr>
        <w:t>”组织开标、开启磋商响应文件，所有供应商均应当准时在线参加。</w:t>
      </w:r>
    </w:p>
    <w:p w14:paraId="54E25E48">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6.2.3</w:t>
      </w:r>
      <w:r>
        <w:rPr>
          <w:rFonts w:hint="eastAsia" w:ascii="宋体" w:hAnsi="宋体" w:cs="宋体"/>
          <w:b/>
          <w:color w:val="auto"/>
          <w:kern w:val="0"/>
          <w:szCs w:val="21"/>
          <w:highlight w:val="none"/>
        </w:rPr>
        <w:t>磋商响应文件开启顺序：</w:t>
      </w:r>
      <w:r>
        <w:rPr>
          <w:rFonts w:hint="eastAsia" w:ascii="宋体" w:hAnsi="宋体" w:cs="宋体"/>
          <w:b/>
          <w:color w:val="auto"/>
          <w:kern w:val="0"/>
          <w:szCs w:val="21"/>
          <w:highlight w:val="none"/>
          <w:u w:val="single"/>
        </w:rPr>
        <w:t>资格文件、商务技术文件、报价文件</w:t>
      </w:r>
      <w:r>
        <w:rPr>
          <w:rFonts w:hint="eastAsia" w:ascii="宋体" w:hAnsi="宋体" w:cs="宋体"/>
          <w:color w:val="auto"/>
          <w:kern w:val="0"/>
          <w:szCs w:val="21"/>
          <w:highlight w:val="none"/>
        </w:rPr>
        <w:t>。</w:t>
      </w:r>
    </w:p>
    <w:p w14:paraId="0B47D465">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6.2.4</w:t>
      </w:r>
      <w:r>
        <w:rPr>
          <w:rFonts w:hint="eastAsia" w:ascii="宋体" w:hAnsi="宋体" w:cs="宋体"/>
          <w:b/>
          <w:color w:val="auto"/>
          <w:kern w:val="0"/>
          <w:szCs w:val="21"/>
          <w:highlight w:val="none"/>
        </w:rPr>
        <w:t>供应商对磋商过程和磋商记录有疑义，以及认为采购人、采购代理机构相关工作人员有需要回避的情形的，应当场提出询问或回避申请。供应商未参加磋商的视同认可磋商结果。</w:t>
      </w:r>
    </w:p>
    <w:p w14:paraId="5DABE362">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6.3 </w:t>
      </w:r>
      <w:r>
        <w:rPr>
          <w:rFonts w:hint="eastAsia" w:ascii="宋体" w:hAnsi="宋体" w:cs="宋体"/>
          <w:b/>
          <w:bCs/>
          <w:color w:val="auto"/>
          <w:szCs w:val="21"/>
          <w:highlight w:val="none"/>
        </w:rPr>
        <w:t>开标流程（两阶段）</w:t>
      </w:r>
    </w:p>
    <w:p w14:paraId="263F0563">
      <w:pPr>
        <w:spacing w:line="360" w:lineRule="auto"/>
        <w:ind w:firstLine="422" w:firstLineChars="200"/>
        <w:jc w:val="left"/>
        <w:rPr>
          <w:rFonts w:ascii="宋体" w:cs="宋体"/>
          <w:b/>
          <w:color w:val="auto"/>
          <w:kern w:val="0"/>
          <w:szCs w:val="21"/>
          <w:highlight w:val="none"/>
        </w:rPr>
      </w:pPr>
      <w:r>
        <w:rPr>
          <w:rFonts w:ascii="宋体" w:hAnsi="宋体" w:cs="宋体"/>
          <w:b/>
          <w:color w:val="auto"/>
          <w:kern w:val="0"/>
          <w:szCs w:val="21"/>
          <w:highlight w:val="none"/>
        </w:rPr>
        <w:t>6.3.1</w:t>
      </w:r>
      <w:r>
        <w:rPr>
          <w:rFonts w:hint="eastAsia" w:ascii="宋体" w:hAnsi="宋体" w:cs="宋体"/>
          <w:b/>
          <w:color w:val="auto"/>
          <w:kern w:val="0"/>
          <w:szCs w:val="21"/>
          <w:highlight w:val="none"/>
        </w:rPr>
        <w:t>开标流程：</w:t>
      </w:r>
    </w:p>
    <w:p w14:paraId="5ABE7830">
      <w:pPr>
        <w:numPr>
          <w:ilvl w:val="0"/>
          <w:numId w:val="30"/>
        </w:num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磋商响应文件提交截止时间止，由采购代理机构向各磋商响应供应商发出电子加密响应文件的【开始解密】通知，由供应商按磋商文件规定的时间内自行进行磋商响应文件的解密（</w:t>
      </w:r>
      <w:r>
        <w:rPr>
          <w:rFonts w:hint="eastAsia" w:ascii="宋体" w:hAnsi="宋体" w:cs="宋体"/>
          <w:b/>
          <w:color w:val="auto"/>
          <w:kern w:val="0"/>
          <w:szCs w:val="21"/>
          <w:highlight w:val="none"/>
        </w:rPr>
        <w:t>解密规定见《磋商须知前附表》</w:t>
      </w:r>
      <w:r>
        <w:rPr>
          <w:rFonts w:hint="eastAsia" w:ascii="宋体" w:hAnsi="宋体" w:cs="宋体"/>
          <w:color w:val="auto"/>
          <w:kern w:val="0"/>
          <w:szCs w:val="21"/>
          <w:highlight w:val="none"/>
        </w:rPr>
        <w:t>）。</w:t>
      </w:r>
    </w:p>
    <w:p w14:paraId="58159F61">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）磋商响应供应商在规定的时间内无法完成已递交的“电子加密响应文件”解密的，按磋商响应文件解密异常情况处理（</w:t>
      </w:r>
      <w:r>
        <w:rPr>
          <w:rFonts w:hint="eastAsia" w:ascii="宋体" w:hAnsi="宋体" w:cs="宋体"/>
          <w:b/>
          <w:color w:val="auto"/>
          <w:kern w:val="0"/>
          <w:szCs w:val="21"/>
          <w:highlight w:val="none"/>
        </w:rPr>
        <w:t>处理办法见《磋商须知前附表》</w:t>
      </w:r>
      <w:r>
        <w:rPr>
          <w:rFonts w:hint="eastAsia" w:ascii="宋体" w:hAnsi="宋体" w:cs="宋体"/>
          <w:color w:val="auto"/>
          <w:kern w:val="0"/>
          <w:szCs w:val="21"/>
          <w:highlight w:val="none"/>
        </w:rPr>
        <w:t>）；</w:t>
      </w:r>
    </w:p>
    <w:p w14:paraId="50903330">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）公布磋商响应文件解密情况（磋商响应文件成功解密的供应商名单等信息）；</w:t>
      </w:r>
    </w:p>
    <w:p w14:paraId="4708A84E">
      <w:pPr>
        <w:spacing w:line="360" w:lineRule="auto"/>
        <w:ind w:firstLine="420" w:firstLineChars="200"/>
        <w:jc w:val="left"/>
        <w:rPr>
          <w:rFonts w:ascii="宋体" w:cs="宋体"/>
          <w:b/>
          <w:bCs/>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）开启标书信息（资格文件、商务技术文件）。标书信息开启后，首先由磋商小组依法对磋商响应供应商的资格文件进行审查，审查磋商响应供应商的资格符合情况。资格审查结束后进入商务技术评审。</w:t>
      </w:r>
      <w:r>
        <w:rPr>
          <w:rFonts w:hint="eastAsia" w:ascii="宋体" w:hAnsi="宋体" w:cs="宋体"/>
          <w:b/>
          <w:bCs/>
          <w:color w:val="auto"/>
          <w:kern w:val="0"/>
          <w:szCs w:val="21"/>
          <w:highlight w:val="none"/>
        </w:rPr>
        <w:t>资格审查合格的磋商响应供应商数量不足三家的，项目不再进行评审。</w:t>
      </w:r>
    </w:p>
    <w:p w14:paraId="322D9972">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）商务技术磋商、评审结束后，公布商务技术评审无效供应商名称及理由及经商务技术评审的有效磋商响应供应商名单。</w:t>
      </w:r>
    </w:p>
    <w:p w14:paraId="1A646D7A">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）开启有效磋商响应供应商的响应文件，由磋商小组对报价的合理性、准确性等进行审查核实。</w:t>
      </w:r>
    </w:p>
    <w:p w14:paraId="19C8AA9A">
      <w:pPr>
        <w:pStyle w:val="58"/>
        <w:widowControl w:val="0"/>
        <w:spacing w:before="0" w:beforeAutospacing="0" w:after="0" w:afterAutospacing="0" w:line="360" w:lineRule="auto"/>
        <w:ind w:firstLine="420" w:firstLineChars="200"/>
        <w:jc w:val="both"/>
        <w:rPr>
          <w:color w:val="auto"/>
          <w:kern w:val="2"/>
          <w:sz w:val="21"/>
          <w:szCs w:val="21"/>
          <w:highlight w:val="none"/>
        </w:rPr>
      </w:pPr>
      <w:r>
        <w:rPr>
          <w:rFonts w:hint="eastAsia"/>
          <w:color w:val="auto"/>
          <w:sz w:val="21"/>
          <w:szCs w:val="21"/>
          <w:highlight w:val="none"/>
        </w:rPr>
        <w:t>（</w:t>
      </w:r>
      <w:r>
        <w:rPr>
          <w:color w:val="auto"/>
          <w:sz w:val="21"/>
          <w:szCs w:val="21"/>
          <w:highlight w:val="none"/>
        </w:rPr>
        <w:t>7</w:t>
      </w:r>
      <w:r>
        <w:rPr>
          <w:rFonts w:hint="eastAsia"/>
          <w:color w:val="auto"/>
          <w:sz w:val="21"/>
          <w:szCs w:val="21"/>
          <w:highlight w:val="none"/>
        </w:rPr>
        <w:t>）经磋商小组对响应文件的评审及磋商后，要求供应商在规定的时间内提交最后报价，采购代理机构向各磋商响应供应商发出最后报价通知，由供应商在规定的时间内自行填写最后报价盖签章并上传，未按磋商小组的要求，在规定的时间内提交最后报价的所导致的不利后果，由供应商自行承担。</w:t>
      </w:r>
    </w:p>
    <w:p w14:paraId="4245A226">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）已提交磋商响应文件的供应商，在提交最后报价之前，若因磋商文件实质性变动导致供应商无法满足采购需求的，允许供应商退出磋商。</w:t>
      </w:r>
    </w:p>
    <w:p w14:paraId="046A5B3C">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）由磋商小组采用综合评分法对提交最后报价的供应商的响应文件和最后报价进行综合评分。</w:t>
      </w:r>
    </w:p>
    <w:p w14:paraId="7F3AAE96">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10</w:t>
      </w:r>
      <w:r>
        <w:rPr>
          <w:rFonts w:hint="eastAsia" w:ascii="宋体" w:hAnsi="宋体" w:cs="宋体"/>
          <w:color w:val="auto"/>
          <w:kern w:val="0"/>
          <w:szCs w:val="21"/>
          <w:highlight w:val="none"/>
        </w:rPr>
        <w:t>）磋商小组根据综合评分情况，按照评审得分由高到低顺序推荐</w:t>
      </w:r>
      <w:r>
        <w:rPr>
          <w:rFonts w:ascii="宋体" w:hAnsi="宋体" w:cs="宋体"/>
          <w:color w:val="auto"/>
          <w:kern w:val="0"/>
          <w:szCs w:val="21"/>
          <w:highlight w:val="none"/>
        </w:rPr>
        <w:t>3</w:t>
      </w:r>
      <w:r>
        <w:rPr>
          <w:rFonts w:hint="eastAsia" w:ascii="宋体" w:hAnsi="宋体" w:cs="宋体"/>
          <w:color w:val="auto"/>
          <w:kern w:val="0"/>
          <w:szCs w:val="21"/>
          <w:highlight w:val="none"/>
        </w:rPr>
        <w:t>家以上（符合政府采购规定特殊情形的，可以推荐</w:t>
      </w:r>
      <w:r>
        <w:rPr>
          <w:rFonts w:ascii="宋体" w:hAnsi="宋体" w:cs="宋体"/>
          <w:color w:val="auto"/>
          <w:kern w:val="0"/>
          <w:szCs w:val="21"/>
          <w:highlight w:val="none"/>
        </w:rPr>
        <w:t>2</w:t>
      </w:r>
      <w:r>
        <w:rPr>
          <w:rFonts w:hint="eastAsia" w:ascii="宋体" w:hAnsi="宋体" w:cs="宋体"/>
          <w:color w:val="auto"/>
          <w:kern w:val="0"/>
          <w:szCs w:val="21"/>
          <w:highlight w:val="none"/>
        </w:rPr>
        <w:t>家）成交候选供应商，并编写评审报告。评审得分相同的，按照最后报价由低到高的顺序推荐。评审得分且最后报价相同的，按照技术指标优劣顺序推荐。</w:t>
      </w:r>
    </w:p>
    <w:p w14:paraId="0948ADA0">
      <w:pPr>
        <w:spacing w:line="360" w:lineRule="auto"/>
        <w:ind w:firstLine="422" w:firstLineChars="200"/>
        <w:jc w:val="left"/>
        <w:rPr>
          <w:rFonts w:ascii="宋体" w:cs="宋体"/>
          <w:b/>
          <w:color w:val="auto"/>
          <w:kern w:val="0"/>
          <w:szCs w:val="21"/>
          <w:highlight w:val="none"/>
        </w:rPr>
      </w:pPr>
      <w:r>
        <w:rPr>
          <w:rFonts w:ascii="宋体" w:hAnsi="宋体" w:cs="宋体"/>
          <w:b/>
          <w:color w:val="auto"/>
          <w:kern w:val="0"/>
          <w:szCs w:val="21"/>
          <w:highlight w:val="none"/>
        </w:rPr>
        <w:t>6.3.2</w:t>
      </w:r>
      <w:r>
        <w:rPr>
          <w:rFonts w:hint="eastAsia" w:ascii="宋体" w:hAnsi="宋体" w:cs="宋体"/>
          <w:b/>
          <w:color w:val="auto"/>
          <w:kern w:val="0"/>
          <w:szCs w:val="21"/>
          <w:highlight w:val="none"/>
        </w:rPr>
        <w:t>特殊情况说明</w:t>
      </w:r>
    </w:p>
    <w:p w14:paraId="443993CA">
      <w:pPr>
        <w:spacing w:line="360" w:lineRule="auto"/>
        <w:ind w:firstLine="422" w:firstLineChars="200"/>
        <w:jc w:val="left"/>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w:t>
      </w:r>
      <w:r>
        <w:rPr>
          <w:rFonts w:hint="eastAsia" w:ascii="宋体" w:hAnsi="宋体" w:cs="宋体"/>
          <w:b/>
          <w:color w:val="auto"/>
          <w:kern w:val="0"/>
          <w:szCs w:val="21"/>
          <w:highlight w:val="none"/>
        </w:rPr>
        <w:t>）本项目采用电子交易，如遇“山西省政府采购网”电子化开标或评审程序调整的，按调整后程序执行。</w:t>
      </w:r>
    </w:p>
    <w:p w14:paraId="6FE77CDA">
      <w:pPr>
        <w:spacing w:line="360" w:lineRule="auto"/>
        <w:ind w:firstLine="422" w:firstLineChars="200"/>
        <w:jc w:val="left"/>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）磋商过程中需要相关当事人进行签字或盖章确认的材料将通过“山西省政府采购网”进行，若因“山西省政府采购网”技术问题无法进行签字或盖章确认的，采购组织机构将通过邮件、传真等形式予以确认。</w:t>
      </w:r>
    </w:p>
    <w:p w14:paraId="1EADBA8C">
      <w:pPr>
        <w:pStyle w:val="3"/>
        <w:spacing w:before="317" w:beforeLines="100" w:after="317" w:afterLines="100" w:line="360" w:lineRule="auto"/>
        <w:rPr>
          <w:rFonts w:ascii="宋体" w:hAnsi="宋体" w:eastAsia="宋体" w:cs="宋体"/>
          <w:color w:val="auto"/>
          <w:sz w:val="24"/>
          <w:szCs w:val="24"/>
          <w:highlight w:val="none"/>
        </w:rPr>
      </w:pPr>
      <w:bookmarkStart w:id="81" w:name="_Toc81341324"/>
      <w:bookmarkStart w:id="82" w:name="_Toc6052"/>
      <w:r>
        <w:rPr>
          <w:rFonts w:hint="eastAsia" w:ascii="宋体" w:hAnsi="宋体" w:eastAsia="宋体" w:cs="宋体"/>
          <w:color w:val="auto"/>
          <w:sz w:val="24"/>
          <w:szCs w:val="24"/>
          <w:highlight w:val="none"/>
        </w:rPr>
        <w:t>七、评审</w:t>
      </w:r>
      <w:bookmarkEnd w:id="81"/>
      <w:bookmarkEnd w:id="82"/>
      <w:bookmarkStart w:id="83" w:name="_Toc294012141"/>
      <w:bookmarkStart w:id="84" w:name="_Toc298767927"/>
      <w:bookmarkStart w:id="85" w:name="_Toc211745569"/>
      <w:bookmarkStart w:id="86" w:name="_Toc82873328"/>
      <w:bookmarkStart w:id="87" w:name="_Toc82338245"/>
    </w:p>
    <w:p w14:paraId="09DA5060">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7.1 </w:t>
      </w:r>
      <w:r>
        <w:rPr>
          <w:rFonts w:hint="eastAsia" w:ascii="宋体" w:hAnsi="宋体" w:cs="宋体"/>
          <w:b/>
          <w:bCs/>
          <w:color w:val="auto"/>
          <w:szCs w:val="21"/>
          <w:highlight w:val="none"/>
        </w:rPr>
        <w:t>评审工作的组织</w:t>
      </w:r>
    </w:p>
    <w:p w14:paraId="174A193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采购人或采购代理机构负责组织本项目的评审工作，并依据相关规定履行职责。</w:t>
      </w:r>
    </w:p>
    <w:p w14:paraId="10B7130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7.2 </w:t>
      </w:r>
      <w:r>
        <w:rPr>
          <w:rFonts w:hint="eastAsia" w:ascii="宋体" w:hAnsi="宋体" w:cs="宋体"/>
          <w:b/>
          <w:bCs/>
          <w:color w:val="auto"/>
          <w:szCs w:val="21"/>
          <w:highlight w:val="none"/>
        </w:rPr>
        <w:t>磋商小组的组建</w:t>
      </w:r>
    </w:p>
    <w:p w14:paraId="5A60B8AC">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7.2.1</w:t>
      </w:r>
      <w:r>
        <w:rPr>
          <w:rFonts w:hint="eastAsia" w:ascii="宋体" w:hAnsi="宋体" w:cs="宋体"/>
          <w:color w:val="auto"/>
          <w:kern w:val="0"/>
          <w:szCs w:val="21"/>
          <w:highlight w:val="none"/>
        </w:rPr>
        <w:t>磋商小组由采购人或采购代理机构依法组建，成员人数为三人或以上单数，其中评审专家不少于成员总数的三分之二，本次磋商小组共3人，由评审专家2人，采购代表1人组成。</w:t>
      </w:r>
    </w:p>
    <w:p w14:paraId="4B9977E0">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7.2.2</w:t>
      </w:r>
      <w:r>
        <w:rPr>
          <w:rFonts w:hint="eastAsia" w:ascii="宋体" w:hAnsi="宋体" w:cs="宋体"/>
          <w:color w:val="auto"/>
          <w:kern w:val="0"/>
          <w:szCs w:val="21"/>
          <w:highlight w:val="none"/>
        </w:rPr>
        <w:t>评审专家从省级或以上财政部门设立的政府采购评审专家库中通过随机方式抽取产生。磋商小组成员名单在采购结果公告前保密。</w:t>
      </w:r>
    </w:p>
    <w:p w14:paraId="59989A9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7.3 </w:t>
      </w:r>
      <w:r>
        <w:rPr>
          <w:rFonts w:hint="eastAsia" w:ascii="宋体" w:hAnsi="宋体" w:cs="宋体"/>
          <w:b/>
          <w:bCs/>
          <w:color w:val="auto"/>
          <w:szCs w:val="21"/>
          <w:highlight w:val="none"/>
        </w:rPr>
        <w:t>磋商小组的职责</w:t>
      </w:r>
    </w:p>
    <w:p w14:paraId="4E6FD1B2">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7.3.1</w:t>
      </w:r>
      <w:r>
        <w:rPr>
          <w:rFonts w:hint="eastAsia" w:ascii="宋体" w:hAnsi="宋体" w:cs="宋体"/>
          <w:b/>
          <w:color w:val="auto"/>
          <w:kern w:val="0"/>
          <w:szCs w:val="21"/>
          <w:highlight w:val="none"/>
        </w:rPr>
        <w:t>磋商小组负责具体评审事务，并独立履行下列职责：</w:t>
      </w:r>
    </w:p>
    <w:p w14:paraId="32CC8C01">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）审查、评价磋商响应文件是否符合竞争性磋商文件的资格、商务、技术等实质性要求；</w:t>
      </w:r>
    </w:p>
    <w:p w14:paraId="6C23E33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）要求磋商响应供应商对磋商响应文件有关事项作出澄清或者说明；</w:t>
      </w:r>
    </w:p>
    <w:p w14:paraId="37D1BC68">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）对磋商响应文件进行比较和评价；</w:t>
      </w:r>
    </w:p>
    <w:p w14:paraId="0435B76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）确定成交候选供应商名单；</w:t>
      </w:r>
    </w:p>
    <w:p w14:paraId="1BCA9BA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）向采购人、采购代理机构或者有关部门报告评审中发现的违法行为。</w:t>
      </w:r>
    </w:p>
    <w:p w14:paraId="46C315D6">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7.4 </w:t>
      </w:r>
      <w:r>
        <w:rPr>
          <w:rFonts w:hint="eastAsia" w:ascii="宋体" w:hAnsi="宋体" w:cs="宋体"/>
          <w:b/>
          <w:bCs/>
          <w:color w:val="auto"/>
          <w:szCs w:val="21"/>
          <w:highlight w:val="none"/>
        </w:rPr>
        <w:t>评审原则</w:t>
      </w:r>
    </w:p>
    <w:p w14:paraId="4529925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7.4.1</w:t>
      </w:r>
      <w:r>
        <w:rPr>
          <w:rFonts w:hint="eastAsia" w:ascii="宋体" w:hAnsi="宋体" w:cs="宋体"/>
          <w:color w:val="auto"/>
          <w:szCs w:val="21"/>
          <w:highlight w:val="none"/>
        </w:rPr>
        <w:t>评审原则：</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按照客观、公正、审慎、择优的原则，根据竞争性磋商文件规定的评审程序、评审方法和评审标准进行独立评审。</w:t>
      </w:r>
    </w:p>
    <w:p w14:paraId="66E057D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7.4.2</w:t>
      </w:r>
      <w:r>
        <w:rPr>
          <w:rFonts w:hint="eastAsia" w:ascii="宋体" w:hAnsi="宋体" w:cs="宋体"/>
          <w:color w:val="auto"/>
          <w:szCs w:val="21"/>
          <w:highlight w:val="none"/>
        </w:rPr>
        <w:t>评审工作将依据</w:t>
      </w:r>
      <w:r>
        <w:rPr>
          <w:rFonts w:hint="eastAsia" w:ascii="宋体" w:hAnsi="宋体" w:cs="宋体"/>
          <w:color w:val="auto"/>
          <w:kern w:val="0"/>
          <w:szCs w:val="21"/>
          <w:highlight w:val="none"/>
        </w:rPr>
        <w:t>竞争性磋商文件、磋商响应文件及竞争性磋商文件中事先已列明的内容进行（如现场方案讲解、演示、样品等）。</w:t>
      </w:r>
    </w:p>
    <w:p w14:paraId="4796C871">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7.5 </w:t>
      </w:r>
      <w:r>
        <w:rPr>
          <w:rFonts w:hint="eastAsia" w:ascii="宋体" w:hAnsi="宋体" w:cs="宋体"/>
          <w:b/>
          <w:bCs/>
          <w:color w:val="auto"/>
          <w:szCs w:val="21"/>
          <w:highlight w:val="none"/>
        </w:rPr>
        <w:t>评审意见的争议处理</w:t>
      </w:r>
    </w:p>
    <w:p w14:paraId="7E94821F">
      <w:pPr>
        <w:spacing w:line="360" w:lineRule="auto"/>
        <w:ind w:firstLine="422" w:firstLineChars="200"/>
        <w:rPr>
          <w:rFonts w:ascii="宋体" w:cs="宋体"/>
          <w:color w:val="auto"/>
          <w:szCs w:val="21"/>
          <w:highlight w:val="none"/>
        </w:rPr>
      </w:pPr>
      <w:r>
        <w:rPr>
          <w:rFonts w:hint="eastAsia" w:ascii="宋体" w:hAnsi="宋体" w:cs="宋体"/>
          <w:b/>
          <w:color w:val="auto"/>
          <w:szCs w:val="21"/>
          <w:highlight w:val="none"/>
        </w:rPr>
        <w:t>磋商小组成员对需要共同认定的事项存在争议的，按照少数服从多数的原则作出结论。</w:t>
      </w:r>
      <w:r>
        <w:rPr>
          <w:rFonts w:hint="eastAsia" w:ascii="宋体" w:hAnsi="宋体" w:cs="宋体"/>
          <w:color w:val="auto"/>
          <w:szCs w:val="21"/>
          <w:highlight w:val="none"/>
        </w:rPr>
        <w:t>持不同意见的磋商小组成员应当在评审报告上签署不同意见及理由，否则视为同意评审报告。</w:t>
      </w:r>
    </w:p>
    <w:p w14:paraId="2250CEC2">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7.6 </w:t>
      </w:r>
      <w:r>
        <w:rPr>
          <w:rFonts w:hint="eastAsia" w:ascii="宋体" w:hAnsi="宋体" w:cs="宋体"/>
          <w:b/>
          <w:bCs/>
          <w:color w:val="auto"/>
          <w:szCs w:val="21"/>
          <w:highlight w:val="none"/>
        </w:rPr>
        <w:t>评委纪律</w:t>
      </w:r>
    </w:p>
    <w:p w14:paraId="1118A6B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磋商小组成员必须严格遵守保密规定，不得泄露评审的有关情况</w:t>
      </w:r>
      <w:r>
        <w:rPr>
          <w:rFonts w:hint="eastAsia" w:ascii="宋体" w:hAnsi="宋体" w:cs="宋体"/>
          <w:color w:val="auto"/>
          <w:kern w:val="0"/>
          <w:szCs w:val="21"/>
          <w:highlight w:val="none"/>
        </w:rPr>
        <w:t>，任何单位和个人不得干扰、影响评标的正常进行，磋商小组成员不得私下与磋商响应供应商接触，不得出现政府采购规定的其他禁止行为。</w:t>
      </w:r>
    </w:p>
    <w:p w14:paraId="79C19EB0">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7.7 </w:t>
      </w:r>
      <w:r>
        <w:rPr>
          <w:rFonts w:hint="eastAsia" w:ascii="宋体" w:hAnsi="宋体" w:cs="宋体"/>
          <w:b/>
          <w:bCs/>
          <w:color w:val="auto"/>
          <w:szCs w:val="21"/>
          <w:highlight w:val="none"/>
        </w:rPr>
        <w:t>评审方法和标准</w:t>
      </w:r>
    </w:p>
    <w:p w14:paraId="13F1B3B6">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7.7.1</w:t>
      </w:r>
      <w:r>
        <w:rPr>
          <w:rFonts w:hint="eastAsia" w:ascii="宋体" w:hAnsi="宋体" w:cs="宋体"/>
          <w:b/>
          <w:color w:val="auto"/>
          <w:kern w:val="0"/>
          <w:szCs w:val="21"/>
          <w:highlight w:val="none"/>
        </w:rPr>
        <w:t>评审方法和标准：</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3A8804A4">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7.7.2</w:t>
      </w:r>
      <w:r>
        <w:rPr>
          <w:rFonts w:hint="eastAsia" w:ascii="宋体" w:hAnsi="宋体" w:cs="宋体"/>
          <w:b/>
          <w:color w:val="auto"/>
          <w:kern w:val="0"/>
          <w:szCs w:val="21"/>
          <w:highlight w:val="none"/>
        </w:rPr>
        <w:t>标书信息开启后，磋商小组首先依法对磋商响应供应商的资格文件进行审查，审查各磋商响应供应商的资格符合情况。供应商</w:t>
      </w:r>
      <w:r>
        <w:rPr>
          <w:rFonts w:hint="eastAsia" w:ascii="宋体" w:hAnsi="宋体" w:cs="宋体"/>
          <w:b/>
          <w:color w:val="auto"/>
          <w:szCs w:val="21"/>
          <w:highlight w:val="none"/>
        </w:rPr>
        <w:t>信用记录查询与使用：</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0F26D1E9">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7.7.3</w:t>
      </w:r>
      <w:r>
        <w:rPr>
          <w:rFonts w:hint="eastAsia" w:ascii="宋体" w:hAnsi="宋体" w:cs="宋体"/>
          <w:b/>
          <w:color w:val="auto"/>
          <w:kern w:val="0"/>
          <w:szCs w:val="21"/>
          <w:highlight w:val="none"/>
        </w:rPr>
        <w:t>资格审查结束后，磋商小组将按照竞争性磋商文件中规定的评审方法和标准，对符合性审查合格的磋商响应文件进行商务和技术评估，综合比较与评价。</w:t>
      </w:r>
      <w:r>
        <w:rPr>
          <w:rFonts w:hint="eastAsia" w:ascii="宋体" w:hAnsi="宋体" w:cs="宋体"/>
          <w:color w:val="auto"/>
          <w:kern w:val="0"/>
          <w:szCs w:val="21"/>
          <w:highlight w:val="none"/>
        </w:rPr>
        <w:t>详细评审方法和标准见本竞争性磋商文件第六章《评审办法》。</w:t>
      </w:r>
      <w:bookmarkStart w:id="88" w:name="_Toc81341325"/>
      <w:bookmarkStart w:id="89" w:name="_Toc32337"/>
    </w:p>
    <w:p w14:paraId="5F4F9250">
      <w:pPr>
        <w:spacing w:before="317" w:beforeLines="100" w:after="317" w:afterLines="100" w:line="360" w:lineRule="auto"/>
        <w:rPr>
          <w:rFonts w:ascii="宋体" w:cs="宋体"/>
          <w:b/>
          <w:bCs/>
          <w:color w:val="auto"/>
          <w:sz w:val="24"/>
          <w:szCs w:val="24"/>
          <w:highlight w:val="none"/>
        </w:rPr>
      </w:pPr>
      <w:r>
        <w:rPr>
          <w:rFonts w:hint="eastAsia" w:ascii="宋体" w:hAnsi="宋体" w:cs="宋体"/>
          <w:b/>
          <w:bCs/>
          <w:color w:val="auto"/>
          <w:sz w:val="24"/>
          <w:szCs w:val="24"/>
          <w:highlight w:val="none"/>
        </w:rPr>
        <w:t>八、采购结果确认与公告</w:t>
      </w:r>
      <w:bookmarkEnd w:id="88"/>
      <w:bookmarkEnd w:id="89"/>
    </w:p>
    <w:p w14:paraId="0AACE986">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8.1 </w:t>
      </w:r>
      <w:r>
        <w:rPr>
          <w:rFonts w:hint="eastAsia" w:ascii="宋体" w:hAnsi="宋体" w:cs="宋体"/>
          <w:b/>
          <w:bCs/>
          <w:color w:val="auto"/>
          <w:szCs w:val="21"/>
          <w:highlight w:val="none"/>
        </w:rPr>
        <w:t>采购结果确认（确定成交供应商）</w:t>
      </w:r>
    </w:p>
    <w:p w14:paraId="268760B8">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8.1.1</w:t>
      </w:r>
      <w:r>
        <w:rPr>
          <w:rFonts w:hint="eastAsia" w:ascii="宋体" w:hAnsi="宋体" w:cs="宋体"/>
          <w:b/>
          <w:color w:val="auto"/>
          <w:kern w:val="0"/>
          <w:szCs w:val="21"/>
          <w:highlight w:val="none"/>
        </w:rPr>
        <w:t>采购结果确认（确定成交供应商）：本项目由采购人根据磋商小组递交的《评审报告》，通过“山西省政府采购网”依法确认采购结果、确定成交供应商。具体流程如下：</w:t>
      </w:r>
    </w:p>
    <w:p w14:paraId="32963EAC">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）采购代理机构将在评审结束后</w:t>
      </w:r>
      <w:r>
        <w:rPr>
          <w:rFonts w:ascii="宋体" w:hAnsi="宋体" w:cs="宋体"/>
          <w:color w:val="auto"/>
          <w:kern w:val="0"/>
          <w:szCs w:val="21"/>
          <w:highlight w:val="none"/>
        </w:rPr>
        <w:t>2</w:t>
      </w:r>
      <w:r>
        <w:rPr>
          <w:rFonts w:hint="eastAsia" w:ascii="宋体" w:hAnsi="宋体" w:cs="宋体"/>
          <w:color w:val="auto"/>
          <w:kern w:val="0"/>
          <w:szCs w:val="21"/>
          <w:highlight w:val="none"/>
        </w:rPr>
        <w:t>个工作日内将评审报告送采购人。</w:t>
      </w:r>
    </w:p>
    <w:p w14:paraId="48EF1F6E">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）采购人将在收到评审报告之日起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个工作日内，在评审报告推荐的成交候选供应商名单中按顺序确定成交供应商，并将确认意见以书面形式回复采购代理机构。</w:t>
      </w:r>
    </w:p>
    <w:p w14:paraId="18959BBA">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8.1.2</w:t>
      </w:r>
      <w:r>
        <w:rPr>
          <w:rFonts w:hint="eastAsia" w:ascii="宋体" w:hAnsi="宋体" w:cs="宋体"/>
          <w:b/>
          <w:color w:val="auto"/>
          <w:kern w:val="0"/>
          <w:szCs w:val="21"/>
          <w:highlight w:val="none"/>
        </w:rPr>
        <w:t>采购组织机构不对评审结果做任何解释。</w:t>
      </w:r>
    </w:p>
    <w:p w14:paraId="3E83DD1A">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8.2 </w:t>
      </w:r>
      <w:r>
        <w:rPr>
          <w:rFonts w:hint="eastAsia" w:ascii="宋体" w:hAnsi="宋体" w:cs="宋体"/>
          <w:b/>
          <w:bCs/>
          <w:color w:val="auto"/>
          <w:szCs w:val="21"/>
          <w:highlight w:val="none"/>
        </w:rPr>
        <w:t>采购结果公告和成交通知书签发</w:t>
      </w:r>
    </w:p>
    <w:p w14:paraId="63C60091">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8.2.1</w:t>
      </w:r>
      <w:r>
        <w:rPr>
          <w:rFonts w:hint="eastAsia" w:ascii="宋体" w:hAnsi="宋体" w:cs="宋体"/>
          <w:b/>
          <w:color w:val="auto"/>
          <w:kern w:val="0"/>
          <w:szCs w:val="21"/>
          <w:highlight w:val="none"/>
        </w:rPr>
        <w:t>采购结果公告及《成交通知书》签发：</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3E109783">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8.2.2</w:t>
      </w:r>
      <w:r>
        <w:rPr>
          <w:rFonts w:hint="eastAsia" w:ascii="宋体" w:hAnsi="宋体" w:cs="宋体"/>
          <w:b/>
          <w:color w:val="auto"/>
          <w:kern w:val="0"/>
          <w:szCs w:val="21"/>
          <w:highlight w:val="none"/>
        </w:rPr>
        <w:t>成交公告期限为</w:t>
      </w:r>
      <w:r>
        <w:rPr>
          <w:rFonts w:ascii="宋体" w:hAnsi="宋体" w:cs="宋体"/>
          <w:b/>
          <w:color w:val="auto"/>
          <w:kern w:val="0"/>
          <w:szCs w:val="21"/>
          <w:highlight w:val="none"/>
        </w:rPr>
        <w:t>1</w:t>
      </w:r>
      <w:r>
        <w:rPr>
          <w:rFonts w:hint="eastAsia" w:ascii="宋体" w:hAnsi="宋体" w:cs="宋体"/>
          <w:b/>
          <w:color w:val="auto"/>
          <w:kern w:val="0"/>
          <w:szCs w:val="21"/>
          <w:highlight w:val="none"/>
        </w:rPr>
        <w:t>个工作日；</w:t>
      </w:r>
    </w:p>
    <w:p w14:paraId="1D915874">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8.2.3</w:t>
      </w:r>
      <w:r>
        <w:rPr>
          <w:rFonts w:hint="eastAsia" w:ascii="宋体" w:hAnsi="宋体" w:cs="宋体"/>
          <w:color w:val="auto"/>
          <w:kern w:val="0"/>
          <w:szCs w:val="21"/>
          <w:highlight w:val="none"/>
        </w:rPr>
        <w:t>成交通知书发出后，成交供应商无正当理由不得放弃成交。</w:t>
      </w:r>
    </w:p>
    <w:p w14:paraId="6BFB2823">
      <w:pPr>
        <w:keepNext/>
        <w:keepLines/>
        <w:spacing w:line="360" w:lineRule="auto"/>
        <w:ind w:firstLine="422" w:firstLineChars="200"/>
        <w:outlineLvl w:val="2"/>
        <w:rPr>
          <w:rFonts w:ascii="宋体" w:cs="宋体"/>
          <w:b/>
          <w:bCs/>
          <w:color w:val="auto"/>
          <w:szCs w:val="21"/>
          <w:highlight w:val="none"/>
        </w:rPr>
      </w:pPr>
      <w:bookmarkStart w:id="90" w:name="_Toc35391900"/>
      <w:r>
        <w:rPr>
          <w:rFonts w:ascii="宋体" w:hAnsi="宋体" w:cs="宋体"/>
          <w:b/>
          <w:bCs/>
          <w:color w:val="auto"/>
          <w:szCs w:val="21"/>
          <w:highlight w:val="none"/>
        </w:rPr>
        <w:t xml:space="preserve">8.3 </w:t>
      </w:r>
      <w:r>
        <w:rPr>
          <w:rFonts w:hint="eastAsia" w:ascii="宋体" w:hAnsi="宋体" w:cs="宋体"/>
          <w:b/>
          <w:bCs/>
          <w:color w:val="auto"/>
          <w:szCs w:val="21"/>
          <w:highlight w:val="none"/>
        </w:rPr>
        <w:t>采购过程、采购结果的质疑</w:t>
      </w:r>
    </w:p>
    <w:p w14:paraId="1D3FCA4B">
      <w:pPr>
        <w:spacing w:line="360" w:lineRule="auto"/>
        <w:ind w:firstLine="422" w:firstLineChars="200"/>
        <w:rPr>
          <w:rFonts w:ascii="宋体" w:cs="宋体"/>
          <w:color w:val="auto"/>
          <w:szCs w:val="21"/>
          <w:highlight w:val="none"/>
        </w:rPr>
      </w:pPr>
      <w:r>
        <w:rPr>
          <w:rFonts w:hint="eastAsia" w:ascii="宋体" w:hAnsi="宋体" w:cs="宋体"/>
          <w:b/>
          <w:color w:val="auto"/>
          <w:kern w:val="0"/>
          <w:szCs w:val="21"/>
          <w:highlight w:val="none"/>
        </w:rPr>
        <w:t>磋商响应供应商认为采购过程、采购结果使自己的合法权益受到损害的，应当按照本章节第</w:t>
      </w:r>
      <w:r>
        <w:rPr>
          <w:rFonts w:ascii="宋体" w:hAnsi="宋体" w:cs="宋体"/>
          <w:b/>
          <w:color w:val="auto"/>
          <w:kern w:val="0"/>
          <w:szCs w:val="21"/>
          <w:highlight w:val="none"/>
        </w:rPr>
        <w:t>1.16.2</w:t>
      </w:r>
      <w:r>
        <w:rPr>
          <w:rFonts w:hint="eastAsia" w:ascii="宋体" w:hAnsi="宋体" w:cs="宋体"/>
          <w:b/>
          <w:color w:val="auto"/>
          <w:kern w:val="0"/>
          <w:szCs w:val="21"/>
          <w:highlight w:val="none"/>
        </w:rPr>
        <w:t>款规定，以书面形式一次性向采购人、采购代理机构提出质疑。</w:t>
      </w:r>
      <w:r>
        <w:rPr>
          <w:rFonts w:hint="eastAsia" w:ascii="宋体" w:hAnsi="宋体" w:cs="宋体"/>
          <w:color w:val="auto"/>
          <w:szCs w:val="21"/>
          <w:highlight w:val="none"/>
        </w:rPr>
        <w:t>质疑供应商对采购人、采购代理机构的答复不满意或者采购人、采购代理机构未在规定的时间内作出答复的，可以在答复期满后</w:t>
      </w:r>
      <w:r>
        <w:rPr>
          <w:rFonts w:ascii="宋体" w:hAnsi="宋体" w:cs="宋体"/>
          <w:color w:val="auto"/>
          <w:szCs w:val="21"/>
          <w:highlight w:val="none"/>
        </w:rPr>
        <w:t>15</w:t>
      </w:r>
      <w:r>
        <w:rPr>
          <w:rFonts w:hint="eastAsia" w:ascii="宋体" w:hAnsi="宋体" w:cs="宋体"/>
          <w:color w:val="auto"/>
          <w:szCs w:val="21"/>
          <w:highlight w:val="none"/>
        </w:rPr>
        <w:t>个工作日内向同级政府采购监督管理部门投诉。质疑函范本、投诉书范本请到山西省政府采购网下载专区下载。</w:t>
      </w:r>
    </w:p>
    <w:p w14:paraId="33405139">
      <w:pPr>
        <w:pStyle w:val="3"/>
        <w:spacing w:before="0" w:after="0" w:line="360" w:lineRule="auto"/>
        <w:ind w:firstLine="422" w:firstLineChars="200"/>
        <w:rPr>
          <w:rFonts w:ascii="宋体" w:hAnsi="宋体" w:eastAsia="宋体" w:cs="宋体"/>
          <w:color w:val="auto"/>
          <w:sz w:val="21"/>
          <w:szCs w:val="21"/>
          <w:highlight w:val="none"/>
        </w:rPr>
      </w:pPr>
      <w:bookmarkStart w:id="91" w:name="_Toc81341326"/>
      <w:bookmarkStart w:id="92" w:name="_Toc19436"/>
      <w:r>
        <w:rPr>
          <w:rFonts w:hint="eastAsia" w:ascii="宋体" w:hAnsi="宋体" w:eastAsia="宋体" w:cs="宋体"/>
          <w:color w:val="auto"/>
          <w:sz w:val="21"/>
          <w:szCs w:val="21"/>
          <w:highlight w:val="none"/>
        </w:rPr>
        <w:t>九、采购代理服务费</w:t>
      </w:r>
      <w:bookmarkEnd w:id="90"/>
      <w:bookmarkEnd w:id="91"/>
      <w:bookmarkEnd w:id="92"/>
    </w:p>
    <w:p w14:paraId="4578D777">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9.1</w:t>
      </w:r>
      <w:r>
        <w:rPr>
          <w:rFonts w:hint="eastAsia" w:ascii="宋体" w:hAnsi="宋体" w:cs="宋体"/>
          <w:b/>
          <w:color w:val="auto"/>
          <w:szCs w:val="21"/>
          <w:highlight w:val="none"/>
        </w:rPr>
        <w:t>采购代理服务费</w:t>
      </w:r>
    </w:p>
    <w:p w14:paraId="47EECF50">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9.1.1</w:t>
      </w:r>
      <w:r>
        <w:rPr>
          <w:rFonts w:hint="eastAsia" w:ascii="宋体" w:hAnsi="宋体" w:cs="宋体"/>
          <w:bCs/>
          <w:color w:val="auto"/>
          <w:szCs w:val="21"/>
          <w:highlight w:val="none"/>
        </w:rPr>
        <w:t>是否收取采购代理服务费，计费标准</w:t>
      </w:r>
      <w:r>
        <w:rPr>
          <w:rFonts w:hint="eastAsia" w:ascii="宋体" w:hAnsi="宋体" w:cs="宋体"/>
          <w:b/>
          <w:color w:val="auto"/>
          <w:szCs w:val="21"/>
          <w:highlight w:val="none"/>
          <w:u w:val="single"/>
        </w:rPr>
        <w:t>见《磋商须知前附表》</w:t>
      </w:r>
      <w:r>
        <w:rPr>
          <w:rFonts w:hint="eastAsia" w:ascii="宋体" w:hAnsi="宋体" w:cs="宋体"/>
          <w:bCs/>
          <w:color w:val="auto"/>
          <w:szCs w:val="21"/>
          <w:highlight w:val="none"/>
        </w:rPr>
        <w:t>；</w:t>
      </w:r>
    </w:p>
    <w:p w14:paraId="2F941D29">
      <w:pPr>
        <w:spacing w:line="360" w:lineRule="auto"/>
        <w:ind w:firstLine="420" w:firstLineChars="200"/>
        <w:rPr>
          <w:rFonts w:ascii="宋体" w:cs="宋体"/>
          <w:bCs/>
          <w:color w:val="auto"/>
          <w:szCs w:val="21"/>
          <w:highlight w:val="none"/>
          <w:lang w:val="zh-CN"/>
        </w:rPr>
      </w:pPr>
      <w:r>
        <w:rPr>
          <w:rFonts w:ascii="宋体" w:hAnsi="宋体" w:cs="宋体"/>
          <w:bCs/>
          <w:color w:val="auto"/>
          <w:szCs w:val="21"/>
          <w:highlight w:val="none"/>
        </w:rPr>
        <w:t>9.1.2</w:t>
      </w:r>
      <w:r>
        <w:rPr>
          <w:rFonts w:hint="eastAsia" w:ascii="宋体" w:hAnsi="宋体" w:cs="宋体"/>
          <w:bCs/>
          <w:color w:val="auto"/>
          <w:szCs w:val="21"/>
          <w:highlight w:val="none"/>
          <w:lang w:val="zh-CN"/>
        </w:rPr>
        <w:t>中标（成交）通知书签发后，成交供应商因自身原因被取消成交资格或放弃成交的，仍须支付采购代理服务费。</w:t>
      </w:r>
    </w:p>
    <w:p w14:paraId="602F735A">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9.1.3</w:t>
      </w:r>
      <w:r>
        <w:rPr>
          <w:rFonts w:hint="eastAsia" w:ascii="宋体" w:hAnsi="宋体" w:cs="宋体"/>
          <w:bCs/>
          <w:color w:val="auto"/>
          <w:szCs w:val="21"/>
          <w:highlight w:val="none"/>
          <w:lang w:val="zh-CN"/>
        </w:rPr>
        <w:t>采购代理服务费缴纳凭证将作为采购人合同付款和验收的前提条件，成交供应商未按磋商文件规定和投标承诺缴纳采购代理服务费的，合同款不予支付、合同验收不予通过。</w:t>
      </w:r>
      <w:r>
        <w:rPr>
          <w:rFonts w:ascii="宋体" w:hAnsi="宋体" w:cs="宋体"/>
          <w:bCs/>
          <w:color w:val="auto"/>
          <w:szCs w:val="21"/>
          <w:highlight w:val="none"/>
        </w:rPr>
        <w:t xml:space="preserve">  </w:t>
      </w:r>
    </w:p>
    <w:p w14:paraId="17692C26">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9.1.4</w:t>
      </w:r>
      <w:r>
        <w:rPr>
          <w:rFonts w:hint="eastAsia" w:ascii="宋体" w:hAnsi="宋体" w:cs="宋体"/>
          <w:b/>
          <w:color w:val="auto"/>
          <w:kern w:val="0"/>
          <w:szCs w:val="21"/>
          <w:highlight w:val="none"/>
        </w:rPr>
        <w:t>特别说明：</w:t>
      </w:r>
    </w:p>
    <w:p w14:paraId="38CF6939">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采购代理服务费缴纳凭证将作为采购人合同付款和验收的前提条件，成交供应商未按上述规定和投标承诺缴纳采购代理服务费的，合同款不予支付、合同验收不予通过；</w:t>
      </w:r>
    </w:p>
    <w:p w14:paraId="08048B20">
      <w:pPr>
        <w:spacing w:line="360" w:lineRule="auto"/>
        <w:ind w:firstLine="422" w:firstLineChars="200"/>
        <w:rPr>
          <w:rFonts w:ascii="宋体" w:cs="宋体"/>
          <w:color w:val="auto"/>
          <w:kern w:val="0"/>
          <w:szCs w:val="21"/>
          <w:highlight w:val="none"/>
        </w:rPr>
      </w:pPr>
      <w:r>
        <w:rPr>
          <w:rFonts w:ascii="宋体" w:hAnsi="宋体" w:cs="宋体"/>
          <w:b/>
          <w:color w:val="auto"/>
          <w:szCs w:val="21"/>
          <w:highlight w:val="none"/>
        </w:rPr>
        <w:t>9.1.5</w:t>
      </w:r>
      <w:r>
        <w:rPr>
          <w:rFonts w:hint="eastAsia" w:ascii="宋体" w:hAnsi="宋体" w:cs="宋体"/>
          <w:b/>
          <w:color w:val="auto"/>
          <w:szCs w:val="21"/>
          <w:highlight w:val="none"/>
        </w:rPr>
        <w:t>成交供应商确定后，成交供应商拒绝签订合同的，或因自身原因被取消成交资格或放弃成交的，已收取的采购代理服务费不予退还。</w:t>
      </w:r>
    </w:p>
    <w:p w14:paraId="3159EED1">
      <w:pPr>
        <w:pStyle w:val="3"/>
        <w:spacing w:before="317" w:beforeLines="100" w:after="317" w:afterLines="100" w:line="360" w:lineRule="auto"/>
        <w:rPr>
          <w:rFonts w:ascii="宋体" w:hAnsi="宋体" w:eastAsia="宋体" w:cs="宋体"/>
          <w:color w:val="auto"/>
          <w:sz w:val="24"/>
          <w:szCs w:val="24"/>
          <w:highlight w:val="none"/>
        </w:rPr>
      </w:pPr>
      <w:bookmarkStart w:id="93" w:name="_Toc440162792"/>
      <w:bookmarkStart w:id="94" w:name="_Toc424164160"/>
      <w:bookmarkStart w:id="95" w:name="_Toc35391901"/>
      <w:bookmarkStart w:id="96" w:name="_Toc81341327"/>
      <w:bookmarkStart w:id="97" w:name="_Toc10789"/>
      <w:r>
        <w:rPr>
          <w:rFonts w:hint="eastAsia" w:ascii="宋体" w:hAnsi="宋体" w:eastAsia="宋体" w:cs="宋体"/>
          <w:color w:val="auto"/>
          <w:sz w:val="24"/>
          <w:szCs w:val="24"/>
          <w:highlight w:val="none"/>
        </w:rPr>
        <w:t>十、</w:t>
      </w:r>
      <w:bookmarkEnd w:id="93"/>
      <w:bookmarkEnd w:id="94"/>
      <w:r>
        <w:rPr>
          <w:rFonts w:hint="eastAsia" w:ascii="宋体" w:hAnsi="宋体" w:eastAsia="宋体" w:cs="宋体"/>
          <w:color w:val="auto"/>
          <w:sz w:val="24"/>
          <w:szCs w:val="24"/>
          <w:highlight w:val="none"/>
        </w:rPr>
        <w:t>合同签订和履约担保</w:t>
      </w:r>
      <w:bookmarkEnd w:id="95"/>
      <w:bookmarkEnd w:id="96"/>
      <w:bookmarkEnd w:id="97"/>
    </w:p>
    <w:p w14:paraId="622B977F">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10.1 </w:t>
      </w:r>
      <w:r>
        <w:rPr>
          <w:rFonts w:hint="eastAsia" w:ascii="宋体" w:hAnsi="宋体" w:cs="宋体"/>
          <w:b/>
          <w:bCs/>
          <w:color w:val="auto"/>
          <w:szCs w:val="21"/>
          <w:highlight w:val="none"/>
        </w:rPr>
        <w:t>签订合同</w:t>
      </w:r>
    </w:p>
    <w:p w14:paraId="3D5FDF98">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10.1.1</w:t>
      </w:r>
      <w:r>
        <w:rPr>
          <w:rFonts w:hint="eastAsia" w:ascii="宋体" w:hAnsi="宋体" w:cs="宋体"/>
          <w:b/>
          <w:color w:val="auto"/>
          <w:kern w:val="0"/>
          <w:szCs w:val="21"/>
          <w:highlight w:val="none"/>
        </w:rPr>
        <w:t>合同签订时间期限：</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221198BF">
      <w:pPr>
        <w:spacing w:line="360" w:lineRule="auto"/>
        <w:ind w:firstLine="422" w:firstLineChars="200"/>
        <w:rPr>
          <w:rFonts w:ascii="宋体" w:cs="宋体"/>
          <w:color w:val="auto"/>
          <w:kern w:val="0"/>
          <w:szCs w:val="21"/>
          <w:highlight w:val="none"/>
        </w:rPr>
      </w:pPr>
      <w:r>
        <w:rPr>
          <w:rFonts w:ascii="宋体" w:hAnsi="宋体" w:cs="宋体"/>
          <w:b/>
          <w:color w:val="auto"/>
          <w:kern w:val="0"/>
          <w:szCs w:val="21"/>
          <w:highlight w:val="none"/>
        </w:rPr>
        <w:t>10.1.2</w:t>
      </w:r>
      <w:r>
        <w:rPr>
          <w:rFonts w:hint="eastAsia" w:ascii="宋体" w:hAnsi="宋体" w:cs="宋体"/>
          <w:b/>
          <w:color w:val="auto"/>
          <w:kern w:val="0"/>
          <w:szCs w:val="21"/>
          <w:highlight w:val="none"/>
        </w:rPr>
        <w:t>成交供应商应在《磋商须知前附表》中规定的时间内，与采购人通过“山西省政府采购网”签订政府采购合同。</w:t>
      </w:r>
      <w:r>
        <w:rPr>
          <w:rFonts w:hint="eastAsia" w:ascii="宋体" w:hAnsi="宋体" w:cs="宋体"/>
          <w:color w:val="auto"/>
          <w:kern w:val="0"/>
          <w:szCs w:val="21"/>
          <w:highlight w:val="none"/>
        </w:rPr>
        <w:t>所签订的合同不得对竞争性磋商文件确定的事项和成交供应商磋商响应文件作实质性修改。</w:t>
      </w:r>
    </w:p>
    <w:p w14:paraId="181D98A7">
      <w:pPr>
        <w:spacing w:line="360" w:lineRule="auto"/>
        <w:ind w:firstLine="422" w:firstLineChars="200"/>
        <w:rPr>
          <w:rFonts w:ascii="宋体" w:cs="宋体"/>
          <w:color w:val="auto"/>
          <w:kern w:val="0"/>
          <w:szCs w:val="21"/>
          <w:highlight w:val="none"/>
        </w:rPr>
      </w:pPr>
      <w:r>
        <w:rPr>
          <w:rFonts w:ascii="宋体" w:hAnsi="宋体" w:cs="宋体"/>
          <w:b/>
          <w:color w:val="auto"/>
          <w:szCs w:val="21"/>
          <w:highlight w:val="none"/>
        </w:rPr>
        <w:t>10.1.3</w:t>
      </w:r>
      <w:r>
        <w:rPr>
          <w:rFonts w:hint="eastAsia" w:ascii="宋体" w:hAnsi="宋体" w:cs="宋体"/>
          <w:b/>
          <w:color w:val="auto"/>
          <w:kern w:val="0"/>
          <w:szCs w:val="21"/>
          <w:highlight w:val="none"/>
        </w:rPr>
        <w:t>成交供应商</w:t>
      </w:r>
      <w:r>
        <w:rPr>
          <w:rFonts w:hint="eastAsia" w:ascii="宋体" w:hAnsi="宋体" w:cs="宋体"/>
          <w:b/>
          <w:color w:val="auto"/>
          <w:szCs w:val="21"/>
          <w:highlight w:val="none"/>
        </w:rPr>
        <w:t>拒绝与采购人签订合同的</w:t>
      </w:r>
      <w:r>
        <w:rPr>
          <w:rFonts w:hint="eastAsia" w:ascii="宋体" w:hAnsi="宋体" w:cs="宋体"/>
          <w:b/>
          <w:color w:val="auto"/>
          <w:kern w:val="0"/>
          <w:szCs w:val="21"/>
          <w:highlight w:val="none"/>
        </w:rPr>
        <w:t>，</w:t>
      </w:r>
      <w:r>
        <w:rPr>
          <w:rFonts w:hint="eastAsia" w:ascii="宋体" w:hAnsi="宋体" w:cs="宋体"/>
          <w:b/>
          <w:color w:val="auto"/>
          <w:szCs w:val="21"/>
          <w:highlight w:val="none"/>
        </w:rPr>
        <w:t>采购人、采购代理机构将对其失信行为上报至同级政府采购监督管理部门对其依法处理。</w:t>
      </w:r>
    </w:p>
    <w:p w14:paraId="4275FA29">
      <w:pPr>
        <w:spacing w:line="360" w:lineRule="auto"/>
        <w:ind w:firstLine="422" w:firstLineChars="200"/>
        <w:rPr>
          <w:rFonts w:ascii="宋体" w:cs="宋体"/>
          <w:b/>
          <w:color w:val="auto"/>
          <w:szCs w:val="21"/>
          <w:highlight w:val="none"/>
        </w:rPr>
      </w:pPr>
      <w:r>
        <w:rPr>
          <w:rFonts w:ascii="宋体" w:hAnsi="宋体" w:cs="宋体"/>
          <w:b/>
          <w:color w:val="auto"/>
          <w:kern w:val="0"/>
          <w:szCs w:val="21"/>
          <w:highlight w:val="none"/>
        </w:rPr>
        <w:t>10.1.4</w:t>
      </w:r>
      <w:r>
        <w:rPr>
          <w:rFonts w:hint="eastAsia" w:ascii="宋体" w:hAnsi="宋体" w:cs="宋体"/>
          <w:b/>
          <w:color w:val="auto"/>
          <w:kern w:val="0"/>
          <w:szCs w:val="21"/>
          <w:highlight w:val="none"/>
        </w:rPr>
        <w:t>原</w:t>
      </w:r>
      <w:r>
        <w:rPr>
          <w:rFonts w:hint="eastAsia" w:ascii="宋体" w:hAnsi="宋体" w:cs="宋体"/>
          <w:b/>
          <w:color w:val="auto"/>
          <w:szCs w:val="21"/>
          <w:highlight w:val="none"/>
        </w:rPr>
        <w:t>成交供应商拒绝与采购人签订合同后，采购人可以按照评审报告推荐的成交候选人名单排序，确定下一候选人为成交供应商，也可以重新开展政府采购活动。</w:t>
      </w:r>
    </w:p>
    <w:p w14:paraId="430AD947">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10.2 </w:t>
      </w:r>
      <w:r>
        <w:rPr>
          <w:rFonts w:hint="eastAsia" w:ascii="宋体" w:hAnsi="宋体" w:cs="宋体"/>
          <w:b/>
          <w:bCs/>
          <w:color w:val="auto"/>
          <w:szCs w:val="21"/>
          <w:highlight w:val="none"/>
        </w:rPr>
        <w:t>履约担保（履约保证金）</w:t>
      </w:r>
    </w:p>
    <w:p w14:paraId="123E3F3B">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10.2.1</w:t>
      </w:r>
      <w:r>
        <w:rPr>
          <w:rFonts w:hint="eastAsia" w:ascii="宋体" w:hAnsi="宋体" w:cs="宋体"/>
          <w:b/>
          <w:color w:val="auto"/>
          <w:kern w:val="0"/>
          <w:szCs w:val="21"/>
          <w:highlight w:val="none"/>
        </w:rPr>
        <w:t>履约担保递交要求：</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；成交供应商应递交而未递交履约担保的，合同款不予支付、合同验收不予通过。</w:t>
      </w:r>
    </w:p>
    <w:p w14:paraId="790C6404">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10.2.2</w:t>
      </w:r>
      <w:r>
        <w:rPr>
          <w:rFonts w:hint="eastAsia" w:ascii="宋体" w:hAnsi="宋体" w:cs="宋体"/>
          <w:b/>
          <w:color w:val="auto"/>
          <w:kern w:val="0"/>
          <w:szCs w:val="21"/>
          <w:highlight w:val="none"/>
        </w:rPr>
        <w:t>采购合同签订后，成交供应商不按合同约定履约的，采购人可以解除采购合同，并对成交供应商已缴纳的履约保证金作“不予退还”处理。同时，成交供应商还须按以下约定向采购人支付违约金、承担违约责任：</w:t>
      </w:r>
    </w:p>
    <w:p w14:paraId="6B65E663">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）采购人已向成交供应商支付了合同款的，成交供应商须一次性退还采购人已支付的合同款，并向采购人支付等额违约金；</w:t>
      </w:r>
    </w:p>
    <w:p w14:paraId="3F444466">
      <w:pPr>
        <w:spacing w:line="360" w:lineRule="auto"/>
        <w:ind w:firstLine="420" w:firstLineChars="200"/>
        <w:rPr>
          <w:rFonts w:ascii="宋体" w:cs="宋体"/>
          <w:b/>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）采购人还未向成交供应商支付合同款的，成交供应商须一次性向采购人支付合同总额</w:t>
      </w:r>
      <w:r>
        <w:rPr>
          <w:rFonts w:ascii="宋体" w:hAnsi="宋体" w:cs="宋体"/>
          <w:color w:val="auto"/>
          <w:kern w:val="0"/>
          <w:szCs w:val="21"/>
          <w:highlight w:val="none"/>
        </w:rPr>
        <w:t>30%</w:t>
      </w:r>
      <w:r>
        <w:rPr>
          <w:rFonts w:hint="eastAsia" w:ascii="宋体" w:hAnsi="宋体" w:cs="宋体"/>
          <w:color w:val="auto"/>
          <w:kern w:val="0"/>
          <w:szCs w:val="21"/>
          <w:highlight w:val="none"/>
        </w:rPr>
        <w:t>的违约金。</w:t>
      </w:r>
    </w:p>
    <w:p w14:paraId="3900CE34">
      <w:pPr>
        <w:spacing w:line="360" w:lineRule="auto"/>
        <w:ind w:firstLine="420" w:firstLineChars="200"/>
        <w:rPr>
          <w:rFonts w:ascii="宋体" w:cs="宋体"/>
          <w:bCs/>
          <w:color w:val="auto"/>
          <w:kern w:val="0"/>
          <w:szCs w:val="21"/>
          <w:highlight w:val="none"/>
        </w:rPr>
      </w:pPr>
      <w:r>
        <w:rPr>
          <w:rFonts w:ascii="宋体" w:hAnsi="宋体" w:cs="宋体"/>
          <w:bCs/>
          <w:color w:val="auto"/>
          <w:kern w:val="0"/>
          <w:szCs w:val="21"/>
          <w:highlight w:val="none"/>
        </w:rPr>
        <w:t>10.2.3</w:t>
      </w:r>
      <w:r>
        <w:rPr>
          <w:rFonts w:hint="eastAsia" w:ascii="宋体" w:hAnsi="宋体" w:cs="宋体"/>
          <w:bCs/>
          <w:color w:val="auto"/>
          <w:kern w:val="0"/>
          <w:szCs w:val="21"/>
          <w:highlight w:val="none"/>
        </w:rPr>
        <w:t>履约保证金在成交供应商按约定履约完毕后退还。</w:t>
      </w:r>
    </w:p>
    <w:p w14:paraId="6EF36FDD">
      <w:pPr>
        <w:pStyle w:val="3"/>
        <w:spacing w:before="317" w:beforeLines="100" w:after="317" w:afterLines="100" w:line="360" w:lineRule="auto"/>
        <w:rPr>
          <w:rFonts w:ascii="宋体" w:hAnsi="宋体" w:eastAsia="宋体" w:cs="宋体"/>
          <w:color w:val="auto"/>
          <w:sz w:val="24"/>
          <w:szCs w:val="24"/>
          <w:highlight w:val="none"/>
        </w:rPr>
      </w:pPr>
      <w:bookmarkStart w:id="98" w:name="_Toc5774"/>
      <w:bookmarkStart w:id="99" w:name="_Toc81341328"/>
      <w:bookmarkStart w:id="100" w:name="_Toc35391902"/>
      <w:r>
        <w:rPr>
          <w:rFonts w:hint="eastAsia" w:ascii="宋体" w:hAnsi="宋体" w:eastAsia="宋体" w:cs="宋体"/>
          <w:color w:val="auto"/>
          <w:sz w:val="24"/>
          <w:szCs w:val="24"/>
          <w:highlight w:val="none"/>
        </w:rPr>
        <w:t>十一、其他事项说明</w:t>
      </w:r>
      <w:bookmarkEnd w:id="98"/>
      <w:bookmarkEnd w:id="99"/>
      <w:bookmarkEnd w:id="100"/>
    </w:p>
    <w:p w14:paraId="0C175C5C">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11.1 </w:t>
      </w:r>
      <w:r>
        <w:rPr>
          <w:rFonts w:hint="eastAsia" w:ascii="宋体" w:hAnsi="宋体" w:cs="宋体"/>
          <w:b/>
          <w:bCs/>
          <w:color w:val="auto"/>
          <w:szCs w:val="21"/>
          <w:highlight w:val="none"/>
        </w:rPr>
        <w:t>政府采购信用融资</w:t>
      </w:r>
    </w:p>
    <w:p w14:paraId="773EFEA0">
      <w:pPr>
        <w:spacing w:line="360" w:lineRule="auto"/>
        <w:ind w:firstLine="422" w:firstLineChars="200"/>
        <w:rPr>
          <w:rFonts w:ascii="宋体" w:cs="宋体"/>
          <w:b/>
          <w:color w:val="auto"/>
          <w:kern w:val="0"/>
          <w:szCs w:val="21"/>
          <w:highlight w:val="none"/>
        </w:rPr>
      </w:pPr>
      <w:r>
        <w:rPr>
          <w:rFonts w:ascii="宋体" w:hAnsi="宋体" w:cs="宋体"/>
          <w:b/>
          <w:color w:val="auto"/>
          <w:szCs w:val="21"/>
          <w:highlight w:val="none"/>
        </w:rPr>
        <w:t>11.1.1</w:t>
      </w:r>
      <w:r>
        <w:rPr>
          <w:rFonts w:hint="eastAsia" w:ascii="宋体" w:hAnsi="宋体" w:cs="宋体"/>
          <w:b/>
          <w:color w:val="auto"/>
          <w:szCs w:val="21"/>
          <w:highlight w:val="none"/>
        </w:rPr>
        <w:t>政府采购信用融资相关规定：</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46BB2BB9">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11.2 </w:t>
      </w:r>
      <w:r>
        <w:rPr>
          <w:rFonts w:hint="eastAsia" w:ascii="宋体" w:hAnsi="宋体" w:cs="宋体"/>
          <w:b/>
          <w:bCs/>
          <w:color w:val="auto"/>
          <w:szCs w:val="21"/>
          <w:highlight w:val="none"/>
        </w:rPr>
        <w:t>重要提醒</w:t>
      </w:r>
    </w:p>
    <w:p w14:paraId="15892BC1">
      <w:pPr>
        <w:spacing w:line="360" w:lineRule="auto"/>
        <w:ind w:firstLine="422" w:firstLineChars="200"/>
        <w:rPr>
          <w:rFonts w:ascii="宋体" w:hAnsi="宋体" w:cs="宋体"/>
          <w:color w:val="auto"/>
          <w:highlight w:val="none"/>
        </w:rPr>
      </w:pPr>
      <w:r>
        <w:rPr>
          <w:rFonts w:ascii="宋体" w:hAnsi="宋体" w:cs="宋体"/>
          <w:b/>
          <w:color w:val="auto"/>
          <w:szCs w:val="21"/>
          <w:highlight w:val="none"/>
        </w:rPr>
        <w:t>11.2.1</w:t>
      </w:r>
      <w:r>
        <w:rPr>
          <w:rFonts w:hint="eastAsia" w:ascii="宋体" w:hAnsi="宋体" w:cs="宋体"/>
          <w:b/>
          <w:color w:val="auto"/>
          <w:szCs w:val="21"/>
          <w:highlight w:val="none"/>
        </w:rPr>
        <w:t>磋商重要提醒：</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4A6052E5">
      <w:pPr>
        <w:keepNext/>
        <w:keepLines/>
        <w:spacing w:line="360" w:lineRule="auto"/>
        <w:ind w:firstLine="422" w:firstLineChars="200"/>
        <w:outlineLvl w:val="2"/>
        <w:rPr>
          <w:rFonts w:ascii="宋体" w:hAnsi="宋体" w:cs="宋体"/>
          <w:b/>
          <w:bCs/>
          <w:color w:val="auto"/>
          <w:szCs w:val="21"/>
          <w:highlight w:val="none"/>
        </w:rPr>
        <w:sectPr>
          <w:footerReference r:id="rId12" w:type="first"/>
          <w:footerReference r:id="rId11" w:type="default"/>
          <w:pgSz w:w="11906" w:h="16838"/>
          <w:pgMar w:top="1440" w:right="1417" w:bottom="1440" w:left="1417" w:header="850" w:footer="992" w:gutter="0"/>
          <w:pgNumType w:start="1"/>
          <w:cols w:space="0" w:num="1"/>
          <w:docGrid w:type="lines" w:linePitch="317" w:charSpace="0"/>
        </w:sectPr>
      </w:pPr>
      <w:r>
        <w:rPr>
          <w:rFonts w:hint="eastAsia" w:ascii="宋体" w:hAnsi="宋体" w:cs="宋体"/>
          <w:b/>
          <w:bCs/>
          <w:color w:val="auto"/>
          <w:szCs w:val="21"/>
          <w:highlight w:val="none"/>
        </w:rPr>
        <w:t>11.3 所属行业：</w:t>
      </w:r>
      <w:r>
        <w:rPr>
          <w:rFonts w:hint="eastAsia" w:ascii="宋体" w:hAnsi="宋体" w:cs="宋体"/>
          <w:b/>
          <w:color w:val="auto"/>
          <w:kern w:val="0"/>
          <w:szCs w:val="21"/>
          <w:highlight w:val="none"/>
          <w:u w:val="single"/>
        </w:rPr>
        <w:t>见《磋商须知前附表》</w:t>
      </w:r>
      <w:r>
        <w:rPr>
          <w:rFonts w:hint="eastAsia" w:ascii="宋体" w:hAnsi="宋体" w:cs="宋体"/>
          <w:b/>
          <w:color w:val="auto"/>
          <w:kern w:val="0"/>
          <w:szCs w:val="21"/>
          <w:highlight w:val="none"/>
        </w:rPr>
        <w:t>。</w:t>
      </w:r>
    </w:p>
    <w:p w14:paraId="6C58F57A">
      <w:pPr>
        <w:rPr>
          <w:rFonts w:ascii="宋体" w:cs="宋体"/>
          <w:color w:val="auto"/>
          <w:highlight w:val="none"/>
        </w:rPr>
      </w:pPr>
      <w:bookmarkStart w:id="101" w:name="_Toc81341329"/>
      <w:bookmarkStart w:id="102" w:name="_Toc26503"/>
    </w:p>
    <w:p w14:paraId="2BCE44CE">
      <w:pPr>
        <w:pStyle w:val="2"/>
        <w:jc w:val="center"/>
        <w:rPr>
          <w:rFonts w:ascii="宋体" w:hAnsi="宋体" w:eastAsia="宋体" w:cs="宋体"/>
          <w:bCs w:val="0"/>
          <w:color w:val="auto"/>
          <w:kern w:val="44"/>
          <w:sz w:val="44"/>
          <w:szCs w:val="44"/>
          <w:highlight w:val="none"/>
        </w:rPr>
      </w:pPr>
      <w:bookmarkStart w:id="103" w:name="_Toc10919"/>
      <w:bookmarkStart w:id="104" w:name="_Toc16950"/>
      <w:bookmarkStart w:id="105" w:name="_Toc17891"/>
      <w:r>
        <w:rPr>
          <w:rFonts w:hint="eastAsia" w:ascii="宋体" w:hAnsi="宋体" w:eastAsia="宋体" w:cs="宋体"/>
          <w:color w:val="auto"/>
          <w:kern w:val="44"/>
          <w:sz w:val="44"/>
          <w:szCs w:val="44"/>
          <w:highlight w:val="none"/>
        </w:rPr>
        <w:t>第三章</w:t>
      </w:r>
      <w:r>
        <w:rPr>
          <w:rFonts w:ascii="宋体" w:hAnsi="宋体" w:eastAsia="宋体" w:cs="宋体"/>
          <w:color w:val="auto"/>
          <w:kern w:val="44"/>
          <w:sz w:val="44"/>
          <w:szCs w:val="44"/>
          <w:highlight w:val="none"/>
        </w:rPr>
        <w:t xml:space="preserve">  </w:t>
      </w:r>
      <w:bookmarkEnd w:id="83"/>
      <w:bookmarkEnd w:id="84"/>
      <w:bookmarkEnd w:id="101"/>
      <w:bookmarkEnd w:id="102"/>
      <w:bookmarkEnd w:id="103"/>
      <w:r>
        <w:rPr>
          <w:rFonts w:hint="eastAsia" w:ascii="宋体" w:hAnsi="宋体" w:eastAsia="宋体" w:cs="宋体"/>
          <w:color w:val="auto"/>
          <w:kern w:val="44"/>
          <w:sz w:val="44"/>
          <w:szCs w:val="44"/>
          <w:highlight w:val="none"/>
        </w:rPr>
        <w:t>采购内容</w:t>
      </w:r>
      <w:bookmarkEnd w:id="104"/>
      <w:bookmarkEnd w:id="105"/>
    </w:p>
    <w:p w14:paraId="23325380">
      <w:pPr>
        <w:spacing w:line="408" w:lineRule="auto"/>
        <w:ind w:firstLine="480" w:firstLineChars="200"/>
        <w:rPr>
          <w:rFonts w:ascii="宋体" w:hAnsi="宋体" w:cs="宋体"/>
          <w:color w:val="auto"/>
          <w:sz w:val="24"/>
          <w:szCs w:val="24"/>
          <w:highlight w:val="none"/>
        </w:rPr>
      </w:pPr>
      <w:bookmarkStart w:id="106" w:name="OLE_LINK1"/>
    </w:p>
    <w:p w14:paraId="5CBA25F9">
      <w:pPr>
        <w:spacing w:line="40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一、项目名称：汾西县武装部办公楼、档案局大楼消防专项整治项目</w:t>
      </w:r>
    </w:p>
    <w:p w14:paraId="6C4F9E71">
      <w:pPr>
        <w:spacing w:line="40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二、预算金额（万元）：128.6</w:t>
      </w:r>
    </w:p>
    <w:p w14:paraId="457E3ED9">
      <w:pPr>
        <w:spacing w:line="40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三、最高限价（万元）：128.6</w:t>
      </w:r>
    </w:p>
    <w:p w14:paraId="173DF6F5">
      <w:pPr>
        <w:spacing w:line="40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项目概况：本工程为汾西县武装部办公楼、档案局大楼消防专项整治项目，主要建设内容:汾西县武装部办公楼和档案局大楼的修缮建筑、消防水、消防电、通风工程，室外建筑、给排水工程，水泵房消防水、钢楼梯工程。具体内容详见工程量清单及施工图纸（另附）。</w:t>
      </w:r>
    </w:p>
    <w:p w14:paraId="3F37CC9A">
      <w:pPr>
        <w:spacing w:line="40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五、合同履行期限：100日历天。</w:t>
      </w:r>
    </w:p>
    <w:p w14:paraId="5AB1013E">
      <w:pPr>
        <w:spacing w:line="40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六、项目地点：汾西县。</w:t>
      </w:r>
    </w:p>
    <w:p w14:paraId="5389846F">
      <w:pPr>
        <w:spacing w:line="40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七、质量要求：达到国家现行有关施工质量验收规范合格标准。</w:t>
      </w:r>
    </w:p>
    <w:p w14:paraId="5DAA7927">
      <w:pPr>
        <w:spacing w:line="40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八、付款方式与条件：以签订合同时约定为准。</w:t>
      </w:r>
    </w:p>
    <w:bookmarkEnd w:id="106"/>
    <w:p w14:paraId="6FF6BD68">
      <w:pPr>
        <w:ind w:firstLine="1687"/>
        <w:rPr>
          <w:rFonts w:ascii="宋体" w:hAnsi="宋体" w:cs="宋体"/>
          <w:bCs/>
          <w:color w:val="auto"/>
          <w:kern w:val="44"/>
          <w:szCs w:val="21"/>
          <w:highlight w:val="none"/>
        </w:rPr>
      </w:pPr>
      <w:r>
        <w:rPr>
          <w:rFonts w:hint="eastAsia" w:ascii="宋体" w:hAnsi="宋体" w:cs="宋体"/>
          <w:bCs/>
          <w:color w:val="auto"/>
          <w:kern w:val="44"/>
          <w:szCs w:val="21"/>
          <w:highlight w:val="none"/>
        </w:rPr>
        <w:br w:type="page"/>
      </w:r>
    </w:p>
    <w:p w14:paraId="67CD42BA">
      <w:pPr>
        <w:pStyle w:val="2"/>
        <w:snapToGrid w:val="0"/>
        <w:spacing w:line="288" w:lineRule="auto"/>
        <w:jc w:val="center"/>
        <w:rPr>
          <w:rFonts w:ascii="宋体" w:hAnsi="宋体" w:eastAsia="宋体" w:cs="宋体"/>
          <w:color w:val="auto"/>
          <w:sz w:val="28"/>
          <w:szCs w:val="28"/>
          <w:highlight w:val="none"/>
        </w:rPr>
      </w:pPr>
      <w:bookmarkStart w:id="107" w:name="_Toc25937"/>
      <w:bookmarkStart w:id="108" w:name="_Toc3623"/>
      <w:bookmarkStart w:id="109" w:name="_Toc28592"/>
      <w:bookmarkStart w:id="110" w:name="_Toc81341330"/>
      <w:r>
        <w:rPr>
          <w:rFonts w:hint="eastAsia" w:ascii="宋体" w:hAnsi="宋体" w:eastAsia="宋体" w:cs="宋体"/>
          <w:color w:val="auto"/>
          <w:kern w:val="44"/>
          <w:sz w:val="44"/>
          <w:szCs w:val="44"/>
          <w:highlight w:val="none"/>
        </w:rPr>
        <w:t>第四章</w:t>
      </w:r>
      <w:r>
        <w:rPr>
          <w:rFonts w:ascii="宋体" w:hAnsi="宋体" w:eastAsia="宋体" w:cs="宋体"/>
          <w:color w:val="auto"/>
          <w:kern w:val="44"/>
          <w:sz w:val="44"/>
          <w:szCs w:val="44"/>
          <w:highlight w:val="none"/>
        </w:rPr>
        <w:t xml:space="preserve"> </w:t>
      </w:r>
      <w:bookmarkEnd w:id="85"/>
      <w:bookmarkEnd w:id="86"/>
      <w:bookmarkEnd w:id="87"/>
      <w:bookmarkStart w:id="111" w:name="_Toc6938"/>
      <w:r>
        <w:rPr>
          <w:rFonts w:hint="eastAsia" w:ascii="宋体" w:hAnsi="宋体" w:eastAsia="宋体" w:cs="宋体"/>
          <w:color w:val="auto"/>
          <w:kern w:val="44"/>
          <w:sz w:val="44"/>
          <w:szCs w:val="44"/>
          <w:highlight w:val="none"/>
        </w:rPr>
        <w:t xml:space="preserve"> 合同</w:t>
      </w:r>
      <w:bookmarkEnd w:id="107"/>
      <w:bookmarkEnd w:id="108"/>
      <w:bookmarkEnd w:id="109"/>
      <w:bookmarkEnd w:id="110"/>
      <w:bookmarkEnd w:id="111"/>
      <w:bookmarkStart w:id="112" w:name="_Toc27879"/>
      <w:bookmarkStart w:id="113" w:name="_Toc81341331"/>
    </w:p>
    <w:p w14:paraId="4885D4D4">
      <w:pPr>
        <w:pStyle w:val="3"/>
        <w:adjustRightInd w:val="0"/>
        <w:snapToGrid w:val="0"/>
        <w:spacing w:line="288"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（以最终签订为准）</w:t>
      </w:r>
      <w:bookmarkEnd w:id="112"/>
      <w:bookmarkEnd w:id="113"/>
    </w:p>
    <w:p w14:paraId="51429B23">
      <w:pPr>
        <w:ind w:firstLine="2570"/>
        <w:jc w:val="left"/>
        <w:rPr>
          <w:rFonts w:eastAsia="仿宋_GB2312"/>
          <w:bCs/>
          <w:color w:val="auto"/>
          <w:sz w:val="32"/>
          <w:szCs w:val="32"/>
          <w:highlight w:val="none"/>
        </w:rPr>
      </w:pPr>
    </w:p>
    <w:p w14:paraId="03466A8E">
      <w:pPr>
        <w:ind w:firstLine="2570"/>
        <w:jc w:val="left"/>
        <w:rPr>
          <w:rFonts w:eastAsia="仿宋_GB2312"/>
          <w:bCs/>
          <w:color w:val="auto"/>
          <w:sz w:val="32"/>
          <w:szCs w:val="32"/>
          <w:highlight w:val="none"/>
        </w:rPr>
      </w:pPr>
      <w:r>
        <w:rPr>
          <w:rFonts w:eastAsia="仿宋_GB2312"/>
          <w:bCs/>
          <w:color w:val="auto"/>
          <w:sz w:val="32"/>
          <w:szCs w:val="32"/>
          <w:highlight w:val="none"/>
        </w:rPr>
        <w:t>（GF—201</w:t>
      </w:r>
      <w:r>
        <w:rPr>
          <w:rFonts w:hint="eastAsia" w:eastAsia="仿宋_GB2312"/>
          <w:bCs/>
          <w:color w:val="auto"/>
          <w:sz w:val="32"/>
          <w:szCs w:val="32"/>
          <w:highlight w:val="none"/>
        </w:rPr>
        <w:t>7</w:t>
      </w:r>
      <w:r>
        <w:rPr>
          <w:rFonts w:eastAsia="仿宋_GB2312"/>
          <w:bCs/>
          <w:color w:val="auto"/>
          <w:sz w:val="32"/>
          <w:szCs w:val="32"/>
          <w:highlight w:val="none"/>
        </w:rPr>
        <w:t>—</w:t>
      </w:r>
      <w:r>
        <w:rPr>
          <w:rFonts w:hint="eastAsia" w:eastAsia="仿宋_GB2312"/>
          <w:bCs/>
          <w:color w:val="auto"/>
          <w:sz w:val="32"/>
          <w:szCs w:val="32"/>
          <w:highlight w:val="none"/>
        </w:rPr>
        <w:t>0201）</w:t>
      </w:r>
    </w:p>
    <w:p w14:paraId="3F727F16">
      <w:pPr>
        <w:ind w:firstLine="4160"/>
        <w:jc w:val="center"/>
        <w:rPr>
          <w:rFonts w:eastAsia="华文中宋"/>
          <w:b/>
          <w:color w:val="auto"/>
          <w:sz w:val="52"/>
          <w:szCs w:val="52"/>
          <w:highlight w:val="none"/>
        </w:rPr>
      </w:pPr>
    </w:p>
    <w:p w14:paraId="26823CFF">
      <w:pPr>
        <w:jc w:val="center"/>
        <w:rPr>
          <w:rFonts w:eastAsia="华文中宋"/>
          <w:b/>
          <w:color w:val="auto"/>
          <w:sz w:val="52"/>
          <w:szCs w:val="52"/>
          <w:highlight w:val="none"/>
        </w:rPr>
      </w:pPr>
      <w:r>
        <w:rPr>
          <w:rFonts w:eastAsia="华文中宋"/>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（示范文本）</w:t>
      </w:r>
    </w:p>
    <w:p w14:paraId="6D6AD07C">
      <w:pPr>
        <w:ind w:firstLine="4160"/>
        <w:jc w:val="center"/>
        <w:rPr>
          <w:rFonts w:eastAsia="华文中宋"/>
          <w:b/>
          <w:color w:val="auto"/>
          <w:sz w:val="52"/>
          <w:szCs w:val="52"/>
          <w:highlight w:val="none"/>
        </w:rPr>
      </w:pPr>
    </w:p>
    <w:p w14:paraId="35CD1AAF">
      <w:pPr>
        <w:ind w:firstLine="4160"/>
        <w:jc w:val="center"/>
        <w:rPr>
          <w:rFonts w:eastAsia="黑体"/>
          <w:b/>
          <w:color w:val="auto"/>
          <w:sz w:val="52"/>
          <w:szCs w:val="52"/>
          <w:highlight w:val="none"/>
        </w:rPr>
      </w:pPr>
    </w:p>
    <w:p w14:paraId="18858C4F">
      <w:pPr>
        <w:ind w:firstLine="2240"/>
        <w:rPr>
          <w:b/>
          <w:color w:val="auto"/>
          <w:sz w:val="28"/>
          <w:szCs w:val="28"/>
          <w:highlight w:val="none"/>
        </w:rPr>
      </w:pPr>
    </w:p>
    <w:p w14:paraId="56647948">
      <w:pPr>
        <w:ind w:firstLine="2240"/>
        <w:rPr>
          <w:b/>
          <w:color w:val="auto"/>
          <w:sz w:val="28"/>
          <w:szCs w:val="28"/>
          <w:highlight w:val="none"/>
        </w:rPr>
      </w:pPr>
    </w:p>
    <w:p w14:paraId="678D9D0A">
      <w:pPr>
        <w:ind w:firstLine="2240"/>
        <w:rPr>
          <w:b/>
          <w:color w:val="auto"/>
          <w:sz w:val="28"/>
          <w:szCs w:val="28"/>
          <w:highlight w:val="none"/>
        </w:rPr>
      </w:pPr>
    </w:p>
    <w:p w14:paraId="3ECE7953">
      <w:pPr>
        <w:ind w:firstLine="2240"/>
        <w:rPr>
          <w:b/>
          <w:color w:val="auto"/>
          <w:sz w:val="28"/>
          <w:szCs w:val="28"/>
          <w:highlight w:val="none"/>
        </w:rPr>
      </w:pPr>
    </w:p>
    <w:p w14:paraId="12114630">
      <w:pPr>
        <w:ind w:firstLine="2240"/>
        <w:rPr>
          <w:b/>
          <w:color w:val="auto"/>
          <w:sz w:val="28"/>
          <w:szCs w:val="28"/>
          <w:highlight w:val="none"/>
        </w:rPr>
      </w:pPr>
    </w:p>
    <w:p w14:paraId="3BBE5B88">
      <w:pPr>
        <w:ind w:right="2719" w:rightChars="1295" w:firstLine="2738" w:firstLineChars="1304"/>
        <w:jc w:val="distribute"/>
        <w:rPr>
          <w:b/>
          <w:color w:val="auto"/>
          <w:sz w:val="32"/>
          <w:szCs w:val="28"/>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75CB246">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14:paraId="375CB246">
                      <w:pPr>
                        <w:rPr>
                          <w:b/>
                          <w:bCs/>
                          <w:sz w:val="32"/>
                        </w:rPr>
                      </w:pPr>
                      <w:r>
                        <w:rPr>
                          <w:rFonts w:hint="eastAsia"/>
                          <w:b/>
                          <w:bCs/>
                          <w:sz w:val="32"/>
                        </w:rPr>
                        <w:t>制定</w:t>
                      </w:r>
                    </w:p>
                  </w:txbxContent>
                </v:textbox>
              </v:shape>
            </w:pict>
          </mc:Fallback>
        </mc:AlternateContent>
      </w:r>
      <w:r>
        <w:rPr>
          <w:b/>
          <w:color w:val="auto"/>
          <w:sz w:val="32"/>
          <w:szCs w:val="28"/>
          <w:highlight w:val="none"/>
        </w:rPr>
        <w:t>住房城乡建设部</w:t>
      </w:r>
    </w:p>
    <w:p w14:paraId="10CA3DCF">
      <w:pPr>
        <w:ind w:right="2719" w:rightChars="1295" w:firstLine="2750" w:firstLineChars="856"/>
        <w:jc w:val="distribute"/>
        <w:rPr>
          <w:b/>
          <w:color w:val="auto"/>
          <w:sz w:val="32"/>
          <w:szCs w:val="28"/>
          <w:highlight w:val="none"/>
        </w:rPr>
      </w:pPr>
      <w:r>
        <w:rPr>
          <w:b/>
          <w:color w:val="auto"/>
          <w:sz w:val="32"/>
          <w:szCs w:val="28"/>
          <w:highlight w:val="none"/>
        </w:rPr>
        <w:t>国家工商行政管理总局</w:t>
      </w:r>
    </w:p>
    <w:p w14:paraId="39B1FA07">
      <w:pPr>
        <w:ind w:firstLine="2880"/>
        <w:rPr>
          <w:b/>
          <w:color w:val="auto"/>
          <w:highlight w:val="none"/>
        </w:rPr>
      </w:pPr>
    </w:p>
    <w:p w14:paraId="7BD1B17C">
      <w:pPr>
        <w:pStyle w:val="1025"/>
        <w:spacing w:line="240" w:lineRule="auto"/>
        <w:jc w:val="center"/>
        <w:rPr>
          <w:rFonts w:eastAsia="华文中宋"/>
          <w:color w:val="auto"/>
          <w:sz w:val="21"/>
          <w:szCs w:val="21"/>
          <w:highlight w:val="none"/>
          <w:lang w:val="zh-CN"/>
        </w:rPr>
      </w:pPr>
      <w:r>
        <w:rPr>
          <w:b w:val="0"/>
          <w:color w:val="auto"/>
          <w:highlight w:val="none"/>
        </w:rPr>
        <w:br w:type="page"/>
      </w:r>
      <w:bookmarkStart w:id="114" w:name="_Toc29179"/>
      <w:bookmarkStart w:id="115" w:name="_Toc8467"/>
      <w:bookmarkStart w:id="116" w:name="_Toc5139"/>
      <w:bookmarkStart w:id="117" w:name="_Toc8513"/>
      <w:bookmarkStart w:id="118" w:name="_Toc296890982"/>
      <w:bookmarkStart w:id="119" w:name="_Toc296503025"/>
      <w:r>
        <w:rPr>
          <w:rFonts w:hint="eastAsia" w:eastAsia="华文中宋"/>
          <w:color w:val="auto"/>
          <w:sz w:val="21"/>
          <w:szCs w:val="21"/>
          <w:highlight w:val="none"/>
          <w:lang w:val="zh-CN"/>
        </w:rPr>
        <w:t>说  明</w:t>
      </w:r>
      <w:bookmarkEnd w:id="114"/>
      <w:bookmarkEnd w:id="115"/>
      <w:bookmarkEnd w:id="116"/>
      <w:bookmarkEnd w:id="117"/>
    </w:p>
    <w:p w14:paraId="3692E52C">
      <w:pPr>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3C6E9E07">
      <w:pPr>
        <w:ind w:firstLine="420" w:firstLineChars="200"/>
        <w:rPr>
          <w:rFonts w:ascii="黑体" w:hAnsi="黑体" w:eastAsia="黑体"/>
          <w:bCs/>
          <w:color w:val="auto"/>
          <w:szCs w:val="21"/>
          <w:highlight w:val="none"/>
        </w:rPr>
      </w:pPr>
      <w:bookmarkStart w:id="120" w:name="_Toc648"/>
      <w:r>
        <w:rPr>
          <w:rFonts w:hint="eastAsia" w:ascii="黑体" w:hAnsi="黑体" w:eastAsia="黑体"/>
          <w:bCs/>
          <w:color w:val="auto"/>
          <w:szCs w:val="21"/>
          <w:highlight w:val="none"/>
        </w:rPr>
        <w:t>一、《示范文本》的组成</w:t>
      </w:r>
      <w:bookmarkEnd w:id="120"/>
    </w:p>
    <w:p w14:paraId="7AB15299">
      <w:pPr>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《示范文本》由合同协议书、通用合同条款和专用合同条款三部分组成。</w:t>
      </w:r>
    </w:p>
    <w:p w14:paraId="7FBAB289">
      <w:pPr>
        <w:ind w:firstLine="420" w:firstLineChars="200"/>
        <w:rPr>
          <w:rFonts w:ascii="仿宋_GB2312" w:eastAsia="仿宋_GB2312"/>
          <w:color w:val="auto"/>
          <w:szCs w:val="21"/>
          <w:highlight w:val="none"/>
        </w:rPr>
      </w:pPr>
      <w:bookmarkStart w:id="121" w:name="_Toc16599"/>
      <w:bookmarkStart w:id="122" w:name="_Toc22994"/>
      <w:r>
        <w:rPr>
          <w:rFonts w:hint="eastAsia" w:ascii="仿宋_GB2312" w:eastAsia="仿宋_GB2312"/>
          <w:color w:val="auto"/>
          <w:szCs w:val="21"/>
          <w:highlight w:val="none"/>
        </w:rPr>
        <w:t>（一）合同协议书</w:t>
      </w:r>
      <w:bookmarkEnd w:id="121"/>
      <w:bookmarkEnd w:id="122"/>
    </w:p>
    <w:p w14:paraId="386034D2">
      <w:pPr>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DD72A4A">
      <w:pPr>
        <w:ind w:firstLine="420" w:firstLineChars="200"/>
        <w:rPr>
          <w:rFonts w:ascii="仿宋_GB2312" w:eastAsia="仿宋_GB2312"/>
          <w:color w:val="auto"/>
          <w:szCs w:val="21"/>
          <w:highlight w:val="none"/>
        </w:rPr>
      </w:pPr>
      <w:bookmarkStart w:id="123" w:name="_Toc31824"/>
      <w:bookmarkStart w:id="124" w:name="_Toc21088"/>
      <w:r>
        <w:rPr>
          <w:rFonts w:hint="eastAsia" w:ascii="仿宋_GB2312" w:eastAsia="仿宋_GB2312"/>
          <w:color w:val="auto"/>
          <w:szCs w:val="21"/>
          <w:highlight w:val="none"/>
        </w:rPr>
        <w:t>（二）通用合同条款</w:t>
      </w:r>
      <w:bookmarkEnd w:id="123"/>
      <w:bookmarkEnd w:id="124"/>
    </w:p>
    <w:p w14:paraId="227E3619">
      <w:pPr>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通用合同条款是合同当事人根据《中华人民共和国建筑法》、《中华人民共和国合同法》等法律法规的规定，就工程建设的实施及相关事项，对合同当事人的权利义务作出的原则性约定。</w:t>
      </w:r>
    </w:p>
    <w:p w14:paraId="5EEE0F0F">
      <w:pPr>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6DC49235">
      <w:pPr>
        <w:ind w:firstLine="420" w:firstLineChars="200"/>
        <w:rPr>
          <w:rFonts w:ascii="仿宋_GB2312" w:eastAsia="仿宋_GB2312"/>
          <w:color w:val="auto"/>
          <w:szCs w:val="21"/>
          <w:highlight w:val="none"/>
        </w:rPr>
      </w:pPr>
      <w:bookmarkStart w:id="125" w:name="_Toc27750"/>
      <w:bookmarkStart w:id="126" w:name="_Toc17893"/>
      <w:r>
        <w:rPr>
          <w:rFonts w:hint="eastAsia" w:ascii="仿宋_GB2312" w:eastAsia="仿宋_GB2312"/>
          <w:color w:val="auto"/>
          <w:szCs w:val="21"/>
          <w:highlight w:val="none"/>
        </w:rPr>
        <w:t>（三）专用合同条款</w:t>
      </w:r>
      <w:bookmarkEnd w:id="125"/>
      <w:bookmarkEnd w:id="126"/>
    </w:p>
    <w:p w14:paraId="2929DA57">
      <w:pPr>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45AA026A">
      <w:pPr>
        <w:ind w:right="25" w:rightChars="12" w:firstLine="420" w:firstLineChars="200"/>
        <w:rPr>
          <w:rFonts w:ascii="仿宋_GB2312" w:eastAsia="仿宋_GB2312"/>
          <w:color w:val="auto"/>
          <w:szCs w:val="21"/>
          <w:highlight w:val="none"/>
        </w:rPr>
      </w:pPr>
      <w:r>
        <w:rPr>
          <w:rFonts w:hint="eastAsia" w:ascii="仿宋_GB2312" w:eastAsia="仿宋_GB2312"/>
          <w:color w:val="auto"/>
          <w:szCs w:val="21"/>
          <w:highlight w:val="none"/>
        </w:rPr>
        <w:t>1.专用合同条款的编号应与相应的通用合同条款的编号一致；</w:t>
      </w:r>
    </w:p>
    <w:p w14:paraId="262B68F0">
      <w:pPr>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2.合同当事人可以通过对专用合同条款的修改，满足具体建设工程的特殊要求，避免直接修改通用合同条款；</w:t>
      </w:r>
    </w:p>
    <w:p w14:paraId="6A657D27">
      <w:pPr>
        <w:ind w:firstLine="420" w:firstLineChars="200"/>
        <w:rPr>
          <w:rFonts w:ascii="仿宋_GB2312" w:eastAsia="仿宋_GB2312"/>
          <w:color w:val="auto"/>
          <w:szCs w:val="21"/>
          <w:highlight w:val="none"/>
        </w:rPr>
      </w:pPr>
      <w:r>
        <w:rPr>
          <w:rFonts w:hint="eastAsia" w:ascii="仿宋_GB2312" w:eastAsia="仿宋_GB2312"/>
          <w:color w:val="auto"/>
          <w:szCs w:val="21"/>
          <w:highlight w:val="none"/>
        </w:rPr>
        <w:t>3.在专用合同条款中有横道线的地方，合同当事人可针对相应的通用合同条款进行细化、完善、补充、修改或另行约定；如无细化、完善、补充、修改或另行约定，则填写“无”或划“/”。</w:t>
      </w:r>
    </w:p>
    <w:p w14:paraId="527F2353">
      <w:pPr>
        <w:ind w:firstLine="420" w:firstLineChars="200"/>
        <w:rPr>
          <w:rFonts w:ascii="仿宋_GB2312" w:eastAsia="仿宋_GB2312"/>
          <w:b/>
          <w:color w:val="auto"/>
          <w:szCs w:val="21"/>
          <w:highlight w:val="none"/>
        </w:rPr>
      </w:pPr>
      <w:bookmarkStart w:id="127" w:name="_Toc25494"/>
      <w:r>
        <w:rPr>
          <w:rFonts w:hint="eastAsia" w:ascii="黑体" w:hAnsi="黑体" w:eastAsia="黑体"/>
          <w:bCs/>
          <w:color w:val="auto"/>
          <w:szCs w:val="21"/>
          <w:highlight w:val="none"/>
        </w:rPr>
        <w:t>二、《示范文本》的性质和适用范围</w:t>
      </w:r>
      <w:bookmarkEnd w:id="127"/>
    </w:p>
    <w:p w14:paraId="727AFF0A">
      <w:pPr>
        <w:ind w:firstLine="420" w:firstLineChars="200"/>
        <w:rPr>
          <w:rFonts w:ascii="仿宋_GB2312" w:eastAsia="仿宋_GB2312"/>
          <w:color w:val="auto"/>
          <w:szCs w:val="21"/>
          <w:highlight w:val="none"/>
        </w:rPr>
        <w:sectPr>
          <w:footerReference r:id="rId13"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color w:val="auto"/>
          <w:szCs w:val="21"/>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7397254E">
      <w:pPr>
        <w:pStyle w:val="1025"/>
        <w:pageBreakBefore w:val="0"/>
        <w:widowControl w:val="0"/>
        <w:kinsoku/>
        <w:wordWrap/>
        <w:overflowPunct/>
        <w:topLinePunct w:val="0"/>
        <w:bidi w:val="0"/>
        <w:snapToGrid/>
        <w:spacing w:before="120" w:after="120"/>
        <w:ind w:left="0" w:firstLine="0"/>
        <w:textAlignment w:val="auto"/>
        <w:rPr>
          <w:rFonts w:eastAsia="华文中宋"/>
          <w:color w:val="auto"/>
          <w:sz w:val="21"/>
          <w:szCs w:val="21"/>
          <w:highlight w:val="none"/>
        </w:rPr>
      </w:pPr>
      <w:bookmarkStart w:id="128" w:name="_Toc24937"/>
      <w:bookmarkStart w:id="129" w:name="_Toc18424"/>
      <w:bookmarkStart w:id="130" w:name="_Toc24602"/>
      <w:bookmarkStart w:id="131" w:name="_Toc23260"/>
      <w:r>
        <w:rPr>
          <w:rFonts w:eastAsia="华文中宋"/>
          <w:color w:val="auto"/>
          <w:sz w:val="21"/>
          <w:szCs w:val="21"/>
          <w:highlight w:val="none"/>
          <w:lang w:val="zh-CN"/>
        </w:rPr>
        <w:t>目</w:t>
      </w:r>
      <w:r>
        <w:rPr>
          <w:rFonts w:hint="eastAsia" w:eastAsia="华文中宋"/>
          <w:color w:val="auto"/>
          <w:sz w:val="21"/>
          <w:szCs w:val="21"/>
          <w:highlight w:val="none"/>
          <w:lang w:val="zh-CN"/>
        </w:rPr>
        <w:t xml:space="preserve">  </w:t>
      </w:r>
      <w:r>
        <w:rPr>
          <w:rFonts w:eastAsia="华文中宋"/>
          <w:color w:val="auto"/>
          <w:sz w:val="21"/>
          <w:szCs w:val="21"/>
          <w:highlight w:val="none"/>
          <w:lang w:val="zh-CN"/>
        </w:rPr>
        <w:t>录</w:t>
      </w:r>
      <w:bookmarkEnd w:id="128"/>
      <w:bookmarkEnd w:id="129"/>
      <w:bookmarkEnd w:id="130"/>
      <w:bookmarkEnd w:id="131"/>
    </w:p>
    <w:p w14:paraId="087F1926">
      <w:pPr>
        <w:pStyle w:val="44"/>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rFonts w:hint="eastAsia" w:ascii="仿宋" w:hAnsi="仿宋" w:eastAsia="仿宋" w:cs="仿宋"/>
          <w:b w:val="0"/>
          <w:color w:val="auto"/>
          <w:sz w:val="21"/>
          <w:szCs w:val="21"/>
          <w:highlight w:val="none"/>
        </w:rPr>
        <w:fldChar w:fldCharType="begin"/>
      </w:r>
      <w:r>
        <w:rPr>
          <w:rFonts w:hint="eastAsia" w:ascii="仿宋" w:hAnsi="仿宋" w:eastAsia="仿宋" w:cs="仿宋"/>
          <w:b w:val="0"/>
          <w:color w:val="auto"/>
          <w:sz w:val="21"/>
          <w:szCs w:val="21"/>
          <w:highlight w:val="none"/>
        </w:rPr>
        <w:instrText xml:space="preserve"> TOC \o "1-5" \h \z \u </w:instrText>
      </w:r>
      <w:r>
        <w:rPr>
          <w:rFonts w:hint="eastAsia" w:ascii="仿宋" w:hAnsi="仿宋" w:eastAsia="仿宋" w:cs="仿宋"/>
          <w:b w:val="0"/>
          <w:color w:val="auto"/>
          <w:sz w:val="21"/>
          <w:szCs w:val="21"/>
          <w:highlight w:val="none"/>
        </w:rPr>
        <w:fldChar w:fldCharType="separate"/>
      </w:r>
      <w:r>
        <w:rPr>
          <w:color w:val="auto"/>
          <w:highlight w:val="none"/>
        </w:rPr>
        <w:fldChar w:fldCharType="begin"/>
      </w:r>
      <w:r>
        <w:rPr>
          <w:color w:val="auto"/>
          <w:highlight w:val="none"/>
        </w:rPr>
        <w:instrText xml:space="preserve"> HYPERLINK \l "_Toc29179" </w:instrText>
      </w:r>
      <w:r>
        <w:rPr>
          <w:color w:val="auto"/>
          <w:highlight w:val="none"/>
        </w:rPr>
        <w:fldChar w:fldCharType="separate"/>
      </w:r>
      <w:r>
        <w:rPr>
          <w:rFonts w:hint="eastAsia" w:ascii="仿宋" w:hAnsi="仿宋" w:eastAsia="仿宋" w:cs="仿宋"/>
          <w:color w:val="auto"/>
          <w:sz w:val="21"/>
          <w:szCs w:val="21"/>
          <w:highlight w:val="none"/>
          <w:lang w:val="zh-CN"/>
        </w:rPr>
        <w:t>说  明</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_Toc29179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EF48B5E">
      <w:pPr>
        <w:pStyle w:val="44"/>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"_Toc24602" </w:instrText>
      </w:r>
      <w:r>
        <w:rPr>
          <w:color w:val="auto"/>
          <w:highlight w:val="none"/>
        </w:rPr>
        <w:fldChar w:fldCharType="separate"/>
      </w:r>
      <w:r>
        <w:rPr>
          <w:rFonts w:hint="eastAsia" w:ascii="仿宋" w:hAnsi="仿宋" w:eastAsia="仿宋" w:cs="仿宋"/>
          <w:color w:val="auto"/>
          <w:sz w:val="21"/>
          <w:szCs w:val="21"/>
          <w:highlight w:val="none"/>
          <w:lang w:val="zh-CN"/>
        </w:rPr>
        <w:t>目  录</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_Toc24602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6935057">
      <w:pPr>
        <w:pStyle w:val="44"/>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ascii="仿宋" w:hAnsi="仿宋" w:eastAsia="仿宋" w:cs="仿宋"/>
          <w:color w:val="auto"/>
          <w:sz w:val="21"/>
          <w:szCs w:val="21"/>
          <w:highlight w:val="none"/>
        </w:rPr>
        <w:t>第一部分 合同协议书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_Toc9129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C7E0679">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"_Toc15660" </w:instrText>
      </w:r>
      <w:r>
        <w:rPr>
          <w:color w:val="auto"/>
          <w:highlight w:val="none"/>
        </w:rPr>
        <w:fldChar w:fldCharType="separate"/>
      </w:r>
      <w:r>
        <w:rPr>
          <w:rFonts w:hint="eastAsia" w:ascii="仿宋" w:hAnsi="仿宋" w:eastAsia="仿宋" w:cs="仿宋"/>
          <w:color w:val="auto"/>
          <w:sz w:val="21"/>
          <w:szCs w:val="21"/>
          <w:highlight w:val="none"/>
        </w:rPr>
        <w:t>一、工程概况</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_Toc15660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9CB4D3D">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"_Toc23107" </w:instrText>
      </w:r>
      <w:r>
        <w:rPr>
          <w:color w:val="auto"/>
          <w:highlight w:val="none"/>
        </w:rPr>
        <w:fldChar w:fldCharType="separate"/>
      </w:r>
      <w:r>
        <w:rPr>
          <w:rFonts w:hint="eastAsia" w:ascii="仿宋" w:hAnsi="仿宋" w:eastAsia="仿宋" w:cs="仿宋"/>
          <w:color w:val="auto"/>
          <w:sz w:val="21"/>
          <w:szCs w:val="21"/>
          <w:highlight w:val="none"/>
        </w:rPr>
        <w:t>二、合同工期</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_Toc23107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75EEB9C">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"_Toc17293" </w:instrText>
      </w:r>
      <w:r>
        <w:rPr>
          <w:color w:val="auto"/>
          <w:highlight w:val="none"/>
        </w:rPr>
        <w:fldChar w:fldCharType="separate"/>
      </w:r>
      <w:r>
        <w:rPr>
          <w:rFonts w:hint="eastAsia" w:ascii="仿宋" w:hAnsi="仿宋" w:eastAsia="仿宋" w:cs="仿宋"/>
          <w:color w:val="auto"/>
          <w:sz w:val="21"/>
          <w:szCs w:val="21"/>
          <w:highlight w:val="none"/>
        </w:rPr>
        <w:t>三、质量标准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_Toc17293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F81A055">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"_Toc3507" </w:instrText>
      </w:r>
      <w:r>
        <w:rPr>
          <w:color w:val="auto"/>
          <w:highlight w:val="none"/>
        </w:rPr>
        <w:fldChar w:fldCharType="separate"/>
      </w:r>
      <w:r>
        <w:rPr>
          <w:rFonts w:hint="eastAsia" w:ascii="仿宋" w:hAnsi="仿宋" w:eastAsia="仿宋" w:cs="仿宋"/>
          <w:color w:val="auto"/>
          <w:sz w:val="21"/>
          <w:szCs w:val="21"/>
          <w:highlight w:val="none"/>
        </w:rPr>
        <w:t>四、签约合同价与合同价格形式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_Toc3507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AF09C7E">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"_Toc1568" </w:instrText>
      </w:r>
      <w:r>
        <w:rPr>
          <w:color w:val="auto"/>
          <w:highlight w:val="none"/>
        </w:rPr>
        <w:fldChar w:fldCharType="separate"/>
      </w:r>
      <w:r>
        <w:rPr>
          <w:rFonts w:hint="eastAsia" w:ascii="仿宋" w:hAnsi="仿宋" w:eastAsia="仿宋" w:cs="仿宋"/>
          <w:color w:val="auto"/>
          <w:sz w:val="21"/>
          <w:szCs w:val="21"/>
          <w:highlight w:val="none"/>
        </w:rPr>
        <w:t>五、项目经理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_Toc1568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BB06FC8">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"_Toc7531" </w:instrText>
      </w:r>
      <w:r>
        <w:rPr>
          <w:color w:val="auto"/>
          <w:highlight w:val="none"/>
        </w:rPr>
        <w:fldChar w:fldCharType="separate"/>
      </w:r>
      <w:r>
        <w:rPr>
          <w:rFonts w:hint="eastAsia" w:ascii="仿宋" w:hAnsi="仿宋" w:eastAsia="仿宋" w:cs="仿宋"/>
          <w:color w:val="auto"/>
          <w:sz w:val="21"/>
          <w:szCs w:val="21"/>
          <w:highlight w:val="none"/>
        </w:rPr>
        <w:t>六、合同文件构成</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_Toc7531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ABD159D">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"_Toc1606" </w:instrText>
      </w:r>
      <w:r>
        <w:rPr>
          <w:color w:val="auto"/>
          <w:highlight w:val="none"/>
        </w:rPr>
        <w:fldChar w:fldCharType="separate"/>
      </w:r>
      <w:r>
        <w:rPr>
          <w:rFonts w:hint="eastAsia" w:ascii="仿宋" w:hAnsi="仿宋" w:eastAsia="仿宋" w:cs="仿宋"/>
          <w:color w:val="auto"/>
          <w:sz w:val="21"/>
          <w:szCs w:val="21"/>
          <w:highlight w:val="none"/>
        </w:rPr>
        <w:t>七、承诺</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_Toc1606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2F2E63B">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"_Toc28208" </w:instrText>
      </w:r>
      <w:r>
        <w:rPr>
          <w:color w:val="auto"/>
          <w:highlight w:val="none"/>
        </w:rPr>
        <w:fldChar w:fldCharType="separate"/>
      </w:r>
      <w:r>
        <w:rPr>
          <w:rFonts w:hint="eastAsia" w:ascii="仿宋" w:hAnsi="仿宋" w:eastAsia="仿宋" w:cs="仿宋"/>
          <w:bCs/>
          <w:color w:val="auto"/>
          <w:sz w:val="21"/>
          <w:szCs w:val="21"/>
          <w:highlight w:val="none"/>
        </w:rPr>
        <w:t>八、词语含义</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_Toc28208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B770FC6">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"_Toc751" </w:instrText>
      </w:r>
      <w:r>
        <w:rPr>
          <w:color w:val="auto"/>
          <w:highlight w:val="none"/>
        </w:rPr>
        <w:fldChar w:fldCharType="separate"/>
      </w:r>
      <w:r>
        <w:rPr>
          <w:rFonts w:hint="eastAsia" w:ascii="仿宋" w:hAnsi="仿宋" w:eastAsia="仿宋" w:cs="仿宋"/>
          <w:color w:val="auto"/>
          <w:sz w:val="21"/>
          <w:szCs w:val="21"/>
          <w:highlight w:val="none"/>
        </w:rPr>
        <w:t>九、签订时间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_Toc751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1A4C417">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"_Toc880" </w:instrText>
      </w:r>
      <w:r>
        <w:rPr>
          <w:color w:val="auto"/>
          <w:highlight w:val="none"/>
        </w:rPr>
        <w:fldChar w:fldCharType="separate"/>
      </w:r>
      <w:r>
        <w:rPr>
          <w:rFonts w:hint="eastAsia" w:ascii="仿宋" w:hAnsi="仿宋" w:eastAsia="仿宋" w:cs="仿宋"/>
          <w:color w:val="auto"/>
          <w:sz w:val="21"/>
          <w:szCs w:val="21"/>
          <w:highlight w:val="none"/>
        </w:rPr>
        <w:t>十、签订地点</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_Toc880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903AA27">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"_Toc6434" </w:instrText>
      </w:r>
      <w:r>
        <w:rPr>
          <w:color w:val="auto"/>
          <w:highlight w:val="none"/>
        </w:rPr>
        <w:fldChar w:fldCharType="separate"/>
      </w:r>
      <w:r>
        <w:rPr>
          <w:rFonts w:hint="eastAsia" w:ascii="仿宋" w:hAnsi="仿宋" w:eastAsia="仿宋" w:cs="仿宋"/>
          <w:color w:val="auto"/>
          <w:sz w:val="21"/>
          <w:szCs w:val="21"/>
          <w:highlight w:val="none"/>
        </w:rPr>
        <w:t>十一、补充协议</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_Toc6434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CA3877C">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"_Toc22554" </w:instrText>
      </w:r>
      <w:r>
        <w:rPr>
          <w:color w:val="auto"/>
          <w:highlight w:val="none"/>
        </w:rPr>
        <w:fldChar w:fldCharType="separate"/>
      </w:r>
      <w:r>
        <w:rPr>
          <w:rFonts w:hint="eastAsia" w:ascii="仿宋" w:hAnsi="仿宋" w:eastAsia="仿宋" w:cs="仿宋"/>
          <w:color w:val="auto"/>
          <w:sz w:val="21"/>
          <w:szCs w:val="21"/>
          <w:highlight w:val="none"/>
        </w:rPr>
        <w:t>十二、合同生效</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_Toc22554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891A0C7">
      <w:pPr>
        <w:pStyle w:val="45"/>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"_Toc2550" </w:instrText>
      </w:r>
      <w:r>
        <w:rPr>
          <w:color w:val="auto"/>
          <w:highlight w:val="none"/>
        </w:rPr>
        <w:fldChar w:fldCharType="separate"/>
      </w:r>
      <w:r>
        <w:rPr>
          <w:rFonts w:hint="eastAsia" w:ascii="仿宋" w:hAnsi="仿宋" w:eastAsia="仿宋" w:cs="仿宋"/>
          <w:color w:val="auto"/>
          <w:sz w:val="21"/>
          <w:szCs w:val="21"/>
          <w:highlight w:val="none"/>
        </w:rPr>
        <w:t>十三、合同份数</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_Toc2550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5D1A82A">
      <w:pPr>
        <w:pStyle w:val="44"/>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"_Toc6986" </w:instrText>
      </w:r>
      <w:r>
        <w:rPr>
          <w:color w:val="auto"/>
          <w:highlight w:val="none"/>
        </w:rPr>
        <w:fldChar w:fldCharType="separate"/>
      </w:r>
      <w:r>
        <w:rPr>
          <w:rFonts w:hint="eastAsia" w:ascii="仿宋" w:hAnsi="仿宋" w:eastAsia="仿宋" w:cs="仿宋"/>
          <w:color w:val="auto"/>
          <w:sz w:val="21"/>
          <w:szCs w:val="21"/>
          <w:highlight w:val="none"/>
        </w:rPr>
        <w:t>第二部分 通用合同条款</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_Toc6986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72D441B">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"_Toc22792" </w:instrText>
      </w:r>
      <w:r>
        <w:rPr>
          <w:color w:val="auto"/>
          <w:highlight w:val="none"/>
        </w:rPr>
        <w:fldChar w:fldCharType="separate"/>
      </w:r>
      <w:r>
        <w:rPr>
          <w:rFonts w:hint="eastAsia" w:ascii="仿宋" w:hAnsi="仿宋" w:eastAsia="仿宋" w:cs="仿宋"/>
          <w:color w:val="auto"/>
          <w:sz w:val="21"/>
          <w:szCs w:val="21"/>
          <w:highlight w:val="none"/>
        </w:rPr>
        <w:t>1. 一般约定</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_Toc22792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E9A6233">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"_Toc22348" </w:instrText>
      </w:r>
      <w:r>
        <w:rPr>
          <w:color w:val="auto"/>
          <w:highlight w:val="none"/>
        </w:rPr>
        <w:fldChar w:fldCharType="separate"/>
      </w:r>
      <w:r>
        <w:rPr>
          <w:rFonts w:hint="eastAsia" w:ascii="仿宋" w:hAnsi="仿宋" w:eastAsia="仿宋" w:cs="仿宋"/>
          <w:color w:val="auto"/>
          <w:sz w:val="21"/>
          <w:szCs w:val="21"/>
          <w:highlight w:val="none"/>
        </w:rPr>
        <w:t>1.1词语定义与解释</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_Toc22348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3B626AE">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"_Toc20471" </w:instrText>
      </w:r>
      <w:r>
        <w:rPr>
          <w:color w:val="auto"/>
          <w:highlight w:val="none"/>
        </w:rPr>
        <w:fldChar w:fldCharType="separate"/>
      </w:r>
      <w:r>
        <w:rPr>
          <w:rFonts w:hint="eastAsia" w:ascii="仿宋" w:hAnsi="仿宋" w:eastAsia="仿宋" w:cs="仿宋"/>
          <w:color w:val="auto"/>
          <w:sz w:val="21"/>
          <w:szCs w:val="21"/>
          <w:highlight w:val="none"/>
        </w:rPr>
        <w:t>1.2语言文字</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_Toc20471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DF6A744">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"_Toc32194" </w:instrText>
      </w:r>
      <w:r>
        <w:rPr>
          <w:color w:val="auto"/>
          <w:highlight w:val="none"/>
        </w:rPr>
        <w:fldChar w:fldCharType="separate"/>
      </w:r>
      <w:r>
        <w:rPr>
          <w:rFonts w:hint="eastAsia" w:ascii="仿宋" w:hAnsi="仿宋" w:eastAsia="仿宋" w:cs="仿宋"/>
          <w:color w:val="auto"/>
          <w:sz w:val="21"/>
          <w:szCs w:val="21"/>
          <w:highlight w:val="none"/>
        </w:rPr>
        <w:t>1.3法律</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_Toc32194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A7BD58A">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"_Toc5742" </w:instrText>
      </w:r>
      <w:r>
        <w:rPr>
          <w:color w:val="auto"/>
          <w:highlight w:val="none"/>
        </w:rPr>
        <w:fldChar w:fldCharType="separate"/>
      </w:r>
      <w:r>
        <w:rPr>
          <w:rFonts w:hint="eastAsia" w:ascii="仿宋" w:hAnsi="仿宋" w:eastAsia="仿宋" w:cs="仿宋"/>
          <w:color w:val="auto"/>
          <w:sz w:val="21"/>
          <w:szCs w:val="21"/>
          <w:highlight w:val="none"/>
        </w:rPr>
        <w:t>1.4 标准和规范</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_Toc5742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BBBD01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"_Toc27121" </w:instrText>
      </w:r>
      <w:r>
        <w:rPr>
          <w:color w:val="auto"/>
          <w:highlight w:val="none"/>
        </w:rPr>
        <w:fldChar w:fldCharType="separate"/>
      </w:r>
      <w:r>
        <w:rPr>
          <w:rFonts w:hint="eastAsia" w:ascii="仿宋" w:hAnsi="仿宋" w:eastAsia="仿宋" w:cs="仿宋"/>
          <w:color w:val="auto"/>
          <w:sz w:val="21"/>
          <w:szCs w:val="21"/>
          <w:highlight w:val="none"/>
        </w:rPr>
        <w:t>1.5 合同文件的优先顺序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_Toc27121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F2B151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"_Toc19390" </w:instrText>
      </w:r>
      <w:r>
        <w:rPr>
          <w:color w:val="auto"/>
          <w:highlight w:val="none"/>
        </w:rPr>
        <w:fldChar w:fldCharType="separate"/>
      </w:r>
      <w:r>
        <w:rPr>
          <w:rFonts w:hint="eastAsia" w:ascii="仿宋" w:hAnsi="仿宋" w:eastAsia="仿宋" w:cs="仿宋"/>
          <w:color w:val="auto"/>
          <w:sz w:val="21"/>
          <w:szCs w:val="21"/>
          <w:highlight w:val="none"/>
        </w:rPr>
        <w:t>1.6图纸和承包人文件</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_Toc19390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2D3F9D4">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"_Toc12932" </w:instrText>
      </w:r>
      <w:r>
        <w:rPr>
          <w:color w:val="auto"/>
          <w:highlight w:val="none"/>
        </w:rPr>
        <w:fldChar w:fldCharType="separate"/>
      </w:r>
      <w:r>
        <w:rPr>
          <w:rFonts w:hint="eastAsia" w:ascii="仿宋" w:hAnsi="仿宋" w:eastAsia="仿宋" w:cs="仿宋"/>
          <w:color w:val="auto"/>
          <w:sz w:val="21"/>
          <w:szCs w:val="21"/>
          <w:highlight w:val="none"/>
        </w:rPr>
        <w:t>1.7联络</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_Toc12932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9240CE3">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"_Toc13855" </w:instrText>
      </w:r>
      <w:r>
        <w:rPr>
          <w:color w:val="auto"/>
          <w:highlight w:val="none"/>
        </w:rPr>
        <w:fldChar w:fldCharType="separate"/>
      </w:r>
      <w:r>
        <w:rPr>
          <w:rFonts w:hint="eastAsia" w:ascii="仿宋" w:hAnsi="仿宋" w:eastAsia="仿宋" w:cs="仿宋"/>
          <w:color w:val="auto"/>
          <w:sz w:val="21"/>
          <w:szCs w:val="21"/>
          <w:highlight w:val="none"/>
        </w:rPr>
        <w:t>1.8严禁贿赂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_Toc13855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70F364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"_Toc11837" </w:instrText>
      </w:r>
      <w:r>
        <w:rPr>
          <w:color w:val="auto"/>
          <w:highlight w:val="none"/>
        </w:rPr>
        <w:fldChar w:fldCharType="separate"/>
      </w:r>
      <w:r>
        <w:rPr>
          <w:rFonts w:hint="eastAsia" w:ascii="仿宋" w:hAnsi="仿宋" w:eastAsia="仿宋" w:cs="仿宋"/>
          <w:color w:val="auto"/>
          <w:sz w:val="21"/>
          <w:szCs w:val="21"/>
          <w:highlight w:val="none"/>
        </w:rPr>
        <w:t>1.9化石、文物</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_Toc11837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DA15AFE">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"_Toc32005" </w:instrText>
      </w:r>
      <w:r>
        <w:rPr>
          <w:color w:val="auto"/>
          <w:highlight w:val="none"/>
        </w:rPr>
        <w:fldChar w:fldCharType="separate"/>
      </w:r>
      <w:r>
        <w:rPr>
          <w:rFonts w:hint="eastAsia" w:ascii="仿宋" w:hAnsi="仿宋" w:eastAsia="仿宋" w:cs="仿宋"/>
          <w:color w:val="auto"/>
          <w:sz w:val="21"/>
          <w:szCs w:val="21"/>
          <w:highlight w:val="none"/>
        </w:rPr>
        <w:t>1.10交通运输</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_Toc32005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22C9405">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"_Toc27509" </w:instrText>
      </w:r>
      <w:r>
        <w:rPr>
          <w:color w:val="auto"/>
          <w:highlight w:val="none"/>
        </w:rPr>
        <w:fldChar w:fldCharType="separate"/>
      </w:r>
      <w:r>
        <w:rPr>
          <w:rFonts w:hint="eastAsia" w:ascii="仿宋" w:hAnsi="仿宋" w:eastAsia="仿宋" w:cs="仿宋"/>
          <w:color w:val="auto"/>
          <w:sz w:val="21"/>
          <w:szCs w:val="21"/>
          <w:highlight w:val="none"/>
        </w:rPr>
        <w:t>1.11知识产权</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_Toc27509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337642D">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"_Toc20283" </w:instrText>
      </w:r>
      <w:r>
        <w:rPr>
          <w:color w:val="auto"/>
          <w:highlight w:val="none"/>
        </w:rPr>
        <w:fldChar w:fldCharType="separate"/>
      </w:r>
      <w:r>
        <w:rPr>
          <w:rFonts w:hint="eastAsia" w:ascii="仿宋" w:hAnsi="仿宋" w:eastAsia="仿宋" w:cs="仿宋"/>
          <w:color w:val="auto"/>
          <w:sz w:val="21"/>
          <w:szCs w:val="21"/>
          <w:highlight w:val="none"/>
        </w:rPr>
        <w:t>1.12保密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_Toc20283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F0ADC74">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"_Toc6235" </w:instrText>
      </w:r>
      <w:r>
        <w:rPr>
          <w:color w:val="auto"/>
          <w:highlight w:val="none"/>
        </w:rPr>
        <w:fldChar w:fldCharType="separate"/>
      </w:r>
      <w:r>
        <w:rPr>
          <w:rFonts w:hint="eastAsia" w:ascii="仿宋" w:hAnsi="仿宋" w:eastAsia="仿宋" w:cs="仿宋"/>
          <w:color w:val="auto"/>
          <w:sz w:val="21"/>
          <w:szCs w:val="21"/>
          <w:highlight w:val="none"/>
        </w:rPr>
        <w:t>1.13工程量清单错误的修正</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_Toc6235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EB81A45">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"_Toc6806" </w:instrText>
      </w:r>
      <w:r>
        <w:rPr>
          <w:color w:val="auto"/>
          <w:highlight w:val="none"/>
        </w:rPr>
        <w:fldChar w:fldCharType="separate"/>
      </w:r>
      <w:r>
        <w:rPr>
          <w:rFonts w:hint="eastAsia" w:ascii="仿宋" w:hAnsi="仿宋" w:eastAsia="仿宋" w:cs="仿宋"/>
          <w:color w:val="auto"/>
          <w:sz w:val="21"/>
          <w:szCs w:val="21"/>
          <w:highlight w:val="none"/>
        </w:rPr>
        <w:t>2. 发包人</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_Toc6806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7D49186">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"_Toc2630" </w:instrText>
      </w:r>
      <w:r>
        <w:rPr>
          <w:color w:val="auto"/>
          <w:highlight w:val="none"/>
        </w:rPr>
        <w:fldChar w:fldCharType="separate"/>
      </w:r>
      <w:r>
        <w:rPr>
          <w:rFonts w:hint="eastAsia" w:ascii="仿宋" w:hAnsi="仿宋" w:eastAsia="仿宋" w:cs="仿宋"/>
          <w:color w:val="auto"/>
          <w:sz w:val="21"/>
          <w:szCs w:val="21"/>
          <w:highlight w:val="none"/>
        </w:rPr>
        <w:t>2.1 许可或批准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_Toc2630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0DF8DF5">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"_Toc27263" </w:instrText>
      </w:r>
      <w:r>
        <w:rPr>
          <w:color w:val="auto"/>
          <w:highlight w:val="none"/>
        </w:rPr>
        <w:fldChar w:fldCharType="separate"/>
      </w:r>
      <w:r>
        <w:rPr>
          <w:rFonts w:hint="eastAsia" w:ascii="仿宋" w:hAnsi="仿宋" w:eastAsia="仿宋" w:cs="仿宋"/>
          <w:color w:val="auto"/>
          <w:sz w:val="21"/>
          <w:szCs w:val="21"/>
          <w:highlight w:val="none"/>
        </w:rPr>
        <w:t>2.2 发包人代表</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_Toc27263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B55C666">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"_Toc17574" </w:instrText>
      </w:r>
      <w:r>
        <w:rPr>
          <w:color w:val="auto"/>
          <w:highlight w:val="none"/>
        </w:rPr>
        <w:fldChar w:fldCharType="separate"/>
      </w:r>
      <w:r>
        <w:rPr>
          <w:rFonts w:hint="eastAsia" w:ascii="仿宋" w:hAnsi="仿宋" w:eastAsia="仿宋" w:cs="仿宋"/>
          <w:color w:val="auto"/>
          <w:sz w:val="21"/>
          <w:szCs w:val="21"/>
          <w:highlight w:val="none"/>
        </w:rPr>
        <w:t>2.3 发包人人员</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_Toc17574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4A8FB1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"_Toc27567" </w:instrText>
      </w:r>
      <w:r>
        <w:rPr>
          <w:color w:val="auto"/>
          <w:highlight w:val="none"/>
        </w:rPr>
        <w:fldChar w:fldCharType="separate"/>
      </w:r>
      <w:r>
        <w:rPr>
          <w:rFonts w:hint="eastAsia" w:ascii="仿宋" w:hAnsi="仿宋" w:eastAsia="仿宋" w:cs="仿宋"/>
          <w:color w:val="auto"/>
          <w:sz w:val="21"/>
          <w:szCs w:val="21"/>
          <w:highlight w:val="none"/>
        </w:rPr>
        <w:t>2.4 施工现场、施工条件和基础资料的提供</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_Toc27567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1B57880">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"_Toc9290" </w:instrText>
      </w:r>
      <w:r>
        <w:rPr>
          <w:color w:val="auto"/>
          <w:highlight w:val="none"/>
        </w:rPr>
        <w:fldChar w:fldCharType="separate"/>
      </w:r>
      <w:r>
        <w:rPr>
          <w:rFonts w:hint="eastAsia" w:ascii="仿宋" w:hAnsi="仿宋" w:eastAsia="仿宋" w:cs="仿宋"/>
          <w:color w:val="auto"/>
          <w:sz w:val="21"/>
          <w:szCs w:val="21"/>
          <w:highlight w:val="none"/>
        </w:rPr>
        <w:t>2.5 资金来源证明及支付担保</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_Toc9290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9DC837F">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"_Toc18118" </w:instrText>
      </w:r>
      <w:r>
        <w:rPr>
          <w:color w:val="auto"/>
          <w:highlight w:val="none"/>
        </w:rPr>
        <w:fldChar w:fldCharType="separate"/>
      </w:r>
      <w:r>
        <w:rPr>
          <w:rFonts w:hint="eastAsia" w:ascii="仿宋" w:hAnsi="仿宋" w:eastAsia="仿宋" w:cs="仿宋"/>
          <w:color w:val="auto"/>
          <w:sz w:val="21"/>
          <w:szCs w:val="21"/>
          <w:highlight w:val="none"/>
        </w:rPr>
        <w:t>2.6 支付合同价款</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_Toc18118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BAD4D1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"_Toc14875" </w:instrText>
      </w:r>
      <w:r>
        <w:rPr>
          <w:color w:val="auto"/>
          <w:highlight w:val="none"/>
        </w:rPr>
        <w:fldChar w:fldCharType="separate"/>
      </w:r>
      <w:r>
        <w:rPr>
          <w:rFonts w:hint="eastAsia" w:ascii="仿宋" w:hAnsi="仿宋" w:eastAsia="仿宋" w:cs="仿宋"/>
          <w:color w:val="auto"/>
          <w:sz w:val="21"/>
          <w:szCs w:val="21"/>
          <w:highlight w:val="none"/>
        </w:rPr>
        <w:t>2.7 组织竣工验收</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_Toc14875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2726C4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"_Toc20650" </w:instrText>
      </w:r>
      <w:r>
        <w:rPr>
          <w:color w:val="auto"/>
          <w:highlight w:val="none"/>
        </w:rPr>
        <w:fldChar w:fldCharType="separate"/>
      </w:r>
      <w:r>
        <w:rPr>
          <w:rFonts w:hint="eastAsia" w:ascii="仿宋" w:hAnsi="仿宋" w:eastAsia="仿宋" w:cs="仿宋"/>
          <w:color w:val="auto"/>
          <w:sz w:val="21"/>
          <w:szCs w:val="21"/>
          <w:highlight w:val="none"/>
        </w:rPr>
        <w:t>2.8 现场统一管理协议</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_Toc20650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AB0B73B">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"_Toc30852" </w:instrText>
      </w:r>
      <w:r>
        <w:rPr>
          <w:color w:val="auto"/>
          <w:highlight w:val="none"/>
        </w:rPr>
        <w:fldChar w:fldCharType="separate"/>
      </w:r>
      <w:r>
        <w:rPr>
          <w:rFonts w:hint="eastAsia" w:ascii="仿宋" w:hAnsi="仿宋" w:eastAsia="仿宋" w:cs="仿宋"/>
          <w:color w:val="auto"/>
          <w:sz w:val="21"/>
          <w:szCs w:val="21"/>
          <w:highlight w:val="none"/>
        </w:rPr>
        <w:t>3. 承包人</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_Toc30852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87251A9">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"_Toc18128" </w:instrText>
      </w:r>
      <w:r>
        <w:rPr>
          <w:color w:val="auto"/>
          <w:highlight w:val="none"/>
        </w:rPr>
        <w:fldChar w:fldCharType="separate"/>
      </w:r>
      <w:r>
        <w:rPr>
          <w:rFonts w:hint="eastAsia" w:ascii="仿宋" w:hAnsi="仿宋" w:eastAsia="仿宋" w:cs="仿宋"/>
          <w:color w:val="auto"/>
          <w:sz w:val="21"/>
          <w:szCs w:val="21"/>
          <w:highlight w:val="none"/>
        </w:rPr>
        <w:t>3.1 承包人的一般义务</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_Toc18128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4B3C1A6">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"_Toc12558" </w:instrText>
      </w:r>
      <w:r>
        <w:rPr>
          <w:color w:val="auto"/>
          <w:highlight w:val="none"/>
        </w:rPr>
        <w:fldChar w:fldCharType="separate"/>
      </w:r>
      <w:r>
        <w:rPr>
          <w:rFonts w:hint="eastAsia" w:ascii="仿宋" w:hAnsi="仿宋" w:eastAsia="仿宋" w:cs="仿宋"/>
          <w:color w:val="auto"/>
          <w:sz w:val="21"/>
          <w:szCs w:val="21"/>
          <w:highlight w:val="none"/>
        </w:rPr>
        <w:t>3.2 项目经理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_Toc12558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F18BD7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"_Toc16093" </w:instrText>
      </w:r>
      <w:r>
        <w:rPr>
          <w:color w:val="auto"/>
          <w:highlight w:val="none"/>
        </w:rPr>
        <w:fldChar w:fldCharType="separate"/>
      </w:r>
      <w:r>
        <w:rPr>
          <w:rFonts w:hint="eastAsia" w:ascii="仿宋" w:hAnsi="仿宋" w:eastAsia="仿宋" w:cs="仿宋"/>
          <w:color w:val="auto"/>
          <w:sz w:val="21"/>
          <w:szCs w:val="21"/>
          <w:highlight w:val="none"/>
        </w:rPr>
        <w:t>3.3 承包人人员</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_Toc16093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328847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"_Toc3077" </w:instrText>
      </w:r>
      <w:r>
        <w:rPr>
          <w:color w:val="auto"/>
          <w:highlight w:val="none"/>
        </w:rPr>
        <w:fldChar w:fldCharType="separate"/>
      </w:r>
      <w:r>
        <w:rPr>
          <w:rFonts w:hint="eastAsia" w:ascii="仿宋" w:hAnsi="仿宋" w:eastAsia="仿宋" w:cs="仿宋"/>
          <w:color w:val="auto"/>
          <w:sz w:val="21"/>
          <w:szCs w:val="21"/>
          <w:highlight w:val="none"/>
        </w:rPr>
        <w:t>3.4 承包人现场查勘</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_Toc3077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46EE980">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"_Toc27715" </w:instrText>
      </w:r>
      <w:r>
        <w:rPr>
          <w:color w:val="auto"/>
          <w:highlight w:val="none"/>
        </w:rPr>
        <w:fldChar w:fldCharType="separate"/>
      </w:r>
      <w:r>
        <w:rPr>
          <w:rFonts w:hint="eastAsia" w:ascii="仿宋" w:hAnsi="仿宋" w:eastAsia="仿宋" w:cs="仿宋"/>
          <w:color w:val="auto"/>
          <w:sz w:val="21"/>
          <w:szCs w:val="21"/>
          <w:highlight w:val="none"/>
        </w:rPr>
        <w:t>3.5 分包</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_Toc27715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28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E00C1B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"_Toc12829" </w:instrText>
      </w:r>
      <w:r>
        <w:rPr>
          <w:color w:val="auto"/>
          <w:highlight w:val="none"/>
        </w:rPr>
        <w:fldChar w:fldCharType="separate"/>
      </w:r>
      <w:r>
        <w:rPr>
          <w:rFonts w:hint="eastAsia" w:ascii="仿宋" w:hAnsi="仿宋" w:eastAsia="仿宋" w:cs="仿宋"/>
          <w:color w:val="auto"/>
          <w:sz w:val="21"/>
          <w:szCs w:val="21"/>
          <w:highlight w:val="none"/>
        </w:rPr>
        <w:t>3.6 工程照管与成品、半成品保护</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_Toc12829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E14912D">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"_Toc13248" </w:instrText>
      </w:r>
      <w:r>
        <w:rPr>
          <w:color w:val="auto"/>
          <w:highlight w:val="none"/>
        </w:rPr>
        <w:fldChar w:fldCharType="separate"/>
      </w:r>
      <w:r>
        <w:rPr>
          <w:rFonts w:hint="eastAsia" w:ascii="仿宋" w:hAnsi="仿宋" w:eastAsia="仿宋" w:cs="仿宋"/>
          <w:color w:val="auto"/>
          <w:sz w:val="21"/>
          <w:szCs w:val="21"/>
          <w:highlight w:val="none"/>
        </w:rPr>
        <w:t>3.7 履约担保</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_Toc13248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6124350">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"_Toc24693" </w:instrText>
      </w:r>
      <w:r>
        <w:rPr>
          <w:color w:val="auto"/>
          <w:highlight w:val="none"/>
        </w:rPr>
        <w:fldChar w:fldCharType="separate"/>
      </w:r>
      <w:r>
        <w:rPr>
          <w:rFonts w:hint="eastAsia" w:ascii="仿宋" w:hAnsi="仿宋" w:eastAsia="仿宋" w:cs="仿宋"/>
          <w:color w:val="auto"/>
          <w:sz w:val="21"/>
          <w:szCs w:val="21"/>
          <w:highlight w:val="none"/>
        </w:rPr>
        <w:t>3.8 联合体</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_Toc24693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5AD3758">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"_Toc1007" </w:instrText>
      </w:r>
      <w:r>
        <w:rPr>
          <w:color w:val="auto"/>
          <w:highlight w:val="none"/>
        </w:rPr>
        <w:fldChar w:fldCharType="separate"/>
      </w:r>
      <w:r>
        <w:rPr>
          <w:rFonts w:hint="eastAsia" w:ascii="仿宋" w:hAnsi="仿宋" w:eastAsia="仿宋" w:cs="仿宋"/>
          <w:color w:val="auto"/>
          <w:sz w:val="21"/>
          <w:szCs w:val="21"/>
          <w:highlight w:val="none"/>
        </w:rPr>
        <w:t>4. 监理人</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_Toc1007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130F84C">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"_Toc8547" </w:instrText>
      </w:r>
      <w:r>
        <w:rPr>
          <w:color w:val="auto"/>
          <w:highlight w:val="none"/>
        </w:rPr>
        <w:fldChar w:fldCharType="separate"/>
      </w:r>
      <w:r>
        <w:rPr>
          <w:rFonts w:hint="eastAsia" w:ascii="仿宋" w:hAnsi="仿宋" w:eastAsia="仿宋" w:cs="仿宋"/>
          <w:color w:val="auto"/>
          <w:sz w:val="21"/>
          <w:szCs w:val="21"/>
          <w:highlight w:val="none"/>
        </w:rPr>
        <w:t>4.1监理人的一般规定</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_Toc8547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EB2407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"_Toc25421" </w:instrText>
      </w:r>
      <w:r>
        <w:rPr>
          <w:color w:val="auto"/>
          <w:highlight w:val="none"/>
        </w:rPr>
        <w:fldChar w:fldCharType="separate"/>
      </w:r>
      <w:r>
        <w:rPr>
          <w:rFonts w:hint="eastAsia" w:ascii="仿宋" w:hAnsi="仿宋" w:eastAsia="仿宋" w:cs="仿宋"/>
          <w:color w:val="auto"/>
          <w:sz w:val="21"/>
          <w:szCs w:val="21"/>
          <w:highlight w:val="none"/>
        </w:rPr>
        <w:t>4.2监理人员</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_Toc25421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76012A9">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"_Toc30959" </w:instrText>
      </w:r>
      <w:r>
        <w:rPr>
          <w:color w:val="auto"/>
          <w:highlight w:val="none"/>
        </w:rPr>
        <w:fldChar w:fldCharType="separate"/>
      </w:r>
      <w:r>
        <w:rPr>
          <w:rFonts w:hint="eastAsia" w:ascii="仿宋" w:hAnsi="仿宋" w:eastAsia="仿宋" w:cs="仿宋"/>
          <w:color w:val="auto"/>
          <w:sz w:val="21"/>
          <w:szCs w:val="21"/>
          <w:highlight w:val="none"/>
        </w:rPr>
        <w:t>4.3监理人的指示</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_Toc30959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BB8B9C9">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"_Toc26454" </w:instrText>
      </w:r>
      <w:r>
        <w:rPr>
          <w:color w:val="auto"/>
          <w:highlight w:val="none"/>
        </w:rPr>
        <w:fldChar w:fldCharType="separate"/>
      </w:r>
      <w:r>
        <w:rPr>
          <w:rFonts w:hint="eastAsia" w:ascii="仿宋" w:hAnsi="仿宋" w:eastAsia="仿宋" w:cs="仿宋"/>
          <w:color w:val="auto"/>
          <w:sz w:val="21"/>
          <w:szCs w:val="21"/>
          <w:highlight w:val="none"/>
        </w:rPr>
        <w:t>4.4 商定或确定</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_Toc26454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8BC0613">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"_Toc2542" </w:instrText>
      </w:r>
      <w:r>
        <w:rPr>
          <w:color w:val="auto"/>
          <w:highlight w:val="none"/>
        </w:rPr>
        <w:fldChar w:fldCharType="separate"/>
      </w:r>
      <w:r>
        <w:rPr>
          <w:rFonts w:hint="eastAsia" w:ascii="仿宋" w:hAnsi="仿宋" w:eastAsia="仿宋" w:cs="仿宋"/>
          <w:color w:val="auto"/>
          <w:sz w:val="21"/>
          <w:szCs w:val="21"/>
          <w:highlight w:val="none"/>
        </w:rPr>
        <w:t>5. 工程质量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_Toc2542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041C745">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"_Toc9645" </w:instrText>
      </w:r>
      <w:r>
        <w:rPr>
          <w:color w:val="auto"/>
          <w:highlight w:val="none"/>
        </w:rPr>
        <w:fldChar w:fldCharType="separate"/>
      </w:r>
      <w:r>
        <w:rPr>
          <w:rFonts w:hint="eastAsia" w:ascii="仿宋" w:hAnsi="仿宋" w:eastAsia="仿宋" w:cs="仿宋"/>
          <w:color w:val="auto"/>
          <w:sz w:val="21"/>
          <w:szCs w:val="21"/>
          <w:highlight w:val="none"/>
        </w:rPr>
        <w:t>5.1质量要求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_Toc9645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68656AA">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"_Toc8466" </w:instrText>
      </w:r>
      <w:r>
        <w:rPr>
          <w:color w:val="auto"/>
          <w:highlight w:val="none"/>
        </w:rPr>
        <w:fldChar w:fldCharType="separate"/>
      </w:r>
      <w:r>
        <w:rPr>
          <w:rFonts w:hint="eastAsia" w:ascii="仿宋" w:hAnsi="仿宋" w:eastAsia="仿宋" w:cs="仿宋"/>
          <w:color w:val="auto"/>
          <w:sz w:val="21"/>
          <w:szCs w:val="21"/>
          <w:highlight w:val="none"/>
        </w:rPr>
        <w:t>5.2质量保证措施</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_Toc8466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AB7A53B">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"_Toc30572" </w:instrText>
      </w:r>
      <w:r>
        <w:rPr>
          <w:color w:val="auto"/>
          <w:highlight w:val="none"/>
        </w:rPr>
        <w:fldChar w:fldCharType="separate"/>
      </w:r>
      <w:r>
        <w:rPr>
          <w:rFonts w:hint="eastAsia" w:ascii="仿宋" w:hAnsi="仿宋" w:eastAsia="仿宋" w:cs="仿宋"/>
          <w:color w:val="auto"/>
          <w:sz w:val="21"/>
          <w:szCs w:val="21"/>
          <w:highlight w:val="none"/>
        </w:rPr>
        <w:t>5.3 隐蔽工程检查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_Toc30572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24A98D6">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"_Toc15730" </w:instrText>
      </w:r>
      <w:r>
        <w:rPr>
          <w:color w:val="auto"/>
          <w:highlight w:val="none"/>
        </w:rPr>
        <w:fldChar w:fldCharType="separate"/>
      </w:r>
      <w:r>
        <w:rPr>
          <w:rFonts w:hint="eastAsia" w:ascii="仿宋" w:hAnsi="仿宋" w:eastAsia="仿宋" w:cs="仿宋"/>
          <w:color w:val="auto"/>
          <w:sz w:val="21"/>
          <w:szCs w:val="21"/>
          <w:highlight w:val="none"/>
        </w:rPr>
        <w:t>5.4不合格工程的处理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_Toc15730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2D5F965">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"_Toc26640" </w:instrText>
      </w:r>
      <w:r>
        <w:rPr>
          <w:color w:val="auto"/>
          <w:highlight w:val="none"/>
        </w:rPr>
        <w:fldChar w:fldCharType="separate"/>
      </w:r>
      <w:r>
        <w:rPr>
          <w:rFonts w:hint="eastAsia" w:ascii="仿宋" w:hAnsi="仿宋" w:eastAsia="仿宋" w:cs="仿宋"/>
          <w:color w:val="auto"/>
          <w:sz w:val="21"/>
          <w:szCs w:val="21"/>
          <w:highlight w:val="none"/>
        </w:rPr>
        <w:t>5.5 质量争议检测</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_Toc26640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5CD859C">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"_Toc10836" </w:instrText>
      </w:r>
      <w:r>
        <w:rPr>
          <w:color w:val="auto"/>
          <w:highlight w:val="none"/>
        </w:rPr>
        <w:fldChar w:fldCharType="separate"/>
      </w:r>
      <w:r>
        <w:rPr>
          <w:rFonts w:hint="eastAsia" w:ascii="仿宋" w:hAnsi="仿宋" w:eastAsia="仿宋" w:cs="仿宋"/>
          <w:color w:val="auto"/>
          <w:sz w:val="21"/>
          <w:szCs w:val="21"/>
          <w:highlight w:val="none"/>
        </w:rPr>
        <w:t>6. 安全文明施工与环境保护</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_Toc10836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88B9D6B">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"_Toc13467" </w:instrText>
      </w:r>
      <w:r>
        <w:rPr>
          <w:color w:val="auto"/>
          <w:highlight w:val="none"/>
        </w:rPr>
        <w:fldChar w:fldCharType="separate"/>
      </w:r>
      <w:r>
        <w:rPr>
          <w:rFonts w:hint="eastAsia" w:ascii="仿宋" w:hAnsi="仿宋" w:eastAsia="仿宋" w:cs="仿宋"/>
          <w:color w:val="auto"/>
          <w:sz w:val="21"/>
          <w:szCs w:val="21"/>
          <w:highlight w:val="none"/>
        </w:rPr>
        <w:t>6.1安全文明施工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_Toc13467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37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F22F38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"_Toc7230" </w:instrText>
      </w:r>
      <w:r>
        <w:rPr>
          <w:color w:val="auto"/>
          <w:highlight w:val="none"/>
        </w:rPr>
        <w:fldChar w:fldCharType="separate"/>
      </w:r>
      <w:r>
        <w:rPr>
          <w:rFonts w:hint="eastAsia" w:ascii="仿宋" w:hAnsi="仿宋" w:eastAsia="仿宋" w:cs="仿宋"/>
          <w:color w:val="auto"/>
          <w:sz w:val="21"/>
          <w:szCs w:val="21"/>
          <w:highlight w:val="none"/>
        </w:rPr>
        <w:t>6.2 职业健康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_Toc7230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AE4695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"_Toc9437" </w:instrText>
      </w:r>
      <w:r>
        <w:rPr>
          <w:color w:val="auto"/>
          <w:highlight w:val="none"/>
        </w:rPr>
        <w:fldChar w:fldCharType="separate"/>
      </w:r>
      <w:r>
        <w:rPr>
          <w:rFonts w:hint="eastAsia" w:ascii="仿宋" w:hAnsi="仿宋" w:eastAsia="仿宋" w:cs="仿宋"/>
          <w:color w:val="auto"/>
          <w:sz w:val="21"/>
          <w:szCs w:val="21"/>
          <w:highlight w:val="none"/>
        </w:rPr>
        <w:t>6.3 环境保护</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_Toc9437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7AA0166">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"_Toc5018" </w:instrText>
      </w:r>
      <w:r>
        <w:rPr>
          <w:color w:val="auto"/>
          <w:highlight w:val="none"/>
        </w:rPr>
        <w:fldChar w:fldCharType="separate"/>
      </w:r>
      <w:r>
        <w:rPr>
          <w:rFonts w:hint="eastAsia" w:ascii="仿宋" w:hAnsi="仿宋" w:eastAsia="仿宋" w:cs="仿宋"/>
          <w:color w:val="auto"/>
          <w:sz w:val="21"/>
          <w:szCs w:val="21"/>
          <w:highlight w:val="none"/>
        </w:rPr>
        <w:t>7. 工期和进度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_Toc5018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0049B3E">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"_Toc6154" </w:instrText>
      </w:r>
      <w:r>
        <w:rPr>
          <w:color w:val="auto"/>
          <w:highlight w:val="none"/>
        </w:rPr>
        <w:fldChar w:fldCharType="separate"/>
      </w:r>
      <w:r>
        <w:rPr>
          <w:rFonts w:hint="eastAsia" w:ascii="仿宋" w:hAnsi="仿宋" w:eastAsia="仿宋" w:cs="仿宋"/>
          <w:color w:val="auto"/>
          <w:sz w:val="21"/>
          <w:szCs w:val="21"/>
          <w:highlight w:val="none"/>
        </w:rPr>
        <w:t>7.1施工组织设计</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_Toc6154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BC476A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"_Toc6512" </w:instrText>
      </w:r>
      <w:r>
        <w:rPr>
          <w:color w:val="auto"/>
          <w:highlight w:val="none"/>
        </w:rPr>
        <w:fldChar w:fldCharType="separate"/>
      </w:r>
      <w:r>
        <w:rPr>
          <w:rFonts w:hint="eastAsia" w:ascii="仿宋" w:hAnsi="仿宋" w:eastAsia="仿宋" w:cs="仿宋"/>
          <w:color w:val="auto"/>
          <w:sz w:val="21"/>
          <w:szCs w:val="21"/>
          <w:highlight w:val="none"/>
        </w:rPr>
        <w:t>7.2 施工进度计划</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_Toc6512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B0902C5">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"_Toc9995" </w:instrText>
      </w:r>
      <w:r>
        <w:rPr>
          <w:color w:val="auto"/>
          <w:highlight w:val="none"/>
        </w:rPr>
        <w:fldChar w:fldCharType="separate"/>
      </w:r>
      <w:r>
        <w:rPr>
          <w:rFonts w:hint="eastAsia" w:ascii="仿宋" w:hAnsi="仿宋" w:eastAsia="仿宋" w:cs="仿宋"/>
          <w:color w:val="auto"/>
          <w:sz w:val="21"/>
          <w:szCs w:val="21"/>
          <w:highlight w:val="none"/>
        </w:rPr>
        <w:t>7.3 开工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_Toc9995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3BBFD15">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"_Toc20230" </w:instrText>
      </w:r>
      <w:r>
        <w:rPr>
          <w:color w:val="auto"/>
          <w:highlight w:val="none"/>
        </w:rPr>
        <w:fldChar w:fldCharType="separate"/>
      </w:r>
      <w:r>
        <w:rPr>
          <w:rFonts w:hint="eastAsia" w:ascii="仿宋" w:hAnsi="仿宋" w:eastAsia="仿宋" w:cs="仿宋"/>
          <w:color w:val="auto"/>
          <w:sz w:val="21"/>
          <w:szCs w:val="21"/>
          <w:highlight w:val="none"/>
        </w:rPr>
        <w:t>7.4测量放线</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_Toc20230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DE8ED57">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"_Toc4639" </w:instrText>
      </w:r>
      <w:r>
        <w:rPr>
          <w:color w:val="auto"/>
          <w:highlight w:val="none"/>
        </w:rPr>
        <w:fldChar w:fldCharType="separate"/>
      </w:r>
      <w:r>
        <w:rPr>
          <w:rFonts w:hint="eastAsia" w:ascii="仿宋" w:hAnsi="仿宋" w:eastAsia="仿宋" w:cs="仿宋"/>
          <w:color w:val="auto"/>
          <w:sz w:val="21"/>
          <w:szCs w:val="21"/>
          <w:highlight w:val="none"/>
        </w:rPr>
        <w:t>7.5 工期延误</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_Toc4639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BE5ECDD">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"_Toc20325" </w:instrText>
      </w:r>
      <w:r>
        <w:rPr>
          <w:color w:val="auto"/>
          <w:highlight w:val="none"/>
        </w:rPr>
        <w:fldChar w:fldCharType="separate"/>
      </w:r>
      <w:r>
        <w:rPr>
          <w:rFonts w:hint="eastAsia" w:ascii="仿宋" w:hAnsi="仿宋" w:eastAsia="仿宋" w:cs="仿宋"/>
          <w:color w:val="auto"/>
          <w:sz w:val="21"/>
          <w:szCs w:val="21"/>
          <w:highlight w:val="none"/>
        </w:rPr>
        <w:t>7.6 不利物质条件</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_Toc20325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EBC8DFD">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"_Toc7374" </w:instrText>
      </w:r>
      <w:r>
        <w:rPr>
          <w:color w:val="auto"/>
          <w:highlight w:val="none"/>
        </w:rPr>
        <w:fldChar w:fldCharType="separate"/>
      </w:r>
      <w:r>
        <w:rPr>
          <w:rFonts w:hint="eastAsia" w:ascii="仿宋" w:hAnsi="仿宋" w:eastAsia="仿宋" w:cs="仿宋"/>
          <w:color w:val="auto"/>
          <w:sz w:val="21"/>
          <w:szCs w:val="21"/>
          <w:highlight w:val="none"/>
        </w:rPr>
        <w:t>7.7 异常恶劣的气候条件</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_Toc7374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29FE31F">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"_Toc6672" </w:instrText>
      </w:r>
      <w:r>
        <w:rPr>
          <w:color w:val="auto"/>
          <w:highlight w:val="none"/>
        </w:rPr>
        <w:fldChar w:fldCharType="separate"/>
      </w:r>
      <w:r>
        <w:rPr>
          <w:rFonts w:hint="eastAsia" w:ascii="仿宋" w:hAnsi="仿宋" w:eastAsia="仿宋" w:cs="仿宋"/>
          <w:color w:val="auto"/>
          <w:sz w:val="21"/>
          <w:szCs w:val="21"/>
          <w:highlight w:val="none"/>
        </w:rPr>
        <w:t>7.8 暂停施工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_Toc6672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48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AD90FA6">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"_Toc21059" </w:instrText>
      </w:r>
      <w:r>
        <w:rPr>
          <w:color w:val="auto"/>
          <w:highlight w:val="none"/>
        </w:rPr>
        <w:fldChar w:fldCharType="separate"/>
      </w:r>
      <w:r>
        <w:rPr>
          <w:rFonts w:hint="eastAsia" w:ascii="仿宋" w:hAnsi="仿宋" w:eastAsia="仿宋" w:cs="仿宋"/>
          <w:color w:val="auto"/>
          <w:sz w:val="21"/>
          <w:szCs w:val="21"/>
          <w:highlight w:val="none"/>
        </w:rPr>
        <w:t>7.9提前竣工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_Toc21059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43A4904">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"_Toc14452" </w:instrText>
      </w:r>
      <w:r>
        <w:rPr>
          <w:color w:val="auto"/>
          <w:highlight w:val="none"/>
        </w:rPr>
        <w:fldChar w:fldCharType="separate"/>
      </w:r>
      <w:r>
        <w:rPr>
          <w:rFonts w:hint="eastAsia" w:ascii="仿宋" w:hAnsi="仿宋" w:eastAsia="仿宋" w:cs="仿宋"/>
          <w:color w:val="auto"/>
          <w:sz w:val="21"/>
          <w:szCs w:val="21"/>
          <w:highlight w:val="none"/>
        </w:rPr>
        <w:t>8. 材料与设备</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_Toc14452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B100613">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"_Toc15735" </w:instrText>
      </w:r>
      <w:r>
        <w:rPr>
          <w:color w:val="auto"/>
          <w:highlight w:val="none"/>
        </w:rPr>
        <w:fldChar w:fldCharType="separate"/>
      </w:r>
      <w:r>
        <w:rPr>
          <w:rFonts w:hint="eastAsia" w:ascii="仿宋" w:hAnsi="仿宋" w:eastAsia="仿宋" w:cs="仿宋"/>
          <w:color w:val="auto"/>
          <w:sz w:val="21"/>
          <w:szCs w:val="21"/>
          <w:highlight w:val="none"/>
        </w:rPr>
        <w:t>8.1发包人供应材料与工程设备</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_Toc15735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0C60F33">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仿宋" w:hAnsi="仿宋" w:eastAsia="仿宋" w:cs="仿宋"/>
          <w:color w:val="auto"/>
          <w:sz w:val="21"/>
          <w:szCs w:val="21"/>
          <w:highlight w:val="none"/>
        </w:rPr>
        <w:t>8.2承包人采购材料与工程设备</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_Toc7129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941DA97">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"_Toc15333" </w:instrText>
      </w:r>
      <w:r>
        <w:rPr>
          <w:color w:val="auto"/>
          <w:highlight w:val="none"/>
        </w:rPr>
        <w:fldChar w:fldCharType="separate"/>
      </w:r>
      <w:r>
        <w:rPr>
          <w:rFonts w:hint="eastAsia" w:ascii="仿宋" w:hAnsi="仿宋" w:eastAsia="仿宋" w:cs="仿宋"/>
          <w:color w:val="auto"/>
          <w:sz w:val="21"/>
          <w:szCs w:val="21"/>
          <w:highlight w:val="none"/>
        </w:rPr>
        <w:t>8.3材料与工程设备的接收与拒收</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_Toc15333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E6B9C23">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"_Toc24540" </w:instrText>
      </w:r>
      <w:r>
        <w:rPr>
          <w:color w:val="auto"/>
          <w:highlight w:val="none"/>
        </w:rPr>
        <w:fldChar w:fldCharType="separate"/>
      </w:r>
      <w:r>
        <w:rPr>
          <w:rFonts w:hint="eastAsia" w:ascii="仿宋" w:hAnsi="仿宋" w:eastAsia="仿宋" w:cs="仿宋"/>
          <w:color w:val="auto"/>
          <w:sz w:val="21"/>
          <w:szCs w:val="21"/>
          <w:highlight w:val="none"/>
        </w:rPr>
        <w:t>8.4材料与工程设备的保管与使用</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_Toc24540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151B6EA">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"_Toc1685" </w:instrText>
      </w:r>
      <w:r>
        <w:rPr>
          <w:color w:val="auto"/>
          <w:highlight w:val="none"/>
        </w:rPr>
        <w:fldChar w:fldCharType="separate"/>
      </w:r>
      <w:r>
        <w:rPr>
          <w:rFonts w:hint="eastAsia" w:ascii="仿宋" w:hAnsi="仿宋" w:eastAsia="仿宋" w:cs="仿宋"/>
          <w:color w:val="auto"/>
          <w:sz w:val="21"/>
          <w:szCs w:val="21"/>
          <w:highlight w:val="none"/>
        </w:rPr>
        <w:t>8.5禁止使用不合格的材料和工程设备</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_Toc1685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6E324CB">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"_Toc15803" </w:instrText>
      </w:r>
      <w:r>
        <w:rPr>
          <w:color w:val="auto"/>
          <w:highlight w:val="none"/>
        </w:rPr>
        <w:fldChar w:fldCharType="separate"/>
      </w:r>
      <w:r>
        <w:rPr>
          <w:rFonts w:hint="eastAsia" w:ascii="仿宋" w:hAnsi="仿宋" w:eastAsia="仿宋" w:cs="仿宋"/>
          <w:color w:val="auto"/>
          <w:sz w:val="21"/>
          <w:szCs w:val="21"/>
          <w:highlight w:val="none"/>
        </w:rPr>
        <w:t>8.6 样品</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_Toc15803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3076E44">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"_Toc11457" </w:instrText>
      </w:r>
      <w:r>
        <w:rPr>
          <w:color w:val="auto"/>
          <w:highlight w:val="none"/>
        </w:rPr>
        <w:fldChar w:fldCharType="separate"/>
      </w:r>
      <w:r>
        <w:rPr>
          <w:rFonts w:hint="eastAsia" w:ascii="仿宋" w:hAnsi="仿宋" w:eastAsia="仿宋" w:cs="仿宋"/>
          <w:color w:val="auto"/>
          <w:sz w:val="21"/>
          <w:szCs w:val="21"/>
          <w:highlight w:val="none"/>
        </w:rPr>
        <w:t>8.7材料与工程设备的替代</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_Toc11457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F1DFD7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"_Toc7930" </w:instrText>
      </w:r>
      <w:r>
        <w:rPr>
          <w:color w:val="auto"/>
          <w:highlight w:val="none"/>
        </w:rPr>
        <w:fldChar w:fldCharType="separate"/>
      </w:r>
      <w:r>
        <w:rPr>
          <w:rFonts w:hint="eastAsia" w:ascii="仿宋" w:hAnsi="仿宋" w:eastAsia="仿宋" w:cs="仿宋"/>
          <w:color w:val="auto"/>
          <w:sz w:val="21"/>
          <w:szCs w:val="21"/>
          <w:highlight w:val="none"/>
        </w:rPr>
        <w:t>8.8施工设备和临时设施</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_Toc7930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C91CB7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"_Toc21601" </w:instrText>
      </w:r>
      <w:r>
        <w:rPr>
          <w:color w:val="auto"/>
          <w:highlight w:val="none"/>
        </w:rPr>
        <w:fldChar w:fldCharType="separate"/>
      </w:r>
      <w:r>
        <w:rPr>
          <w:rFonts w:hint="eastAsia" w:ascii="仿宋" w:hAnsi="仿宋" w:eastAsia="仿宋" w:cs="仿宋"/>
          <w:color w:val="auto"/>
          <w:sz w:val="21"/>
          <w:szCs w:val="21"/>
          <w:highlight w:val="none"/>
        </w:rPr>
        <w:t>8.9材料与设备专用要求</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_Toc21601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037A37F">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"_Toc29221" </w:instrText>
      </w:r>
      <w:r>
        <w:rPr>
          <w:color w:val="auto"/>
          <w:highlight w:val="none"/>
        </w:rPr>
        <w:fldChar w:fldCharType="separate"/>
      </w:r>
      <w:r>
        <w:rPr>
          <w:rFonts w:hint="eastAsia" w:ascii="仿宋" w:hAnsi="仿宋" w:eastAsia="仿宋" w:cs="仿宋"/>
          <w:color w:val="auto"/>
          <w:sz w:val="21"/>
          <w:szCs w:val="21"/>
          <w:highlight w:val="none"/>
        </w:rPr>
        <w:t>9. 试验与检验</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_Toc29221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187FE00">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"_Toc30818" </w:instrText>
      </w:r>
      <w:r>
        <w:rPr>
          <w:color w:val="auto"/>
          <w:highlight w:val="none"/>
        </w:rPr>
        <w:fldChar w:fldCharType="separate"/>
      </w:r>
      <w:r>
        <w:rPr>
          <w:rFonts w:hint="eastAsia" w:ascii="仿宋" w:hAnsi="仿宋" w:eastAsia="仿宋" w:cs="仿宋"/>
          <w:color w:val="auto"/>
          <w:sz w:val="21"/>
          <w:szCs w:val="21"/>
          <w:highlight w:val="none"/>
        </w:rPr>
        <w:t>9.1试验设备与试验人员</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_Toc30818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9282F0E">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"_Toc15040" </w:instrText>
      </w:r>
      <w:r>
        <w:rPr>
          <w:color w:val="auto"/>
          <w:highlight w:val="none"/>
        </w:rPr>
        <w:fldChar w:fldCharType="separate"/>
      </w:r>
      <w:r>
        <w:rPr>
          <w:rFonts w:hint="eastAsia" w:ascii="仿宋" w:hAnsi="仿宋" w:eastAsia="仿宋" w:cs="仿宋"/>
          <w:color w:val="auto"/>
          <w:sz w:val="21"/>
          <w:szCs w:val="21"/>
          <w:highlight w:val="none"/>
        </w:rPr>
        <w:t>9.2取样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_Toc15040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5A1E0E9">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"_Toc22873" </w:instrText>
      </w:r>
      <w:r>
        <w:rPr>
          <w:color w:val="auto"/>
          <w:highlight w:val="none"/>
        </w:rPr>
        <w:fldChar w:fldCharType="separate"/>
      </w:r>
      <w:r>
        <w:rPr>
          <w:rFonts w:hint="eastAsia" w:ascii="仿宋" w:hAnsi="仿宋" w:eastAsia="仿宋" w:cs="仿宋"/>
          <w:color w:val="auto"/>
          <w:sz w:val="21"/>
          <w:szCs w:val="21"/>
          <w:highlight w:val="none"/>
        </w:rPr>
        <w:t>9.3材料、工程设备和工程的试验和检验</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_Toc22873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E3E26A9">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"_Toc23974" </w:instrText>
      </w:r>
      <w:r>
        <w:rPr>
          <w:color w:val="auto"/>
          <w:highlight w:val="none"/>
        </w:rPr>
        <w:fldChar w:fldCharType="separate"/>
      </w:r>
      <w:r>
        <w:rPr>
          <w:rFonts w:hint="eastAsia" w:ascii="仿宋" w:hAnsi="仿宋" w:eastAsia="仿宋" w:cs="仿宋"/>
          <w:color w:val="auto"/>
          <w:sz w:val="21"/>
          <w:szCs w:val="21"/>
          <w:highlight w:val="none"/>
        </w:rPr>
        <w:t>9.4现场工艺试验</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_Toc23974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15DD6F9">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"_Toc15589" </w:instrText>
      </w:r>
      <w:r>
        <w:rPr>
          <w:color w:val="auto"/>
          <w:highlight w:val="none"/>
        </w:rPr>
        <w:fldChar w:fldCharType="separate"/>
      </w:r>
      <w:r>
        <w:rPr>
          <w:rFonts w:hint="eastAsia" w:ascii="仿宋" w:hAnsi="仿宋" w:eastAsia="仿宋" w:cs="仿宋"/>
          <w:color w:val="auto"/>
          <w:sz w:val="21"/>
          <w:szCs w:val="21"/>
          <w:highlight w:val="none"/>
        </w:rPr>
        <w:t>10. 变更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_Toc15589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80CBD1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"_Toc30050" </w:instrText>
      </w:r>
      <w:r>
        <w:rPr>
          <w:color w:val="auto"/>
          <w:highlight w:val="none"/>
        </w:rPr>
        <w:fldChar w:fldCharType="separate"/>
      </w:r>
      <w:r>
        <w:rPr>
          <w:rFonts w:hint="eastAsia" w:ascii="仿宋" w:hAnsi="仿宋" w:eastAsia="仿宋" w:cs="仿宋"/>
          <w:color w:val="auto"/>
          <w:sz w:val="21"/>
          <w:szCs w:val="21"/>
          <w:highlight w:val="none"/>
        </w:rPr>
        <w:t>10.1变更的范围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_Toc30050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BBDE7E7">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"_Toc14634" </w:instrText>
      </w:r>
      <w:r>
        <w:rPr>
          <w:color w:val="auto"/>
          <w:highlight w:val="none"/>
        </w:rPr>
        <w:fldChar w:fldCharType="separate"/>
      </w:r>
      <w:r>
        <w:rPr>
          <w:rFonts w:hint="eastAsia" w:ascii="仿宋" w:hAnsi="仿宋" w:eastAsia="仿宋" w:cs="仿宋"/>
          <w:color w:val="auto"/>
          <w:sz w:val="21"/>
          <w:szCs w:val="21"/>
          <w:highlight w:val="none"/>
        </w:rPr>
        <w:t>10.2变更权</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_Toc14634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F766D22">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"_Toc5703" </w:instrText>
      </w:r>
      <w:r>
        <w:rPr>
          <w:color w:val="auto"/>
          <w:highlight w:val="none"/>
        </w:rPr>
        <w:fldChar w:fldCharType="separate"/>
      </w:r>
      <w:r>
        <w:rPr>
          <w:rFonts w:hint="eastAsia" w:ascii="仿宋" w:hAnsi="仿宋" w:eastAsia="仿宋" w:cs="仿宋"/>
          <w:color w:val="auto"/>
          <w:sz w:val="21"/>
          <w:szCs w:val="21"/>
          <w:highlight w:val="none"/>
        </w:rPr>
        <w:t>10.3变更程序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_Toc5703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59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D459C47">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"_Toc29953" </w:instrText>
      </w:r>
      <w:r>
        <w:rPr>
          <w:color w:val="auto"/>
          <w:highlight w:val="none"/>
        </w:rPr>
        <w:fldChar w:fldCharType="separate"/>
      </w:r>
      <w:r>
        <w:rPr>
          <w:rFonts w:hint="eastAsia" w:ascii="仿宋" w:hAnsi="仿宋" w:eastAsia="仿宋" w:cs="仿宋"/>
          <w:color w:val="auto"/>
          <w:sz w:val="21"/>
          <w:szCs w:val="21"/>
          <w:highlight w:val="none"/>
        </w:rPr>
        <w:t>10.4变更计价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_Toc29953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2890B0F">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"_Toc26706" </w:instrText>
      </w:r>
      <w:r>
        <w:rPr>
          <w:color w:val="auto"/>
          <w:highlight w:val="none"/>
        </w:rPr>
        <w:fldChar w:fldCharType="separate"/>
      </w:r>
      <w:r>
        <w:rPr>
          <w:rFonts w:hint="eastAsia" w:ascii="仿宋" w:hAnsi="仿宋" w:eastAsia="仿宋" w:cs="仿宋"/>
          <w:color w:val="auto"/>
          <w:sz w:val="21"/>
          <w:szCs w:val="21"/>
          <w:highlight w:val="none"/>
        </w:rPr>
        <w:t>10.5承包人的合理化建议</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_Toc26706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E7A324A">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"_Toc19155" </w:instrText>
      </w:r>
      <w:r>
        <w:rPr>
          <w:color w:val="auto"/>
          <w:highlight w:val="none"/>
        </w:rPr>
        <w:fldChar w:fldCharType="separate"/>
      </w:r>
      <w:r>
        <w:rPr>
          <w:rFonts w:hint="eastAsia" w:ascii="仿宋" w:hAnsi="仿宋" w:eastAsia="仿宋" w:cs="仿宋"/>
          <w:color w:val="auto"/>
          <w:sz w:val="21"/>
          <w:szCs w:val="21"/>
          <w:highlight w:val="none"/>
        </w:rPr>
        <w:t>10.6变更引起的工期调整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_Toc19155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0E813AD">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"_Toc27934" </w:instrText>
      </w:r>
      <w:r>
        <w:rPr>
          <w:color w:val="auto"/>
          <w:highlight w:val="none"/>
        </w:rPr>
        <w:fldChar w:fldCharType="separate"/>
      </w:r>
      <w:r>
        <w:rPr>
          <w:rFonts w:hint="eastAsia" w:ascii="仿宋" w:hAnsi="仿宋" w:eastAsia="仿宋" w:cs="仿宋"/>
          <w:color w:val="auto"/>
          <w:sz w:val="21"/>
          <w:szCs w:val="21"/>
          <w:highlight w:val="none"/>
        </w:rPr>
        <w:t>10.7暂估价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_Toc27934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247C90A">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"_Toc27460" </w:instrText>
      </w:r>
      <w:r>
        <w:rPr>
          <w:color w:val="auto"/>
          <w:highlight w:val="none"/>
        </w:rPr>
        <w:fldChar w:fldCharType="separate"/>
      </w:r>
      <w:r>
        <w:rPr>
          <w:rFonts w:hint="eastAsia" w:ascii="仿宋" w:hAnsi="仿宋" w:eastAsia="仿宋" w:cs="仿宋"/>
          <w:color w:val="auto"/>
          <w:sz w:val="21"/>
          <w:szCs w:val="21"/>
          <w:highlight w:val="none"/>
        </w:rPr>
        <w:t>10.8暂列金额</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_Toc27460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6F83B67">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"_Toc14959" </w:instrText>
      </w:r>
      <w:r>
        <w:rPr>
          <w:color w:val="auto"/>
          <w:highlight w:val="none"/>
        </w:rPr>
        <w:fldChar w:fldCharType="separate"/>
      </w:r>
      <w:r>
        <w:rPr>
          <w:rFonts w:hint="eastAsia" w:ascii="仿宋" w:hAnsi="仿宋" w:eastAsia="仿宋" w:cs="仿宋"/>
          <w:color w:val="auto"/>
          <w:sz w:val="21"/>
          <w:szCs w:val="21"/>
          <w:highlight w:val="none"/>
        </w:rPr>
        <w:t>10.9计日工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_Toc14959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C0BD627">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"_Toc17928" </w:instrText>
      </w:r>
      <w:r>
        <w:rPr>
          <w:color w:val="auto"/>
          <w:highlight w:val="none"/>
        </w:rPr>
        <w:fldChar w:fldCharType="separate"/>
      </w:r>
      <w:r>
        <w:rPr>
          <w:rFonts w:hint="eastAsia" w:ascii="仿宋" w:hAnsi="仿宋" w:eastAsia="仿宋" w:cs="仿宋"/>
          <w:color w:val="auto"/>
          <w:sz w:val="21"/>
          <w:szCs w:val="21"/>
          <w:highlight w:val="none"/>
        </w:rPr>
        <w:t>11. 价格调整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_Toc17928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D237A0C">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"_Toc30240" </w:instrText>
      </w:r>
      <w:r>
        <w:rPr>
          <w:color w:val="auto"/>
          <w:highlight w:val="none"/>
        </w:rPr>
        <w:fldChar w:fldCharType="separate"/>
      </w:r>
      <w:r>
        <w:rPr>
          <w:rFonts w:hint="eastAsia" w:ascii="仿宋" w:hAnsi="仿宋" w:eastAsia="仿宋" w:cs="仿宋"/>
          <w:color w:val="auto"/>
          <w:sz w:val="21"/>
          <w:szCs w:val="21"/>
          <w:highlight w:val="none"/>
        </w:rPr>
        <w:t>11.1市场价格波动引起的调整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_Toc30240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50DFD1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"_Toc29343" </w:instrText>
      </w:r>
      <w:r>
        <w:rPr>
          <w:color w:val="auto"/>
          <w:highlight w:val="none"/>
        </w:rPr>
        <w:fldChar w:fldCharType="separate"/>
      </w:r>
      <w:r>
        <w:rPr>
          <w:rFonts w:hint="eastAsia" w:ascii="仿宋" w:hAnsi="仿宋" w:eastAsia="仿宋" w:cs="仿宋"/>
          <w:color w:val="auto"/>
          <w:sz w:val="21"/>
          <w:szCs w:val="21"/>
          <w:highlight w:val="none"/>
        </w:rPr>
        <w:t>11.2法律变化引起的调整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_Toc29343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4B265CB">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"_Toc1658" </w:instrText>
      </w:r>
      <w:r>
        <w:rPr>
          <w:color w:val="auto"/>
          <w:highlight w:val="none"/>
        </w:rPr>
        <w:fldChar w:fldCharType="separate"/>
      </w:r>
      <w:r>
        <w:rPr>
          <w:rFonts w:hint="eastAsia" w:ascii="仿宋" w:hAnsi="仿宋" w:eastAsia="仿宋" w:cs="仿宋"/>
          <w:color w:val="auto"/>
          <w:sz w:val="21"/>
          <w:szCs w:val="21"/>
          <w:highlight w:val="none"/>
        </w:rPr>
        <w:t>12. 合同价格、计量与支付</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_Toc1658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AF7F6D0">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"_Toc24532" </w:instrText>
      </w:r>
      <w:r>
        <w:rPr>
          <w:color w:val="auto"/>
          <w:highlight w:val="none"/>
        </w:rPr>
        <w:fldChar w:fldCharType="separate"/>
      </w:r>
      <w:r>
        <w:rPr>
          <w:rFonts w:hint="eastAsia" w:ascii="仿宋" w:hAnsi="仿宋" w:eastAsia="仿宋" w:cs="仿宋"/>
          <w:color w:val="auto"/>
          <w:sz w:val="21"/>
          <w:szCs w:val="21"/>
          <w:highlight w:val="none"/>
        </w:rPr>
        <w:t>12.1 合同价格形式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_Toc24532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69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5C449C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"_Toc16951" </w:instrText>
      </w:r>
      <w:r>
        <w:rPr>
          <w:color w:val="auto"/>
          <w:highlight w:val="none"/>
        </w:rPr>
        <w:fldChar w:fldCharType="separate"/>
      </w:r>
      <w:r>
        <w:rPr>
          <w:rFonts w:hint="eastAsia" w:ascii="仿宋" w:hAnsi="仿宋" w:eastAsia="仿宋" w:cs="仿宋"/>
          <w:color w:val="auto"/>
          <w:sz w:val="21"/>
          <w:szCs w:val="21"/>
          <w:highlight w:val="none"/>
        </w:rPr>
        <w:t>12.2预付款</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_Toc16951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64F245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"_Toc2085" </w:instrText>
      </w:r>
      <w:r>
        <w:rPr>
          <w:color w:val="auto"/>
          <w:highlight w:val="none"/>
        </w:rPr>
        <w:fldChar w:fldCharType="separate"/>
      </w:r>
      <w:r>
        <w:rPr>
          <w:rFonts w:hint="eastAsia" w:ascii="仿宋" w:hAnsi="仿宋" w:eastAsia="仿宋" w:cs="仿宋"/>
          <w:color w:val="auto"/>
          <w:sz w:val="21"/>
          <w:szCs w:val="21"/>
          <w:highlight w:val="none"/>
        </w:rPr>
        <w:t>12.3计量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_Toc2085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5312D24">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"_Toc1481" </w:instrText>
      </w:r>
      <w:r>
        <w:rPr>
          <w:color w:val="auto"/>
          <w:highlight w:val="none"/>
        </w:rPr>
        <w:fldChar w:fldCharType="separate"/>
      </w:r>
      <w:r>
        <w:rPr>
          <w:rFonts w:hint="eastAsia" w:ascii="仿宋" w:hAnsi="仿宋" w:eastAsia="仿宋" w:cs="仿宋"/>
          <w:color w:val="auto"/>
          <w:sz w:val="21"/>
          <w:szCs w:val="21"/>
          <w:highlight w:val="none"/>
        </w:rPr>
        <w:t>12.4工程进度款支付</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_Toc1481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A9D7F44">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"_Toc6787" </w:instrText>
      </w:r>
      <w:r>
        <w:rPr>
          <w:color w:val="auto"/>
          <w:highlight w:val="none"/>
        </w:rPr>
        <w:fldChar w:fldCharType="separate"/>
      </w:r>
      <w:r>
        <w:rPr>
          <w:rFonts w:hint="eastAsia" w:ascii="仿宋" w:hAnsi="仿宋" w:eastAsia="仿宋" w:cs="仿宋"/>
          <w:color w:val="auto"/>
          <w:sz w:val="21"/>
          <w:szCs w:val="21"/>
          <w:highlight w:val="none"/>
        </w:rPr>
        <w:t>12.5支付账户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_Toc6787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7282E97">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"_Toc32661" </w:instrText>
      </w:r>
      <w:r>
        <w:rPr>
          <w:color w:val="auto"/>
          <w:highlight w:val="none"/>
        </w:rPr>
        <w:fldChar w:fldCharType="separate"/>
      </w:r>
      <w:r>
        <w:rPr>
          <w:rFonts w:hint="eastAsia" w:ascii="仿宋" w:hAnsi="仿宋" w:eastAsia="仿宋" w:cs="仿宋"/>
          <w:color w:val="auto"/>
          <w:sz w:val="21"/>
          <w:szCs w:val="21"/>
          <w:highlight w:val="none"/>
        </w:rPr>
        <w:t>13. 验收和工程试车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_Toc32661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B903D5B">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"_Toc16912" </w:instrText>
      </w:r>
      <w:r>
        <w:rPr>
          <w:color w:val="auto"/>
          <w:highlight w:val="none"/>
        </w:rPr>
        <w:fldChar w:fldCharType="separate"/>
      </w:r>
      <w:r>
        <w:rPr>
          <w:rFonts w:hint="eastAsia" w:ascii="仿宋" w:hAnsi="仿宋" w:eastAsia="仿宋" w:cs="仿宋"/>
          <w:color w:val="auto"/>
          <w:sz w:val="21"/>
          <w:szCs w:val="21"/>
          <w:highlight w:val="none"/>
        </w:rPr>
        <w:t>13.1分部分项工程验收</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_Toc16912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78EB87C">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"_Toc21311" </w:instrText>
      </w:r>
      <w:r>
        <w:rPr>
          <w:color w:val="auto"/>
          <w:highlight w:val="none"/>
        </w:rPr>
        <w:fldChar w:fldCharType="separate"/>
      </w:r>
      <w:r>
        <w:rPr>
          <w:rFonts w:hint="eastAsia" w:ascii="仿宋" w:hAnsi="仿宋" w:eastAsia="仿宋" w:cs="仿宋"/>
          <w:color w:val="auto"/>
          <w:sz w:val="21"/>
          <w:szCs w:val="21"/>
          <w:highlight w:val="none"/>
        </w:rPr>
        <w:t>13.2竣工验收</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_Toc21311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9481A3A">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"_Toc19647" </w:instrText>
      </w:r>
      <w:r>
        <w:rPr>
          <w:color w:val="auto"/>
          <w:highlight w:val="none"/>
        </w:rPr>
        <w:fldChar w:fldCharType="separate"/>
      </w:r>
      <w:r>
        <w:rPr>
          <w:rFonts w:hint="eastAsia" w:ascii="仿宋" w:hAnsi="仿宋" w:eastAsia="仿宋" w:cs="仿宋"/>
          <w:color w:val="auto"/>
          <w:sz w:val="21"/>
          <w:szCs w:val="21"/>
          <w:highlight w:val="none"/>
        </w:rPr>
        <w:t>13.3工程试车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_Toc19647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79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E231137">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"_Toc29767" </w:instrText>
      </w:r>
      <w:r>
        <w:rPr>
          <w:color w:val="auto"/>
          <w:highlight w:val="none"/>
        </w:rPr>
        <w:fldChar w:fldCharType="separate"/>
      </w:r>
      <w:r>
        <w:rPr>
          <w:rFonts w:hint="eastAsia" w:ascii="仿宋" w:hAnsi="仿宋" w:eastAsia="仿宋" w:cs="仿宋"/>
          <w:color w:val="auto"/>
          <w:sz w:val="21"/>
          <w:szCs w:val="21"/>
          <w:highlight w:val="none"/>
        </w:rPr>
        <w:t>13.4提前交付单位工程的验收</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_Toc29767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2584544">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"_Toc12293" </w:instrText>
      </w:r>
      <w:r>
        <w:rPr>
          <w:color w:val="auto"/>
          <w:highlight w:val="none"/>
        </w:rPr>
        <w:fldChar w:fldCharType="separate"/>
      </w:r>
      <w:r>
        <w:rPr>
          <w:rFonts w:hint="eastAsia" w:ascii="仿宋" w:hAnsi="仿宋" w:eastAsia="仿宋" w:cs="仿宋"/>
          <w:color w:val="auto"/>
          <w:sz w:val="21"/>
          <w:szCs w:val="21"/>
          <w:highlight w:val="none"/>
        </w:rPr>
        <w:t>13.5 施工期运行</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_Toc12293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F663D2F">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"_Toc23163" </w:instrText>
      </w:r>
      <w:r>
        <w:rPr>
          <w:color w:val="auto"/>
          <w:highlight w:val="none"/>
        </w:rPr>
        <w:fldChar w:fldCharType="separate"/>
      </w:r>
      <w:r>
        <w:rPr>
          <w:rFonts w:hint="eastAsia" w:ascii="仿宋" w:hAnsi="仿宋" w:eastAsia="仿宋" w:cs="仿宋"/>
          <w:color w:val="auto"/>
          <w:sz w:val="21"/>
          <w:szCs w:val="21"/>
          <w:highlight w:val="none"/>
        </w:rPr>
        <w:t>13.6 竣工退场</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_Toc23163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0461B1A">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"_Toc9209" </w:instrText>
      </w:r>
      <w:r>
        <w:rPr>
          <w:color w:val="auto"/>
          <w:highlight w:val="none"/>
        </w:rPr>
        <w:fldChar w:fldCharType="separate"/>
      </w:r>
      <w:r>
        <w:rPr>
          <w:rFonts w:hint="eastAsia" w:ascii="仿宋" w:hAnsi="仿宋" w:eastAsia="仿宋" w:cs="仿宋"/>
          <w:color w:val="auto"/>
          <w:sz w:val="21"/>
          <w:szCs w:val="21"/>
          <w:highlight w:val="none"/>
        </w:rPr>
        <w:t>14. 竣工结算</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_Toc9209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C8A84FE">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"_Toc1805" </w:instrText>
      </w:r>
      <w:r>
        <w:rPr>
          <w:color w:val="auto"/>
          <w:highlight w:val="none"/>
        </w:rPr>
        <w:fldChar w:fldCharType="separate"/>
      </w:r>
      <w:r>
        <w:rPr>
          <w:rFonts w:hint="eastAsia" w:ascii="仿宋" w:hAnsi="仿宋" w:eastAsia="仿宋" w:cs="仿宋"/>
          <w:color w:val="auto"/>
          <w:sz w:val="21"/>
          <w:szCs w:val="21"/>
          <w:highlight w:val="none"/>
        </w:rPr>
        <w:t>14.1 竣工结算申请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_Toc1805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91CE83A">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"_Toc4249" </w:instrText>
      </w:r>
      <w:r>
        <w:rPr>
          <w:color w:val="auto"/>
          <w:highlight w:val="none"/>
        </w:rPr>
        <w:fldChar w:fldCharType="separate"/>
      </w:r>
      <w:r>
        <w:rPr>
          <w:rFonts w:hint="eastAsia" w:ascii="仿宋" w:hAnsi="仿宋" w:eastAsia="仿宋" w:cs="仿宋"/>
          <w:color w:val="auto"/>
          <w:sz w:val="21"/>
          <w:szCs w:val="21"/>
          <w:highlight w:val="none"/>
        </w:rPr>
        <w:t>14.2 竣工结算审核</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_Toc4249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505DEBF">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"_Toc18256" </w:instrText>
      </w:r>
      <w:r>
        <w:rPr>
          <w:color w:val="auto"/>
          <w:highlight w:val="none"/>
        </w:rPr>
        <w:fldChar w:fldCharType="separate"/>
      </w:r>
      <w:r>
        <w:rPr>
          <w:rFonts w:hint="eastAsia" w:ascii="仿宋" w:hAnsi="仿宋" w:eastAsia="仿宋" w:cs="仿宋"/>
          <w:color w:val="auto"/>
          <w:sz w:val="21"/>
          <w:szCs w:val="21"/>
          <w:highlight w:val="none"/>
        </w:rPr>
        <w:t>14.3 甩项竣工协议</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_Toc18256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D3F31E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"_Toc9739" </w:instrText>
      </w:r>
      <w:r>
        <w:rPr>
          <w:color w:val="auto"/>
          <w:highlight w:val="none"/>
        </w:rPr>
        <w:fldChar w:fldCharType="separate"/>
      </w:r>
      <w:r>
        <w:rPr>
          <w:rFonts w:hint="eastAsia" w:ascii="仿宋" w:hAnsi="仿宋" w:eastAsia="仿宋" w:cs="仿宋"/>
          <w:color w:val="auto"/>
          <w:sz w:val="21"/>
          <w:szCs w:val="21"/>
          <w:highlight w:val="none"/>
        </w:rPr>
        <w:t>14.4 最终结清</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_Toc9739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C698589">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"_Toc19049" </w:instrText>
      </w:r>
      <w:r>
        <w:rPr>
          <w:color w:val="auto"/>
          <w:highlight w:val="none"/>
        </w:rPr>
        <w:fldChar w:fldCharType="separate"/>
      </w:r>
      <w:r>
        <w:rPr>
          <w:rFonts w:hint="eastAsia" w:ascii="仿宋" w:hAnsi="仿宋" w:eastAsia="仿宋" w:cs="仿宋"/>
          <w:color w:val="auto"/>
          <w:sz w:val="21"/>
          <w:szCs w:val="21"/>
          <w:highlight w:val="none"/>
        </w:rPr>
        <w:t>15. 缺陷责任与保修</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_Toc19049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734E243">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"_Toc19" </w:instrText>
      </w:r>
      <w:r>
        <w:rPr>
          <w:color w:val="auto"/>
          <w:highlight w:val="none"/>
        </w:rPr>
        <w:fldChar w:fldCharType="separate"/>
      </w:r>
      <w:r>
        <w:rPr>
          <w:rFonts w:hint="eastAsia" w:ascii="仿宋" w:hAnsi="仿宋" w:eastAsia="仿宋" w:cs="仿宋"/>
          <w:color w:val="auto"/>
          <w:sz w:val="21"/>
          <w:szCs w:val="21"/>
          <w:highlight w:val="none"/>
        </w:rPr>
        <w:t>15.1 工程保修的原则</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2D90A2B">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"_Toc2421" </w:instrText>
      </w:r>
      <w:r>
        <w:rPr>
          <w:color w:val="auto"/>
          <w:highlight w:val="none"/>
        </w:rPr>
        <w:fldChar w:fldCharType="separate"/>
      </w:r>
      <w:r>
        <w:rPr>
          <w:rFonts w:hint="eastAsia" w:ascii="仿宋" w:hAnsi="仿宋" w:eastAsia="仿宋" w:cs="仿宋"/>
          <w:color w:val="auto"/>
          <w:sz w:val="21"/>
          <w:szCs w:val="21"/>
          <w:highlight w:val="none"/>
        </w:rPr>
        <w:t>15.2 缺陷责任期</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_Toc2421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B67E7C5">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"_Toc30235" </w:instrText>
      </w:r>
      <w:r>
        <w:rPr>
          <w:color w:val="auto"/>
          <w:highlight w:val="none"/>
        </w:rPr>
        <w:fldChar w:fldCharType="separate"/>
      </w:r>
      <w:r>
        <w:rPr>
          <w:rFonts w:hint="eastAsia" w:ascii="仿宋" w:hAnsi="仿宋" w:eastAsia="仿宋" w:cs="仿宋"/>
          <w:color w:val="auto"/>
          <w:sz w:val="21"/>
          <w:szCs w:val="21"/>
          <w:highlight w:val="none"/>
        </w:rPr>
        <w:t>15.3 质量保证金</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_Toc30235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C33235D">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"_Toc15862" </w:instrText>
      </w:r>
      <w:r>
        <w:rPr>
          <w:color w:val="auto"/>
          <w:highlight w:val="none"/>
        </w:rPr>
        <w:fldChar w:fldCharType="separate"/>
      </w:r>
      <w:r>
        <w:rPr>
          <w:rFonts w:hint="eastAsia" w:ascii="仿宋" w:hAnsi="仿宋" w:eastAsia="仿宋" w:cs="仿宋"/>
          <w:color w:val="auto"/>
          <w:sz w:val="21"/>
          <w:szCs w:val="21"/>
          <w:highlight w:val="none"/>
        </w:rPr>
        <w:t>15.4 保修</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_Toc15862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89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0E0ACD5">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"_Toc1139" </w:instrText>
      </w:r>
      <w:r>
        <w:rPr>
          <w:color w:val="auto"/>
          <w:highlight w:val="none"/>
        </w:rPr>
        <w:fldChar w:fldCharType="separate"/>
      </w:r>
      <w:r>
        <w:rPr>
          <w:rFonts w:hint="eastAsia" w:ascii="仿宋" w:hAnsi="仿宋" w:eastAsia="仿宋" w:cs="仿宋"/>
          <w:color w:val="auto"/>
          <w:sz w:val="21"/>
          <w:szCs w:val="21"/>
          <w:highlight w:val="none"/>
        </w:rPr>
        <w:t>16. 违约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_Toc1139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6533F92">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"_Toc16510" </w:instrText>
      </w:r>
      <w:r>
        <w:rPr>
          <w:color w:val="auto"/>
          <w:highlight w:val="none"/>
        </w:rPr>
        <w:fldChar w:fldCharType="separate"/>
      </w:r>
      <w:r>
        <w:rPr>
          <w:rFonts w:hint="eastAsia" w:ascii="仿宋" w:hAnsi="仿宋" w:eastAsia="仿宋" w:cs="仿宋"/>
          <w:color w:val="auto"/>
          <w:sz w:val="21"/>
          <w:szCs w:val="21"/>
          <w:highlight w:val="none"/>
        </w:rPr>
        <w:t>16.1 发包人违约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_Toc16510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2BA95DC">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"_Toc24770" </w:instrText>
      </w:r>
      <w:r>
        <w:rPr>
          <w:color w:val="auto"/>
          <w:highlight w:val="none"/>
        </w:rPr>
        <w:fldChar w:fldCharType="separate"/>
      </w:r>
      <w:r>
        <w:rPr>
          <w:rFonts w:hint="eastAsia" w:ascii="仿宋" w:hAnsi="仿宋" w:eastAsia="仿宋" w:cs="仿宋"/>
          <w:color w:val="auto"/>
          <w:sz w:val="21"/>
          <w:szCs w:val="21"/>
          <w:highlight w:val="none"/>
        </w:rPr>
        <w:t>16.2 承包人违约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_Toc24770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B14003F">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"_Toc14843" </w:instrText>
      </w:r>
      <w:r>
        <w:rPr>
          <w:color w:val="auto"/>
          <w:highlight w:val="none"/>
        </w:rPr>
        <w:fldChar w:fldCharType="separate"/>
      </w:r>
      <w:r>
        <w:rPr>
          <w:rFonts w:hint="eastAsia" w:ascii="仿宋" w:hAnsi="仿宋" w:eastAsia="仿宋" w:cs="仿宋"/>
          <w:color w:val="auto"/>
          <w:sz w:val="21"/>
          <w:szCs w:val="21"/>
          <w:highlight w:val="none"/>
        </w:rPr>
        <w:t>16.3 第三人造成的违约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_Toc14843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95A5D3C">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"_Toc6836" </w:instrText>
      </w:r>
      <w:r>
        <w:rPr>
          <w:color w:val="auto"/>
          <w:highlight w:val="none"/>
        </w:rPr>
        <w:fldChar w:fldCharType="separate"/>
      </w:r>
      <w:r>
        <w:rPr>
          <w:rFonts w:hint="eastAsia" w:ascii="仿宋" w:hAnsi="仿宋" w:eastAsia="仿宋" w:cs="仿宋"/>
          <w:color w:val="auto"/>
          <w:sz w:val="21"/>
          <w:szCs w:val="21"/>
          <w:highlight w:val="none"/>
        </w:rPr>
        <w:t>17. 不可抗力</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_Toc6836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AB7934D">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"_Toc9227" </w:instrText>
      </w:r>
      <w:r>
        <w:rPr>
          <w:color w:val="auto"/>
          <w:highlight w:val="none"/>
        </w:rPr>
        <w:fldChar w:fldCharType="separate"/>
      </w:r>
      <w:r>
        <w:rPr>
          <w:rFonts w:hint="eastAsia" w:ascii="仿宋" w:hAnsi="仿宋" w:eastAsia="仿宋" w:cs="仿宋"/>
          <w:color w:val="auto"/>
          <w:sz w:val="21"/>
          <w:szCs w:val="21"/>
          <w:highlight w:val="none"/>
        </w:rPr>
        <w:t>17.1 不可抗力的确认</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_Toc9227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F9AB5E8">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"_Toc29549" </w:instrText>
      </w:r>
      <w:r>
        <w:rPr>
          <w:color w:val="auto"/>
          <w:highlight w:val="none"/>
        </w:rPr>
        <w:fldChar w:fldCharType="separate"/>
      </w:r>
      <w:r>
        <w:rPr>
          <w:rFonts w:hint="eastAsia" w:ascii="仿宋" w:hAnsi="仿宋" w:eastAsia="仿宋" w:cs="仿宋"/>
          <w:color w:val="auto"/>
          <w:sz w:val="21"/>
          <w:szCs w:val="21"/>
          <w:highlight w:val="none"/>
        </w:rPr>
        <w:t>17.2 不可抗力的通知</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_Toc29549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D41635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"_Toc14656" </w:instrText>
      </w:r>
      <w:r>
        <w:rPr>
          <w:color w:val="auto"/>
          <w:highlight w:val="none"/>
        </w:rPr>
        <w:fldChar w:fldCharType="separate"/>
      </w:r>
      <w:r>
        <w:rPr>
          <w:rFonts w:hint="eastAsia" w:ascii="仿宋" w:hAnsi="仿宋" w:eastAsia="仿宋" w:cs="仿宋"/>
          <w:color w:val="auto"/>
          <w:sz w:val="21"/>
          <w:szCs w:val="21"/>
          <w:highlight w:val="none"/>
        </w:rPr>
        <w:t>17.3 不可抗力后果的承担</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_Toc14656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08BF2B1">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"_Toc10575" </w:instrText>
      </w:r>
      <w:r>
        <w:rPr>
          <w:color w:val="auto"/>
          <w:highlight w:val="none"/>
        </w:rPr>
        <w:fldChar w:fldCharType="separate"/>
      </w:r>
      <w:r>
        <w:rPr>
          <w:rFonts w:hint="eastAsia" w:ascii="仿宋" w:hAnsi="仿宋" w:eastAsia="仿宋" w:cs="仿宋"/>
          <w:color w:val="auto"/>
          <w:sz w:val="21"/>
          <w:szCs w:val="21"/>
          <w:highlight w:val="none"/>
        </w:rPr>
        <w:t>17.4 因不可抗力解除合同</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_Toc10575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3EA4917">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"_Toc15424" </w:instrText>
      </w:r>
      <w:r>
        <w:rPr>
          <w:color w:val="auto"/>
          <w:highlight w:val="none"/>
        </w:rPr>
        <w:fldChar w:fldCharType="separate"/>
      </w:r>
      <w:r>
        <w:rPr>
          <w:rFonts w:hint="eastAsia" w:ascii="仿宋" w:hAnsi="仿宋" w:eastAsia="仿宋" w:cs="仿宋"/>
          <w:color w:val="auto"/>
          <w:sz w:val="21"/>
          <w:szCs w:val="21"/>
          <w:highlight w:val="none"/>
        </w:rPr>
        <w:t>18. 保险</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_Toc15424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E02DA8F">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"_Toc8964" </w:instrText>
      </w:r>
      <w:r>
        <w:rPr>
          <w:color w:val="auto"/>
          <w:highlight w:val="none"/>
        </w:rPr>
        <w:fldChar w:fldCharType="separate"/>
      </w:r>
      <w:r>
        <w:rPr>
          <w:rFonts w:hint="eastAsia" w:ascii="仿宋" w:hAnsi="仿宋" w:eastAsia="仿宋" w:cs="仿宋"/>
          <w:color w:val="auto"/>
          <w:sz w:val="21"/>
          <w:szCs w:val="21"/>
          <w:highlight w:val="none"/>
        </w:rPr>
        <w:t>18.1 工程保险</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_Toc8964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E878CAC">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"_Toc29984" </w:instrText>
      </w:r>
      <w:r>
        <w:rPr>
          <w:color w:val="auto"/>
          <w:highlight w:val="none"/>
        </w:rPr>
        <w:fldChar w:fldCharType="separate"/>
      </w:r>
      <w:r>
        <w:rPr>
          <w:rFonts w:hint="eastAsia" w:ascii="仿宋" w:hAnsi="仿宋" w:eastAsia="仿宋" w:cs="仿宋"/>
          <w:color w:val="auto"/>
          <w:sz w:val="21"/>
          <w:szCs w:val="21"/>
          <w:highlight w:val="none"/>
        </w:rPr>
        <w:t>18.2 工伤保险</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_Toc29984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12C6B77">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"_Toc31744" </w:instrText>
      </w:r>
      <w:r>
        <w:rPr>
          <w:color w:val="auto"/>
          <w:highlight w:val="none"/>
        </w:rPr>
        <w:fldChar w:fldCharType="separate"/>
      </w:r>
      <w:r>
        <w:rPr>
          <w:rFonts w:hint="eastAsia" w:ascii="仿宋" w:hAnsi="仿宋" w:eastAsia="仿宋" w:cs="仿宋"/>
          <w:color w:val="auto"/>
          <w:sz w:val="21"/>
          <w:szCs w:val="21"/>
          <w:highlight w:val="none"/>
        </w:rPr>
        <w:t>18.3其他保险</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_Toc31744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0238AEC">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"_Toc32373" </w:instrText>
      </w:r>
      <w:r>
        <w:rPr>
          <w:color w:val="auto"/>
          <w:highlight w:val="none"/>
        </w:rPr>
        <w:fldChar w:fldCharType="separate"/>
      </w:r>
      <w:r>
        <w:rPr>
          <w:rFonts w:hint="eastAsia" w:ascii="仿宋" w:hAnsi="仿宋" w:eastAsia="仿宋" w:cs="仿宋"/>
          <w:color w:val="auto"/>
          <w:sz w:val="21"/>
          <w:szCs w:val="21"/>
          <w:highlight w:val="none"/>
        </w:rPr>
        <w:t>18.4持续保险</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_Toc32373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E955FA5">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"_Toc17866" </w:instrText>
      </w:r>
      <w:r>
        <w:rPr>
          <w:color w:val="auto"/>
          <w:highlight w:val="none"/>
        </w:rPr>
        <w:fldChar w:fldCharType="separate"/>
      </w:r>
      <w:r>
        <w:rPr>
          <w:rFonts w:hint="eastAsia" w:ascii="仿宋" w:hAnsi="仿宋" w:eastAsia="仿宋" w:cs="仿宋"/>
          <w:color w:val="auto"/>
          <w:sz w:val="21"/>
          <w:szCs w:val="21"/>
          <w:highlight w:val="none"/>
        </w:rPr>
        <w:t>18.5 保险凭证</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_Toc17866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383039A">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"_Toc2016" </w:instrText>
      </w:r>
      <w:r>
        <w:rPr>
          <w:color w:val="auto"/>
          <w:highlight w:val="none"/>
        </w:rPr>
        <w:fldChar w:fldCharType="separate"/>
      </w:r>
      <w:r>
        <w:rPr>
          <w:rFonts w:hint="eastAsia" w:ascii="仿宋" w:hAnsi="仿宋" w:eastAsia="仿宋" w:cs="仿宋"/>
          <w:color w:val="auto"/>
          <w:sz w:val="21"/>
          <w:szCs w:val="21"/>
          <w:highlight w:val="none"/>
        </w:rPr>
        <w:t>18.6 未按约定投保的补救</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_Toc2016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42DE970">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"_Toc11468" </w:instrText>
      </w:r>
      <w:r>
        <w:rPr>
          <w:color w:val="auto"/>
          <w:highlight w:val="none"/>
        </w:rPr>
        <w:fldChar w:fldCharType="separate"/>
      </w:r>
      <w:r>
        <w:rPr>
          <w:rFonts w:hint="eastAsia" w:ascii="仿宋" w:hAnsi="仿宋" w:eastAsia="仿宋" w:cs="仿宋"/>
          <w:color w:val="auto"/>
          <w:sz w:val="21"/>
          <w:szCs w:val="21"/>
          <w:highlight w:val="none"/>
        </w:rPr>
        <w:t>18.7 通知义务</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_Toc11468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99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06133E6">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"_Toc8750" </w:instrText>
      </w:r>
      <w:r>
        <w:rPr>
          <w:color w:val="auto"/>
          <w:highlight w:val="none"/>
        </w:rPr>
        <w:fldChar w:fldCharType="separate"/>
      </w:r>
      <w:r>
        <w:rPr>
          <w:rFonts w:hint="eastAsia" w:ascii="仿宋" w:hAnsi="仿宋" w:eastAsia="仿宋" w:cs="仿宋"/>
          <w:color w:val="auto"/>
          <w:sz w:val="21"/>
          <w:szCs w:val="21"/>
          <w:highlight w:val="none"/>
        </w:rPr>
        <w:t>19. 索赔</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_Toc8750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C10B99A">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"_Toc25733" </w:instrText>
      </w:r>
      <w:r>
        <w:rPr>
          <w:color w:val="auto"/>
          <w:highlight w:val="none"/>
        </w:rPr>
        <w:fldChar w:fldCharType="separate"/>
      </w:r>
      <w:r>
        <w:rPr>
          <w:rFonts w:hint="eastAsia" w:ascii="仿宋" w:hAnsi="仿宋" w:eastAsia="仿宋" w:cs="仿宋"/>
          <w:color w:val="auto"/>
          <w:sz w:val="21"/>
          <w:szCs w:val="21"/>
          <w:highlight w:val="none"/>
        </w:rPr>
        <w:t>19.1承包人的索赔</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_Toc25733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8AD0184">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"_Toc2367" </w:instrText>
      </w:r>
      <w:r>
        <w:rPr>
          <w:color w:val="auto"/>
          <w:highlight w:val="none"/>
        </w:rPr>
        <w:fldChar w:fldCharType="separate"/>
      </w:r>
      <w:r>
        <w:rPr>
          <w:rFonts w:hint="eastAsia" w:ascii="仿宋" w:hAnsi="仿宋" w:eastAsia="仿宋" w:cs="仿宋"/>
          <w:color w:val="auto"/>
          <w:sz w:val="21"/>
          <w:szCs w:val="21"/>
          <w:highlight w:val="none"/>
        </w:rPr>
        <w:t>19.2 对承包人索赔的处理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_Toc2367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020041D">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"_Toc7747" </w:instrText>
      </w:r>
      <w:r>
        <w:rPr>
          <w:color w:val="auto"/>
          <w:highlight w:val="none"/>
        </w:rPr>
        <w:fldChar w:fldCharType="separate"/>
      </w:r>
      <w:r>
        <w:rPr>
          <w:rFonts w:hint="eastAsia" w:ascii="仿宋" w:hAnsi="仿宋" w:eastAsia="仿宋" w:cs="仿宋"/>
          <w:color w:val="auto"/>
          <w:sz w:val="21"/>
          <w:szCs w:val="21"/>
          <w:highlight w:val="none"/>
        </w:rPr>
        <w:t>19.3发包人的索赔</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_Toc7747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74A9A3C">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"_Toc16973" </w:instrText>
      </w:r>
      <w:r>
        <w:rPr>
          <w:color w:val="auto"/>
          <w:highlight w:val="none"/>
        </w:rPr>
        <w:fldChar w:fldCharType="separate"/>
      </w:r>
      <w:r>
        <w:rPr>
          <w:rFonts w:hint="eastAsia" w:ascii="仿宋" w:hAnsi="仿宋" w:eastAsia="仿宋" w:cs="仿宋"/>
          <w:color w:val="auto"/>
          <w:sz w:val="21"/>
          <w:szCs w:val="21"/>
          <w:highlight w:val="none"/>
        </w:rPr>
        <w:t>19.4 对发包人索赔的处理</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_Toc16973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40BD77F">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"_Toc9950" </w:instrText>
      </w:r>
      <w:r>
        <w:rPr>
          <w:color w:val="auto"/>
          <w:highlight w:val="none"/>
        </w:rPr>
        <w:fldChar w:fldCharType="separate"/>
      </w:r>
      <w:r>
        <w:rPr>
          <w:rFonts w:hint="eastAsia" w:ascii="仿宋" w:hAnsi="仿宋" w:eastAsia="仿宋" w:cs="仿宋"/>
          <w:color w:val="auto"/>
          <w:sz w:val="21"/>
          <w:szCs w:val="21"/>
          <w:highlight w:val="none"/>
        </w:rPr>
        <w:t>19.5 提出索赔的期限</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_Toc9950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5570BF6">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"_Toc22862" </w:instrText>
      </w:r>
      <w:r>
        <w:rPr>
          <w:color w:val="auto"/>
          <w:highlight w:val="none"/>
        </w:rPr>
        <w:fldChar w:fldCharType="separate"/>
      </w:r>
      <w:r>
        <w:rPr>
          <w:rFonts w:hint="eastAsia" w:ascii="仿宋" w:hAnsi="仿宋" w:eastAsia="仿宋" w:cs="仿宋"/>
          <w:color w:val="auto"/>
          <w:sz w:val="21"/>
          <w:szCs w:val="21"/>
          <w:highlight w:val="none"/>
        </w:rPr>
        <w:t>20. 争议解决</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_Toc22862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772BAA0">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"_Toc27395" </w:instrText>
      </w:r>
      <w:r>
        <w:rPr>
          <w:color w:val="auto"/>
          <w:highlight w:val="none"/>
        </w:rPr>
        <w:fldChar w:fldCharType="separate"/>
      </w:r>
      <w:r>
        <w:rPr>
          <w:rFonts w:hint="eastAsia" w:ascii="仿宋" w:hAnsi="仿宋" w:eastAsia="仿宋" w:cs="仿宋"/>
          <w:color w:val="auto"/>
          <w:sz w:val="21"/>
          <w:szCs w:val="21"/>
          <w:highlight w:val="none"/>
        </w:rPr>
        <w:t>20.1和解</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_Toc27395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76E794C">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"_Toc7814" </w:instrText>
      </w:r>
      <w:r>
        <w:rPr>
          <w:color w:val="auto"/>
          <w:highlight w:val="none"/>
        </w:rPr>
        <w:fldChar w:fldCharType="separate"/>
      </w:r>
      <w:r>
        <w:rPr>
          <w:rFonts w:hint="eastAsia" w:ascii="仿宋" w:hAnsi="仿宋" w:eastAsia="仿宋" w:cs="仿宋"/>
          <w:color w:val="auto"/>
          <w:sz w:val="21"/>
          <w:szCs w:val="21"/>
          <w:highlight w:val="none"/>
        </w:rPr>
        <w:t>20.2调解</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_Toc7814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430250A">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"_Toc24330" </w:instrText>
      </w:r>
      <w:r>
        <w:rPr>
          <w:color w:val="auto"/>
          <w:highlight w:val="none"/>
        </w:rPr>
        <w:fldChar w:fldCharType="separate"/>
      </w:r>
      <w:r>
        <w:rPr>
          <w:rFonts w:hint="eastAsia" w:ascii="仿宋" w:hAnsi="仿宋" w:eastAsia="仿宋" w:cs="仿宋"/>
          <w:color w:val="auto"/>
          <w:sz w:val="21"/>
          <w:szCs w:val="21"/>
          <w:highlight w:val="none"/>
        </w:rPr>
        <w:t>20.3争议评审</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_Toc24330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609AE99">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"_Toc3458" </w:instrText>
      </w:r>
      <w:r>
        <w:rPr>
          <w:color w:val="auto"/>
          <w:highlight w:val="none"/>
        </w:rPr>
        <w:fldChar w:fldCharType="separate"/>
      </w:r>
      <w:r>
        <w:rPr>
          <w:rFonts w:hint="eastAsia" w:ascii="仿宋" w:hAnsi="仿宋" w:eastAsia="仿宋" w:cs="仿宋"/>
          <w:color w:val="auto"/>
          <w:sz w:val="21"/>
          <w:szCs w:val="21"/>
          <w:highlight w:val="none"/>
        </w:rPr>
        <w:t>20.4仲裁或诉讼</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_Toc3458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C7C05BE">
      <w:pPr>
        <w:pStyle w:val="32"/>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"_Toc28285" </w:instrText>
      </w:r>
      <w:r>
        <w:rPr>
          <w:color w:val="auto"/>
          <w:highlight w:val="none"/>
        </w:rPr>
        <w:fldChar w:fldCharType="separate"/>
      </w:r>
      <w:r>
        <w:rPr>
          <w:rFonts w:hint="eastAsia" w:ascii="仿宋" w:hAnsi="仿宋" w:eastAsia="仿宋" w:cs="仿宋"/>
          <w:color w:val="auto"/>
          <w:sz w:val="21"/>
          <w:szCs w:val="21"/>
          <w:highlight w:val="none"/>
        </w:rPr>
        <w:t>20.5争议解决条款效力</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_Toc28285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CF4FB8D">
      <w:pPr>
        <w:pStyle w:val="44"/>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"_Toc4372" </w:instrText>
      </w:r>
      <w:r>
        <w:rPr>
          <w:color w:val="auto"/>
          <w:highlight w:val="none"/>
        </w:rPr>
        <w:fldChar w:fldCharType="separate"/>
      </w:r>
      <w:r>
        <w:rPr>
          <w:rFonts w:hint="eastAsia" w:ascii="仿宋" w:hAnsi="仿宋" w:eastAsia="仿宋" w:cs="仿宋"/>
          <w:color w:val="auto"/>
          <w:sz w:val="21"/>
          <w:szCs w:val="21"/>
          <w:highlight w:val="none"/>
        </w:rPr>
        <w:t>第三部分 专用合同条款</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_Toc4372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D632C89">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"_Toc30890" </w:instrText>
      </w:r>
      <w:r>
        <w:rPr>
          <w:color w:val="auto"/>
          <w:highlight w:val="none"/>
        </w:rPr>
        <w:fldChar w:fldCharType="separate"/>
      </w:r>
      <w:r>
        <w:rPr>
          <w:rFonts w:hint="eastAsia" w:ascii="仿宋" w:hAnsi="仿宋" w:eastAsia="仿宋" w:cs="仿宋"/>
          <w:color w:val="auto"/>
          <w:sz w:val="21"/>
          <w:szCs w:val="21"/>
          <w:highlight w:val="none"/>
        </w:rPr>
        <w:t>1. 一般约定</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_Toc30890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0B05538">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"_Toc13320" </w:instrText>
      </w:r>
      <w:r>
        <w:rPr>
          <w:color w:val="auto"/>
          <w:highlight w:val="none"/>
        </w:rPr>
        <w:fldChar w:fldCharType="separate"/>
      </w:r>
      <w:r>
        <w:rPr>
          <w:rFonts w:hint="eastAsia" w:ascii="仿宋" w:hAnsi="仿宋" w:eastAsia="仿宋" w:cs="仿宋"/>
          <w:color w:val="auto"/>
          <w:sz w:val="21"/>
          <w:szCs w:val="21"/>
          <w:highlight w:val="none"/>
        </w:rPr>
        <w:t>2. 发包人</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_Toc13320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7C209D4">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"_Toc19196" </w:instrText>
      </w:r>
      <w:r>
        <w:rPr>
          <w:color w:val="auto"/>
          <w:highlight w:val="none"/>
        </w:rPr>
        <w:fldChar w:fldCharType="separate"/>
      </w:r>
      <w:r>
        <w:rPr>
          <w:rFonts w:hint="eastAsia" w:ascii="仿宋" w:hAnsi="仿宋" w:eastAsia="仿宋" w:cs="仿宋"/>
          <w:color w:val="auto"/>
          <w:sz w:val="21"/>
          <w:szCs w:val="21"/>
          <w:highlight w:val="none"/>
        </w:rPr>
        <w:t>3. 承包人</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_Toc19196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110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59FFE49A">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"_Toc3242" </w:instrText>
      </w:r>
      <w:r>
        <w:rPr>
          <w:color w:val="auto"/>
          <w:highlight w:val="none"/>
        </w:rPr>
        <w:fldChar w:fldCharType="separate"/>
      </w:r>
      <w:r>
        <w:rPr>
          <w:rFonts w:hint="eastAsia" w:ascii="仿宋" w:hAnsi="仿宋" w:eastAsia="仿宋" w:cs="仿宋"/>
          <w:color w:val="auto"/>
          <w:sz w:val="21"/>
          <w:szCs w:val="21"/>
          <w:highlight w:val="none"/>
        </w:rPr>
        <w:t>4. 监理人</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_Toc3242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118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8F1D8F0">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"_Toc20208" </w:instrText>
      </w:r>
      <w:r>
        <w:rPr>
          <w:color w:val="auto"/>
          <w:highlight w:val="none"/>
        </w:rPr>
        <w:fldChar w:fldCharType="separate"/>
      </w:r>
      <w:r>
        <w:rPr>
          <w:rFonts w:hint="eastAsia" w:ascii="仿宋" w:hAnsi="仿宋" w:eastAsia="仿宋" w:cs="仿宋"/>
          <w:color w:val="auto"/>
          <w:sz w:val="21"/>
          <w:szCs w:val="21"/>
          <w:highlight w:val="none"/>
        </w:rPr>
        <w:t>5. 工程质量</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_Toc20208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011C45BC">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"_Toc24920" </w:instrText>
      </w:r>
      <w:r>
        <w:rPr>
          <w:color w:val="auto"/>
          <w:highlight w:val="none"/>
        </w:rPr>
        <w:fldChar w:fldCharType="separate"/>
      </w:r>
      <w:r>
        <w:rPr>
          <w:rFonts w:hint="eastAsia" w:ascii="仿宋" w:hAnsi="仿宋" w:eastAsia="仿宋" w:cs="仿宋"/>
          <w:color w:val="auto"/>
          <w:sz w:val="21"/>
          <w:szCs w:val="21"/>
          <w:highlight w:val="none"/>
        </w:rPr>
        <w:t>6. 安全文明施工与环境保护</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_Toc24920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4ABE8E8">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"_Toc4323" </w:instrText>
      </w:r>
      <w:r>
        <w:rPr>
          <w:color w:val="auto"/>
          <w:highlight w:val="none"/>
        </w:rPr>
        <w:fldChar w:fldCharType="separate"/>
      </w:r>
      <w:r>
        <w:rPr>
          <w:rFonts w:hint="eastAsia" w:ascii="仿宋" w:hAnsi="仿宋" w:eastAsia="仿宋" w:cs="仿宋"/>
          <w:color w:val="auto"/>
          <w:sz w:val="21"/>
          <w:szCs w:val="21"/>
          <w:highlight w:val="none"/>
        </w:rPr>
        <w:t>7. 工期和进度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_Toc4323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212DB2F">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"_Toc13997" </w:instrText>
      </w:r>
      <w:r>
        <w:rPr>
          <w:color w:val="auto"/>
          <w:highlight w:val="none"/>
        </w:rPr>
        <w:fldChar w:fldCharType="separate"/>
      </w:r>
      <w:r>
        <w:rPr>
          <w:rFonts w:hint="eastAsia" w:ascii="仿宋" w:hAnsi="仿宋" w:eastAsia="仿宋" w:cs="仿宋"/>
          <w:color w:val="auto"/>
          <w:sz w:val="21"/>
          <w:szCs w:val="21"/>
          <w:highlight w:val="none"/>
        </w:rPr>
        <w:t>8. 材料与设备</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_Toc13997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686F6351">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"_Toc11780" </w:instrText>
      </w:r>
      <w:r>
        <w:rPr>
          <w:color w:val="auto"/>
          <w:highlight w:val="none"/>
        </w:rPr>
        <w:fldChar w:fldCharType="separate"/>
      </w:r>
      <w:r>
        <w:rPr>
          <w:rFonts w:hint="eastAsia" w:ascii="仿宋" w:hAnsi="仿宋" w:eastAsia="仿宋" w:cs="仿宋"/>
          <w:color w:val="auto"/>
          <w:sz w:val="21"/>
          <w:szCs w:val="21"/>
          <w:highlight w:val="none"/>
        </w:rPr>
        <w:t>9. 试验与检验</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_Toc11780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441F64A">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"_Toc15373" </w:instrText>
      </w:r>
      <w:r>
        <w:rPr>
          <w:color w:val="auto"/>
          <w:highlight w:val="none"/>
        </w:rPr>
        <w:fldChar w:fldCharType="separate"/>
      </w:r>
      <w:r>
        <w:rPr>
          <w:rFonts w:hint="eastAsia" w:ascii="仿宋" w:hAnsi="仿宋" w:eastAsia="仿宋" w:cs="仿宋"/>
          <w:color w:val="auto"/>
          <w:sz w:val="21"/>
          <w:szCs w:val="21"/>
          <w:highlight w:val="none"/>
        </w:rPr>
        <w:t>10. 变更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_Toc15373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125</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19242E2">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"_Toc27445" </w:instrText>
      </w:r>
      <w:r>
        <w:rPr>
          <w:color w:val="auto"/>
          <w:highlight w:val="none"/>
        </w:rPr>
        <w:fldChar w:fldCharType="separate"/>
      </w:r>
      <w:r>
        <w:rPr>
          <w:rFonts w:hint="eastAsia" w:ascii="仿宋" w:hAnsi="仿宋" w:eastAsia="仿宋" w:cs="仿宋"/>
          <w:color w:val="auto"/>
          <w:sz w:val="21"/>
          <w:szCs w:val="21"/>
          <w:highlight w:val="none"/>
        </w:rPr>
        <w:t>11. 价格调整</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_Toc27445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126</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231CB550">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"_Toc29088" </w:instrText>
      </w:r>
      <w:r>
        <w:rPr>
          <w:color w:val="auto"/>
          <w:highlight w:val="none"/>
        </w:rPr>
        <w:fldChar w:fldCharType="separate"/>
      </w:r>
      <w:r>
        <w:rPr>
          <w:rFonts w:hint="eastAsia" w:ascii="仿宋" w:hAnsi="仿宋" w:eastAsia="仿宋" w:cs="仿宋"/>
          <w:color w:val="auto"/>
          <w:sz w:val="21"/>
          <w:szCs w:val="21"/>
          <w:highlight w:val="none"/>
        </w:rPr>
        <w:t>12. 合同价格、计量与支付</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_Toc29088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127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F649668">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"_Toc934" </w:instrText>
      </w:r>
      <w:r>
        <w:rPr>
          <w:color w:val="auto"/>
          <w:highlight w:val="none"/>
        </w:rPr>
        <w:fldChar w:fldCharType="separate"/>
      </w:r>
      <w:r>
        <w:rPr>
          <w:rFonts w:hint="eastAsia" w:ascii="仿宋" w:hAnsi="仿宋" w:eastAsia="仿宋" w:cs="仿宋"/>
          <w:color w:val="auto"/>
          <w:sz w:val="21"/>
          <w:szCs w:val="21"/>
          <w:highlight w:val="none"/>
        </w:rPr>
        <w:t>13. 验收和工程试车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_Toc934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131</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0EACD2C">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"_Toc31476" </w:instrText>
      </w:r>
      <w:r>
        <w:rPr>
          <w:color w:val="auto"/>
          <w:highlight w:val="none"/>
        </w:rPr>
        <w:fldChar w:fldCharType="separate"/>
      </w:r>
      <w:r>
        <w:rPr>
          <w:rFonts w:hint="eastAsia" w:ascii="仿宋" w:hAnsi="仿宋" w:eastAsia="仿宋" w:cs="仿宋"/>
          <w:color w:val="auto"/>
          <w:sz w:val="21"/>
          <w:szCs w:val="21"/>
          <w:highlight w:val="none"/>
        </w:rPr>
        <w:t>14. 竣工结算</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_Toc31476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132</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ACE166E">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"_Toc30043" </w:instrText>
      </w:r>
      <w:r>
        <w:rPr>
          <w:color w:val="auto"/>
          <w:highlight w:val="none"/>
        </w:rPr>
        <w:fldChar w:fldCharType="separate"/>
      </w:r>
      <w:r>
        <w:rPr>
          <w:rFonts w:hint="eastAsia" w:ascii="仿宋" w:hAnsi="仿宋" w:eastAsia="仿宋" w:cs="仿宋"/>
          <w:color w:val="auto"/>
          <w:sz w:val="21"/>
          <w:szCs w:val="21"/>
          <w:highlight w:val="none"/>
        </w:rPr>
        <w:t>15. 缺陷责任期与保修</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_Toc30043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F3F6722">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"_Toc27616" </w:instrText>
      </w:r>
      <w:r>
        <w:rPr>
          <w:color w:val="auto"/>
          <w:highlight w:val="none"/>
        </w:rPr>
        <w:fldChar w:fldCharType="separate"/>
      </w:r>
      <w:r>
        <w:rPr>
          <w:rFonts w:hint="eastAsia" w:ascii="仿宋" w:hAnsi="仿宋" w:eastAsia="仿宋" w:cs="仿宋"/>
          <w:color w:val="auto"/>
          <w:sz w:val="21"/>
          <w:szCs w:val="21"/>
          <w:highlight w:val="none"/>
        </w:rPr>
        <w:t>16. 违约</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_Toc27616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134</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E644FDA">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"_Toc788" </w:instrText>
      </w:r>
      <w:r>
        <w:rPr>
          <w:color w:val="auto"/>
          <w:highlight w:val="none"/>
        </w:rPr>
        <w:fldChar w:fldCharType="separate"/>
      </w:r>
      <w:r>
        <w:rPr>
          <w:rFonts w:hint="eastAsia" w:ascii="仿宋" w:hAnsi="仿宋" w:eastAsia="仿宋" w:cs="仿宋"/>
          <w:color w:val="auto"/>
          <w:sz w:val="21"/>
          <w:szCs w:val="21"/>
          <w:highlight w:val="none"/>
        </w:rPr>
        <w:t>17. 不可抗力</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_Toc788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7958497D">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"_Toc2403" </w:instrText>
      </w:r>
      <w:r>
        <w:rPr>
          <w:color w:val="auto"/>
          <w:highlight w:val="none"/>
        </w:rPr>
        <w:fldChar w:fldCharType="separate"/>
      </w:r>
      <w:r>
        <w:rPr>
          <w:rFonts w:hint="eastAsia" w:ascii="仿宋" w:hAnsi="仿宋" w:eastAsia="仿宋" w:cs="仿宋"/>
          <w:color w:val="auto"/>
          <w:sz w:val="21"/>
          <w:szCs w:val="21"/>
          <w:highlight w:val="none"/>
        </w:rPr>
        <w:t>18. 保险</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_Toc2403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137</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4B0844CF">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"_Toc7714" </w:instrText>
      </w:r>
      <w:r>
        <w:rPr>
          <w:color w:val="auto"/>
          <w:highlight w:val="none"/>
        </w:rPr>
        <w:fldChar w:fldCharType="separate"/>
      </w:r>
      <w:r>
        <w:rPr>
          <w:rFonts w:hint="eastAsia" w:ascii="仿宋" w:hAnsi="仿宋" w:eastAsia="仿宋" w:cs="仿宋"/>
          <w:color w:val="auto"/>
          <w:sz w:val="21"/>
          <w:szCs w:val="21"/>
          <w:highlight w:val="none"/>
        </w:rPr>
        <w:t>20. 争议解决</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_Toc7714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138</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1744918B">
      <w:pPr>
        <w:pStyle w:val="53"/>
        <w:pageBreakBefore w:val="0"/>
        <w:widowControl w:val="0"/>
        <w:tabs>
          <w:tab w:val="right" w:leader="dot" w:pos="8820"/>
        </w:tabs>
        <w:kinsoku/>
        <w:wordWrap/>
        <w:overflowPunct/>
        <w:topLinePunct w:val="0"/>
        <w:bidi w:val="0"/>
        <w:snapToGrid/>
        <w:ind w:left="0" w:firstLine="0"/>
        <w:textAlignment w:val="auto"/>
        <w:rPr>
          <w:rFonts w:ascii="仿宋" w:hAnsi="仿宋" w:eastAsia="仿宋" w:cs="仿宋"/>
          <w:color w:val="auto"/>
          <w:sz w:val="21"/>
          <w:szCs w:val="21"/>
          <w:highlight w:val="none"/>
        </w:rPr>
      </w:pPr>
      <w:r>
        <w:rPr>
          <w:color w:val="auto"/>
          <w:highlight w:val="none"/>
        </w:rPr>
        <w:fldChar w:fldCharType="begin"/>
      </w:r>
      <w:r>
        <w:rPr>
          <w:color w:val="auto"/>
          <w:highlight w:val="none"/>
        </w:rPr>
        <w:instrText xml:space="preserve"> HYPERLINK \l "_Toc1681" </w:instrText>
      </w:r>
      <w:r>
        <w:rPr>
          <w:color w:val="auto"/>
          <w:highlight w:val="none"/>
        </w:rPr>
        <w:fldChar w:fldCharType="separate"/>
      </w:r>
      <w:r>
        <w:rPr>
          <w:rFonts w:hint="eastAsia" w:ascii="仿宋" w:hAnsi="仿宋" w:eastAsia="仿宋" w:cs="仿宋"/>
          <w:bCs/>
          <w:color w:val="auto"/>
          <w:sz w:val="21"/>
          <w:szCs w:val="21"/>
          <w:highlight w:val="none"/>
        </w:rPr>
        <w:t>21.违约责任附加条款</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PAGEREF _Toc1681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139</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fldChar w:fldCharType="end"/>
      </w:r>
    </w:p>
    <w:p w14:paraId="3C903AE4">
      <w:pPr>
        <w:pStyle w:val="4"/>
        <w:pageBreakBefore w:val="0"/>
        <w:widowControl w:val="0"/>
        <w:kinsoku/>
        <w:wordWrap/>
        <w:overflowPunct/>
        <w:topLinePunct w:val="0"/>
        <w:bidi w:val="0"/>
        <w:snapToGrid/>
        <w:spacing w:line="240" w:lineRule="auto"/>
        <w:ind w:left="0" w:firstLine="0"/>
        <w:jc w:val="center"/>
        <w:textAlignment w:val="auto"/>
        <w:rPr>
          <w:rFonts w:ascii="仿宋" w:hAnsi="仿宋" w:eastAsia="仿宋" w:cs="仿宋"/>
          <w:color w:val="auto"/>
          <w:sz w:val="21"/>
          <w:szCs w:val="21"/>
          <w:highlight w:val="none"/>
        </w:rPr>
        <w:sectPr>
          <w:footerReference r:id="rId14" w:type="first"/>
          <w:pgSz w:w="11906" w:h="16838"/>
          <w:pgMar w:top="1418" w:right="1555" w:bottom="1418" w:left="1531" w:header="851" w:footer="992" w:gutter="0"/>
          <w:pgNumType w:start="1"/>
          <w:cols w:space="720" w:num="1"/>
          <w:titlePg/>
          <w:docGrid w:type="lines" w:linePitch="312" w:charSpace="0"/>
        </w:sectPr>
      </w:pPr>
      <w:r>
        <w:rPr>
          <w:rFonts w:hint="eastAsia" w:ascii="仿宋" w:hAnsi="仿宋" w:eastAsia="仿宋" w:cs="仿宋"/>
          <w:color w:val="auto"/>
          <w:sz w:val="21"/>
          <w:szCs w:val="21"/>
          <w:highlight w:val="none"/>
        </w:rPr>
        <w:fldChar w:fldCharType="end"/>
      </w:r>
    </w:p>
    <w:p w14:paraId="04301BEB">
      <w:pPr>
        <w:pStyle w:val="2"/>
        <w:pageBreakBefore w:val="0"/>
        <w:widowControl w:val="0"/>
        <w:kinsoku/>
        <w:wordWrap/>
        <w:overflowPunct/>
        <w:topLinePunct w:val="0"/>
        <w:bidi w:val="0"/>
        <w:snapToGrid/>
        <w:spacing w:line="413" w:lineRule="auto"/>
        <w:ind w:left="0" w:firstLine="0"/>
        <w:textAlignment w:val="auto"/>
        <w:rPr>
          <w:rFonts w:eastAsia="华文中宋"/>
          <w:b w:val="0"/>
          <w:color w:val="auto"/>
          <w:sz w:val="21"/>
          <w:szCs w:val="21"/>
          <w:highlight w:val="none"/>
        </w:rPr>
      </w:pPr>
      <w:bookmarkStart w:id="132" w:name="_Toc9129"/>
      <w:r>
        <w:rPr>
          <w:rFonts w:ascii="华文中宋" w:hAnsi="华文中宋" w:eastAsia="华文中宋"/>
          <w:color w:val="auto"/>
          <w:sz w:val="21"/>
          <w:szCs w:val="21"/>
          <w:highlight w:val="none"/>
        </w:rPr>
        <w:t>第一部分 合同协议书</w:t>
      </w:r>
      <w:bookmarkEnd w:id="118"/>
      <w:bookmarkEnd w:id="119"/>
      <w:bookmarkEnd w:id="132"/>
    </w:p>
    <w:p w14:paraId="44ABA6BD">
      <w:pPr>
        <w:pageBreakBefore w:val="0"/>
        <w:widowControl w:val="0"/>
        <w:kinsoku/>
        <w:wordWrap/>
        <w:overflowPunct/>
        <w:topLinePunct w:val="0"/>
        <w:bidi w:val="0"/>
        <w:snapToGrid/>
        <w:spacing w:line="360" w:lineRule="auto"/>
        <w:ind w:left="0" w:firstLine="0"/>
        <w:textAlignment w:val="auto"/>
        <w:rPr>
          <w:rFonts w:eastAsia="仿宋_GB2312"/>
          <w:b/>
          <w:color w:val="auto"/>
          <w:szCs w:val="21"/>
          <w:highlight w:val="none"/>
          <w:u w:val="single"/>
        </w:rPr>
      </w:pPr>
      <w:r>
        <w:rPr>
          <w:rFonts w:eastAsia="仿宋_GB2312"/>
          <w:b/>
          <w:color w:val="auto"/>
          <w:szCs w:val="21"/>
          <w:highlight w:val="none"/>
        </w:rPr>
        <w:t>发包人（全称）</w:t>
      </w:r>
      <w:r>
        <w:rPr>
          <w:rFonts w:hint="eastAsia" w:eastAsia="仿宋_GB2312"/>
          <w:b/>
          <w:color w:val="auto"/>
          <w:szCs w:val="21"/>
          <w:highlight w:val="none"/>
        </w:rPr>
        <w:t>：</w:t>
      </w:r>
      <w:r>
        <w:rPr>
          <w:rFonts w:hint="eastAsia" w:eastAsia="仿宋_GB2312"/>
          <w:b/>
          <w:color w:val="auto"/>
          <w:szCs w:val="21"/>
          <w:highlight w:val="none"/>
          <w:u w:val="single"/>
        </w:rPr>
        <w:t xml:space="preserve">                             </w:t>
      </w:r>
    </w:p>
    <w:p w14:paraId="08288C7C">
      <w:pPr>
        <w:pageBreakBefore w:val="0"/>
        <w:widowControl w:val="0"/>
        <w:kinsoku/>
        <w:wordWrap/>
        <w:overflowPunct/>
        <w:topLinePunct w:val="0"/>
        <w:bidi w:val="0"/>
        <w:snapToGrid/>
        <w:spacing w:line="360" w:lineRule="auto"/>
        <w:ind w:left="0" w:firstLine="0"/>
        <w:textAlignment w:val="auto"/>
        <w:rPr>
          <w:rFonts w:eastAsia="仿宋_GB2312"/>
          <w:b/>
          <w:color w:val="auto"/>
          <w:szCs w:val="21"/>
          <w:highlight w:val="none"/>
          <w:u w:val="single"/>
        </w:rPr>
      </w:pPr>
      <w:r>
        <w:rPr>
          <w:rFonts w:hint="eastAsia" w:eastAsia="仿宋_GB2312"/>
          <w:b/>
          <w:color w:val="auto"/>
          <w:szCs w:val="21"/>
          <w:highlight w:val="none"/>
        </w:rPr>
        <w:t>住所：</w:t>
      </w:r>
      <w:r>
        <w:rPr>
          <w:rFonts w:hint="eastAsia" w:eastAsia="仿宋_GB2312"/>
          <w:b/>
          <w:color w:val="auto"/>
          <w:szCs w:val="21"/>
          <w:highlight w:val="none"/>
          <w:u w:val="single"/>
        </w:rPr>
        <w:t xml:space="preserve">                                       </w:t>
      </w:r>
    </w:p>
    <w:p w14:paraId="16A23323">
      <w:pPr>
        <w:pageBreakBefore w:val="0"/>
        <w:widowControl w:val="0"/>
        <w:kinsoku/>
        <w:wordWrap/>
        <w:overflowPunct/>
        <w:topLinePunct w:val="0"/>
        <w:bidi w:val="0"/>
        <w:snapToGrid/>
        <w:spacing w:line="360" w:lineRule="auto"/>
        <w:ind w:left="0" w:firstLine="0"/>
        <w:textAlignment w:val="auto"/>
        <w:rPr>
          <w:rFonts w:eastAsia="仿宋_GB2312"/>
          <w:b/>
          <w:color w:val="auto"/>
          <w:szCs w:val="21"/>
          <w:highlight w:val="none"/>
          <w:u w:val="single"/>
        </w:rPr>
      </w:pPr>
      <w:r>
        <w:rPr>
          <w:rFonts w:hint="eastAsia" w:eastAsia="仿宋_GB2312"/>
          <w:b/>
          <w:color w:val="auto"/>
          <w:szCs w:val="21"/>
          <w:highlight w:val="none"/>
        </w:rPr>
        <w:t>法定代表人：</w:t>
      </w:r>
      <w:r>
        <w:rPr>
          <w:rFonts w:hint="eastAsia" w:eastAsia="仿宋_GB2312"/>
          <w:b/>
          <w:color w:val="auto"/>
          <w:szCs w:val="21"/>
          <w:highlight w:val="none"/>
          <w:u w:val="single"/>
        </w:rPr>
        <w:t xml:space="preserve">          </w:t>
      </w:r>
    </w:p>
    <w:p w14:paraId="67908122">
      <w:pPr>
        <w:pageBreakBefore w:val="0"/>
        <w:widowControl w:val="0"/>
        <w:kinsoku/>
        <w:wordWrap/>
        <w:overflowPunct/>
        <w:topLinePunct w:val="0"/>
        <w:bidi w:val="0"/>
        <w:snapToGrid/>
        <w:spacing w:line="360" w:lineRule="auto"/>
        <w:ind w:left="0" w:firstLine="0"/>
        <w:textAlignment w:val="auto"/>
        <w:rPr>
          <w:rFonts w:eastAsia="仿宋_GB2312"/>
          <w:b/>
          <w:color w:val="auto"/>
          <w:szCs w:val="21"/>
          <w:highlight w:val="none"/>
          <w:u w:val="single"/>
        </w:rPr>
      </w:pPr>
      <w:r>
        <w:rPr>
          <w:rFonts w:eastAsia="仿宋_GB2312"/>
          <w:b/>
          <w:color w:val="auto"/>
          <w:szCs w:val="21"/>
          <w:highlight w:val="none"/>
        </w:rPr>
        <w:t>承包人（全称）：</w:t>
      </w:r>
      <w:r>
        <w:rPr>
          <w:rFonts w:hint="eastAsia" w:eastAsia="仿宋_GB2312"/>
          <w:b/>
          <w:color w:val="auto"/>
          <w:szCs w:val="21"/>
          <w:highlight w:val="none"/>
          <w:u w:val="single"/>
        </w:rPr>
        <w:t xml:space="preserve">                                </w:t>
      </w:r>
    </w:p>
    <w:p w14:paraId="2DB6D0C4">
      <w:pPr>
        <w:pageBreakBefore w:val="0"/>
        <w:widowControl w:val="0"/>
        <w:kinsoku/>
        <w:wordWrap/>
        <w:overflowPunct/>
        <w:topLinePunct w:val="0"/>
        <w:bidi w:val="0"/>
        <w:snapToGrid/>
        <w:spacing w:line="360" w:lineRule="auto"/>
        <w:ind w:left="0" w:firstLine="0"/>
        <w:textAlignment w:val="auto"/>
        <w:rPr>
          <w:rFonts w:eastAsia="仿宋_GB2312"/>
          <w:b/>
          <w:color w:val="auto"/>
          <w:szCs w:val="21"/>
          <w:highlight w:val="none"/>
          <w:u w:val="single"/>
        </w:rPr>
      </w:pPr>
      <w:r>
        <w:rPr>
          <w:rFonts w:hint="eastAsia" w:eastAsia="仿宋_GB2312"/>
          <w:b/>
          <w:color w:val="auto"/>
          <w:szCs w:val="21"/>
          <w:highlight w:val="none"/>
        </w:rPr>
        <w:t>住所：</w:t>
      </w:r>
      <w:r>
        <w:rPr>
          <w:rFonts w:hint="eastAsia" w:eastAsia="仿宋_GB2312"/>
          <w:b/>
          <w:color w:val="auto"/>
          <w:szCs w:val="21"/>
          <w:highlight w:val="none"/>
          <w:u w:val="single"/>
        </w:rPr>
        <w:t xml:space="preserve">                                          </w:t>
      </w:r>
    </w:p>
    <w:p w14:paraId="5973B9C1">
      <w:pPr>
        <w:pageBreakBefore w:val="0"/>
        <w:widowControl w:val="0"/>
        <w:kinsoku/>
        <w:wordWrap/>
        <w:overflowPunct/>
        <w:topLinePunct w:val="0"/>
        <w:bidi w:val="0"/>
        <w:snapToGrid/>
        <w:spacing w:line="360" w:lineRule="auto"/>
        <w:ind w:left="0" w:firstLine="0"/>
        <w:textAlignment w:val="auto"/>
        <w:rPr>
          <w:rFonts w:eastAsia="仿宋_GB2312"/>
          <w:b/>
          <w:color w:val="auto"/>
          <w:szCs w:val="21"/>
          <w:highlight w:val="none"/>
          <w:u w:val="single"/>
        </w:rPr>
      </w:pPr>
      <w:r>
        <w:rPr>
          <w:rFonts w:hint="eastAsia" w:eastAsia="仿宋_GB2312"/>
          <w:b/>
          <w:color w:val="auto"/>
          <w:szCs w:val="21"/>
          <w:highlight w:val="none"/>
        </w:rPr>
        <w:t>法定代表人：</w:t>
      </w:r>
      <w:r>
        <w:rPr>
          <w:rFonts w:hint="eastAsia" w:eastAsia="仿宋_GB2312"/>
          <w:b/>
          <w:color w:val="auto"/>
          <w:szCs w:val="21"/>
          <w:highlight w:val="none"/>
          <w:u w:val="single"/>
        </w:rPr>
        <w:t xml:space="preserve">      </w:t>
      </w:r>
    </w:p>
    <w:p w14:paraId="47AA170D">
      <w:pPr>
        <w:spacing w:line="360" w:lineRule="auto"/>
        <w:ind w:firstLine="420" w:firstLineChars="200"/>
        <w:rPr>
          <w:rFonts w:eastAsia="仿宋_GB2312"/>
          <w:color w:val="auto"/>
          <w:szCs w:val="21"/>
          <w:highlight w:val="none"/>
        </w:rPr>
      </w:pPr>
      <w:r>
        <w:rPr>
          <w:rFonts w:eastAsia="仿宋_GB2312"/>
          <w:color w:val="auto"/>
          <w:szCs w:val="21"/>
          <w:highlight w:val="none"/>
        </w:rPr>
        <w:t>根据《中华人民共和国合同法》、《中华人民共和国建筑法》及有关法律规定，遵循平等、自愿、公平和诚实信用的原则，双方就</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工程施工及有关事项协商一致</w:t>
      </w:r>
      <w:r>
        <w:rPr>
          <w:rFonts w:hint="eastAsia" w:eastAsia="仿宋_GB2312"/>
          <w:color w:val="auto"/>
          <w:szCs w:val="21"/>
          <w:highlight w:val="none"/>
        </w:rPr>
        <w:t>，</w:t>
      </w:r>
      <w:r>
        <w:rPr>
          <w:rFonts w:eastAsia="仿宋_GB2312"/>
          <w:color w:val="auto"/>
          <w:szCs w:val="21"/>
          <w:highlight w:val="none"/>
        </w:rPr>
        <w:t>共同达成如下协议：</w:t>
      </w:r>
    </w:p>
    <w:p w14:paraId="634323D0">
      <w:pPr>
        <w:pStyle w:val="5"/>
        <w:spacing w:before="120" w:after="120" w:line="360" w:lineRule="auto"/>
        <w:rPr>
          <w:rFonts w:ascii="Times New Roman" w:hAnsi="Times New Roman"/>
          <w:color w:val="auto"/>
          <w:sz w:val="21"/>
          <w:szCs w:val="21"/>
          <w:highlight w:val="none"/>
        </w:rPr>
      </w:pPr>
      <w:bookmarkStart w:id="133" w:name="_Toc15660"/>
      <w:r>
        <w:rPr>
          <w:rFonts w:ascii="Times New Roman" w:hAnsi="Times New Roman"/>
          <w:color w:val="auto"/>
          <w:sz w:val="21"/>
          <w:szCs w:val="21"/>
          <w:highlight w:val="none"/>
        </w:rPr>
        <w:t>一、工程概况</w:t>
      </w:r>
      <w:bookmarkEnd w:id="133"/>
    </w:p>
    <w:p w14:paraId="21C1D774">
      <w:pPr>
        <w:spacing w:line="360" w:lineRule="auto"/>
        <w:ind w:firstLine="411" w:firstLineChars="196"/>
        <w:rPr>
          <w:rFonts w:eastAsia="仿宋_GB2312"/>
          <w:color w:val="auto"/>
          <w:szCs w:val="21"/>
          <w:highlight w:val="none"/>
          <w:u w:val="single"/>
        </w:rPr>
      </w:pPr>
      <w:r>
        <w:rPr>
          <w:rFonts w:eastAsia="仿宋_GB2312"/>
          <w:bCs/>
          <w:color w:val="auto"/>
          <w:szCs w:val="21"/>
          <w:highlight w:val="none"/>
        </w:rPr>
        <w:t>1.工程名称</w:t>
      </w:r>
      <w:r>
        <w:rPr>
          <w:rFonts w:eastAsia="仿宋_GB2312"/>
          <w:color w:val="auto"/>
          <w:szCs w:val="21"/>
          <w:highlight w:val="none"/>
        </w:rPr>
        <w:t>：</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4733E68">
      <w:pPr>
        <w:spacing w:line="360" w:lineRule="auto"/>
        <w:ind w:firstLine="411" w:firstLineChars="196"/>
        <w:rPr>
          <w:rFonts w:eastAsia="仿宋_GB2312"/>
          <w:bCs/>
          <w:color w:val="auto"/>
          <w:szCs w:val="21"/>
          <w:highlight w:val="none"/>
        </w:rPr>
      </w:pPr>
      <w:r>
        <w:rPr>
          <w:rFonts w:eastAsia="仿宋_GB2312"/>
          <w:bCs/>
          <w:color w:val="auto"/>
          <w:szCs w:val="21"/>
          <w:highlight w:val="none"/>
        </w:rPr>
        <w:t>2.工程地点：</w:t>
      </w:r>
      <w:r>
        <w:rPr>
          <w:rFonts w:hint="eastAsia" w:eastAsia="仿宋_GB2312"/>
          <w:bCs/>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742DD745">
      <w:pPr>
        <w:spacing w:line="360" w:lineRule="auto"/>
        <w:ind w:firstLine="411" w:firstLineChars="196"/>
        <w:rPr>
          <w:rFonts w:eastAsia="仿宋_GB2312"/>
          <w:bCs/>
          <w:color w:val="auto"/>
          <w:szCs w:val="21"/>
          <w:highlight w:val="none"/>
        </w:rPr>
      </w:pPr>
      <w:r>
        <w:rPr>
          <w:rFonts w:eastAsia="仿宋_GB2312"/>
          <w:bCs/>
          <w:color w:val="auto"/>
          <w:szCs w:val="21"/>
          <w:highlight w:val="none"/>
        </w:rPr>
        <w:t>3.工程立项</w:t>
      </w:r>
      <w:r>
        <w:rPr>
          <w:rFonts w:hint="eastAsia" w:eastAsia="仿宋_GB2312"/>
          <w:bCs/>
          <w:color w:val="auto"/>
          <w:szCs w:val="21"/>
          <w:highlight w:val="none"/>
        </w:rPr>
        <w:t>（批准/核准/备案）</w:t>
      </w:r>
      <w:r>
        <w:rPr>
          <w:rFonts w:eastAsia="仿宋_GB2312"/>
          <w:bCs/>
          <w:color w:val="auto"/>
          <w:szCs w:val="21"/>
          <w:highlight w:val="none"/>
        </w:rPr>
        <w:t>文号：</w:t>
      </w:r>
      <w:r>
        <w:rPr>
          <w:rFonts w:hint="eastAsia" w:eastAsia="仿宋_GB2312"/>
          <w:bCs/>
          <w:color w:val="auto"/>
          <w:szCs w:val="21"/>
          <w:highlight w:val="none"/>
          <w:u w:val="single"/>
        </w:rPr>
        <w:t xml:space="preserve">                   </w:t>
      </w:r>
      <w:r>
        <w:rPr>
          <w:rFonts w:eastAsia="仿宋_GB2312"/>
          <w:color w:val="auto"/>
          <w:szCs w:val="21"/>
          <w:highlight w:val="none"/>
          <w:u w:val="single"/>
        </w:rPr>
        <w:t xml:space="preserve"> </w:t>
      </w:r>
      <w:r>
        <w:rPr>
          <w:rFonts w:eastAsia="仿宋_GB2312"/>
          <w:bCs/>
          <w:color w:val="auto"/>
          <w:szCs w:val="21"/>
          <w:highlight w:val="none"/>
        </w:rPr>
        <w:t>。</w:t>
      </w:r>
    </w:p>
    <w:p w14:paraId="1DA87AD0">
      <w:pPr>
        <w:spacing w:line="360" w:lineRule="auto"/>
        <w:ind w:firstLine="411" w:firstLineChars="196"/>
        <w:rPr>
          <w:rFonts w:eastAsia="仿宋_GB2312"/>
          <w:bCs/>
          <w:color w:val="auto"/>
          <w:szCs w:val="21"/>
          <w:highlight w:val="none"/>
        </w:rPr>
      </w:pPr>
      <w:r>
        <w:rPr>
          <w:rFonts w:eastAsia="仿宋_GB2312"/>
          <w:bCs/>
          <w:color w:val="auto"/>
          <w:szCs w:val="21"/>
          <w:highlight w:val="none"/>
        </w:rPr>
        <w:t>4.资金来源：</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bCs/>
          <w:color w:val="auto"/>
          <w:szCs w:val="21"/>
          <w:highlight w:val="none"/>
        </w:rPr>
        <w:t>。</w:t>
      </w:r>
    </w:p>
    <w:p w14:paraId="637C4411">
      <w:pPr>
        <w:spacing w:line="360" w:lineRule="auto"/>
        <w:ind w:firstLine="411" w:firstLineChars="196"/>
        <w:rPr>
          <w:rFonts w:eastAsia="仿宋_GB2312"/>
          <w:bCs/>
          <w:color w:val="auto"/>
          <w:szCs w:val="21"/>
          <w:highlight w:val="none"/>
        </w:rPr>
      </w:pPr>
      <w:r>
        <w:rPr>
          <w:rFonts w:hint="eastAsia" w:eastAsia="仿宋_GB2312"/>
          <w:bCs/>
          <w:color w:val="auto"/>
          <w:szCs w:val="21"/>
          <w:highlight w:val="none"/>
        </w:rPr>
        <w:t>5.工程内容：</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bCs/>
          <w:color w:val="auto"/>
          <w:szCs w:val="21"/>
          <w:highlight w:val="none"/>
        </w:rPr>
        <w:t>。</w:t>
      </w:r>
    </w:p>
    <w:p w14:paraId="314C3D75">
      <w:pPr>
        <w:spacing w:line="360" w:lineRule="auto"/>
        <w:ind w:firstLine="411" w:firstLineChars="196"/>
        <w:rPr>
          <w:rFonts w:eastAsia="仿宋_GB2312"/>
          <w:bCs/>
          <w:color w:val="auto"/>
          <w:szCs w:val="21"/>
          <w:highlight w:val="none"/>
        </w:rPr>
      </w:pPr>
      <w:r>
        <w:rPr>
          <w:rFonts w:hint="eastAsia" w:eastAsia="仿宋_GB2312"/>
          <w:color w:val="auto"/>
          <w:szCs w:val="21"/>
          <w:highlight w:val="none"/>
        </w:rPr>
        <w:t>群体工程应附《</w:t>
      </w:r>
      <w:r>
        <w:rPr>
          <w:rFonts w:eastAsia="仿宋_GB2312"/>
          <w:color w:val="auto"/>
          <w:szCs w:val="21"/>
          <w:highlight w:val="none"/>
        </w:rPr>
        <w:t>承包人承揽工程项目一览表</w:t>
      </w:r>
      <w:r>
        <w:rPr>
          <w:rFonts w:hint="eastAsia" w:eastAsia="仿宋_GB2312"/>
          <w:color w:val="auto"/>
          <w:szCs w:val="21"/>
          <w:highlight w:val="none"/>
        </w:rPr>
        <w:t>》（附件1）。</w:t>
      </w:r>
    </w:p>
    <w:p w14:paraId="54DE7FF4">
      <w:pPr>
        <w:spacing w:line="360" w:lineRule="auto"/>
        <w:ind w:firstLine="411" w:firstLineChars="196"/>
        <w:rPr>
          <w:rFonts w:eastAsia="黑体"/>
          <w:b/>
          <w:bCs/>
          <w:color w:val="auto"/>
          <w:szCs w:val="21"/>
          <w:highlight w:val="none"/>
        </w:rPr>
      </w:pPr>
      <w:r>
        <w:rPr>
          <w:rFonts w:hint="eastAsia" w:eastAsia="仿宋_GB2312"/>
          <w:bCs/>
          <w:color w:val="auto"/>
          <w:szCs w:val="21"/>
          <w:highlight w:val="none"/>
        </w:rPr>
        <w:t>6</w:t>
      </w:r>
      <w:r>
        <w:rPr>
          <w:rFonts w:eastAsia="仿宋_GB2312"/>
          <w:bCs/>
          <w:color w:val="auto"/>
          <w:szCs w:val="21"/>
          <w:highlight w:val="none"/>
        </w:rPr>
        <w:t>.工程承包范围</w:t>
      </w:r>
      <w:r>
        <w:rPr>
          <w:rFonts w:hint="eastAsia" w:eastAsia="仿宋_GB2312"/>
          <w:bCs/>
          <w:color w:val="auto"/>
          <w:szCs w:val="21"/>
          <w:highlight w:val="none"/>
        </w:rPr>
        <w:t xml:space="preserve">: </w:t>
      </w:r>
      <w:r>
        <w:rPr>
          <w:rFonts w:hint="eastAsia" w:eastAsia="仿宋_GB2312"/>
          <w:bCs/>
          <w:color w:val="auto"/>
          <w:szCs w:val="21"/>
          <w:highlight w:val="none"/>
          <w:u w:val="single"/>
        </w:rPr>
        <w:t xml:space="preserve">              </w:t>
      </w:r>
      <w:r>
        <w:rPr>
          <w:rFonts w:eastAsia="仿宋_GB2312"/>
          <w:color w:val="auto"/>
          <w:szCs w:val="21"/>
          <w:highlight w:val="none"/>
        </w:rPr>
        <w:t>。</w:t>
      </w:r>
    </w:p>
    <w:p w14:paraId="76DF944C">
      <w:pPr>
        <w:pStyle w:val="5"/>
        <w:spacing w:before="120" w:after="120" w:line="360" w:lineRule="auto"/>
        <w:rPr>
          <w:rFonts w:ascii="Times New Roman" w:hAnsi="Times New Roman"/>
          <w:color w:val="auto"/>
          <w:sz w:val="21"/>
          <w:szCs w:val="21"/>
          <w:highlight w:val="none"/>
        </w:rPr>
      </w:pPr>
      <w:bookmarkStart w:id="134" w:name="_Toc23107"/>
      <w:r>
        <w:rPr>
          <w:rFonts w:ascii="Times New Roman" w:hAnsi="Times New Roman"/>
          <w:color w:val="auto"/>
          <w:sz w:val="21"/>
          <w:szCs w:val="21"/>
          <w:highlight w:val="none"/>
        </w:rPr>
        <w:t>二、合同工期</w:t>
      </w:r>
      <w:bookmarkEnd w:id="134"/>
    </w:p>
    <w:p w14:paraId="7A490D95">
      <w:pPr>
        <w:spacing w:line="360" w:lineRule="auto"/>
        <w:ind w:firstLine="420" w:firstLineChars="200"/>
        <w:rPr>
          <w:rFonts w:eastAsia="仿宋_GB2312"/>
          <w:color w:val="auto"/>
          <w:szCs w:val="21"/>
          <w:highlight w:val="none"/>
        </w:rPr>
      </w:pPr>
      <w:r>
        <w:rPr>
          <w:rFonts w:eastAsia="仿宋_GB2312"/>
          <w:color w:val="auto"/>
          <w:szCs w:val="21"/>
          <w:highlight w:val="none"/>
        </w:rPr>
        <w:t>计划开工日期：</w:t>
      </w:r>
      <w:r>
        <w:rPr>
          <w:rFonts w:hint="eastAsia" w:eastAsia="仿宋_GB2312"/>
          <w:color w:val="auto"/>
          <w:szCs w:val="21"/>
          <w:highlight w:val="none"/>
          <w:u w:val="single"/>
        </w:rPr>
        <w:t xml:space="preserve">    </w:t>
      </w:r>
      <w:r>
        <w:rPr>
          <w:rFonts w:eastAsia="仿宋_GB2312"/>
          <w:color w:val="auto"/>
          <w:szCs w:val="21"/>
          <w:highlight w:val="none"/>
        </w:rPr>
        <w:t>年</w:t>
      </w:r>
      <w:r>
        <w:rPr>
          <w:rFonts w:hint="eastAsia" w:eastAsia="仿宋_GB2312"/>
          <w:color w:val="auto"/>
          <w:szCs w:val="21"/>
          <w:highlight w:val="none"/>
          <w:u w:val="single"/>
        </w:rPr>
        <w:t xml:space="preserve">   </w:t>
      </w:r>
      <w:r>
        <w:rPr>
          <w:rFonts w:eastAsia="仿宋_GB2312"/>
          <w:color w:val="auto"/>
          <w:szCs w:val="21"/>
          <w:highlight w:val="none"/>
        </w:rPr>
        <w:t>月</w:t>
      </w:r>
      <w:r>
        <w:rPr>
          <w:rFonts w:hint="eastAsia" w:eastAsia="仿宋_GB2312"/>
          <w:color w:val="auto"/>
          <w:szCs w:val="21"/>
          <w:highlight w:val="none"/>
          <w:u w:val="single"/>
        </w:rPr>
        <w:t xml:space="preserve">   </w:t>
      </w:r>
      <w:r>
        <w:rPr>
          <w:rFonts w:eastAsia="仿宋_GB2312"/>
          <w:color w:val="auto"/>
          <w:szCs w:val="21"/>
          <w:highlight w:val="none"/>
        </w:rPr>
        <w:t>日。</w:t>
      </w:r>
      <w:r>
        <w:rPr>
          <w:rFonts w:hint="eastAsia" w:eastAsia="仿宋_GB2312"/>
          <w:color w:val="auto"/>
          <w:szCs w:val="21"/>
          <w:highlight w:val="none"/>
        </w:rPr>
        <w:t>（实际开工日期以发包人或发包人委托监理人签发的开工通知所载日期为准。）</w:t>
      </w:r>
    </w:p>
    <w:p w14:paraId="5F9B1592">
      <w:pPr>
        <w:spacing w:line="360" w:lineRule="auto"/>
        <w:ind w:firstLine="420" w:firstLineChars="200"/>
        <w:rPr>
          <w:rFonts w:eastAsia="仿宋_GB2312"/>
          <w:color w:val="auto"/>
          <w:szCs w:val="21"/>
          <w:highlight w:val="none"/>
          <w:u w:val="double"/>
        </w:rPr>
      </w:pPr>
      <w:r>
        <w:rPr>
          <w:rFonts w:eastAsia="仿宋_GB2312"/>
          <w:color w:val="auto"/>
          <w:szCs w:val="21"/>
          <w:highlight w:val="none"/>
        </w:rPr>
        <w:t>计划竣工日期：</w:t>
      </w:r>
      <w:r>
        <w:rPr>
          <w:rFonts w:hint="eastAsia" w:eastAsia="仿宋_GB2312"/>
          <w:color w:val="auto"/>
          <w:szCs w:val="21"/>
          <w:highlight w:val="none"/>
          <w:u w:val="single"/>
        </w:rPr>
        <w:t xml:space="preserve">      </w:t>
      </w:r>
      <w:r>
        <w:rPr>
          <w:rFonts w:eastAsia="仿宋_GB2312"/>
          <w:color w:val="auto"/>
          <w:szCs w:val="21"/>
          <w:highlight w:val="none"/>
        </w:rPr>
        <w:t>年</w:t>
      </w:r>
      <w:r>
        <w:rPr>
          <w:rFonts w:hint="eastAsia" w:eastAsia="仿宋_GB2312"/>
          <w:color w:val="auto"/>
          <w:szCs w:val="21"/>
          <w:highlight w:val="none"/>
          <w:u w:val="single"/>
        </w:rPr>
        <w:t xml:space="preserve">    </w:t>
      </w:r>
      <w:r>
        <w:rPr>
          <w:rFonts w:eastAsia="仿宋_GB2312"/>
          <w:color w:val="auto"/>
          <w:szCs w:val="21"/>
          <w:highlight w:val="none"/>
        </w:rPr>
        <w:t>月</w:t>
      </w:r>
      <w:r>
        <w:rPr>
          <w:rFonts w:hint="eastAsia" w:eastAsia="仿宋_GB2312"/>
          <w:color w:val="auto"/>
          <w:szCs w:val="21"/>
          <w:highlight w:val="none"/>
          <w:u w:val="single"/>
        </w:rPr>
        <w:t xml:space="preserve">      </w:t>
      </w:r>
      <w:r>
        <w:rPr>
          <w:rFonts w:eastAsia="仿宋_GB2312"/>
          <w:color w:val="auto"/>
          <w:szCs w:val="21"/>
          <w:highlight w:val="none"/>
        </w:rPr>
        <w:t>日。</w:t>
      </w:r>
      <w:r>
        <w:rPr>
          <w:rFonts w:hint="eastAsia" w:eastAsia="仿宋_GB2312"/>
          <w:color w:val="auto"/>
          <w:szCs w:val="21"/>
          <w:highlight w:val="none"/>
        </w:rPr>
        <w:t>（若实际开工日期晚于计划日期，则竣工日期相应顺延，发包人无需向承包人承担违约责任。）</w:t>
      </w:r>
    </w:p>
    <w:p w14:paraId="5B977966">
      <w:pPr>
        <w:spacing w:line="360" w:lineRule="auto"/>
        <w:ind w:firstLine="420" w:firstLineChars="200"/>
        <w:rPr>
          <w:rFonts w:eastAsia="仿宋_GB2312"/>
          <w:color w:val="auto"/>
          <w:szCs w:val="21"/>
          <w:highlight w:val="none"/>
        </w:rPr>
      </w:pPr>
      <w:r>
        <w:rPr>
          <w:rFonts w:eastAsia="仿宋_GB2312"/>
          <w:color w:val="auto"/>
          <w:szCs w:val="21"/>
          <w:highlight w:val="none"/>
        </w:rPr>
        <w:t>工期总日历天数：</w:t>
      </w:r>
      <w:r>
        <w:rPr>
          <w:rFonts w:hint="eastAsia" w:eastAsia="仿宋_GB2312"/>
          <w:color w:val="auto"/>
          <w:szCs w:val="21"/>
          <w:highlight w:val="none"/>
          <w:u w:val="single"/>
        </w:rPr>
        <w:t xml:space="preserve">       </w:t>
      </w:r>
      <w:r>
        <w:rPr>
          <w:rFonts w:eastAsia="仿宋_GB2312"/>
          <w:color w:val="auto"/>
          <w:szCs w:val="21"/>
          <w:highlight w:val="none"/>
        </w:rPr>
        <w:t>天。承包人应在合同工期</w:t>
      </w:r>
      <w:r>
        <w:rPr>
          <w:rFonts w:hint="eastAsia" w:eastAsia="仿宋_GB2312"/>
          <w:color w:val="auto"/>
          <w:szCs w:val="21"/>
          <w:highlight w:val="none"/>
        </w:rPr>
        <w:t>天数</w:t>
      </w:r>
      <w:r>
        <w:rPr>
          <w:rFonts w:eastAsia="仿宋_GB2312"/>
          <w:color w:val="auto"/>
          <w:szCs w:val="21"/>
          <w:highlight w:val="none"/>
        </w:rPr>
        <w:t>内</w:t>
      </w:r>
      <w:r>
        <w:rPr>
          <w:rFonts w:hint="eastAsia" w:eastAsia="仿宋_GB2312"/>
          <w:color w:val="auto"/>
          <w:szCs w:val="21"/>
          <w:highlight w:val="none"/>
        </w:rPr>
        <w:t>按本合同约定的质量标准</w:t>
      </w:r>
      <w:r>
        <w:rPr>
          <w:rFonts w:eastAsia="仿宋_GB2312"/>
          <w:color w:val="auto"/>
          <w:szCs w:val="21"/>
          <w:highlight w:val="none"/>
        </w:rPr>
        <w:t>完成承包范围内除质量保修外的全部工作。工期总日历天数与根据前述计划开竣工日期计算的工期天数不一致的，以工期总日历天数为准。工期总日历天数已考虑了</w:t>
      </w:r>
      <w:r>
        <w:rPr>
          <w:rFonts w:hint="eastAsia" w:eastAsia="仿宋_GB2312"/>
          <w:color w:val="auto"/>
          <w:szCs w:val="21"/>
          <w:highlight w:val="none"/>
        </w:rPr>
        <w:t>包括但不限于</w:t>
      </w:r>
      <w:r>
        <w:rPr>
          <w:rFonts w:eastAsia="仿宋_GB2312"/>
          <w:color w:val="auto"/>
          <w:szCs w:val="21"/>
          <w:highlight w:val="none"/>
        </w:rPr>
        <w:t>政府规定的不可进行夜间或节假日施工、两会、高考、中考、国家庆典、外交来访、</w:t>
      </w:r>
      <w:r>
        <w:rPr>
          <w:rFonts w:hint="eastAsia" w:eastAsia="仿宋_GB2312"/>
          <w:color w:val="auto"/>
          <w:szCs w:val="21"/>
          <w:highlight w:val="none"/>
        </w:rPr>
        <w:t>环保检查、</w:t>
      </w:r>
      <w:r>
        <w:rPr>
          <w:rFonts w:eastAsia="仿宋_GB2312"/>
          <w:color w:val="auto"/>
          <w:szCs w:val="21"/>
          <w:highlight w:val="none"/>
        </w:rPr>
        <w:t>交通管制等有可能对工期造成影响的所有因素。除非本合同另有约定或经发包人书面同意，前述工期不作任何延长。</w:t>
      </w:r>
    </w:p>
    <w:p w14:paraId="5D192574">
      <w:pPr>
        <w:spacing w:line="360" w:lineRule="auto"/>
        <w:ind w:firstLine="420" w:firstLineChars="200"/>
        <w:rPr>
          <w:rFonts w:eastAsia="仿宋_GB2312"/>
          <w:color w:val="auto"/>
          <w:szCs w:val="21"/>
          <w:highlight w:val="none"/>
        </w:rPr>
      </w:pPr>
      <w:r>
        <w:rPr>
          <w:rFonts w:hint="eastAsia" w:eastAsia="仿宋_GB2312"/>
          <w:color w:val="auto"/>
          <w:szCs w:val="21"/>
          <w:highlight w:val="none"/>
        </w:rPr>
        <w:t>承包人不得以实际开工日期与计划开工日期不一致为由，要求重新报价或调整合同造价中的不可调部分。</w:t>
      </w:r>
    </w:p>
    <w:p w14:paraId="28BEC675">
      <w:pPr>
        <w:pStyle w:val="5"/>
        <w:spacing w:before="120" w:after="120" w:line="360" w:lineRule="auto"/>
        <w:rPr>
          <w:rFonts w:ascii="Times New Roman" w:hAnsi="Times New Roman"/>
          <w:bCs w:val="0"/>
          <w:color w:val="auto"/>
          <w:sz w:val="21"/>
          <w:szCs w:val="21"/>
          <w:highlight w:val="none"/>
        </w:rPr>
      </w:pPr>
      <w:bookmarkStart w:id="135" w:name="_Toc17293"/>
      <w:r>
        <w:rPr>
          <w:rFonts w:ascii="Times New Roman" w:hAnsi="Times New Roman"/>
          <w:color w:val="auto"/>
          <w:sz w:val="21"/>
          <w:szCs w:val="21"/>
          <w:highlight w:val="none"/>
        </w:rPr>
        <w:t>三、质量标准</w:t>
      </w:r>
      <w:bookmarkEnd w:id="135"/>
    </w:p>
    <w:p w14:paraId="39D03EE3">
      <w:pPr>
        <w:spacing w:line="360" w:lineRule="auto"/>
        <w:ind w:firstLine="420" w:firstLineChars="200"/>
        <w:rPr>
          <w:rFonts w:eastAsia="仿宋_GB2312"/>
          <w:color w:val="auto"/>
          <w:szCs w:val="21"/>
          <w:highlight w:val="none"/>
        </w:rPr>
      </w:pPr>
      <w:r>
        <w:rPr>
          <w:rFonts w:eastAsia="仿宋_GB2312"/>
          <w:color w:val="auto"/>
          <w:szCs w:val="21"/>
          <w:highlight w:val="none"/>
        </w:rPr>
        <w:t>工程质量符合</w:t>
      </w:r>
      <w:r>
        <w:rPr>
          <w:rFonts w:hint="eastAsia" w:eastAsia="仿宋_GB2312"/>
          <w:color w:val="auto"/>
          <w:szCs w:val="21"/>
          <w:highlight w:val="none"/>
          <w:u w:val="single"/>
        </w:rPr>
        <w:t xml:space="preserve">                       </w:t>
      </w:r>
      <w:r>
        <w:rPr>
          <w:rFonts w:eastAsia="仿宋_GB2312"/>
          <w:color w:val="auto"/>
          <w:szCs w:val="21"/>
          <w:highlight w:val="none"/>
        </w:rPr>
        <w:t>标准。</w:t>
      </w:r>
    </w:p>
    <w:p w14:paraId="05094FC7">
      <w:pPr>
        <w:pStyle w:val="5"/>
        <w:spacing w:before="120" w:after="120" w:line="360" w:lineRule="auto"/>
        <w:rPr>
          <w:rFonts w:ascii="Times New Roman" w:hAnsi="Times New Roman"/>
          <w:bCs w:val="0"/>
          <w:color w:val="auto"/>
          <w:sz w:val="21"/>
          <w:szCs w:val="21"/>
          <w:highlight w:val="none"/>
        </w:rPr>
      </w:pPr>
      <w:bookmarkStart w:id="136" w:name="_Toc3507"/>
      <w:r>
        <w:rPr>
          <w:rFonts w:ascii="Times New Roman" w:hAnsi="Times New Roman"/>
          <w:color w:val="auto"/>
          <w:sz w:val="21"/>
          <w:szCs w:val="21"/>
          <w:highlight w:val="none"/>
        </w:rPr>
        <w:t>四、签约合同价与合同价格形式</w:t>
      </w:r>
      <w:bookmarkEnd w:id="136"/>
      <w:r>
        <w:rPr>
          <w:rFonts w:ascii="Times New Roman" w:hAnsi="Times New Roman"/>
          <w:b w:val="0"/>
          <w:color w:val="auto"/>
          <w:sz w:val="21"/>
          <w:szCs w:val="21"/>
          <w:highlight w:val="none"/>
        </w:rPr>
        <w:tab/>
      </w:r>
    </w:p>
    <w:p w14:paraId="51463971">
      <w:pPr>
        <w:spacing w:line="360" w:lineRule="auto"/>
        <w:ind w:firstLine="420" w:firstLineChars="200"/>
        <w:rPr>
          <w:rFonts w:eastAsia="仿宋_GB2312"/>
          <w:color w:val="auto"/>
          <w:szCs w:val="21"/>
          <w:highlight w:val="none"/>
        </w:rPr>
      </w:pPr>
      <w:r>
        <w:rPr>
          <w:rFonts w:eastAsia="仿宋_GB2312"/>
          <w:color w:val="auto"/>
          <w:szCs w:val="21"/>
          <w:highlight w:val="none"/>
        </w:rPr>
        <w:t>1.签约合同价为：</w:t>
      </w:r>
    </w:p>
    <w:p w14:paraId="0E168E14">
      <w:pPr>
        <w:spacing w:line="360" w:lineRule="auto"/>
        <w:ind w:firstLine="525" w:firstLineChars="250"/>
        <w:rPr>
          <w:rFonts w:eastAsia="仿宋_GB2312"/>
          <w:color w:val="auto"/>
          <w:szCs w:val="21"/>
          <w:highlight w:val="none"/>
        </w:rPr>
      </w:pPr>
      <w:r>
        <w:rPr>
          <w:rFonts w:eastAsia="仿宋_GB2312"/>
          <w:color w:val="auto"/>
          <w:szCs w:val="21"/>
          <w:highlight w:val="none"/>
        </w:rPr>
        <w:t>人民币（大写）</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元)；</w:t>
      </w:r>
    </w:p>
    <w:p w14:paraId="12554992">
      <w:pPr>
        <w:spacing w:line="360" w:lineRule="auto"/>
        <w:ind w:firstLine="525" w:firstLineChars="250"/>
        <w:rPr>
          <w:rFonts w:eastAsia="仿宋_GB2312"/>
          <w:color w:val="auto"/>
          <w:szCs w:val="21"/>
          <w:highlight w:val="none"/>
        </w:rPr>
      </w:pPr>
      <w:r>
        <w:rPr>
          <w:rFonts w:hint="eastAsia" w:eastAsia="仿宋_GB2312"/>
          <w:color w:val="auto"/>
          <w:szCs w:val="21"/>
          <w:highlight w:val="none"/>
        </w:rPr>
        <w:t>税率为</w:t>
      </w:r>
      <w:r>
        <w:rPr>
          <w:rFonts w:hint="eastAsia" w:eastAsia="仿宋_GB2312"/>
          <w:color w:val="auto"/>
          <w:szCs w:val="21"/>
          <w:highlight w:val="none"/>
          <w:u w:val="single"/>
        </w:rPr>
        <w:t xml:space="preserve">    </w:t>
      </w:r>
      <w:r>
        <w:rPr>
          <w:rFonts w:hint="eastAsia" w:eastAsia="仿宋_GB2312"/>
          <w:color w:val="auto"/>
          <w:szCs w:val="21"/>
          <w:highlight w:val="none"/>
        </w:rPr>
        <w:t>%，不含税价为</w:t>
      </w:r>
      <w:r>
        <w:rPr>
          <w:rFonts w:hint="eastAsia" w:eastAsia="仿宋_GB2312"/>
          <w:color w:val="auto"/>
          <w:szCs w:val="21"/>
          <w:highlight w:val="none"/>
          <w:u w:val="single"/>
        </w:rPr>
        <w:t xml:space="preserve">               </w:t>
      </w:r>
      <w:r>
        <w:rPr>
          <w:rFonts w:eastAsia="仿宋_GB2312"/>
          <w:color w:val="auto"/>
          <w:szCs w:val="21"/>
          <w:highlight w:val="none"/>
        </w:rPr>
        <w:t>(¥</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元)</w:t>
      </w:r>
      <w:r>
        <w:rPr>
          <w:rFonts w:hint="eastAsia" w:eastAsia="仿宋_GB2312"/>
          <w:color w:val="auto"/>
          <w:szCs w:val="21"/>
          <w:highlight w:val="none"/>
        </w:rPr>
        <w:t>。</w:t>
      </w:r>
    </w:p>
    <w:p w14:paraId="6CF41145">
      <w:pPr>
        <w:spacing w:line="360" w:lineRule="auto"/>
        <w:ind w:firstLine="420" w:firstLineChars="200"/>
        <w:rPr>
          <w:rFonts w:eastAsia="仿宋_GB2312"/>
          <w:color w:val="auto"/>
          <w:szCs w:val="21"/>
          <w:highlight w:val="none"/>
        </w:rPr>
      </w:pPr>
      <w:r>
        <w:rPr>
          <w:rFonts w:eastAsia="仿宋_GB2312"/>
          <w:color w:val="auto"/>
          <w:szCs w:val="21"/>
          <w:highlight w:val="none"/>
        </w:rPr>
        <w:t>其中：</w:t>
      </w:r>
    </w:p>
    <w:p w14:paraId="6A477CD9">
      <w:pPr>
        <w:spacing w:line="360" w:lineRule="auto"/>
        <w:ind w:firstLine="420" w:firstLineChars="200"/>
        <w:rPr>
          <w:rFonts w:eastAsia="仿宋_GB2312"/>
          <w:color w:val="auto"/>
          <w:szCs w:val="21"/>
          <w:highlight w:val="none"/>
        </w:rPr>
      </w:pPr>
      <w:r>
        <w:rPr>
          <w:rFonts w:eastAsia="仿宋_GB2312"/>
          <w:color w:val="auto"/>
          <w:szCs w:val="21"/>
          <w:highlight w:val="none"/>
        </w:rPr>
        <w:t>（1）安全文明施工费：</w:t>
      </w:r>
    </w:p>
    <w:p w14:paraId="538D898A">
      <w:pPr>
        <w:spacing w:line="360" w:lineRule="auto"/>
        <w:ind w:firstLine="1050" w:firstLineChars="500"/>
        <w:rPr>
          <w:rFonts w:eastAsia="仿宋_GB2312"/>
          <w:color w:val="auto"/>
          <w:szCs w:val="21"/>
          <w:highlight w:val="none"/>
        </w:rPr>
      </w:pPr>
      <w:r>
        <w:rPr>
          <w:rFonts w:eastAsia="仿宋_GB2312"/>
          <w:color w:val="auto"/>
          <w:szCs w:val="21"/>
          <w:highlight w:val="none"/>
        </w:rPr>
        <w:t>人民币（大写）</w:t>
      </w:r>
      <w:r>
        <w:rPr>
          <w:rFonts w:hint="eastAsia" w:eastAsia="仿宋_GB2312"/>
          <w:color w:val="auto"/>
          <w:szCs w:val="21"/>
          <w:highlight w:val="none"/>
          <w:u w:val="single"/>
        </w:rPr>
        <w:t xml:space="preserve">               </w:t>
      </w:r>
      <w:r>
        <w:rPr>
          <w:rFonts w:eastAsia="仿宋_GB2312"/>
          <w:color w:val="auto"/>
          <w:szCs w:val="21"/>
          <w:highlight w:val="none"/>
        </w:rPr>
        <w:t xml:space="preserve"> (¥</w:t>
      </w:r>
      <w:r>
        <w:rPr>
          <w:rFonts w:hint="eastAsia" w:eastAsia="仿宋_GB2312"/>
          <w:color w:val="auto"/>
          <w:szCs w:val="21"/>
          <w:highlight w:val="none"/>
        </w:rPr>
        <w:t xml:space="preserve"> </w:t>
      </w:r>
      <w:r>
        <w:rPr>
          <w:rFonts w:hint="eastAsia" w:eastAsia="仿宋_GB2312"/>
          <w:color w:val="auto"/>
          <w:szCs w:val="21"/>
          <w:highlight w:val="none"/>
          <w:u w:val="single"/>
        </w:rPr>
        <w:t xml:space="preserve">          </w:t>
      </w:r>
      <w:r>
        <w:rPr>
          <w:rFonts w:eastAsia="仿宋_GB2312"/>
          <w:color w:val="auto"/>
          <w:szCs w:val="21"/>
          <w:highlight w:val="none"/>
        </w:rPr>
        <w:t>元)；</w:t>
      </w:r>
    </w:p>
    <w:p w14:paraId="77E264DF">
      <w:pPr>
        <w:spacing w:line="360" w:lineRule="auto"/>
        <w:ind w:firstLine="420" w:firstLineChars="200"/>
        <w:rPr>
          <w:rFonts w:eastAsia="仿宋_GB2312"/>
          <w:color w:val="auto"/>
          <w:szCs w:val="21"/>
          <w:highlight w:val="none"/>
        </w:rPr>
      </w:pPr>
      <w:r>
        <w:rPr>
          <w:rFonts w:eastAsia="仿宋_GB2312"/>
          <w:color w:val="auto"/>
          <w:szCs w:val="21"/>
          <w:highlight w:val="none"/>
        </w:rPr>
        <w:t>（2）材料和工程设备</w:t>
      </w:r>
      <w:r>
        <w:rPr>
          <w:rFonts w:hint="eastAsia" w:eastAsia="仿宋_GB2312"/>
          <w:color w:val="auto"/>
          <w:szCs w:val="21"/>
          <w:highlight w:val="none"/>
        </w:rPr>
        <w:t>暂估价</w:t>
      </w:r>
      <w:r>
        <w:rPr>
          <w:rFonts w:eastAsia="仿宋_GB2312"/>
          <w:color w:val="auto"/>
          <w:szCs w:val="21"/>
          <w:highlight w:val="none"/>
        </w:rPr>
        <w:t>金额：</w:t>
      </w:r>
    </w:p>
    <w:p w14:paraId="4344B4E0">
      <w:pPr>
        <w:spacing w:line="360" w:lineRule="auto"/>
        <w:ind w:firstLine="1050" w:firstLineChars="500"/>
        <w:rPr>
          <w:rFonts w:eastAsia="仿宋_GB2312"/>
          <w:color w:val="auto"/>
          <w:szCs w:val="21"/>
          <w:highlight w:val="none"/>
        </w:rPr>
      </w:pPr>
      <w:r>
        <w:rPr>
          <w:rFonts w:eastAsia="仿宋_GB2312"/>
          <w:color w:val="auto"/>
          <w:szCs w:val="21"/>
          <w:highlight w:val="none"/>
        </w:rPr>
        <w:t>人民币（大写）</w:t>
      </w:r>
      <w:r>
        <w:rPr>
          <w:rFonts w:hint="eastAsia" w:eastAsia="仿宋_GB2312"/>
          <w:color w:val="auto"/>
          <w:szCs w:val="21"/>
          <w:highlight w:val="none"/>
          <w:u w:val="single"/>
        </w:rPr>
        <w:t xml:space="preserve">                </w:t>
      </w:r>
      <w:r>
        <w:rPr>
          <w:rFonts w:eastAsia="仿宋_GB2312"/>
          <w:color w:val="auto"/>
          <w:szCs w:val="21"/>
          <w:highlight w:val="none"/>
        </w:rPr>
        <w:t xml:space="preserve"> (¥</w:t>
      </w:r>
      <w:r>
        <w:rPr>
          <w:rFonts w:hint="eastAsia" w:eastAsia="仿宋_GB2312"/>
          <w:color w:val="auto"/>
          <w:szCs w:val="21"/>
          <w:highlight w:val="none"/>
          <w:u w:val="single"/>
        </w:rPr>
        <w:t xml:space="preserve">         </w:t>
      </w:r>
      <w:r>
        <w:rPr>
          <w:rFonts w:eastAsia="仿宋_GB2312"/>
          <w:color w:val="auto"/>
          <w:szCs w:val="21"/>
          <w:highlight w:val="none"/>
        </w:rPr>
        <w:t>元)；</w:t>
      </w:r>
    </w:p>
    <w:p w14:paraId="3DDBC493">
      <w:pPr>
        <w:spacing w:line="360" w:lineRule="auto"/>
        <w:ind w:firstLine="420" w:firstLineChars="200"/>
        <w:rPr>
          <w:rFonts w:eastAsia="仿宋_GB2312"/>
          <w:color w:val="auto"/>
          <w:szCs w:val="21"/>
          <w:highlight w:val="none"/>
        </w:rPr>
      </w:pPr>
      <w:r>
        <w:rPr>
          <w:rFonts w:eastAsia="仿宋_GB2312"/>
          <w:color w:val="auto"/>
          <w:szCs w:val="21"/>
          <w:highlight w:val="none"/>
        </w:rPr>
        <w:t>（3）专业工程</w:t>
      </w:r>
      <w:r>
        <w:rPr>
          <w:rFonts w:hint="eastAsia" w:eastAsia="仿宋_GB2312"/>
          <w:color w:val="auto"/>
          <w:szCs w:val="21"/>
          <w:highlight w:val="none"/>
        </w:rPr>
        <w:t>暂估价</w:t>
      </w:r>
      <w:r>
        <w:rPr>
          <w:rFonts w:eastAsia="仿宋_GB2312"/>
          <w:color w:val="auto"/>
          <w:szCs w:val="21"/>
          <w:highlight w:val="none"/>
        </w:rPr>
        <w:t>金额：</w:t>
      </w:r>
    </w:p>
    <w:p w14:paraId="33111505">
      <w:pPr>
        <w:spacing w:line="360" w:lineRule="auto"/>
        <w:ind w:firstLine="945" w:firstLineChars="450"/>
        <w:rPr>
          <w:rFonts w:eastAsia="仿宋_GB2312"/>
          <w:color w:val="auto"/>
          <w:szCs w:val="21"/>
          <w:highlight w:val="none"/>
        </w:rPr>
      </w:pPr>
      <w:r>
        <w:rPr>
          <w:rFonts w:eastAsia="仿宋_GB2312"/>
          <w:color w:val="auto"/>
          <w:szCs w:val="21"/>
          <w:highlight w:val="none"/>
        </w:rPr>
        <w:t>人民币（大写）</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元)；</w:t>
      </w:r>
    </w:p>
    <w:p w14:paraId="31601D96">
      <w:pPr>
        <w:spacing w:line="360" w:lineRule="auto"/>
        <w:ind w:firstLine="420" w:firstLineChars="200"/>
        <w:rPr>
          <w:rFonts w:eastAsia="仿宋_GB2312"/>
          <w:color w:val="auto"/>
          <w:szCs w:val="21"/>
          <w:highlight w:val="none"/>
        </w:rPr>
      </w:pPr>
      <w:r>
        <w:rPr>
          <w:rFonts w:eastAsia="仿宋_GB2312"/>
          <w:color w:val="auto"/>
          <w:szCs w:val="21"/>
          <w:highlight w:val="none"/>
        </w:rPr>
        <w:t>（4）暂列金额：</w:t>
      </w:r>
    </w:p>
    <w:p w14:paraId="4F5BC2E2">
      <w:pPr>
        <w:spacing w:line="360" w:lineRule="auto"/>
        <w:ind w:firstLine="945" w:firstLineChars="450"/>
        <w:rPr>
          <w:rFonts w:eastAsia="仿宋_GB2312"/>
          <w:color w:val="auto"/>
          <w:szCs w:val="21"/>
          <w:highlight w:val="none"/>
        </w:rPr>
      </w:pPr>
      <w:r>
        <w:rPr>
          <w:rFonts w:eastAsia="仿宋_GB2312"/>
          <w:color w:val="auto"/>
          <w:szCs w:val="21"/>
          <w:highlight w:val="none"/>
        </w:rPr>
        <w:t>人民币（大写）</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r>
        <w:rPr>
          <w:rFonts w:hint="eastAsia" w:eastAsia="仿宋_GB2312"/>
          <w:color w:val="auto"/>
          <w:szCs w:val="21"/>
          <w:highlight w:val="none"/>
          <w:u w:val="single"/>
        </w:rPr>
        <w:t xml:space="preserve">       </w:t>
      </w:r>
      <w:r>
        <w:rPr>
          <w:rFonts w:eastAsia="仿宋_GB2312"/>
          <w:color w:val="auto"/>
          <w:szCs w:val="21"/>
          <w:highlight w:val="none"/>
        </w:rPr>
        <w:t>元)。</w:t>
      </w:r>
    </w:p>
    <w:p w14:paraId="0E502535">
      <w:pPr>
        <w:spacing w:line="360" w:lineRule="auto"/>
        <w:ind w:firstLine="420" w:firstLineChars="200"/>
        <w:rPr>
          <w:rFonts w:eastAsia="仿宋_GB2312"/>
          <w:color w:val="auto"/>
          <w:szCs w:val="21"/>
          <w:highlight w:val="none"/>
        </w:rPr>
      </w:pPr>
      <w:r>
        <w:rPr>
          <w:rFonts w:eastAsia="仿宋_GB2312"/>
          <w:color w:val="auto"/>
          <w:szCs w:val="21"/>
          <w:highlight w:val="none"/>
        </w:rPr>
        <w:t>2.合同价格形式：</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33B01236">
      <w:pPr>
        <w:pStyle w:val="5"/>
        <w:spacing w:before="120" w:after="120" w:line="360" w:lineRule="auto"/>
        <w:rPr>
          <w:rFonts w:ascii="Times New Roman" w:hAnsi="Times New Roman"/>
          <w:b w:val="0"/>
          <w:color w:val="auto"/>
          <w:sz w:val="21"/>
          <w:szCs w:val="21"/>
          <w:highlight w:val="none"/>
        </w:rPr>
      </w:pPr>
      <w:bookmarkStart w:id="137" w:name="_Toc1568"/>
      <w:r>
        <w:rPr>
          <w:rFonts w:ascii="Times New Roman" w:hAnsi="Times New Roman"/>
          <w:color w:val="auto"/>
          <w:sz w:val="21"/>
          <w:szCs w:val="21"/>
          <w:highlight w:val="none"/>
        </w:rPr>
        <w:t>五、项目经理</w:t>
      </w:r>
      <w:bookmarkEnd w:id="137"/>
    </w:p>
    <w:p w14:paraId="04B75EB0">
      <w:pPr>
        <w:spacing w:line="360" w:lineRule="auto"/>
        <w:ind w:firstLine="420" w:firstLineChars="200"/>
        <w:rPr>
          <w:rFonts w:eastAsia="仿宋_GB2312"/>
          <w:color w:val="auto"/>
          <w:szCs w:val="21"/>
          <w:highlight w:val="none"/>
        </w:rPr>
      </w:pPr>
      <w:r>
        <w:rPr>
          <w:rFonts w:eastAsia="仿宋_GB2312"/>
          <w:color w:val="auto"/>
          <w:szCs w:val="21"/>
          <w:highlight w:val="none"/>
        </w:rPr>
        <w:t>承包人项目经理：</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09B83AD7">
      <w:pPr>
        <w:pStyle w:val="5"/>
        <w:spacing w:before="120" w:after="120" w:line="360" w:lineRule="auto"/>
        <w:rPr>
          <w:rFonts w:ascii="Times New Roman" w:hAnsi="Times New Roman"/>
          <w:bCs w:val="0"/>
          <w:color w:val="auto"/>
          <w:sz w:val="21"/>
          <w:szCs w:val="21"/>
          <w:highlight w:val="none"/>
        </w:rPr>
      </w:pPr>
      <w:bookmarkStart w:id="138" w:name="_Toc7531"/>
      <w:r>
        <w:rPr>
          <w:rFonts w:ascii="Times New Roman" w:hAnsi="Times New Roman"/>
          <w:color w:val="auto"/>
          <w:sz w:val="21"/>
          <w:szCs w:val="21"/>
          <w:highlight w:val="none"/>
        </w:rPr>
        <w:t>六、合同文件构成</w:t>
      </w:r>
      <w:bookmarkEnd w:id="138"/>
    </w:p>
    <w:p w14:paraId="7BB606B8">
      <w:pPr>
        <w:spacing w:line="360" w:lineRule="auto"/>
        <w:ind w:firstLine="420" w:firstLineChars="200"/>
        <w:rPr>
          <w:rFonts w:eastAsia="仿宋_GB2312"/>
          <w:bCs/>
          <w:color w:val="auto"/>
          <w:szCs w:val="21"/>
          <w:highlight w:val="none"/>
        </w:rPr>
      </w:pPr>
      <w:r>
        <w:rPr>
          <w:rFonts w:eastAsia="仿宋_GB2312"/>
          <w:bCs/>
          <w:color w:val="auto"/>
          <w:szCs w:val="21"/>
          <w:highlight w:val="none"/>
        </w:rPr>
        <w:t>下列文件一起构成合同文件：</w:t>
      </w:r>
    </w:p>
    <w:p w14:paraId="112CBF07">
      <w:pPr>
        <w:numPr>
          <w:ilvl w:val="0"/>
          <w:numId w:val="31"/>
        </w:numPr>
        <w:autoSpaceDE w:val="0"/>
        <w:autoSpaceDN w:val="0"/>
        <w:adjustRightInd w:val="0"/>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补充协议（如有）</w:t>
      </w:r>
    </w:p>
    <w:p w14:paraId="7CA91E85">
      <w:pPr>
        <w:numPr>
          <w:ilvl w:val="0"/>
          <w:numId w:val="31"/>
        </w:numPr>
        <w:autoSpaceDE w:val="0"/>
        <w:autoSpaceDN w:val="0"/>
        <w:adjustRightInd w:val="0"/>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合同协议书</w:t>
      </w:r>
    </w:p>
    <w:p w14:paraId="7F04D03F">
      <w:pPr>
        <w:numPr>
          <w:ilvl w:val="0"/>
          <w:numId w:val="31"/>
        </w:num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中标通知书（如果有）；</w:t>
      </w:r>
    </w:p>
    <w:p w14:paraId="76B5EB82">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w:t>
      </w:r>
      <w:r>
        <w:rPr>
          <w:rFonts w:hint="eastAsia" w:eastAsia="仿宋_GB2312"/>
          <w:color w:val="auto"/>
          <w:szCs w:val="21"/>
          <w:highlight w:val="none"/>
        </w:rPr>
        <w:t>4</w:t>
      </w:r>
      <w:r>
        <w:rPr>
          <w:rFonts w:eastAsia="仿宋_GB2312"/>
          <w:color w:val="auto"/>
          <w:szCs w:val="21"/>
          <w:highlight w:val="none"/>
        </w:rPr>
        <w:t xml:space="preserve">）投标函及其附录（如果有）； </w:t>
      </w:r>
    </w:p>
    <w:p w14:paraId="3C18C659">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w:t>
      </w:r>
      <w:r>
        <w:rPr>
          <w:rFonts w:hint="eastAsia" w:eastAsia="仿宋_GB2312"/>
          <w:color w:val="auto"/>
          <w:szCs w:val="21"/>
          <w:highlight w:val="none"/>
        </w:rPr>
        <w:t>5</w:t>
      </w:r>
      <w:r>
        <w:rPr>
          <w:rFonts w:eastAsia="仿宋_GB2312"/>
          <w:color w:val="auto"/>
          <w:szCs w:val="21"/>
          <w:highlight w:val="none"/>
        </w:rPr>
        <w:t>）专用合同条款及其附件；</w:t>
      </w:r>
    </w:p>
    <w:p w14:paraId="1D7E225F">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w:t>
      </w:r>
      <w:r>
        <w:rPr>
          <w:rFonts w:hint="eastAsia" w:eastAsia="仿宋_GB2312"/>
          <w:color w:val="auto"/>
          <w:szCs w:val="21"/>
          <w:highlight w:val="none"/>
        </w:rPr>
        <w:t>6</w:t>
      </w:r>
      <w:r>
        <w:rPr>
          <w:rFonts w:eastAsia="仿宋_GB2312"/>
          <w:color w:val="auto"/>
          <w:szCs w:val="21"/>
          <w:highlight w:val="none"/>
        </w:rPr>
        <w:t>）通用合同条款；</w:t>
      </w:r>
    </w:p>
    <w:p w14:paraId="0AF9486B">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w:t>
      </w:r>
      <w:r>
        <w:rPr>
          <w:rFonts w:hint="eastAsia" w:eastAsia="仿宋_GB2312"/>
          <w:color w:val="auto"/>
          <w:szCs w:val="21"/>
          <w:highlight w:val="none"/>
        </w:rPr>
        <w:t>7</w:t>
      </w:r>
      <w:r>
        <w:rPr>
          <w:rFonts w:eastAsia="仿宋_GB2312"/>
          <w:color w:val="auto"/>
          <w:szCs w:val="21"/>
          <w:highlight w:val="none"/>
        </w:rPr>
        <w:t>）技术标准和要求；</w:t>
      </w:r>
    </w:p>
    <w:p w14:paraId="185BE34D">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w:t>
      </w:r>
      <w:r>
        <w:rPr>
          <w:rFonts w:hint="eastAsia" w:eastAsia="仿宋_GB2312"/>
          <w:color w:val="auto"/>
          <w:szCs w:val="21"/>
          <w:highlight w:val="none"/>
        </w:rPr>
        <w:t>8</w:t>
      </w:r>
      <w:r>
        <w:rPr>
          <w:rFonts w:eastAsia="仿宋_GB2312"/>
          <w:color w:val="auto"/>
          <w:szCs w:val="21"/>
          <w:highlight w:val="none"/>
        </w:rPr>
        <w:t>）图纸；</w:t>
      </w:r>
    </w:p>
    <w:p w14:paraId="182BBDD1">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w:t>
      </w:r>
      <w:r>
        <w:rPr>
          <w:rFonts w:hint="eastAsia" w:eastAsia="仿宋_GB2312"/>
          <w:color w:val="auto"/>
          <w:szCs w:val="21"/>
          <w:highlight w:val="none"/>
        </w:rPr>
        <w:t>9</w:t>
      </w:r>
      <w:r>
        <w:rPr>
          <w:rFonts w:eastAsia="仿宋_GB2312"/>
          <w:color w:val="auto"/>
          <w:szCs w:val="21"/>
          <w:highlight w:val="none"/>
        </w:rPr>
        <w:t>）已标价工程量清单或预算书；</w:t>
      </w:r>
    </w:p>
    <w:p w14:paraId="611DC148">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w:t>
      </w:r>
      <w:r>
        <w:rPr>
          <w:rFonts w:hint="eastAsia" w:eastAsia="仿宋_GB2312"/>
          <w:color w:val="auto"/>
          <w:szCs w:val="21"/>
          <w:highlight w:val="none"/>
        </w:rPr>
        <w:t>10</w:t>
      </w:r>
      <w:r>
        <w:rPr>
          <w:rFonts w:eastAsia="仿宋_GB2312"/>
          <w:color w:val="auto"/>
          <w:szCs w:val="21"/>
          <w:highlight w:val="none"/>
        </w:rPr>
        <w:t>）其他合同文件。</w:t>
      </w:r>
    </w:p>
    <w:p w14:paraId="4D8CD680">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在合同订立及履行过程中形成的与合同有关的文件均构成合同文件组成部分。</w:t>
      </w:r>
    </w:p>
    <w:p w14:paraId="2F0DC332">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上述各项合同文件包括合同当事人就该项合同文件所作出的补充和修改，属于同一类内容的文件，应以最</w:t>
      </w:r>
      <w:r>
        <w:rPr>
          <w:rFonts w:hint="eastAsia" w:eastAsia="仿宋_GB2312"/>
          <w:color w:val="auto"/>
          <w:szCs w:val="21"/>
          <w:highlight w:val="none"/>
        </w:rPr>
        <w:t>后</w:t>
      </w:r>
      <w:r>
        <w:rPr>
          <w:rFonts w:eastAsia="仿宋_GB2312"/>
          <w:color w:val="auto"/>
          <w:szCs w:val="21"/>
          <w:highlight w:val="none"/>
        </w:rPr>
        <w:t>签署的为准。</w:t>
      </w:r>
      <w:r>
        <w:rPr>
          <w:rFonts w:hint="eastAsia" w:eastAsia="仿宋_GB2312"/>
          <w:color w:val="auto"/>
          <w:szCs w:val="21"/>
          <w:highlight w:val="none"/>
        </w:rPr>
        <w:t>专用合同条款及其附件须经合同各当事人签字并盖章。</w:t>
      </w:r>
    </w:p>
    <w:p w14:paraId="3E060EB6">
      <w:pPr>
        <w:pStyle w:val="5"/>
        <w:spacing w:before="120" w:after="120" w:line="360" w:lineRule="auto"/>
        <w:rPr>
          <w:rFonts w:ascii="Times New Roman" w:hAnsi="Times New Roman"/>
          <w:b w:val="0"/>
          <w:bCs w:val="0"/>
          <w:color w:val="auto"/>
          <w:sz w:val="21"/>
          <w:szCs w:val="21"/>
          <w:highlight w:val="none"/>
        </w:rPr>
      </w:pPr>
      <w:bookmarkStart w:id="139" w:name="_Toc1606"/>
      <w:r>
        <w:rPr>
          <w:rFonts w:ascii="Times New Roman" w:hAnsi="Times New Roman"/>
          <w:color w:val="auto"/>
          <w:sz w:val="21"/>
          <w:szCs w:val="21"/>
          <w:highlight w:val="none"/>
        </w:rPr>
        <w:t>七、承诺</w:t>
      </w:r>
      <w:bookmarkEnd w:id="139"/>
    </w:p>
    <w:p w14:paraId="096F22C7">
      <w:pPr>
        <w:spacing w:line="360" w:lineRule="auto"/>
        <w:ind w:firstLine="420" w:firstLineChars="200"/>
        <w:rPr>
          <w:rFonts w:eastAsia="仿宋_GB2312"/>
          <w:bCs/>
          <w:color w:val="auto"/>
          <w:szCs w:val="21"/>
          <w:highlight w:val="none"/>
        </w:rPr>
      </w:pPr>
      <w:r>
        <w:rPr>
          <w:rFonts w:eastAsia="仿宋_GB2312"/>
          <w:bCs/>
          <w:color w:val="auto"/>
          <w:szCs w:val="21"/>
          <w:highlight w:val="none"/>
        </w:rPr>
        <w:t>1.发包人承诺按照法律规定履行项目审批手续、筹集工程建设资金并按照合同约定的期限和方式支付合同价款。</w:t>
      </w:r>
    </w:p>
    <w:p w14:paraId="0795EAC9">
      <w:pPr>
        <w:spacing w:line="360" w:lineRule="auto"/>
        <w:ind w:firstLine="420" w:firstLineChars="200"/>
        <w:rPr>
          <w:rFonts w:eastAsia="仿宋_GB2312"/>
          <w:bCs/>
          <w:color w:val="auto"/>
          <w:szCs w:val="21"/>
          <w:highlight w:val="none"/>
        </w:rPr>
      </w:pPr>
      <w:r>
        <w:rPr>
          <w:rFonts w:eastAsia="仿宋_GB2312"/>
          <w:bCs/>
          <w:color w:val="auto"/>
          <w:szCs w:val="21"/>
          <w:highlight w:val="none"/>
        </w:rPr>
        <w:t>2.承包人承诺按照法律规定及合同约定组织完成工程施工，确保工程质量和安全，不进行转包及违法分包，并在缺陷责任期及保修期内承担相应的工程维修</w:t>
      </w:r>
      <w:r>
        <w:rPr>
          <w:rFonts w:hint="eastAsia" w:eastAsia="仿宋_GB2312"/>
          <w:bCs/>
          <w:color w:val="auto"/>
          <w:szCs w:val="21"/>
          <w:highlight w:val="none"/>
        </w:rPr>
        <w:t>或保修</w:t>
      </w:r>
      <w:r>
        <w:rPr>
          <w:rFonts w:eastAsia="仿宋_GB2312"/>
          <w:bCs/>
          <w:color w:val="auto"/>
          <w:szCs w:val="21"/>
          <w:highlight w:val="none"/>
        </w:rPr>
        <w:t>责任。</w:t>
      </w:r>
    </w:p>
    <w:p w14:paraId="1D5CE73B">
      <w:pPr>
        <w:spacing w:line="360" w:lineRule="auto"/>
        <w:ind w:firstLine="420" w:firstLineChars="200"/>
        <w:rPr>
          <w:rFonts w:eastAsia="仿宋_GB2312"/>
          <w:bCs/>
          <w:color w:val="auto"/>
          <w:szCs w:val="21"/>
          <w:highlight w:val="none"/>
        </w:rPr>
      </w:pPr>
      <w:r>
        <w:rPr>
          <w:rFonts w:eastAsia="仿宋_GB2312"/>
          <w:bCs/>
          <w:color w:val="auto"/>
          <w:szCs w:val="21"/>
          <w:highlight w:val="none"/>
        </w:rPr>
        <w:t>3.发包人和承包人通过招投标形式签订合同的，双方理解并</w:t>
      </w:r>
      <w:r>
        <w:rPr>
          <w:rFonts w:hint="eastAsia" w:eastAsia="仿宋_GB2312"/>
          <w:bCs/>
          <w:color w:val="auto"/>
          <w:szCs w:val="21"/>
          <w:highlight w:val="none"/>
        </w:rPr>
        <w:t>承诺</w:t>
      </w:r>
      <w:r>
        <w:rPr>
          <w:rFonts w:eastAsia="仿宋_GB2312"/>
          <w:bCs/>
          <w:color w:val="auto"/>
          <w:szCs w:val="21"/>
          <w:highlight w:val="none"/>
        </w:rPr>
        <w:t>不再就同一工程另行签订与</w:t>
      </w:r>
      <w:r>
        <w:rPr>
          <w:rFonts w:hint="eastAsia" w:eastAsia="仿宋_GB2312"/>
          <w:bCs/>
          <w:color w:val="auto"/>
          <w:szCs w:val="21"/>
          <w:highlight w:val="none"/>
        </w:rPr>
        <w:t>已签订</w:t>
      </w:r>
      <w:r>
        <w:rPr>
          <w:rFonts w:eastAsia="仿宋_GB2312"/>
          <w:bCs/>
          <w:color w:val="auto"/>
          <w:szCs w:val="21"/>
          <w:highlight w:val="none"/>
        </w:rPr>
        <w:t>合同实质性内容相背离的协议。</w:t>
      </w:r>
    </w:p>
    <w:p w14:paraId="101F7D7B">
      <w:pPr>
        <w:spacing w:line="360" w:lineRule="auto"/>
        <w:outlineLvl w:val="3"/>
        <w:rPr>
          <w:rFonts w:eastAsia="黑体"/>
          <w:bCs/>
          <w:color w:val="auto"/>
          <w:szCs w:val="21"/>
          <w:highlight w:val="none"/>
        </w:rPr>
      </w:pPr>
      <w:bookmarkStart w:id="140" w:name="_Toc28208"/>
      <w:r>
        <w:rPr>
          <w:rFonts w:eastAsia="黑体"/>
          <w:b/>
          <w:bCs/>
          <w:color w:val="auto"/>
          <w:szCs w:val="21"/>
          <w:highlight w:val="none"/>
        </w:rPr>
        <w:t>八、词语含义</w:t>
      </w:r>
      <w:bookmarkEnd w:id="140"/>
    </w:p>
    <w:p w14:paraId="231D9042">
      <w:pPr>
        <w:spacing w:line="360" w:lineRule="auto"/>
        <w:ind w:firstLine="420" w:firstLineChars="200"/>
        <w:rPr>
          <w:rFonts w:eastAsia="仿宋_GB2312"/>
          <w:bCs/>
          <w:color w:val="auto"/>
          <w:szCs w:val="21"/>
          <w:highlight w:val="none"/>
        </w:rPr>
      </w:pPr>
      <w:r>
        <w:rPr>
          <w:rFonts w:eastAsia="仿宋_GB2312"/>
          <w:bCs/>
          <w:color w:val="auto"/>
          <w:szCs w:val="21"/>
          <w:highlight w:val="none"/>
        </w:rPr>
        <w:t>本协议书中词语含义与第二部分通用合同条款中赋予的含义相同。</w:t>
      </w:r>
    </w:p>
    <w:p w14:paraId="4033ECC6">
      <w:pPr>
        <w:pStyle w:val="5"/>
        <w:spacing w:before="120" w:after="120" w:line="360" w:lineRule="auto"/>
        <w:rPr>
          <w:rFonts w:ascii="Times New Roman" w:hAnsi="Times New Roman"/>
          <w:bCs w:val="0"/>
          <w:color w:val="auto"/>
          <w:sz w:val="21"/>
          <w:szCs w:val="21"/>
          <w:highlight w:val="none"/>
        </w:rPr>
      </w:pPr>
      <w:bookmarkStart w:id="141" w:name="_Toc751"/>
      <w:r>
        <w:rPr>
          <w:rFonts w:ascii="Times New Roman" w:hAnsi="Times New Roman"/>
          <w:color w:val="auto"/>
          <w:sz w:val="21"/>
          <w:szCs w:val="21"/>
          <w:highlight w:val="none"/>
        </w:rPr>
        <w:t>九、签订时间</w:t>
      </w:r>
      <w:bookmarkEnd w:id="141"/>
    </w:p>
    <w:p w14:paraId="230F35A2">
      <w:pPr>
        <w:spacing w:line="360" w:lineRule="auto"/>
        <w:ind w:firstLine="420" w:firstLineChars="200"/>
        <w:rPr>
          <w:rFonts w:eastAsia="仿宋_GB2312"/>
          <w:bCs/>
          <w:color w:val="auto"/>
          <w:szCs w:val="21"/>
          <w:highlight w:val="none"/>
        </w:rPr>
      </w:pPr>
      <w:r>
        <w:rPr>
          <w:rFonts w:eastAsia="仿宋_GB2312"/>
          <w:bCs/>
          <w:color w:val="auto"/>
          <w:szCs w:val="21"/>
          <w:highlight w:val="none"/>
        </w:rPr>
        <w:t>本合同于</w:t>
      </w:r>
      <w:r>
        <w:rPr>
          <w:rFonts w:eastAsia="仿宋_GB2312"/>
          <w:bCs/>
          <w:color w:val="auto"/>
          <w:szCs w:val="21"/>
          <w:highlight w:val="none"/>
          <w:u w:val="single"/>
        </w:rPr>
        <w:t xml:space="preserve"> </w:t>
      </w:r>
      <w:r>
        <w:rPr>
          <w:rFonts w:hint="eastAsia" w:eastAsia="仿宋_GB2312"/>
          <w:bCs/>
          <w:color w:val="auto"/>
          <w:szCs w:val="21"/>
          <w:highlight w:val="none"/>
          <w:u w:val="single"/>
        </w:rPr>
        <w:t xml:space="preserve">      </w:t>
      </w:r>
      <w:r>
        <w:rPr>
          <w:rFonts w:eastAsia="仿宋_GB2312"/>
          <w:bCs/>
          <w:color w:val="auto"/>
          <w:szCs w:val="21"/>
          <w:highlight w:val="none"/>
          <w:u w:val="single"/>
        </w:rPr>
        <w:t xml:space="preserve"> </w:t>
      </w:r>
      <w:r>
        <w:rPr>
          <w:rFonts w:eastAsia="仿宋_GB2312"/>
          <w:bCs/>
          <w:color w:val="auto"/>
          <w:szCs w:val="21"/>
          <w:highlight w:val="none"/>
        </w:rPr>
        <w:t>年</w:t>
      </w:r>
      <w:r>
        <w:rPr>
          <w:rFonts w:eastAsia="仿宋_GB2312"/>
          <w:bCs/>
          <w:color w:val="auto"/>
          <w:szCs w:val="21"/>
          <w:highlight w:val="none"/>
          <w:u w:val="single"/>
        </w:rPr>
        <w:t xml:space="preserve"> </w:t>
      </w:r>
      <w:r>
        <w:rPr>
          <w:rFonts w:hint="eastAsia" w:eastAsia="仿宋_GB2312"/>
          <w:bCs/>
          <w:color w:val="auto"/>
          <w:szCs w:val="21"/>
          <w:highlight w:val="none"/>
          <w:u w:val="single"/>
        </w:rPr>
        <w:t xml:space="preserve">   </w:t>
      </w:r>
      <w:r>
        <w:rPr>
          <w:rFonts w:eastAsia="仿宋_GB2312"/>
          <w:bCs/>
          <w:color w:val="auto"/>
          <w:szCs w:val="21"/>
          <w:highlight w:val="none"/>
          <w:u w:val="single"/>
        </w:rPr>
        <w:t xml:space="preserve"> </w:t>
      </w:r>
      <w:r>
        <w:rPr>
          <w:rFonts w:eastAsia="仿宋_GB2312"/>
          <w:bCs/>
          <w:color w:val="auto"/>
          <w:szCs w:val="21"/>
          <w:highlight w:val="none"/>
        </w:rPr>
        <w:t>月</w:t>
      </w:r>
      <w:r>
        <w:rPr>
          <w:rFonts w:eastAsia="仿宋_GB2312"/>
          <w:bCs/>
          <w:color w:val="auto"/>
          <w:szCs w:val="21"/>
          <w:highlight w:val="none"/>
          <w:u w:val="single"/>
        </w:rPr>
        <w:t xml:space="preserve"> </w:t>
      </w:r>
      <w:r>
        <w:rPr>
          <w:rFonts w:hint="eastAsia" w:eastAsia="仿宋_GB2312"/>
          <w:bCs/>
          <w:color w:val="auto"/>
          <w:szCs w:val="21"/>
          <w:highlight w:val="none"/>
          <w:u w:val="single"/>
        </w:rPr>
        <w:t xml:space="preserve">   </w:t>
      </w:r>
      <w:r>
        <w:rPr>
          <w:rFonts w:eastAsia="仿宋_GB2312"/>
          <w:bCs/>
          <w:color w:val="auto"/>
          <w:szCs w:val="21"/>
          <w:highlight w:val="none"/>
          <w:u w:val="single"/>
        </w:rPr>
        <w:t xml:space="preserve"> </w:t>
      </w:r>
      <w:r>
        <w:rPr>
          <w:rFonts w:eastAsia="仿宋_GB2312"/>
          <w:bCs/>
          <w:color w:val="auto"/>
          <w:szCs w:val="21"/>
          <w:highlight w:val="none"/>
        </w:rPr>
        <w:t>日签订。</w:t>
      </w:r>
    </w:p>
    <w:p w14:paraId="19894931">
      <w:pPr>
        <w:pStyle w:val="5"/>
        <w:spacing w:before="120" w:after="120" w:line="360" w:lineRule="auto"/>
        <w:rPr>
          <w:rFonts w:ascii="Times New Roman" w:hAnsi="Times New Roman"/>
          <w:bCs w:val="0"/>
          <w:color w:val="auto"/>
          <w:sz w:val="21"/>
          <w:szCs w:val="21"/>
          <w:highlight w:val="none"/>
        </w:rPr>
      </w:pPr>
      <w:bookmarkStart w:id="142" w:name="_Toc880"/>
      <w:r>
        <w:rPr>
          <w:rFonts w:ascii="Times New Roman" w:hAnsi="Times New Roman"/>
          <w:color w:val="auto"/>
          <w:sz w:val="21"/>
          <w:szCs w:val="21"/>
          <w:highlight w:val="none"/>
        </w:rPr>
        <w:t>十、签订地点</w:t>
      </w:r>
      <w:bookmarkEnd w:id="142"/>
    </w:p>
    <w:p w14:paraId="42C99F43">
      <w:pPr>
        <w:spacing w:line="360" w:lineRule="auto"/>
        <w:ind w:firstLine="420" w:firstLineChars="200"/>
        <w:jc w:val="left"/>
        <w:rPr>
          <w:rFonts w:eastAsia="仿宋_GB2312"/>
          <w:bCs/>
          <w:color w:val="auto"/>
          <w:szCs w:val="21"/>
          <w:highlight w:val="none"/>
        </w:rPr>
      </w:pPr>
      <w:r>
        <w:rPr>
          <w:rFonts w:eastAsia="仿宋_GB2312"/>
          <w:bCs/>
          <w:color w:val="auto"/>
          <w:szCs w:val="21"/>
          <w:highlight w:val="none"/>
        </w:rPr>
        <w:t>本合同在</w:t>
      </w:r>
      <w:r>
        <w:rPr>
          <w:rFonts w:eastAsia="仿宋_GB2312"/>
          <w:bCs/>
          <w:color w:val="auto"/>
          <w:szCs w:val="21"/>
          <w:highlight w:val="none"/>
          <w:u w:val="single"/>
        </w:rPr>
        <w:t xml:space="preserve"> </w:t>
      </w:r>
      <w:r>
        <w:rPr>
          <w:rFonts w:hint="eastAsia" w:eastAsia="仿宋_GB2312"/>
          <w:bCs/>
          <w:color w:val="auto"/>
          <w:szCs w:val="21"/>
          <w:highlight w:val="none"/>
          <w:u w:val="single"/>
        </w:rPr>
        <w:t xml:space="preserve">                      </w:t>
      </w:r>
      <w:r>
        <w:rPr>
          <w:rFonts w:eastAsia="仿宋_GB2312"/>
          <w:bCs/>
          <w:color w:val="auto"/>
          <w:szCs w:val="21"/>
          <w:highlight w:val="none"/>
          <w:u w:val="single"/>
        </w:rPr>
        <w:t xml:space="preserve"> </w:t>
      </w:r>
      <w:r>
        <w:rPr>
          <w:rFonts w:eastAsia="仿宋_GB2312"/>
          <w:bCs/>
          <w:color w:val="auto"/>
          <w:szCs w:val="21"/>
          <w:highlight w:val="none"/>
        </w:rPr>
        <w:t>签订。</w:t>
      </w:r>
    </w:p>
    <w:p w14:paraId="4BEFAB99">
      <w:pPr>
        <w:pStyle w:val="5"/>
        <w:spacing w:before="120" w:after="120" w:line="360" w:lineRule="auto"/>
        <w:rPr>
          <w:rFonts w:ascii="Times New Roman" w:hAnsi="Times New Roman"/>
          <w:bCs w:val="0"/>
          <w:color w:val="auto"/>
          <w:sz w:val="21"/>
          <w:szCs w:val="21"/>
          <w:highlight w:val="none"/>
        </w:rPr>
      </w:pPr>
      <w:bookmarkStart w:id="143" w:name="_Toc6434"/>
      <w:r>
        <w:rPr>
          <w:rFonts w:ascii="Times New Roman" w:hAnsi="Times New Roman"/>
          <w:color w:val="auto"/>
          <w:sz w:val="21"/>
          <w:szCs w:val="21"/>
          <w:highlight w:val="none"/>
        </w:rPr>
        <w:t>十一、补充协议</w:t>
      </w:r>
      <w:bookmarkEnd w:id="143"/>
    </w:p>
    <w:p w14:paraId="4496F9C1">
      <w:pPr>
        <w:spacing w:line="360" w:lineRule="auto"/>
        <w:ind w:firstLine="420" w:firstLineChars="200"/>
        <w:rPr>
          <w:rFonts w:eastAsia="仿宋_GB2312"/>
          <w:b/>
          <w:bCs/>
          <w:color w:val="auto"/>
          <w:szCs w:val="21"/>
          <w:highlight w:val="none"/>
        </w:rPr>
      </w:pPr>
      <w:r>
        <w:rPr>
          <w:rFonts w:eastAsia="仿宋_GB2312"/>
          <w:bCs/>
          <w:color w:val="auto"/>
          <w:szCs w:val="21"/>
          <w:highlight w:val="none"/>
        </w:rPr>
        <w:t>合同未尽事宜，合同当事人另行签订</w:t>
      </w:r>
      <w:r>
        <w:rPr>
          <w:rFonts w:hint="eastAsia" w:eastAsia="仿宋_GB2312"/>
          <w:bCs/>
          <w:color w:val="auto"/>
          <w:szCs w:val="21"/>
          <w:highlight w:val="none"/>
        </w:rPr>
        <w:t>书面</w:t>
      </w:r>
      <w:r>
        <w:rPr>
          <w:rFonts w:eastAsia="仿宋_GB2312"/>
          <w:bCs/>
          <w:color w:val="auto"/>
          <w:szCs w:val="21"/>
          <w:highlight w:val="none"/>
        </w:rPr>
        <w:t>补充协议</w:t>
      </w:r>
      <w:r>
        <w:rPr>
          <w:rFonts w:hint="eastAsia" w:eastAsia="仿宋_GB2312"/>
          <w:bCs/>
          <w:color w:val="auto"/>
          <w:szCs w:val="21"/>
          <w:highlight w:val="none"/>
        </w:rPr>
        <w:t>，</w:t>
      </w:r>
      <w:r>
        <w:rPr>
          <w:rFonts w:eastAsia="仿宋_GB2312"/>
          <w:bCs/>
          <w:color w:val="auto"/>
          <w:szCs w:val="21"/>
          <w:highlight w:val="none"/>
        </w:rPr>
        <w:t>补充协议是合同的组成部分。</w:t>
      </w:r>
    </w:p>
    <w:p w14:paraId="6EF82D8A">
      <w:pPr>
        <w:pStyle w:val="5"/>
        <w:spacing w:before="120" w:after="120" w:line="360" w:lineRule="auto"/>
        <w:rPr>
          <w:rFonts w:ascii="Times New Roman" w:hAnsi="Times New Roman"/>
          <w:bCs w:val="0"/>
          <w:color w:val="auto"/>
          <w:sz w:val="21"/>
          <w:szCs w:val="21"/>
          <w:highlight w:val="none"/>
        </w:rPr>
      </w:pPr>
      <w:bookmarkStart w:id="144" w:name="_Toc22554"/>
      <w:r>
        <w:rPr>
          <w:rFonts w:ascii="Times New Roman" w:hAnsi="Times New Roman"/>
          <w:color w:val="auto"/>
          <w:sz w:val="21"/>
          <w:szCs w:val="21"/>
          <w:highlight w:val="none"/>
        </w:rPr>
        <w:t>十二、合同生效</w:t>
      </w:r>
      <w:bookmarkEnd w:id="144"/>
    </w:p>
    <w:p w14:paraId="41F7EB76">
      <w:pPr>
        <w:spacing w:line="360" w:lineRule="auto"/>
        <w:ind w:firstLine="420" w:firstLineChars="200"/>
        <w:jc w:val="left"/>
        <w:rPr>
          <w:rFonts w:eastAsia="仿宋_GB2312"/>
          <w:bCs/>
          <w:color w:val="auto"/>
          <w:szCs w:val="21"/>
          <w:highlight w:val="none"/>
        </w:rPr>
      </w:pPr>
      <w:r>
        <w:rPr>
          <w:rFonts w:eastAsia="仿宋_GB2312"/>
          <w:bCs/>
          <w:color w:val="auto"/>
          <w:szCs w:val="21"/>
          <w:highlight w:val="none"/>
        </w:rPr>
        <w:t>本合同自</w:t>
      </w:r>
      <w:r>
        <w:rPr>
          <w:rFonts w:eastAsia="仿宋_GB2312"/>
          <w:bCs/>
          <w:color w:val="auto"/>
          <w:szCs w:val="21"/>
          <w:highlight w:val="none"/>
          <w:u w:val="single"/>
        </w:rPr>
        <w:t xml:space="preserve"> </w:t>
      </w:r>
      <w:r>
        <w:rPr>
          <w:rFonts w:hint="eastAsia" w:eastAsia="仿宋_GB2312"/>
          <w:bCs/>
          <w:color w:val="auto"/>
          <w:szCs w:val="21"/>
          <w:highlight w:val="none"/>
          <w:u w:val="single"/>
        </w:rPr>
        <w:t xml:space="preserve">                         </w:t>
      </w:r>
      <w:r>
        <w:rPr>
          <w:rFonts w:eastAsia="仿宋_GB2312"/>
          <w:bCs/>
          <w:color w:val="auto"/>
          <w:szCs w:val="21"/>
          <w:highlight w:val="none"/>
          <w:u w:val="single"/>
        </w:rPr>
        <w:t xml:space="preserve"> </w:t>
      </w:r>
      <w:r>
        <w:rPr>
          <w:rFonts w:eastAsia="仿宋_GB2312"/>
          <w:bCs/>
          <w:color w:val="auto"/>
          <w:szCs w:val="21"/>
          <w:highlight w:val="none"/>
        </w:rPr>
        <w:t>生效。</w:t>
      </w:r>
    </w:p>
    <w:p w14:paraId="5F10F019">
      <w:pPr>
        <w:pStyle w:val="5"/>
        <w:spacing w:before="120" w:after="120" w:line="360" w:lineRule="auto"/>
        <w:rPr>
          <w:rFonts w:ascii="Times New Roman" w:hAnsi="Times New Roman"/>
          <w:bCs w:val="0"/>
          <w:color w:val="auto"/>
          <w:sz w:val="21"/>
          <w:szCs w:val="21"/>
          <w:highlight w:val="none"/>
        </w:rPr>
      </w:pPr>
      <w:bookmarkStart w:id="145" w:name="_Toc2550"/>
      <w:r>
        <w:rPr>
          <w:rFonts w:ascii="Times New Roman" w:hAnsi="Times New Roman"/>
          <w:color w:val="auto"/>
          <w:sz w:val="21"/>
          <w:szCs w:val="21"/>
          <w:highlight w:val="none"/>
        </w:rPr>
        <w:t>十三、合同份数</w:t>
      </w:r>
      <w:bookmarkEnd w:id="145"/>
    </w:p>
    <w:p w14:paraId="1D046EBE">
      <w:pPr>
        <w:spacing w:line="360" w:lineRule="auto"/>
        <w:ind w:firstLine="420" w:firstLineChars="200"/>
        <w:rPr>
          <w:rFonts w:eastAsia="仿宋_GB2312"/>
          <w:bCs/>
          <w:color w:val="auto"/>
          <w:szCs w:val="21"/>
          <w:highlight w:val="none"/>
        </w:rPr>
      </w:pPr>
      <w:r>
        <w:rPr>
          <w:rFonts w:eastAsia="仿宋_GB2312"/>
          <w:bCs/>
          <w:color w:val="auto"/>
          <w:szCs w:val="21"/>
          <w:highlight w:val="none"/>
        </w:rPr>
        <w:t>本合同一式</w:t>
      </w:r>
      <w:r>
        <w:rPr>
          <w:rFonts w:eastAsia="仿宋_GB2312"/>
          <w:bCs/>
          <w:color w:val="auto"/>
          <w:szCs w:val="21"/>
          <w:highlight w:val="none"/>
          <w:u w:val="single"/>
        </w:rPr>
        <w:t xml:space="preserve"> </w:t>
      </w:r>
      <w:r>
        <w:rPr>
          <w:rFonts w:hint="eastAsia" w:eastAsia="仿宋_GB2312"/>
          <w:bCs/>
          <w:color w:val="auto"/>
          <w:szCs w:val="21"/>
          <w:highlight w:val="none"/>
          <w:u w:val="single"/>
        </w:rPr>
        <w:t xml:space="preserve">    </w:t>
      </w:r>
      <w:r>
        <w:rPr>
          <w:rFonts w:eastAsia="仿宋_GB2312"/>
          <w:bCs/>
          <w:color w:val="auto"/>
          <w:szCs w:val="21"/>
          <w:highlight w:val="none"/>
          <w:u w:val="single"/>
        </w:rPr>
        <w:t xml:space="preserve"> </w:t>
      </w:r>
      <w:r>
        <w:rPr>
          <w:rFonts w:eastAsia="仿宋_GB2312"/>
          <w:bCs/>
          <w:color w:val="auto"/>
          <w:szCs w:val="21"/>
          <w:highlight w:val="none"/>
        </w:rPr>
        <w:t>份，均具有同等法律效力，发包人执</w:t>
      </w:r>
      <w:r>
        <w:rPr>
          <w:rFonts w:eastAsia="仿宋_GB2312"/>
          <w:bCs/>
          <w:color w:val="auto"/>
          <w:szCs w:val="21"/>
          <w:highlight w:val="none"/>
          <w:u w:val="single"/>
        </w:rPr>
        <w:t xml:space="preserve"> </w:t>
      </w:r>
      <w:r>
        <w:rPr>
          <w:rFonts w:hint="eastAsia" w:eastAsia="仿宋_GB2312"/>
          <w:bCs/>
          <w:color w:val="auto"/>
          <w:szCs w:val="21"/>
          <w:highlight w:val="none"/>
          <w:u w:val="single"/>
        </w:rPr>
        <w:t xml:space="preserve"> </w:t>
      </w:r>
      <w:r>
        <w:rPr>
          <w:rFonts w:eastAsia="仿宋_GB2312"/>
          <w:bCs/>
          <w:color w:val="auto"/>
          <w:szCs w:val="21"/>
          <w:highlight w:val="none"/>
        </w:rPr>
        <w:t>份，承包人执</w:t>
      </w:r>
      <w:r>
        <w:rPr>
          <w:rFonts w:eastAsia="仿宋_GB2312"/>
          <w:bCs/>
          <w:color w:val="auto"/>
          <w:szCs w:val="21"/>
          <w:highlight w:val="none"/>
          <w:u w:val="single"/>
        </w:rPr>
        <w:t xml:space="preserve"> </w:t>
      </w:r>
      <w:r>
        <w:rPr>
          <w:rFonts w:hint="eastAsia" w:eastAsia="仿宋_GB2312"/>
          <w:bCs/>
          <w:color w:val="auto"/>
          <w:szCs w:val="21"/>
          <w:highlight w:val="none"/>
          <w:u w:val="single"/>
        </w:rPr>
        <w:t xml:space="preserve">  </w:t>
      </w:r>
      <w:r>
        <w:rPr>
          <w:rFonts w:eastAsia="仿宋_GB2312"/>
          <w:bCs/>
          <w:color w:val="auto"/>
          <w:szCs w:val="21"/>
          <w:highlight w:val="none"/>
          <w:u w:val="single"/>
        </w:rPr>
        <w:t xml:space="preserve"> </w:t>
      </w:r>
      <w:r>
        <w:rPr>
          <w:rFonts w:eastAsia="仿宋_GB2312"/>
          <w:bCs/>
          <w:color w:val="auto"/>
          <w:szCs w:val="21"/>
          <w:highlight w:val="none"/>
        </w:rPr>
        <w:t>份。</w:t>
      </w:r>
    </w:p>
    <w:p w14:paraId="4E1940D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bCs/>
          <w:color w:val="auto"/>
          <w:szCs w:val="21"/>
          <w:highlight w:val="none"/>
        </w:rPr>
      </w:pPr>
      <w:r>
        <w:rPr>
          <w:rFonts w:hint="eastAsia" w:eastAsia="仿宋_GB2312"/>
          <w:bCs/>
          <w:color w:val="auto"/>
          <w:szCs w:val="21"/>
          <w:highlight w:val="none"/>
        </w:rPr>
        <w:br w:type="page"/>
      </w:r>
      <w:r>
        <w:rPr>
          <w:rFonts w:hint="eastAsia" w:eastAsia="仿宋_GB2312"/>
          <w:bCs/>
          <w:color w:val="auto"/>
          <w:szCs w:val="21"/>
          <w:highlight w:val="none"/>
        </w:rPr>
        <w:t>（以下无正文，为</w:t>
      </w:r>
      <w:r>
        <w:rPr>
          <w:rFonts w:hint="eastAsia" w:eastAsia="仿宋_GB2312"/>
          <w:color w:val="auto"/>
          <w:szCs w:val="21"/>
          <w:highlight w:val="none"/>
          <w:u w:val="single"/>
        </w:rPr>
        <w:t xml:space="preserve">                         </w:t>
      </w:r>
      <w:r>
        <w:rPr>
          <w:rFonts w:hint="eastAsia" w:eastAsia="仿宋_GB2312"/>
          <w:bCs/>
          <w:color w:val="auto"/>
          <w:szCs w:val="21"/>
          <w:highlight w:val="none"/>
        </w:rPr>
        <w:t>项目建设工程施工合同签署页）</w:t>
      </w:r>
    </w:p>
    <w:p w14:paraId="39D985CC">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bCs/>
          <w:color w:val="auto"/>
          <w:szCs w:val="21"/>
          <w:highlight w:val="none"/>
        </w:rPr>
      </w:pPr>
    </w:p>
    <w:p w14:paraId="68EEA91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eastAsia="仿宋_GB2312"/>
          <w:color w:val="auto"/>
          <w:szCs w:val="21"/>
          <w:highlight w:val="none"/>
        </w:rPr>
        <w:t>发包人</w:t>
      </w:r>
      <w:r>
        <w:rPr>
          <w:rFonts w:hint="eastAsia" w:eastAsia="仿宋_GB2312"/>
          <w:color w:val="auto"/>
          <w:szCs w:val="21"/>
          <w:highlight w:val="none"/>
        </w:rPr>
        <w:t xml:space="preserve">：  </w:t>
      </w:r>
      <w:r>
        <w:rPr>
          <w:rFonts w:eastAsia="仿宋_GB2312"/>
          <w:color w:val="auto"/>
          <w:szCs w:val="21"/>
          <w:highlight w:val="none"/>
        </w:rPr>
        <w:t>(公章)</w:t>
      </w:r>
      <w:r>
        <w:rPr>
          <w:rFonts w:hint="eastAsia" w:eastAsia="仿宋_GB2312"/>
          <w:color w:val="auto"/>
          <w:szCs w:val="21"/>
          <w:highlight w:val="none"/>
        </w:rPr>
        <w:t xml:space="preserve">             </w:t>
      </w:r>
      <w:r>
        <w:rPr>
          <w:rFonts w:eastAsia="仿宋_GB2312"/>
          <w:color w:val="auto"/>
          <w:szCs w:val="21"/>
          <w:highlight w:val="none"/>
        </w:rPr>
        <w:t>承包人</w:t>
      </w:r>
      <w:r>
        <w:rPr>
          <w:rFonts w:hint="eastAsia" w:eastAsia="仿宋_GB2312"/>
          <w:color w:val="auto"/>
          <w:szCs w:val="21"/>
          <w:highlight w:val="none"/>
        </w:rPr>
        <w:t xml:space="preserve">：  </w:t>
      </w:r>
      <w:r>
        <w:rPr>
          <w:rFonts w:eastAsia="仿宋_GB2312"/>
          <w:color w:val="auto"/>
          <w:szCs w:val="21"/>
          <w:highlight w:val="none"/>
        </w:rPr>
        <w:t>(公章)</w:t>
      </w:r>
    </w:p>
    <w:p w14:paraId="26D9CA39">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u w:val="single"/>
        </w:rPr>
      </w:pPr>
      <w:r>
        <w:rPr>
          <w:rFonts w:hint="eastAsia" w:eastAsia="仿宋_GB2312"/>
          <w:color w:val="auto"/>
          <w:szCs w:val="21"/>
          <w:highlight w:val="none"/>
        </w:rPr>
        <w:t xml:space="preserve">                                 </w:t>
      </w:r>
    </w:p>
    <w:p w14:paraId="0C2FB1A5">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hint="eastAsia" w:eastAsia="仿宋_GB2312"/>
          <w:color w:val="auto"/>
          <w:szCs w:val="21"/>
          <w:highlight w:val="none"/>
        </w:rPr>
        <w:t>法定代表人或其委托代理人：  法定代表人或其委托代理人：</w:t>
      </w:r>
    </w:p>
    <w:p w14:paraId="1CBEBE9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hint="eastAsia" w:eastAsia="仿宋_GB2312"/>
          <w:color w:val="auto"/>
          <w:szCs w:val="21"/>
          <w:highlight w:val="none"/>
        </w:rPr>
        <w:t>（签字）                    （签字）</w:t>
      </w:r>
    </w:p>
    <w:p w14:paraId="5CA3654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u w:val="single"/>
        </w:rPr>
      </w:pPr>
    </w:p>
    <w:p w14:paraId="037213C4">
      <w:pPr>
        <w:keepNext w:val="0"/>
        <w:keepLines w:val="0"/>
        <w:pageBreakBefore w:val="0"/>
        <w:widowControl w:val="0"/>
        <w:tabs>
          <w:tab w:val="left" w:pos="4410"/>
        </w:tabs>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hint="eastAsia" w:eastAsia="仿宋_GB2312"/>
          <w:color w:val="auto"/>
          <w:spacing w:val="-23"/>
          <w:szCs w:val="21"/>
          <w:highlight w:val="none"/>
        </w:rPr>
        <w:t>统一社会信用代码</w:t>
      </w:r>
      <w:r>
        <w:rPr>
          <w:rFonts w:hint="eastAsia" w:eastAsia="仿宋_GB2312"/>
          <w:color w:val="auto"/>
          <w:szCs w:val="21"/>
          <w:highlight w:val="none"/>
        </w:rPr>
        <w:t>：</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rPr>
        <w:t xml:space="preserve">    </w:t>
      </w:r>
      <w:r>
        <w:rPr>
          <w:rFonts w:eastAsia="仿宋_GB2312"/>
          <w:color w:val="auto"/>
          <w:spacing w:val="-23"/>
          <w:szCs w:val="21"/>
          <w:highlight w:val="none"/>
        </w:rPr>
        <w:t>统一社会信用代码</w:t>
      </w:r>
      <w:r>
        <w:rPr>
          <w:rFonts w:hint="eastAsia" w:eastAsia="仿宋_GB2312"/>
          <w:color w:val="auto"/>
          <w:szCs w:val="21"/>
          <w:highlight w:val="none"/>
        </w:rPr>
        <w:t>：</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 xml:space="preserve"> </w:t>
      </w:r>
    </w:p>
    <w:p w14:paraId="4A6D030B">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eastAsia="仿宋_GB2312"/>
          <w:color w:val="auto"/>
          <w:szCs w:val="21"/>
          <w:highlight w:val="none"/>
        </w:rPr>
        <w:t>地  址：</w:t>
      </w:r>
      <w:r>
        <w:rPr>
          <w:rFonts w:hint="eastAsia" w:eastAsia="仿宋_GB2312"/>
          <w:color w:val="auto"/>
          <w:szCs w:val="21"/>
          <w:highlight w:val="none"/>
          <w:u w:val="single"/>
        </w:rPr>
        <w:t xml:space="preserve">                       </w:t>
      </w:r>
      <w:r>
        <w:rPr>
          <w:rFonts w:eastAsia="仿宋_GB2312"/>
          <w:color w:val="auto"/>
          <w:szCs w:val="21"/>
          <w:highlight w:val="none"/>
        </w:rPr>
        <w:t>地  址：</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p>
    <w:p w14:paraId="531AA9B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eastAsia="仿宋_GB2312"/>
          <w:color w:val="auto"/>
          <w:szCs w:val="21"/>
          <w:highlight w:val="none"/>
        </w:rPr>
        <w:t>邮政编码：</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 xml:space="preserve"> </w:t>
      </w:r>
      <w:r>
        <w:rPr>
          <w:rFonts w:hint="eastAsia" w:eastAsia="仿宋_GB2312"/>
          <w:color w:val="auto"/>
          <w:szCs w:val="21"/>
          <w:highlight w:val="none"/>
        </w:rPr>
        <w:t xml:space="preserve">  </w:t>
      </w:r>
      <w:r>
        <w:rPr>
          <w:rFonts w:eastAsia="仿宋_GB2312"/>
          <w:color w:val="auto"/>
          <w:szCs w:val="21"/>
          <w:highlight w:val="none"/>
        </w:rPr>
        <w:t>邮政编码：</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p>
    <w:p w14:paraId="40EDC0D3">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eastAsia="仿宋_GB2312"/>
          <w:color w:val="auto"/>
          <w:szCs w:val="21"/>
          <w:highlight w:val="none"/>
        </w:rPr>
        <w:t>法定代表人：</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hint="eastAsia" w:eastAsia="仿宋_GB2312"/>
          <w:color w:val="auto"/>
          <w:szCs w:val="21"/>
          <w:highlight w:val="none"/>
        </w:rPr>
        <w:t xml:space="preserve">  </w:t>
      </w:r>
      <w:r>
        <w:rPr>
          <w:rFonts w:eastAsia="仿宋_GB2312"/>
          <w:color w:val="auto"/>
          <w:szCs w:val="21"/>
          <w:highlight w:val="none"/>
        </w:rPr>
        <w:t>法定代表人：</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p>
    <w:p w14:paraId="7C0B355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eastAsia="仿宋_GB2312"/>
          <w:color w:val="auto"/>
          <w:szCs w:val="21"/>
          <w:highlight w:val="none"/>
        </w:rPr>
        <w:t>委托代理人：</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 xml:space="preserve"> </w:t>
      </w:r>
      <w:r>
        <w:rPr>
          <w:rFonts w:hint="eastAsia" w:eastAsia="仿宋_GB2312"/>
          <w:color w:val="auto"/>
          <w:szCs w:val="21"/>
          <w:highlight w:val="none"/>
        </w:rPr>
        <w:t xml:space="preserve">  </w:t>
      </w:r>
      <w:r>
        <w:rPr>
          <w:rFonts w:eastAsia="仿宋_GB2312"/>
          <w:color w:val="auto"/>
          <w:szCs w:val="21"/>
          <w:highlight w:val="none"/>
        </w:rPr>
        <w:t>委托代理人：</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p>
    <w:p w14:paraId="550A50E0">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eastAsia="仿宋_GB2312"/>
          <w:color w:val="auto"/>
          <w:szCs w:val="21"/>
          <w:highlight w:val="none"/>
        </w:rPr>
        <w:t>电  话：</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hint="eastAsia" w:eastAsia="仿宋_GB2312"/>
          <w:color w:val="auto"/>
          <w:szCs w:val="21"/>
          <w:highlight w:val="none"/>
        </w:rPr>
        <w:t xml:space="preserve">   </w:t>
      </w:r>
      <w:r>
        <w:rPr>
          <w:rFonts w:eastAsia="仿宋_GB2312"/>
          <w:color w:val="auto"/>
          <w:szCs w:val="21"/>
          <w:highlight w:val="none"/>
        </w:rPr>
        <w:t>电  话：</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p>
    <w:p w14:paraId="07CD8E66">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eastAsia="仿宋_GB2312"/>
          <w:color w:val="auto"/>
          <w:szCs w:val="21"/>
          <w:highlight w:val="none"/>
        </w:rPr>
        <w:t>传  真：</w:t>
      </w:r>
      <w:r>
        <w:rPr>
          <w:rFonts w:hint="eastAsia" w:eastAsia="仿宋_GB2312"/>
          <w:color w:val="auto"/>
          <w:szCs w:val="21"/>
          <w:highlight w:val="none"/>
          <w:u w:val="single"/>
        </w:rPr>
        <w:t xml:space="preserve"> </w:t>
      </w:r>
      <w:r>
        <w:rPr>
          <w:rFonts w:hint="eastAsia" w:ascii="宋体" w:hAnsi="宋体" w:eastAsia="仿宋_GB2312" w:cs="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 xml:space="preserve"> </w:t>
      </w:r>
      <w:r>
        <w:rPr>
          <w:rFonts w:hint="eastAsia" w:eastAsia="仿宋_GB2312"/>
          <w:color w:val="auto"/>
          <w:szCs w:val="21"/>
          <w:highlight w:val="none"/>
        </w:rPr>
        <w:t xml:space="preserve"> </w:t>
      </w:r>
      <w:r>
        <w:rPr>
          <w:rFonts w:eastAsia="仿宋_GB2312"/>
          <w:color w:val="auto"/>
          <w:szCs w:val="21"/>
          <w:highlight w:val="none"/>
        </w:rPr>
        <w:t>传  真：</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p>
    <w:p w14:paraId="73DC9D8B">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eastAsia="仿宋_GB2312"/>
          <w:color w:val="auto"/>
          <w:szCs w:val="21"/>
          <w:highlight w:val="none"/>
        </w:rPr>
        <w:t>电子信箱：</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电子信箱：</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p>
    <w:p w14:paraId="7194CA11">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eastAsia="仿宋_GB2312"/>
          <w:color w:val="auto"/>
          <w:szCs w:val="21"/>
          <w:highlight w:val="none"/>
        </w:rPr>
        <w:t>开户银行：</w:t>
      </w:r>
      <w:r>
        <w:rPr>
          <w:rFonts w:hint="eastAsia" w:ascii="宋体" w:hAnsi="宋体"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hint="eastAsia" w:eastAsia="仿宋_GB2312"/>
          <w:color w:val="auto"/>
          <w:szCs w:val="21"/>
          <w:highlight w:val="none"/>
        </w:rPr>
        <w:t xml:space="preserve">   </w:t>
      </w:r>
      <w:r>
        <w:rPr>
          <w:rFonts w:eastAsia="仿宋_GB2312"/>
          <w:color w:val="auto"/>
          <w:szCs w:val="21"/>
          <w:highlight w:val="none"/>
        </w:rPr>
        <w:t>开户银行：</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p>
    <w:p w14:paraId="7418CFA8">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Cs w:val="21"/>
          <w:highlight w:val="none"/>
        </w:rPr>
      </w:pPr>
      <w:r>
        <w:rPr>
          <w:rFonts w:eastAsia="仿宋_GB2312"/>
          <w:color w:val="auto"/>
          <w:szCs w:val="21"/>
          <w:highlight w:val="none"/>
        </w:rPr>
        <w:t>账  号：</w:t>
      </w:r>
      <w:r>
        <w:rPr>
          <w:rFonts w:hint="eastAsia" w:ascii="宋体" w:hAnsi="宋体" w:eastAsia="仿宋_GB2312" w:cs="仿宋_GB2312"/>
          <w:color w:val="auto"/>
          <w:szCs w:val="21"/>
          <w:highlight w:val="none"/>
          <w:u w:val="single"/>
        </w:rPr>
        <w:t xml:space="preserve">                     </w:t>
      </w:r>
      <w:r>
        <w:rPr>
          <w:rFonts w:hint="eastAsia" w:eastAsia="仿宋_GB2312"/>
          <w:color w:val="auto"/>
          <w:szCs w:val="21"/>
          <w:highlight w:val="none"/>
        </w:rPr>
        <w:t xml:space="preserve">   </w:t>
      </w:r>
      <w:r>
        <w:rPr>
          <w:rFonts w:eastAsia="仿宋_GB2312"/>
          <w:color w:val="auto"/>
          <w:szCs w:val="21"/>
          <w:highlight w:val="none"/>
        </w:rPr>
        <w:t>账</w:t>
      </w:r>
      <w:r>
        <w:rPr>
          <w:rFonts w:hint="eastAsia" w:eastAsia="仿宋_GB2312"/>
          <w:color w:val="auto"/>
          <w:szCs w:val="21"/>
          <w:highlight w:val="none"/>
        </w:rPr>
        <w:t xml:space="preserve"> </w:t>
      </w:r>
      <w:r>
        <w:rPr>
          <w:rFonts w:eastAsia="仿宋_GB2312"/>
          <w:color w:val="auto"/>
          <w:szCs w:val="21"/>
          <w:highlight w:val="none"/>
        </w:rPr>
        <w:t xml:space="preserve"> 号：</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p>
    <w:p w14:paraId="76E34601">
      <w:pPr>
        <w:pStyle w:val="2"/>
        <w:spacing w:line="413" w:lineRule="auto"/>
        <w:jc w:val="center"/>
        <w:rPr>
          <w:rFonts w:ascii="华文中宋" w:hAnsi="华文中宋" w:eastAsia="华文中宋"/>
          <w:color w:val="auto"/>
          <w:sz w:val="21"/>
          <w:szCs w:val="21"/>
          <w:highlight w:val="none"/>
        </w:rPr>
      </w:pPr>
      <w:r>
        <w:rPr>
          <w:rFonts w:eastAsia="仿宋_GB2312"/>
          <w:color w:val="auto"/>
          <w:sz w:val="21"/>
          <w:szCs w:val="21"/>
          <w:highlight w:val="none"/>
        </w:rPr>
        <w:br w:type="page"/>
      </w:r>
      <w:bookmarkStart w:id="146" w:name="_Toc6986"/>
      <w:r>
        <w:rPr>
          <w:rFonts w:ascii="华文中宋" w:hAnsi="华文中宋" w:eastAsia="华文中宋"/>
          <w:color w:val="auto"/>
          <w:sz w:val="21"/>
          <w:szCs w:val="21"/>
          <w:highlight w:val="none"/>
        </w:rPr>
        <w:t>第二部分 通用合同条款</w:t>
      </w:r>
      <w:bookmarkEnd w:id="146"/>
      <w:bookmarkStart w:id="147" w:name="_Toc337558727"/>
    </w:p>
    <w:p w14:paraId="08019CD0">
      <w:pPr>
        <w:pStyle w:val="3"/>
        <w:rPr>
          <w:rFonts w:ascii="Times New Roman" w:hAnsi="Times New Roman"/>
          <w:color w:val="auto"/>
          <w:sz w:val="21"/>
          <w:szCs w:val="21"/>
          <w:highlight w:val="none"/>
        </w:rPr>
      </w:pPr>
      <w:bookmarkStart w:id="148" w:name="_Toc22792"/>
      <w:r>
        <w:rPr>
          <w:rFonts w:ascii="Times New Roman" w:hAnsi="Times New Roman"/>
          <w:color w:val="auto"/>
          <w:sz w:val="21"/>
          <w:szCs w:val="21"/>
          <w:highlight w:val="none"/>
        </w:rPr>
        <w:t>1.</w:t>
      </w:r>
      <w:bookmarkStart w:id="149" w:name="_Toc303538975"/>
      <w:bookmarkEnd w:id="149"/>
      <w:bookmarkStart w:id="150" w:name="_Toc303538974"/>
      <w:bookmarkEnd w:id="150"/>
      <w:bookmarkStart w:id="151" w:name="_Toc303538972"/>
      <w:bookmarkEnd w:id="151"/>
      <w:bookmarkStart w:id="152" w:name="_Toc303538976"/>
      <w:bookmarkEnd w:id="152"/>
      <w:bookmarkStart w:id="153" w:name="_Toc303538973"/>
      <w:bookmarkEnd w:id="153"/>
      <w:bookmarkStart w:id="154" w:name="_Toc296503027"/>
      <w:bookmarkStart w:id="155" w:name="_Toc296346528"/>
      <w:r>
        <w:rPr>
          <w:rFonts w:ascii="Times New Roman" w:hAnsi="Times New Roman"/>
          <w:color w:val="auto"/>
          <w:sz w:val="21"/>
          <w:szCs w:val="21"/>
          <w:highlight w:val="none"/>
        </w:rPr>
        <w:t xml:space="preserve"> 一般约定</w:t>
      </w:r>
      <w:bookmarkEnd w:id="147"/>
      <w:bookmarkEnd w:id="148"/>
      <w:bookmarkEnd w:id="154"/>
      <w:bookmarkEnd w:id="155"/>
    </w:p>
    <w:p w14:paraId="40E98232">
      <w:pPr>
        <w:pStyle w:val="4"/>
        <w:spacing w:before="0" w:after="0" w:line="360" w:lineRule="auto"/>
        <w:ind w:firstLine="420" w:firstLineChars="200"/>
        <w:rPr>
          <w:rFonts w:eastAsia="黑体"/>
          <w:color w:val="auto"/>
          <w:sz w:val="21"/>
          <w:szCs w:val="21"/>
          <w:highlight w:val="none"/>
        </w:rPr>
      </w:pPr>
      <w:bookmarkStart w:id="156" w:name="_Toc296346529"/>
      <w:bookmarkStart w:id="157" w:name="_Toc337558728"/>
      <w:bookmarkStart w:id="158" w:name="_Toc296503028"/>
      <w:bookmarkStart w:id="159" w:name="_Toc22348"/>
      <w:r>
        <w:rPr>
          <w:rFonts w:eastAsia="黑体"/>
          <w:color w:val="auto"/>
          <w:sz w:val="21"/>
          <w:szCs w:val="21"/>
          <w:highlight w:val="none"/>
        </w:rPr>
        <w:t>1.1词语定义</w:t>
      </w:r>
      <w:bookmarkEnd w:id="156"/>
      <w:bookmarkEnd w:id="157"/>
      <w:bookmarkEnd w:id="158"/>
      <w:r>
        <w:rPr>
          <w:rFonts w:eastAsia="黑体"/>
          <w:color w:val="auto"/>
          <w:sz w:val="21"/>
          <w:szCs w:val="21"/>
          <w:highlight w:val="none"/>
        </w:rPr>
        <w:t>与解释</w:t>
      </w:r>
      <w:bookmarkEnd w:id="159"/>
    </w:p>
    <w:p w14:paraId="59349F9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合同协议书、通用合同条款、专用合同条款中的下列词语具有本款所赋予的含义：</w:t>
      </w:r>
    </w:p>
    <w:p w14:paraId="52DA4AA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 合同</w:t>
      </w:r>
    </w:p>
    <w:p w14:paraId="1B6DCAD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1.1.1.1 合同：是指根据法律规定和合同当事人约定具有约束力的文件，构成合同的文件包括</w:t>
      </w:r>
      <w:r>
        <w:rPr>
          <w:rFonts w:hint="eastAsia" w:eastAsia="仿宋_GB2312"/>
          <w:color w:val="auto"/>
          <w:kern w:val="0"/>
          <w:szCs w:val="21"/>
          <w:highlight w:val="none"/>
        </w:rPr>
        <w:t>但不限于：补充协议、</w:t>
      </w:r>
      <w:r>
        <w:rPr>
          <w:rFonts w:eastAsia="仿宋_GB2312"/>
          <w:color w:val="auto"/>
          <w:kern w:val="0"/>
          <w:szCs w:val="21"/>
          <w:highlight w:val="none"/>
        </w:rPr>
        <w:t>合同协议书、中标通知书（如果有）、投标函及其附录（如果有）、专用合同条款</w:t>
      </w:r>
      <w:r>
        <w:rPr>
          <w:rFonts w:eastAsia="仿宋_GB2312"/>
          <w:color w:val="auto"/>
          <w:szCs w:val="21"/>
          <w:highlight w:val="none"/>
        </w:rPr>
        <w:t>及其附件</w:t>
      </w:r>
      <w:r>
        <w:rPr>
          <w:rFonts w:eastAsia="仿宋_GB2312"/>
          <w:color w:val="auto"/>
          <w:kern w:val="0"/>
          <w:szCs w:val="21"/>
          <w:highlight w:val="none"/>
        </w:rPr>
        <w:t>、通用合同条款、技术标准和要求、图纸、已标价工程量清单或预算书以及其他合同文件。</w:t>
      </w:r>
    </w:p>
    <w:p w14:paraId="5E0C925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1.1.1.2 合同协议书：是指构成合同的由发包人和承包人共同签署的称为“合同协议书”的书面文件</w:t>
      </w:r>
      <w:r>
        <w:rPr>
          <w:rFonts w:hint="eastAsia" w:eastAsia="仿宋_GB2312"/>
          <w:color w:val="auto"/>
          <w:kern w:val="0"/>
          <w:szCs w:val="21"/>
          <w:highlight w:val="none"/>
        </w:rPr>
        <w:t>。</w:t>
      </w:r>
    </w:p>
    <w:p w14:paraId="23562E4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1.1.1.3 中标通知书：是指构成合同的</w:t>
      </w:r>
      <w:r>
        <w:rPr>
          <w:rFonts w:hint="eastAsia" w:eastAsia="仿宋_GB2312"/>
          <w:color w:val="auto"/>
          <w:kern w:val="0"/>
          <w:szCs w:val="21"/>
          <w:highlight w:val="none"/>
        </w:rPr>
        <w:t>由</w:t>
      </w:r>
      <w:r>
        <w:rPr>
          <w:rFonts w:eastAsia="仿宋_GB2312"/>
          <w:color w:val="auto"/>
          <w:kern w:val="0"/>
          <w:szCs w:val="21"/>
          <w:highlight w:val="none"/>
        </w:rPr>
        <w:t>发包人通知承包人中标的书面文件。</w:t>
      </w:r>
    </w:p>
    <w:p w14:paraId="3C3B29F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1.1.1.4 投标函：是指构成合同的由承包人填写并签署的用于投标的称为“投标函”的文件。</w:t>
      </w:r>
    </w:p>
    <w:p w14:paraId="44C6F64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1.1.1.5 投标函附录：是指构成合同的附在投标函后的称为“投标函附录”的文件。</w:t>
      </w:r>
    </w:p>
    <w:p w14:paraId="1FE3B99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1.1.1.6 技术标准和要求：是指构成合同的施工应当遵守的或指导施工的国家、行业或地方的技术标准和要求，以及合同约定的技术标准和要求。</w:t>
      </w:r>
    </w:p>
    <w:p w14:paraId="7E52E87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1.1.1.7 图纸：是指构成合同的图纸，包括由发包人按照合同约定提供或经发包人批准的设计文件、</w:t>
      </w:r>
      <w:r>
        <w:rPr>
          <w:rFonts w:hint="eastAsia" w:eastAsia="仿宋_GB2312"/>
          <w:color w:val="auto"/>
          <w:kern w:val="0"/>
          <w:szCs w:val="21"/>
          <w:highlight w:val="none"/>
        </w:rPr>
        <w:t>施工图、</w:t>
      </w:r>
      <w:r>
        <w:rPr>
          <w:rFonts w:eastAsia="仿宋_GB2312"/>
          <w:color w:val="auto"/>
          <w:kern w:val="0"/>
          <w:szCs w:val="21"/>
          <w:highlight w:val="none"/>
        </w:rPr>
        <w:t>鸟瞰图及模型等，</w:t>
      </w:r>
      <w:r>
        <w:rPr>
          <w:rFonts w:hint="eastAsia" w:eastAsia="仿宋_GB2312"/>
          <w:color w:val="auto"/>
          <w:kern w:val="0"/>
          <w:szCs w:val="21"/>
          <w:highlight w:val="none"/>
        </w:rPr>
        <w:t>以及在合同履行过程中形成的图纸文件。图纸</w:t>
      </w:r>
      <w:r>
        <w:rPr>
          <w:rFonts w:eastAsia="仿宋_GB2312"/>
          <w:color w:val="auto"/>
          <w:kern w:val="0"/>
          <w:szCs w:val="21"/>
          <w:highlight w:val="none"/>
        </w:rPr>
        <w:t>应当按照法律规定审查合格。</w:t>
      </w:r>
    </w:p>
    <w:p w14:paraId="4DACC936">
      <w:pPr>
        <w:autoSpaceDE w:val="0"/>
        <w:autoSpaceDN w:val="0"/>
        <w:adjustRightInd w:val="0"/>
        <w:spacing w:line="360" w:lineRule="auto"/>
        <w:ind w:firstLine="409" w:firstLineChars="195"/>
        <w:jc w:val="left"/>
        <w:rPr>
          <w:rFonts w:eastAsia="仿宋_GB2312"/>
          <w:color w:val="auto"/>
          <w:kern w:val="0"/>
          <w:szCs w:val="21"/>
          <w:highlight w:val="none"/>
        </w:rPr>
      </w:pPr>
      <w:r>
        <w:rPr>
          <w:rFonts w:eastAsia="仿宋_GB2312"/>
          <w:color w:val="auto"/>
          <w:kern w:val="0"/>
          <w:szCs w:val="21"/>
          <w:highlight w:val="none"/>
        </w:rPr>
        <w:t>1.1.1.8 已标价工程量清单：是指构成合同的由承包人按照规定的格式和要求填写并标明价格的工程量清单，包括说明和表格。</w:t>
      </w:r>
    </w:p>
    <w:p w14:paraId="78B00E6E">
      <w:pPr>
        <w:autoSpaceDE w:val="0"/>
        <w:autoSpaceDN w:val="0"/>
        <w:adjustRightInd w:val="0"/>
        <w:spacing w:line="360" w:lineRule="auto"/>
        <w:ind w:firstLine="409" w:firstLineChars="195"/>
        <w:jc w:val="left"/>
        <w:rPr>
          <w:rFonts w:eastAsia="仿宋_GB2312"/>
          <w:color w:val="auto"/>
          <w:kern w:val="0"/>
          <w:szCs w:val="21"/>
          <w:highlight w:val="none"/>
        </w:rPr>
      </w:pPr>
      <w:r>
        <w:rPr>
          <w:rFonts w:eastAsia="仿宋_GB2312"/>
          <w:color w:val="auto"/>
          <w:kern w:val="0"/>
          <w:szCs w:val="21"/>
          <w:highlight w:val="none"/>
        </w:rPr>
        <w:t>1.1.1.9 预算书：是指构成合同的由承包人按照发包人规定的格式和要求编制的工程预算文件。</w:t>
      </w:r>
    </w:p>
    <w:p w14:paraId="15268EC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1.1.1.10 其他合同文件：是指经合同当事人约定的与工程施工有关的具有合同约束力的文件或书面协议。合同当事人可以在专用合同条款中进行约定。</w:t>
      </w:r>
    </w:p>
    <w:p w14:paraId="0340CCE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1.1.2 合同当事人及其他相关方</w:t>
      </w:r>
    </w:p>
    <w:p w14:paraId="6801748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1.1.2.1 合同当事人：是指发包人和（或）承包人。</w:t>
      </w:r>
    </w:p>
    <w:p w14:paraId="1ADFA11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1.1.2.2 发包人：是指与承包人签订合同协议书的当事人及取得该当事人资格的合法继承人。</w:t>
      </w:r>
    </w:p>
    <w:p w14:paraId="103364C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1.1.2.3 承包人：是指与发包人签订合同协议书的，具有相应工程施工承包资质的当事人及取得该当事人资格的合法继承人。</w:t>
      </w:r>
    </w:p>
    <w:p w14:paraId="1EAE822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1.1.2.4 监理人：是指在专用合同条款中指明的，受发包人委托按照法律规定进行工程监督管理的法人或其他组织。</w:t>
      </w:r>
    </w:p>
    <w:p w14:paraId="27C329A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1.1.2.5 设计人：是指在专用合同条款中指明的，受发包人委托负责工程设计并具备相应工程设计资质的法人或其他组织。</w:t>
      </w:r>
    </w:p>
    <w:p w14:paraId="052169E0">
      <w:pPr>
        <w:spacing w:line="360" w:lineRule="auto"/>
        <w:ind w:firstLine="409" w:firstLineChars="195"/>
        <w:jc w:val="left"/>
        <w:rPr>
          <w:rFonts w:eastAsia="仿宋_GB2312"/>
          <w:color w:val="auto"/>
          <w:kern w:val="0"/>
          <w:szCs w:val="21"/>
          <w:highlight w:val="none"/>
        </w:rPr>
      </w:pPr>
      <w:r>
        <w:rPr>
          <w:rFonts w:eastAsia="仿宋_GB2312"/>
          <w:color w:val="auto"/>
          <w:kern w:val="0"/>
          <w:szCs w:val="21"/>
          <w:highlight w:val="none"/>
        </w:rPr>
        <w:t>1.1.2.6 分包人：</w:t>
      </w:r>
      <w:bookmarkStart w:id="160" w:name="#go5"/>
      <w:bookmarkEnd w:id="160"/>
      <w:r>
        <w:rPr>
          <w:rFonts w:eastAsia="仿宋_GB2312"/>
          <w:color w:val="auto"/>
          <w:kern w:val="0"/>
          <w:szCs w:val="21"/>
          <w:highlight w:val="none"/>
        </w:rPr>
        <w:t>是指</w:t>
      </w:r>
      <w:r>
        <w:rPr>
          <w:rFonts w:hint="eastAsia" w:eastAsia="仿宋_GB2312"/>
          <w:color w:val="auto"/>
          <w:kern w:val="0"/>
          <w:szCs w:val="21"/>
          <w:highlight w:val="none"/>
        </w:rPr>
        <w:t>按照法律规定和</w:t>
      </w:r>
      <w:r>
        <w:rPr>
          <w:rFonts w:eastAsia="仿宋_GB2312"/>
          <w:color w:val="auto"/>
          <w:kern w:val="0"/>
          <w:szCs w:val="21"/>
          <w:highlight w:val="none"/>
        </w:rPr>
        <w:t>合同约定，分包</w:t>
      </w:r>
      <w:r>
        <w:rPr>
          <w:rFonts w:hint="eastAsia" w:eastAsia="仿宋_GB2312"/>
          <w:color w:val="auto"/>
          <w:kern w:val="0"/>
          <w:szCs w:val="21"/>
          <w:highlight w:val="none"/>
        </w:rPr>
        <w:t>部分</w:t>
      </w:r>
      <w:r>
        <w:rPr>
          <w:rFonts w:eastAsia="仿宋_GB2312"/>
          <w:color w:val="auto"/>
          <w:kern w:val="0"/>
          <w:szCs w:val="21"/>
          <w:highlight w:val="none"/>
        </w:rPr>
        <w:t>工程</w:t>
      </w:r>
      <w:r>
        <w:rPr>
          <w:rFonts w:hint="eastAsia" w:eastAsia="仿宋_GB2312"/>
          <w:color w:val="auto"/>
          <w:kern w:val="0"/>
          <w:szCs w:val="21"/>
          <w:highlight w:val="none"/>
        </w:rPr>
        <w:t>或工作</w:t>
      </w:r>
      <w:r>
        <w:rPr>
          <w:rFonts w:eastAsia="仿宋_GB2312"/>
          <w:color w:val="auto"/>
          <w:kern w:val="0"/>
          <w:szCs w:val="21"/>
          <w:highlight w:val="none"/>
        </w:rPr>
        <w:t>，并与</w:t>
      </w:r>
      <w:r>
        <w:rPr>
          <w:rFonts w:hint="eastAsia" w:eastAsia="仿宋_GB2312"/>
          <w:color w:val="auto"/>
          <w:kern w:val="0"/>
          <w:szCs w:val="21"/>
          <w:highlight w:val="none"/>
        </w:rPr>
        <w:t>承包人</w:t>
      </w:r>
      <w:r>
        <w:rPr>
          <w:rFonts w:eastAsia="仿宋_GB2312"/>
          <w:color w:val="auto"/>
          <w:kern w:val="0"/>
          <w:szCs w:val="21"/>
          <w:highlight w:val="none"/>
        </w:rPr>
        <w:t>签订分包合同的具有相应资质的法人。</w:t>
      </w:r>
    </w:p>
    <w:p w14:paraId="6DE75C1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1.1.2.7 发包人代表：是指由发包人任命并派驻施工现场在发包人授权范围内行使发包人权利的人。</w:t>
      </w:r>
    </w:p>
    <w:p w14:paraId="5FC3B9A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1.1.2.8 项目经理：是指由承包人任命并派驻施工现场，在承包人授权范围内负责合同履行，且按照法律规定具有相应资格的</w:t>
      </w:r>
      <w:r>
        <w:rPr>
          <w:rFonts w:hint="eastAsia" w:eastAsia="仿宋_GB2312"/>
          <w:color w:val="auto"/>
          <w:kern w:val="0"/>
          <w:szCs w:val="21"/>
          <w:highlight w:val="none"/>
        </w:rPr>
        <w:t>项目负责</w:t>
      </w:r>
      <w:r>
        <w:rPr>
          <w:rFonts w:eastAsia="仿宋_GB2312"/>
          <w:color w:val="auto"/>
          <w:kern w:val="0"/>
          <w:szCs w:val="21"/>
          <w:highlight w:val="none"/>
        </w:rPr>
        <w:t>人。</w:t>
      </w:r>
    </w:p>
    <w:p w14:paraId="72B67F4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1.1.2.9 总监理工程师：是指由监理人任命并派驻施工现场进行工程监理的总负责人。</w:t>
      </w:r>
    </w:p>
    <w:p w14:paraId="5E3EB74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 工程和设备</w:t>
      </w:r>
    </w:p>
    <w:p w14:paraId="270A77B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1.1.3.1 工程：是指与合同协议书中工程承包范围对应的永久工程和（或）临时工程。</w:t>
      </w:r>
    </w:p>
    <w:p w14:paraId="579F553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1.1.3.2 永久工程：是指按合同约定建造并移交给发包人的工程，包括工程设备。</w:t>
      </w:r>
    </w:p>
    <w:p w14:paraId="1693E4A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1.1.3.3 临时工程：是指为完成合同约定的永久工程所修建的各类临时性工程，不包括施工设备。</w:t>
      </w:r>
    </w:p>
    <w:p w14:paraId="42B6FEA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1.1.3.4 单位工程：是指在</w:t>
      </w:r>
      <w:r>
        <w:rPr>
          <w:rFonts w:hint="eastAsia" w:eastAsia="仿宋_GB2312"/>
          <w:color w:val="auto"/>
          <w:kern w:val="0"/>
          <w:szCs w:val="21"/>
          <w:highlight w:val="none"/>
        </w:rPr>
        <w:t>合同协议书</w:t>
      </w:r>
      <w:r>
        <w:rPr>
          <w:rFonts w:eastAsia="仿宋_GB2312"/>
          <w:color w:val="auto"/>
          <w:kern w:val="0"/>
          <w:szCs w:val="21"/>
          <w:highlight w:val="none"/>
        </w:rPr>
        <w:t>中指明的，具备独立施工条件并能形成独立使用功能的永久工程。</w:t>
      </w:r>
    </w:p>
    <w:p w14:paraId="01544AC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1.1.3.5 工程设备：是指构成永久工程的机电设备、金属结构设备、仪器及其他类似的设备和装置。</w:t>
      </w:r>
    </w:p>
    <w:p w14:paraId="19C55C4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1.1.3.6 施工设备：是指为完成合同约定的各项工作所需的设备、器具和其他物品，但不包括工程设备、临时工程和材料。</w:t>
      </w:r>
    </w:p>
    <w:p w14:paraId="4372F60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1.1.3.7 施工现场：是指用于工程施工的场所，以及在专用合同条款中</w:t>
      </w:r>
      <w:r>
        <w:rPr>
          <w:rFonts w:hint="eastAsia" w:eastAsia="仿宋_GB2312"/>
          <w:color w:val="auto"/>
          <w:kern w:val="0"/>
          <w:szCs w:val="21"/>
          <w:highlight w:val="none"/>
        </w:rPr>
        <w:t>指</w:t>
      </w:r>
      <w:r>
        <w:rPr>
          <w:rFonts w:eastAsia="仿宋_GB2312"/>
          <w:color w:val="auto"/>
          <w:kern w:val="0"/>
          <w:szCs w:val="21"/>
          <w:highlight w:val="none"/>
        </w:rPr>
        <w:t>明作为施工场所组成部分的其他场所，包括永久占地和临时占地。</w:t>
      </w:r>
    </w:p>
    <w:p w14:paraId="2C5539C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1.1.3.8临时设施：是指为完成合同约定的各项工作所服务的临时性生产和生活设施。</w:t>
      </w:r>
    </w:p>
    <w:p w14:paraId="5C96778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1.1.3.9 永久占地：是指专用合同条款中指明为实施工程需永久占用的土地。</w:t>
      </w:r>
    </w:p>
    <w:p w14:paraId="1374A05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1.1.3.10 临时占地：是指专用合同条款中指明为实施工程需要临时占用的土地。</w:t>
      </w:r>
    </w:p>
    <w:p w14:paraId="7C3897E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1.1.4 日期和期限</w:t>
      </w:r>
    </w:p>
    <w:p w14:paraId="22275DE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1.1.4.1 开工日期：包括计划开工日期和实际开工日期。计划开工日期是指合同协议书约定的开工日期；实际开工日期是指</w:t>
      </w:r>
      <w:r>
        <w:rPr>
          <w:rFonts w:hint="eastAsia" w:eastAsia="仿宋_GB2312"/>
          <w:color w:val="auto"/>
          <w:kern w:val="0"/>
          <w:szCs w:val="21"/>
          <w:highlight w:val="none"/>
        </w:rPr>
        <w:t>发包人或</w:t>
      </w:r>
      <w:r>
        <w:rPr>
          <w:rFonts w:eastAsia="仿宋_GB2312"/>
          <w:color w:val="auto"/>
          <w:kern w:val="0"/>
          <w:szCs w:val="21"/>
          <w:highlight w:val="none"/>
        </w:rPr>
        <w:t>监理人按照第7.3.2项</w:t>
      </w:r>
      <w:r>
        <w:rPr>
          <w:rFonts w:hint="eastAsia" w:eastAsia="仿宋_GB2312"/>
          <w:color w:val="auto"/>
          <w:kern w:val="0"/>
          <w:szCs w:val="21"/>
          <w:highlight w:val="none"/>
        </w:rPr>
        <w:t>〔</w:t>
      </w:r>
      <w:r>
        <w:rPr>
          <w:rFonts w:eastAsia="仿宋_GB2312"/>
          <w:color w:val="auto"/>
          <w:kern w:val="0"/>
          <w:szCs w:val="21"/>
          <w:highlight w:val="none"/>
        </w:rPr>
        <w:t>开工通知</w:t>
      </w:r>
      <w:r>
        <w:rPr>
          <w:rFonts w:hint="eastAsia" w:eastAsia="仿宋_GB2312"/>
          <w:color w:val="auto"/>
          <w:kern w:val="0"/>
          <w:szCs w:val="21"/>
          <w:highlight w:val="none"/>
        </w:rPr>
        <w:t>〕</w:t>
      </w:r>
      <w:r>
        <w:rPr>
          <w:rFonts w:eastAsia="仿宋_GB2312"/>
          <w:color w:val="auto"/>
          <w:kern w:val="0"/>
          <w:szCs w:val="21"/>
          <w:highlight w:val="none"/>
        </w:rPr>
        <w:t>约定发出的符合法律规定的开工通知中载明的开工日期。</w:t>
      </w:r>
    </w:p>
    <w:p w14:paraId="5B49D4D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1.1.4.2 竣工日期：包括计划竣工日期和实际竣工日期。计划竣工日期是指合同协议书约定的竣工日期</w:t>
      </w:r>
      <w:r>
        <w:rPr>
          <w:rFonts w:hint="eastAsia" w:eastAsia="仿宋_GB2312"/>
          <w:color w:val="auto"/>
          <w:kern w:val="0"/>
          <w:szCs w:val="21"/>
          <w:highlight w:val="none"/>
        </w:rPr>
        <w:t>；</w:t>
      </w:r>
      <w:r>
        <w:rPr>
          <w:rFonts w:eastAsia="仿宋_GB2312"/>
          <w:color w:val="auto"/>
          <w:kern w:val="0"/>
          <w:szCs w:val="21"/>
          <w:highlight w:val="none"/>
        </w:rPr>
        <w:t>实际竣工日期按照第13.2.3项</w:t>
      </w:r>
      <w:r>
        <w:rPr>
          <w:rFonts w:hint="eastAsia" w:eastAsia="仿宋_GB2312"/>
          <w:color w:val="auto"/>
          <w:kern w:val="0"/>
          <w:szCs w:val="21"/>
          <w:highlight w:val="none"/>
        </w:rPr>
        <w:t>〔</w:t>
      </w:r>
      <w:r>
        <w:rPr>
          <w:rFonts w:eastAsia="仿宋_GB2312"/>
          <w:color w:val="auto"/>
          <w:kern w:val="0"/>
          <w:szCs w:val="21"/>
          <w:highlight w:val="none"/>
        </w:rPr>
        <w:t>竣工日期</w:t>
      </w:r>
      <w:r>
        <w:rPr>
          <w:rFonts w:hint="eastAsia" w:eastAsia="仿宋_GB2312"/>
          <w:color w:val="auto"/>
          <w:kern w:val="0"/>
          <w:szCs w:val="21"/>
          <w:highlight w:val="none"/>
        </w:rPr>
        <w:t>〕</w:t>
      </w:r>
      <w:r>
        <w:rPr>
          <w:rFonts w:eastAsia="仿宋_GB2312"/>
          <w:color w:val="auto"/>
          <w:kern w:val="0"/>
          <w:szCs w:val="21"/>
          <w:highlight w:val="none"/>
        </w:rPr>
        <w:t xml:space="preserve">的约定确定。 </w:t>
      </w:r>
    </w:p>
    <w:p w14:paraId="3A77DE61">
      <w:pPr>
        <w:spacing w:line="360" w:lineRule="auto"/>
        <w:ind w:firstLine="426" w:firstLineChars="203"/>
        <w:rPr>
          <w:rFonts w:eastAsia="仿宋_GB2312"/>
          <w:color w:val="auto"/>
          <w:szCs w:val="21"/>
          <w:highlight w:val="none"/>
        </w:rPr>
      </w:pPr>
      <w:r>
        <w:rPr>
          <w:rFonts w:eastAsia="仿宋_GB2312"/>
          <w:color w:val="auto"/>
          <w:kern w:val="0"/>
          <w:szCs w:val="21"/>
          <w:highlight w:val="none"/>
        </w:rPr>
        <w:t>1.1.4.3 工期：是指在合同协议书约定的承包人完成工程所需的期限，包括按照合同约定所作的</w:t>
      </w:r>
      <w:r>
        <w:rPr>
          <w:rFonts w:hint="eastAsia" w:eastAsia="仿宋_GB2312"/>
          <w:color w:val="auto"/>
          <w:kern w:val="0"/>
          <w:szCs w:val="21"/>
          <w:highlight w:val="none"/>
        </w:rPr>
        <w:t>期限</w:t>
      </w:r>
      <w:r>
        <w:rPr>
          <w:rFonts w:eastAsia="仿宋_GB2312"/>
          <w:color w:val="auto"/>
          <w:kern w:val="0"/>
          <w:szCs w:val="21"/>
          <w:highlight w:val="none"/>
        </w:rPr>
        <w:t>变更。</w:t>
      </w:r>
    </w:p>
    <w:p w14:paraId="239AFCA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1.1.4.4 缺陷责任期：是指承包人按照合同约定承担缺陷修复义务，且发包人</w:t>
      </w:r>
      <w:r>
        <w:rPr>
          <w:rFonts w:hint="eastAsia" w:eastAsia="仿宋_GB2312"/>
          <w:color w:val="auto"/>
          <w:kern w:val="0"/>
          <w:szCs w:val="21"/>
          <w:highlight w:val="none"/>
        </w:rPr>
        <w:t>预</w:t>
      </w:r>
      <w:r>
        <w:rPr>
          <w:rFonts w:eastAsia="仿宋_GB2312"/>
          <w:color w:val="auto"/>
          <w:kern w:val="0"/>
          <w:szCs w:val="21"/>
          <w:highlight w:val="none"/>
        </w:rPr>
        <w:t>留质量保证金</w:t>
      </w:r>
      <w:r>
        <w:rPr>
          <w:rFonts w:hint="eastAsia" w:eastAsia="仿宋_GB2312"/>
          <w:color w:val="auto"/>
          <w:kern w:val="0"/>
          <w:szCs w:val="21"/>
          <w:highlight w:val="none"/>
        </w:rPr>
        <w:t>（已</w:t>
      </w:r>
      <w:r>
        <w:rPr>
          <w:rFonts w:eastAsia="仿宋_GB2312"/>
          <w:color w:val="auto"/>
          <w:kern w:val="0"/>
          <w:szCs w:val="21"/>
          <w:highlight w:val="none"/>
        </w:rPr>
        <w:t>缴纳履约保证金的除外</w:t>
      </w:r>
      <w:r>
        <w:rPr>
          <w:rFonts w:hint="eastAsia" w:eastAsia="仿宋_GB2312"/>
          <w:color w:val="auto"/>
          <w:kern w:val="0"/>
          <w:szCs w:val="21"/>
          <w:highlight w:val="none"/>
        </w:rPr>
        <w:t>）</w:t>
      </w:r>
      <w:r>
        <w:rPr>
          <w:rFonts w:eastAsia="仿宋_GB2312"/>
          <w:color w:val="auto"/>
          <w:kern w:val="0"/>
          <w:szCs w:val="21"/>
          <w:highlight w:val="none"/>
        </w:rPr>
        <w:t>的期限，</w:t>
      </w:r>
      <w:r>
        <w:rPr>
          <w:rFonts w:hint="eastAsia" w:eastAsia="仿宋_GB2312"/>
          <w:color w:val="auto"/>
          <w:kern w:val="0"/>
          <w:szCs w:val="21"/>
          <w:highlight w:val="none"/>
        </w:rPr>
        <w:t>自</w:t>
      </w:r>
      <w:r>
        <w:rPr>
          <w:rFonts w:eastAsia="仿宋_GB2312"/>
          <w:color w:val="auto"/>
          <w:kern w:val="0"/>
          <w:szCs w:val="21"/>
          <w:highlight w:val="none"/>
        </w:rPr>
        <w:t>工程</w:t>
      </w:r>
      <w:r>
        <w:rPr>
          <w:rFonts w:hint="eastAsia" w:eastAsia="仿宋_GB2312"/>
          <w:color w:val="auto"/>
          <w:kern w:val="0"/>
          <w:szCs w:val="21"/>
          <w:highlight w:val="none"/>
        </w:rPr>
        <w:t>竣工验收合格之日</w:t>
      </w:r>
      <w:r>
        <w:rPr>
          <w:rFonts w:eastAsia="仿宋_GB2312"/>
          <w:color w:val="auto"/>
          <w:kern w:val="0"/>
          <w:szCs w:val="21"/>
          <w:highlight w:val="none"/>
        </w:rPr>
        <w:t>起计算。</w:t>
      </w:r>
    </w:p>
    <w:p w14:paraId="0BDAEB6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1.1.4.5 保修期：是指承包人按照合同约定对工程承担保修责任的期限，从工程竣工验收合格之日起计算。</w:t>
      </w:r>
    </w:p>
    <w:p w14:paraId="6885C7B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1.1.4.6 基准日期：招标发包的工程以投标截止日前</w:t>
      </w:r>
      <w:r>
        <w:rPr>
          <w:rFonts w:hint="eastAsia" w:eastAsia="仿宋_GB2312"/>
          <w:color w:val="auto"/>
          <w:kern w:val="0"/>
          <w:szCs w:val="21"/>
          <w:highlight w:val="none"/>
        </w:rPr>
        <w:t>第</w:t>
      </w:r>
      <w:r>
        <w:rPr>
          <w:rFonts w:eastAsia="仿宋_GB2312"/>
          <w:color w:val="auto"/>
          <w:kern w:val="0"/>
          <w:szCs w:val="21"/>
          <w:highlight w:val="none"/>
        </w:rPr>
        <w:t>28天的日期为基准日</w:t>
      </w:r>
      <w:r>
        <w:rPr>
          <w:rFonts w:hint="eastAsia" w:eastAsia="仿宋_GB2312"/>
          <w:color w:val="auto"/>
          <w:kern w:val="0"/>
          <w:szCs w:val="21"/>
          <w:highlight w:val="none"/>
        </w:rPr>
        <w:t>期</w:t>
      </w:r>
      <w:r>
        <w:rPr>
          <w:rFonts w:eastAsia="仿宋_GB2312"/>
          <w:color w:val="auto"/>
          <w:kern w:val="0"/>
          <w:szCs w:val="21"/>
          <w:highlight w:val="none"/>
        </w:rPr>
        <w:t>，直接发包的工程以合同签订日前</w:t>
      </w:r>
      <w:r>
        <w:rPr>
          <w:rFonts w:hint="eastAsia" w:eastAsia="仿宋_GB2312"/>
          <w:color w:val="auto"/>
          <w:kern w:val="0"/>
          <w:szCs w:val="21"/>
          <w:highlight w:val="none"/>
        </w:rPr>
        <w:t>第</w:t>
      </w:r>
      <w:r>
        <w:rPr>
          <w:rFonts w:eastAsia="仿宋_GB2312"/>
          <w:color w:val="auto"/>
          <w:kern w:val="0"/>
          <w:szCs w:val="21"/>
          <w:highlight w:val="none"/>
        </w:rPr>
        <w:t>28天的日期为基准日</w:t>
      </w:r>
      <w:r>
        <w:rPr>
          <w:rFonts w:hint="eastAsia" w:eastAsia="仿宋_GB2312"/>
          <w:color w:val="auto"/>
          <w:kern w:val="0"/>
          <w:szCs w:val="21"/>
          <w:highlight w:val="none"/>
        </w:rPr>
        <w:t>期</w:t>
      </w:r>
      <w:r>
        <w:rPr>
          <w:rFonts w:eastAsia="仿宋_GB2312"/>
          <w:color w:val="auto"/>
          <w:kern w:val="0"/>
          <w:szCs w:val="21"/>
          <w:highlight w:val="none"/>
        </w:rPr>
        <w:t>。</w:t>
      </w:r>
    </w:p>
    <w:p w14:paraId="6F4C075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1.1.4.7 天：除特别指明外，均指日历天。合同中按天计算时间的，开始当天不计入，从次日开始计算，期限最后一天的截止时间为当天24:00时。</w:t>
      </w:r>
    </w:p>
    <w:p w14:paraId="52C21CC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1.1.5 合同价格和费用</w:t>
      </w:r>
    </w:p>
    <w:p w14:paraId="7BD6AA1F">
      <w:pPr>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1.1.5.1 签约合同价：是指</w:t>
      </w:r>
      <w:r>
        <w:rPr>
          <w:rFonts w:eastAsia="仿宋_GB2312"/>
          <w:color w:val="auto"/>
          <w:szCs w:val="21"/>
          <w:highlight w:val="none"/>
        </w:rPr>
        <w:t>发包人和承包人在合同协议书中确定的总金额，包括安全文明施工费、</w:t>
      </w:r>
      <w:r>
        <w:rPr>
          <w:rFonts w:hint="eastAsia" w:eastAsia="仿宋_GB2312"/>
          <w:color w:val="auto"/>
          <w:szCs w:val="21"/>
          <w:highlight w:val="none"/>
        </w:rPr>
        <w:t>暂估价</w:t>
      </w:r>
      <w:r>
        <w:rPr>
          <w:rFonts w:eastAsia="仿宋_GB2312"/>
          <w:color w:val="auto"/>
          <w:szCs w:val="21"/>
          <w:highlight w:val="none"/>
        </w:rPr>
        <w:t>及暂列金额等。</w:t>
      </w:r>
    </w:p>
    <w:p w14:paraId="7549716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1.1.5.2 合同价格：是指发包人用于支付承包人按照合同约定完成承包范围内全部工作的金额，包括合同履行过程中按合同约定</w:t>
      </w:r>
      <w:r>
        <w:rPr>
          <w:rFonts w:hint="eastAsia" w:eastAsia="仿宋_GB2312"/>
          <w:color w:val="auto"/>
          <w:kern w:val="0"/>
          <w:szCs w:val="21"/>
          <w:highlight w:val="none"/>
        </w:rPr>
        <w:t>发生的价格变化。</w:t>
      </w:r>
    </w:p>
    <w:p w14:paraId="1D9160B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1.1.5.3 费用：是指为履行合同所发生的或将要发生的所有必需的开支，包括管理费和应分摊的其他费用，但不包括利润。</w:t>
      </w:r>
    </w:p>
    <w:p w14:paraId="6D37A7D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1.1.5.4 </w:t>
      </w:r>
      <w:r>
        <w:rPr>
          <w:rFonts w:hint="eastAsia" w:eastAsia="仿宋_GB2312"/>
          <w:color w:val="auto"/>
          <w:kern w:val="0"/>
          <w:szCs w:val="21"/>
          <w:highlight w:val="none"/>
        </w:rPr>
        <w:t>暂估价</w:t>
      </w:r>
      <w:r>
        <w:rPr>
          <w:rFonts w:eastAsia="仿宋_GB2312"/>
          <w:color w:val="auto"/>
          <w:kern w:val="0"/>
          <w:szCs w:val="21"/>
          <w:highlight w:val="none"/>
        </w:rPr>
        <w:t>：是指发包人在工程量清单或预算书中提供的用于支付必然发生但暂时不能确定价格的材料、工程设备的单价</w:t>
      </w:r>
      <w:r>
        <w:rPr>
          <w:rFonts w:hint="eastAsia" w:eastAsia="仿宋_GB2312"/>
          <w:color w:val="auto"/>
          <w:kern w:val="0"/>
          <w:szCs w:val="21"/>
          <w:highlight w:val="none"/>
        </w:rPr>
        <w:t>、</w:t>
      </w:r>
      <w:r>
        <w:rPr>
          <w:rFonts w:eastAsia="仿宋_GB2312"/>
          <w:color w:val="auto"/>
          <w:kern w:val="0"/>
          <w:szCs w:val="21"/>
          <w:highlight w:val="none"/>
        </w:rPr>
        <w:t>专业工程以及</w:t>
      </w:r>
      <w:r>
        <w:rPr>
          <w:rFonts w:hint="eastAsia" w:eastAsia="仿宋_GB2312"/>
          <w:color w:val="auto"/>
          <w:kern w:val="0"/>
          <w:szCs w:val="21"/>
          <w:highlight w:val="none"/>
        </w:rPr>
        <w:t>服务工作</w:t>
      </w:r>
      <w:r>
        <w:rPr>
          <w:rFonts w:eastAsia="仿宋_GB2312"/>
          <w:color w:val="auto"/>
          <w:kern w:val="0"/>
          <w:szCs w:val="21"/>
          <w:highlight w:val="none"/>
        </w:rPr>
        <w:t>的金额。</w:t>
      </w:r>
    </w:p>
    <w:p w14:paraId="0B2EC3C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1.1.5.5 暂列金额：是指发包人在工程量清单或预算书中暂定并包括在合同价格中的一笔款项</w:t>
      </w:r>
      <w:r>
        <w:rPr>
          <w:rFonts w:hint="eastAsia" w:eastAsia="仿宋_GB2312"/>
          <w:color w:val="auto"/>
          <w:kern w:val="0"/>
          <w:szCs w:val="21"/>
          <w:highlight w:val="none"/>
        </w:rPr>
        <w:t>，</w:t>
      </w:r>
      <w:r>
        <w:rPr>
          <w:rFonts w:eastAsia="仿宋_GB2312"/>
          <w:color w:val="auto"/>
          <w:kern w:val="0"/>
          <w:szCs w:val="21"/>
          <w:highlight w:val="none"/>
        </w:rPr>
        <w:t>用于工程合同签订时尚未确定或者不可预见的所需材料、工程设备、服务的采购，施工中可能发生的工程变更、合同约定调整因素出现时的合同价格调整以及发生的索赔、现场签证确认等的费用。</w:t>
      </w:r>
    </w:p>
    <w:p w14:paraId="1C18F5F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1.1.5.6 计日工：是指合同履行过程中，承包人完成发包人提出的零星工作或需要采用计日工计价的变更工作时，按合同中约定的单价计价的一种方式。</w:t>
      </w:r>
    </w:p>
    <w:p w14:paraId="04A0F4AD">
      <w:pPr>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1.1.5.7 质量保证金</w:t>
      </w:r>
      <w:bookmarkStart w:id="161" w:name="#go2"/>
      <w:bookmarkEnd w:id="161"/>
      <w:r>
        <w:rPr>
          <w:rFonts w:eastAsia="仿宋_GB2312"/>
          <w:color w:val="auto"/>
          <w:kern w:val="0"/>
          <w:szCs w:val="21"/>
          <w:highlight w:val="none"/>
        </w:rPr>
        <w:t>：是指按照第15.3款</w:t>
      </w:r>
      <w:r>
        <w:rPr>
          <w:rFonts w:hint="eastAsia" w:eastAsia="仿宋_GB2312"/>
          <w:color w:val="auto"/>
          <w:kern w:val="0"/>
          <w:szCs w:val="21"/>
          <w:highlight w:val="none"/>
        </w:rPr>
        <w:t>〔</w:t>
      </w:r>
      <w:r>
        <w:rPr>
          <w:rFonts w:eastAsia="仿宋_GB2312"/>
          <w:color w:val="auto"/>
          <w:kern w:val="0"/>
          <w:szCs w:val="21"/>
          <w:highlight w:val="none"/>
        </w:rPr>
        <w:t>质量保证金</w:t>
      </w:r>
      <w:r>
        <w:rPr>
          <w:rFonts w:hint="eastAsia" w:eastAsia="仿宋_GB2312"/>
          <w:color w:val="auto"/>
          <w:kern w:val="0"/>
          <w:szCs w:val="21"/>
          <w:highlight w:val="none"/>
        </w:rPr>
        <w:t>〕</w:t>
      </w:r>
      <w:r>
        <w:rPr>
          <w:rFonts w:eastAsia="仿宋_GB2312"/>
          <w:color w:val="auto"/>
          <w:kern w:val="0"/>
          <w:szCs w:val="21"/>
          <w:highlight w:val="none"/>
        </w:rPr>
        <w:t>约定承包人用于保证其在缺陷责任期内履行缺陷修补义务的担保</w:t>
      </w:r>
      <w:r>
        <w:rPr>
          <w:rFonts w:eastAsia="仿宋_GB2312"/>
          <w:color w:val="auto"/>
          <w:szCs w:val="21"/>
          <w:highlight w:val="none"/>
        </w:rPr>
        <w:t>。</w:t>
      </w:r>
    </w:p>
    <w:p w14:paraId="2DD7529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1.1.5.8 总价项目：是指在现行国家、行业以及地方的计量规则中无工程量计算规则，在已标价工程量清单或预算书中以总价或以费率形式计算的项目。</w:t>
      </w:r>
    </w:p>
    <w:p w14:paraId="38871D41">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1.1.6 其他</w:t>
      </w:r>
    </w:p>
    <w:p w14:paraId="327A1045">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1.1.6.1 书面形式：是指合同文件、信函</w:t>
      </w:r>
      <w:r>
        <w:rPr>
          <w:rFonts w:hint="eastAsia" w:eastAsia="仿宋_GB2312"/>
          <w:color w:val="auto"/>
          <w:szCs w:val="21"/>
          <w:highlight w:val="none"/>
        </w:rPr>
        <w:t>和数据电文（包括</w:t>
      </w:r>
      <w:r>
        <w:rPr>
          <w:rFonts w:eastAsia="仿宋_GB2312"/>
          <w:color w:val="auto"/>
          <w:szCs w:val="21"/>
          <w:highlight w:val="none"/>
        </w:rPr>
        <w:t>电报、</w:t>
      </w:r>
      <w:r>
        <w:rPr>
          <w:rFonts w:hint="eastAsia" w:eastAsia="仿宋_GB2312"/>
          <w:color w:val="auto"/>
          <w:szCs w:val="21"/>
          <w:highlight w:val="none"/>
        </w:rPr>
        <w:t>电传、</w:t>
      </w:r>
      <w:r>
        <w:rPr>
          <w:rFonts w:eastAsia="仿宋_GB2312"/>
          <w:color w:val="auto"/>
          <w:szCs w:val="21"/>
          <w:highlight w:val="none"/>
        </w:rPr>
        <w:t>传真</w:t>
      </w:r>
      <w:r>
        <w:rPr>
          <w:rFonts w:hint="eastAsia" w:eastAsia="仿宋_GB2312"/>
          <w:color w:val="auto"/>
          <w:szCs w:val="21"/>
          <w:highlight w:val="none"/>
        </w:rPr>
        <w:t>、电子数据交换和电子邮件）</w:t>
      </w:r>
      <w:r>
        <w:rPr>
          <w:rFonts w:eastAsia="仿宋_GB2312"/>
          <w:color w:val="auto"/>
          <w:szCs w:val="21"/>
          <w:highlight w:val="none"/>
        </w:rPr>
        <w:t>等可以有形地表现所载内容的形式。</w:t>
      </w:r>
    </w:p>
    <w:p w14:paraId="0FCEEFC0">
      <w:pPr>
        <w:pStyle w:val="4"/>
        <w:spacing w:before="0" w:after="0" w:line="360" w:lineRule="auto"/>
        <w:ind w:firstLine="420" w:firstLineChars="200"/>
        <w:rPr>
          <w:rFonts w:eastAsia="黑体"/>
          <w:color w:val="auto"/>
          <w:sz w:val="21"/>
          <w:szCs w:val="21"/>
          <w:highlight w:val="none"/>
        </w:rPr>
      </w:pPr>
      <w:bookmarkStart w:id="162" w:name="_Toc296503029"/>
      <w:bookmarkStart w:id="163" w:name="_Toc20471"/>
      <w:bookmarkStart w:id="164" w:name="_Toc296346530"/>
      <w:bookmarkStart w:id="165" w:name="_Toc337558729"/>
      <w:r>
        <w:rPr>
          <w:rFonts w:eastAsia="黑体"/>
          <w:color w:val="auto"/>
          <w:sz w:val="21"/>
          <w:szCs w:val="21"/>
          <w:highlight w:val="none"/>
        </w:rPr>
        <w:t>1.2语言文字</w:t>
      </w:r>
      <w:bookmarkEnd w:id="162"/>
      <w:bookmarkEnd w:id="163"/>
      <w:bookmarkEnd w:id="164"/>
      <w:bookmarkEnd w:id="165"/>
    </w:p>
    <w:p w14:paraId="10D0539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合同以中国的汉语简体文字编写、解释和说明。合同当事人在专用合同条款中约定使用两种以上语言时，汉语为优先解释和说明合同的语言。</w:t>
      </w:r>
    </w:p>
    <w:p w14:paraId="2322D212">
      <w:pPr>
        <w:pStyle w:val="4"/>
        <w:spacing w:before="0" w:after="0" w:line="360" w:lineRule="auto"/>
        <w:ind w:firstLine="420" w:firstLineChars="200"/>
        <w:rPr>
          <w:rFonts w:eastAsia="黑体"/>
          <w:color w:val="auto"/>
          <w:sz w:val="21"/>
          <w:szCs w:val="21"/>
          <w:highlight w:val="none"/>
        </w:rPr>
      </w:pPr>
      <w:bookmarkStart w:id="166" w:name="_Toc337558730"/>
      <w:bookmarkStart w:id="167" w:name="_Toc296503030"/>
      <w:bookmarkStart w:id="168" w:name="_Toc32194"/>
      <w:bookmarkStart w:id="169" w:name="_Toc296346531"/>
      <w:r>
        <w:rPr>
          <w:rFonts w:eastAsia="黑体"/>
          <w:color w:val="auto"/>
          <w:sz w:val="21"/>
          <w:szCs w:val="21"/>
          <w:highlight w:val="none"/>
        </w:rPr>
        <w:t>1.3法律</w:t>
      </w:r>
      <w:bookmarkEnd w:id="166"/>
      <w:bookmarkEnd w:id="167"/>
      <w:bookmarkEnd w:id="168"/>
      <w:bookmarkEnd w:id="169"/>
    </w:p>
    <w:p w14:paraId="09E1C1B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合同所称法律是指中华人民共和国法律、行政法规、部门规章，以及工程所在地的地方性法规、自治条例、单行条例和地方政府规章等。</w:t>
      </w:r>
    </w:p>
    <w:p w14:paraId="34D0BC9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合同当事人可以在专用合同条款中约定合同适用的其他规范性文件。</w:t>
      </w:r>
    </w:p>
    <w:p w14:paraId="46E05236">
      <w:pPr>
        <w:pStyle w:val="4"/>
        <w:spacing w:before="0" w:after="0" w:line="360" w:lineRule="auto"/>
        <w:ind w:firstLine="420" w:firstLineChars="200"/>
        <w:rPr>
          <w:rFonts w:eastAsia="黑体"/>
          <w:color w:val="auto"/>
          <w:sz w:val="21"/>
          <w:szCs w:val="21"/>
          <w:highlight w:val="none"/>
        </w:rPr>
      </w:pPr>
      <w:bookmarkStart w:id="170" w:name="_Toc5742"/>
      <w:r>
        <w:rPr>
          <w:rFonts w:eastAsia="黑体"/>
          <w:color w:val="auto"/>
          <w:sz w:val="21"/>
          <w:szCs w:val="21"/>
          <w:highlight w:val="none"/>
        </w:rPr>
        <w:t>1.4 标准和规范</w:t>
      </w:r>
      <w:bookmarkEnd w:id="170"/>
    </w:p>
    <w:p w14:paraId="26BEBB8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eastAsia="仿宋_GB2312"/>
          <w:color w:val="auto"/>
          <w:kern w:val="0"/>
          <w:szCs w:val="21"/>
          <w:highlight w:val="none"/>
        </w:rPr>
      </w:pPr>
      <w:r>
        <w:rPr>
          <w:rFonts w:eastAsia="仿宋_GB2312"/>
          <w:color w:val="auto"/>
          <w:kern w:val="0"/>
          <w:szCs w:val="21"/>
          <w:highlight w:val="none"/>
        </w:rPr>
        <w:t>1.4.1 适用于工程的国家标准、行业标准、工程所在地的地方性标准，以及相应的规范、规程等，合同当事人有特别要求的，应在专用合同条款中约定。</w:t>
      </w:r>
    </w:p>
    <w:p w14:paraId="7E2D290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eastAsia="仿宋_GB2312"/>
          <w:color w:val="auto"/>
          <w:kern w:val="0"/>
          <w:szCs w:val="21"/>
          <w:highlight w:val="none"/>
        </w:rPr>
      </w:pPr>
      <w:r>
        <w:rPr>
          <w:rFonts w:eastAsia="仿宋_GB2312"/>
          <w:color w:val="auto"/>
          <w:kern w:val="0"/>
          <w:szCs w:val="21"/>
          <w:highlight w:val="none"/>
        </w:rPr>
        <w:t>1.4.2 发包人要求使用国外标准、规范的，发包人负责提供原文版本和中文译本，并在专用合同条款中约定提供标准规范的名称、份数和时间。</w:t>
      </w:r>
    </w:p>
    <w:p w14:paraId="258C86A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eastAsia="仿宋_GB2312"/>
          <w:color w:val="auto"/>
          <w:kern w:val="0"/>
          <w:szCs w:val="21"/>
          <w:highlight w:val="none"/>
        </w:rPr>
      </w:pPr>
      <w:r>
        <w:rPr>
          <w:rFonts w:eastAsia="仿宋_GB2312"/>
          <w:color w:val="auto"/>
          <w:kern w:val="0"/>
          <w:szCs w:val="21"/>
          <w:highlight w:val="none"/>
        </w:rPr>
        <w:t>1.4.3 发包人对工程的技术标准、功能要求高于或严于现行国家、行业或地方标准的，应当在专用合同条款中予以明确。除专用合同条款另有约定外，应视为</w:t>
      </w:r>
      <w:r>
        <w:rPr>
          <w:rFonts w:hint="eastAsia" w:eastAsia="仿宋_GB2312"/>
          <w:color w:val="auto"/>
          <w:kern w:val="0"/>
          <w:szCs w:val="21"/>
          <w:highlight w:val="none"/>
        </w:rPr>
        <w:t>承包人</w:t>
      </w:r>
      <w:r>
        <w:rPr>
          <w:rFonts w:eastAsia="仿宋_GB2312"/>
          <w:color w:val="auto"/>
          <w:kern w:val="0"/>
          <w:szCs w:val="21"/>
          <w:highlight w:val="none"/>
        </w:rPr>
        <w:t>在签订合同前已充分预见前述技术标准和功能要求的复杂程度，签约合同价中已包含由此产生的费用。</w:t>
      </w:r>
    </w:p>
    <w:p w14:paraId="1B159D3E">
      <w:pPr>
        <w:pStyle w:val="4"/>
        <w:spacing w:before="0" w:after="0" w:line="360" w:lineRule="auto"/>
        <w:ind w:firstLine="420" w:firstLineChars="200"/>
        <w:rPr>
          <w:rFonts w:eastAsia="黑体"/>
          <w:color w:val="auto"/>
          <w:sz w:val="21"/>
          <w:szCs w:val="21"/>
          <w:highlight w:val="none"/>
        </w:rPr>
      </w:pPr>
      <w:bookmarkStart w:id="171" w:name="_Toc27121"/>
      <w:r>
        <w:rPr>
          <w:rFonts w:eastAsia="黑体"/>
          <w:color w:val="auto"/>
          <w:sz w:val="21"/>
          <w:szCs w:val="21"/>
          <w:highlight w:val="none"/>
        </w:rPr>
        <w:t>1</w:t>
      </w:r>
      <w:bookmarkStart w:id="172" w:name="_Toc296503031"/>
      <w:bookmarkStart w:id="173" w:name="_Toc337558731"/>
      <w:bookmarkStart w:id="174" w:name="_Toc296346532"/>
      <w:r>
        <w:rPr>
          <w:rFonts w:eastAsia="黑体"/>
          <w:color w:val="auto"/>
          <w:sz w:val="21"/>
          <w:szCs w:val="21"/>
          <w:highlight w:val="none"/>
        </w:rPr>
        <w:t>.5 合同文件的优先顺序</w:t>
      </w:r>
      <w:bookmarkEnd w:id="171"/>
    </w:p>
    <w:bookmarkEnd w:id="172"/>
    <w:bookmarkEnd w:id="173"/>
    <w:bookmarkEnd w:id="174"/>
    <w:p w14:paraId="273E035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组成合同的各项文件应互相解释，互为说明。除专用合同条款另有约定外，解释合同文件的优先顺序如下：</w:t>
      </w:r>
    </w:p>
    <w:p w14:paraId="1112830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w:t>
      </w:r>
      <w:r>
        <w:rPr>
          <w:rFonts w:hint="eastAsia" w:eastAsia="仿宋_GB2312"/>
          <w:color w:val="auto"/>
          <w:kern w:val="0"/>
          <w:szCs w:val="21"/>
          <w:highlight w:val="none"/>
        </w:rPr>
        <w:t>补充协议书（如有）</w:t>
      </w:r>
    </w:p>
    <w:p w14:paraId="0E38C73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（2）合同协议书；</w:t>
      </w:r>
    </w:p>
    <w:p w14:paraId="334004A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（3）中标通知书（如果有）；</w:t>
      </w:r>
    </w:p>
    <w:p w14:paraId="39FFCC9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（4）投标函及其附录（如果有）；</w:t>
      </w:r>
    </w:p>
    <w:p w14:paraId="2559A19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（5）专用合同条款</w:t>
      </w:r>
      <w:r>
        <w:rPr>
          <w:rFonts w:eastAsia="仿宋_GB2312"/>
          <w:color w:val="auto"/>
          <w:szCs w:val="21"/>
          <w:highlight w:val="none"/>
        </w:rPr>
        <w:t>及其附件</w:t>
      </w:r>
      <w:r>
        <w:rPr>
          <w:rFonts w:eastAsia="仿宋_GB2312"/>
          <w:color w:val="auto"/>
          <w:kern w:val="0"/>
          <w:szCs w:val="21"/>
          <w:highlight w:val="none"/>
        </w:rPr>
        <w:t>；</w:t>
      </w:r>
    </w:p>
    <w:p w14:paraId="7A98EFA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（6）通用合同条款；</w:t>
      </w:r>
    </w:p>
    <w:p w14:paraId="582FA72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（7）技术标准和要求；</w:t>
      </w:r>
    </w:p>
    <w:p w14:paraId="372D2F6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（8）图纸；</w:t>
      </w:r>
    </w:p>
    <w:p w14:paraId="5B807C4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（9）已标价工程量清单或预算书；</w:t>
      </w:r>
    </w:p>
    <w:p w14:paraId="6B2B8A6D">
      <w:pPr>
        <w:autoSpaceDE w:val="0"/>
        <w:autoSpaceDN w:val="0"/>
        <w:adjustRightInd w:val="0"/>
        <w:spacing w:line="360" w:lineRule="auto"/>
        <w:ind w:firstLine="420" w:firstLineChars="200"/>
        <w:jc w:val="left"/>
        <w:rPr>
          <w:rFonts w:eastAsia="仿宋_GB2312"/>
          <w:color w:val="auto"/>
          <w:szCs w:val="21"/>
          <w:highlight w:val="none"/>
        </w:rPr>
      </w:pPr>
      <w:r>
        <w:rPr>
          <w:rFonts w:hint="eastAsia" w:eastAsia="仿宋_GB2312"/>
          <w:color w:val="auto"/>
          <w:kern w:val="0"/>
          <w:szCs w:val="21"/>
          <w:highlight w:val="none"/>
        </w:rPr>
        <w:t>（10）</w:t>
      </w:r>
      <w:r>
        <w:rPr>
          <w:rFonts w:eastAsia="仿宋_GB2312"/>
          <w:color w:val="auto"/>
          <w:kern w:val="0"/>
          <w:szCs w:val="21"/>
          <w:highlight w:val="none"/>
        </w:rPr>
        <w:t>其他合同文件。</w:t>
      </w:r>
    </w:p>
    <w:p w14:paraId="006A5603">
      <w:pPr>
        <w:spacing w:line="360" w:lineRule="auto"/>
        <w:ind w:firstLine="447" w:firstLineChars="213"/>
        <w:rPr>
          <w:rFonts w:eastAsia="仿宋_GB2312"/>
          <w:color w:val="auto"/>
          <w:szCs w:val="21"/>
          <w:highlight w:val="none"/>
        </w:rPr>
      </w:pPr>
      <w:r>
        <w:rPr>
          <w:rFonts w:eastAsia="仿宋_GB2312"/>
          <w:color w:val="auto"/>
          <w:szCs w:val="21"/>
          <w:highlight w:val="none"/>
        </w:rPr>
        <w:t>上述各项合同文件包括合同当事人就该项合同文件所作出的补充和修改，属于同一类内容的文件，应以最新签署的为准。</w:t>
      </w:r>
    </w:p>
    <w:p w14:paraId="0A725F79">
      <w:pPr>
        <w:spacing w:line="360" w:lineRule="auto"/>
        <w:ind w:firstLine="447" w:firstLineChars="213"/>
        <w:rPr>
          <w:rFonts w:eastAsia="仿宋_GB2312"/>
          <w:color w:val="auto"/>
          <w:szCs w:val="21"/>
          <w:highlight w:val="none"/>
        </w:rPr>
      </w:pPr>
      <w:r>
        <w:rPr>
          <w:rFonts w:eastAsia="仿宋_GB2312"/>
          <w:color w:val="auto"/>
          <w:szCs w:val="21"/>
          <w:highlight w:val="none"/>
        </w:rPr>
        <w:t>在合同订立及履行过程中形成的与合同有关的文件均构成合同文件组成部分，并根据其性质确定优先解释顺序。</w:t>
      </w:r>
    </w:p>
    <w:p w14:paraId="60C56924">
      <w:pPr>
        <w:pStyle w:val="4"/>
        <w:spacing w:before="0" w:after="0" w:line="360" w:lineRule="auto"/>
        <w:ind w:firstLine="420" w:firstLineChars="200"/>
        <w:rPr>
          <w:rFonts w:eastAsia="黑体"/>
          <w:color w:val="auto"/>
          <w:sz w:val="21"/>
          <w:szCs w:val="21"/>
          <w:highlight w:val="none"/>
        </w:rPr>
      </w:pPr>
      <w:bookmarkStart w:id="175" w:name="_Toc19390"/>
      <w:r>
        <w:rPr>
          <w:rFonts w:eastAsia="黑体"/>
          <w:color w:val="auto"/>
          <w:sz w:val="21"/>
          <w:szCs w:val="21"/>
          <w:highlight w:val="none"/>
        </w:rPr>
        <w:t>1</w:t>
      </w:r>
      <w:bookmarkStart w:id="176" w:name="_Toc296346533"/>
      <w:bookmarkStart w:id="177" w:name="_Toc337558732"/>
      <w:bookmarkStart w:id="178" w:name="_Toc296503032"/>
      <w:r>
        <w:rPr>
          <w:rFonts w:eastAsia="黑体"/>
          <w:color w:val="auto"/>
          <w:sz w:val="21"/>
          <w:szCs w:val="21"/>
          <w:highlight w:val="none"/>
        </w:rPr>
        <w:t>.6图纸和承包人文件</w:t>
      </w:r>
      <w:bookmarkEnd w:id="175"/>
    </w:p>
    <w:bookmarkEnd w:id="176"/>
    <w:bookmarkEnd w:id="177"/>
    <w:bookmarkEnd w:id="178"/>
    <w:p w14:paraId="105F7AA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1.6.1 图纸的提供和交底</w:t>
      </w:r>
    </w:p>
    <w:p w14:paraId="39F168D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发包人应按照专用合同条款约定的期限、数量和内容向承包人免费提供图纸，并组织承包人、监理人和设计人进行图纸会审和设计交底。发包人至迟不得晚于第7.3.2项</w:t>
      </w:r>
      <w:r>
        <w:rPr>
          <w:rFonts w:hint="eastAsia" w:eastAsia="仿宋_GB2312"/>
          <w:color w:val="auto"/>
          <w:kern w:val="0"/>
          <w:szCs w:val="21"/>
          <w:highlight w:val="none"/>
        </w:rPr>
        <w:t>〔</w:t>
      </w:r>
      <w:r>
        <w:rPr>
          <w:rFonts w:eastAsia="仿宋_GB2312"/>
          <w:color w:val="auto"/>
          <w:kern w:val="0"/>
          <w:szCs w:val="21"/>
          <w:highlight w:val="none"/>
        </w:rPr>
        <w:t>开工通知</w:t>
      </w:r>
      <w:r>
        <w:rPr>
          <w:rFonts w:hint="eastAsia" w:eastAsia="仿宋_GB2312"/>
          <w:color w:val="auto"/>
          <w:kern w:val="0"/>
          <w:szCs w:val="21"/>
          <w:highlight w:val="none"/>
        </w:rPr>
        <w:t>〕</w:t>
      </w:r>
      <w:r>
        <w:rPr>
          <w:rFonts w:eastAsia="仿宋_GB2312"/>
          <w:color w:val="auto"/>
          <w:kern w:val="0"/>
          <w:szCs w:val="21"/>
          <w:highlight w:val="none"/>
        </w:rPr>
        <w:t>载明的开工日期前14天向承包人提供图纸。</w:t>
      </w:r>
    </w:p>
    <w:p w14:paraId="7D4F792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因发包人未按合同约定提供图纸导致承包人费用增加和（或）工期延误的，按照第7.5.1项</w:t>
      </w:r>
      <w:r>
        <w:rPr>
          <w:rFonts w:hint="eastAsia" w:eastAsia="仿宋_GB2312"/>
          <w:color w:val="auto"/>
          <w:kern w:val="0"/>
          <w:szCs w:val="21"/>
          <w:highlight w:val="none"/>
        </w:rPr>
        <w:t>〔</w:t>
      </w:r>
      <w:r>
        <w:rPr>
          <w:rFonts w:eastAsia="仿宋_GB2312"/>
          <w:color w:val="auto"/>
          <w:kern w:val="0"/>
          <w:szCs w:val="21"/>
          <w:highlight w:val="none"/>
        </w:rPr>
        <w:t>因发包人原因导致工期延误</w:t>
      </w:r>
      <w:r>
        <w:rPr>
          <w:rFonts w:hint="eastAsia" w:eastAsia="仿宋_GB2312"/>
          <w:color w:val="auto"/>
          <w:kern w:val="0"/>
          <w:szCs w:val="21"/>
          <w:highlight w:val="none"/>
        </w:rPr>
        <w:t>〕</w:t>
      </w:r>
      <w:r>
        <w:rPr>
          <w:rFonts w:eastAsia="仿宋_GB2312"/>
          <w:color w:val="auto"/>
          <w:kern w:val="0"/>
          <w:szCs w:val="21"/>
          <w:highlight w:val="none"/>
        </w:rPr>
        <w:t>约定办理。</w:t>
      </w:r>
    </w:p>
    <w:p w14:paraId="6CE711A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1.6.2 图纸的错误</w:t>
      </w:r>
    </w:p>
    <w:p w14:paraId="779DEB4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color w:val="auto"/>
          <w:kern w:val="0"/>
          <w:szCs w:val="21"/>
          <w:highlight w:val="none"/>
        </w:rPr>
        <w:t>合理时间是指发包人在收到监理人的报送通知后，尽其努力且不懈怠地完成图纸修改补充所需的时间。</w:t>
      </w:r>
    </w:p>
    <w:p w14:paraId="0058872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1.6.3 图纸的修改和补充</w:t>
      </w:r>
    </w:p>
    <w:p w14:paraId="5F465E4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299AB11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1.6.4 承包人文件</w:t>
      </w:r>
    </w:p>
    <w:p w14:paraId="2E88A08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4A83982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571486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1.6.5 图纸和承包人文件的保管</w:t>
      </w:r>
    </w:p>
    <w:p w14:paraId="55F3FD7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除专用合同条款另有约定外，承包人应在施工现场另外保存一套完整的图纸和承包人文件，供发包人、监理人及有关人员进行工程检查时使用。</w:t>
      </w:r>
    </w:p>
    <w:p w14:paraId="0C4EF0AF">
      <w:pPr>
        <w:pStyle w:val="4"/>
        <w:spacing w:before="0" w:after="0" w:line="360" w:lineRule="auto"/>
        <w:ind w:firstLine="420" w:firstLineChars="200"/>
        <w:rPr>
          <w:rFonts w:eastAsia="黑体"/>
          <w:color w:val="auto"/>
          <w:sz w:val="21"/>
          <w:szCs w:val="21"/>
          <w:highlight w:val="none"/>
        </w:rPr>
      </w:pPr>
      <w:bookmarkStart w:id="179" w:name="_Toc12932"/>
      <w:r>
        <w:rPr>
          <w:rFonts w:eastAsia="黑体"/>
          <w:color w:val="auto"/>
          <w:sz w:val="21"/>
          <w:szCs w:val="21"/>
          <w:highlight w:val="none"/>
        </w:rPr>
        <w:t>1</w:t>
      </w:r>
      <w:bookmarkStart w:id="180" w:name="_Toc296346534"/>
      <w:bookmarkStart w:id="181" w:name="_Toc296503033"/>
      <w:bookmarkStart w:id="182" w:name="_Toc337558733"/>
      <w:r>
        <w:rPr>
          <w:rFonts w:eastAsia="黑体"/>
          <w:color w:val="auto"/>
          <w:sz w:val="21"/>
          <w:szCs w:val="21"/>
          <w:highlight w:val="none"/>
        </w:rPr>
        <w:t>.7联络</w:t>
      </w:r>
      <w:bookmarkEnd w:id="179"/>
    </w:p>
    <w:bookmarkEnd w:id="180"/>
    <w:bookmarkEnd w:id="181"/>
    <w:bookmarkEnd w:id="182"/>
    <w:p w14:paraId="4B741D2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1.7.1 与合同有关的</w:t>
      </w:r>
      <w:r>
        <w:rPr>
          <w:rFonts w:hint="eastAsia" w:eastAsia="仿宋_GB2312"/>
          <w:color w:val="auto"/>
          <w:kern w:val="0"/>
          <w:szCs w:val="21"/>
          <w:highlight w:val="none"/>
        </w:rPr>
        <w:t>包括但不限于</w:t>
      </w:r>
      <w:r>
        <w:rPr>
          <w:rFonts w:eastAsia="仿宋_GB2312"/>
          <w:color w:val="auto"/>
          <w:kern w:val="0"/>
          <w:szCs w:val="21"/>
          <w:highlight w:val="none"/>
        </w:rPr>
        <w:t>通知、批准、证明、证书、指示、指令、要求、请求、同意、意见、确定和决定等，均应采用书面形式，并应在合同约定的期限内送达接收人和送达地点。</w:t>
      </w:r>
    </w:p>
    <w:p w14:paraId="408E2D4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r>
        <w:rPr>
          <w:rFonts w:hint="eastAsia" w:eastAsia="仿宋_GB2312"/>
          <w:color w:val="auto"/>
          <w:kern w:val="0"/>
          <w:szCs w:val="21"/>
          <w:highlight w:val="none"/>
        </w:rPr>
        <w:t>因当事人送达地点变更后未及时书面告知，导致未能被实际接收的，邮寄送达的，以文书退回之日视为送达之日；履行送达地点变更通知义务的，以变更后的送达地点为有效送达地点。</w:t>
      </w:r>
    </w:p>
    <w:p w14:paraId="296B5EF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1.7.3 发包人和承包人应当及时签收另一方送达至送达地点和指定接收人的来往信函。拒不签收的，由此增加的费用和（或）延误的工期由拒绝接收一方承担。</w:t>
      </w:r>
    </w:p>
    <w:p w14:paraId="1727450F">
      <w:pPr>
        <w:pStyle w:val="4"/>
        <w:spacing w:before="0" w:after="0" w:line="360" w:lineRule="auto"/>
        <w:ind w:firstLine="420" w:firstLineChars="200"/>
        <w:rPr>
          <w:rFonts w:eastAsia="黑体"/>
          <w:color w:val="auto"/>
          <w:sz w:val="21"/>
          <w:szCs w:val="21"/>
          <w:highlight w:val="none"/>
        </w:rPr>
      </w:pPr>
      <w:bookmarkStart w:id="183" w:name="_Toc13855"/>
      <w:r>
        <w:rPr>
          <w:rFonts w:eastAsia="黑体"/>
          <w:color w:val="auto"/>
          <w:sz w:val="21"/>
          <w:szCs w:val="21"/>
          <w:highlight w:val="none"/>
        </w:rPr>
        <w:t>1</w:t>
      </w:r>
      <w:bookmarkStart w:id="184" w:name="_Toc296346536"/>
      <w:bookmarkStart w:id="185" w:name="_Toc337558734"/>
      <w:bookmarkStart w:id="186" w:name="_Toc296503035"/>
      <w:r>
        <w:rPr>
          <w:rFonts w:eastAsia="黑体"/>
          <w:color w:val="auto"/>
          <w:sz w:val="21"/>
          <w:szCs w:val="21"/>
          <w:highlight w:val="none"/>
        </w:rPr>
        <w:t>.8严禁贿赂</w:t>
      </w:r>
      <w:bookmarkEnd w:id="183"/>
    </w:p>
    <w:bookmarkEnd w:id="184"/>
    <w:bookmarkEnd w:id="185"/>
    <w:bookmarkEnd w:id="186"/>
    <w:p w14:paraId="589118A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合同当事人不得以贿赂或变相贿赂的方式，谋取非法利益或损害对方权益。因一方合同当事人的贿赂造成对方损失的，应赔偿损失，并承担相应的法律责任。</w:t>
      </w:r>
    </w:p>
    <w:p w14:paraId="516CA8F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承包人不得与监理人或发包人聘请的第三方串通损害发包人利益。未经发包人书面同意，承包人不得为监理人提供合同约定以外的</w:t>
      </w:r>
      <w:r>
        <w:rPr>
          <w:rFonts w:hint="eastAsia" w:eastAsia="仿宋_GB2312"/>
          <w:color w:val="auto"/>
          <w:kern w:val="0"/>
          <w:szCs w:val="21"/>
          <w:highlight w:val="none"/>
        </w:rPr>
        <w:t>包括但不限于</w:t>
      </w:r>
      <w:r>
        <w:rPr>
          <w:rFonts w:eastAsia="仿宋_GB2312"/>
          <w:color w:val="auto"/>
          <w:kern w:val="0"/>
          <w:szCs w:val="21"/>
          <w:highlight w:val="none"/>
        </w:rPr>
        <w:t>通讯设备、交通工具及其他任何形式的利益，不得向监理人支付报酬。</w:t>
      </w:r>
    </w:p>
    <w:p w14:paraId="509A2EAB">
      <w:pPr>
        <w:pStyle w:val="4"/>
        <w:spacing w:before="0" w:after="0" w:line="360" w:lineRule="auto"/>
        <w:ind w:firstLine="420" w:firstLineChars="200"/>
        <w:rPr>
          <w:rFonts w:eastAsia="黑体"/>
          <w:color w:val="auto"/>
          <w:sz w:val="21"/>
          <w:szCs w:val="21"/>
          <w:highlight w:val="none"/>
        </w:rPr>
      </w:pPr>
      <w:bookmarkStart w:id="187" w:name="_Toc11837"/>
      <w:r>
        <w:rPr>
          <w:rFonts w:eastAsia="黑体"/>
          <w:color w:val="auto"/>
          <w:sz w:val="21"/>
          <w:szCs w:val="21"/>
          <w:highlight w:val="none"/>
        </w:rPr>
        <w:t>1</w:t>
      </w:r>
      <w:bookmarkStart w:id="188" w:name="_Toc296346537"/>
      <w:bookmarkStart w:id="189" w:name="_Toc296503036"/>
      <w:bookmarkStart w:id="190" w:name="_Toc337558735"/>
      <w:r>
        <w:rPr>
          <w:rFonts w:eastAsia="黑体"/>
          <w:color w:val="auto"/>
          <w:sz w:val="21"/>
          <w:szCs w:val="21"/>
          <w:highlight w:val="none"/>
        </w:rPr>
        <w:t>.9化石、文物</w:t>
      </w:r>
      <w:bookmarkEnd w:id="187"/>
    </w:p>
    <w:bookmarkEnd w:id="188"/>
    <w:bookmarkEnd w:id="189"/>
    <w:bookmarkEnd w:id="190"/>
    <w:p w14:paraId="45FD3F6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F75E76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发包人、监理人和承包人应按有关政府行政管理部门要求采取妥善的保护措施，由此增加的费用和</w:t>
      </w:r>
      <w:r>
        <w:rPr>
          <w:rFonts w:hint="eastAsia" w:eastAsia="仿宋_GB2312"/>
          <w:color w:val="auto"/>
          <w:kern w:val="0"/>
          <w:szCs w:val="21"/>
          <w:highlight w:val="none"/>
        </w:rPr>
        <w:t>（</w:t>
      </w:r>
      <w:r>
        <w:rPr>
          <w:rFonts w:eastAsia="仿宋_GB2312"/>
          <w:color w:val="auto"/>
          <w:kern w:val="0"/>
          <w:szCs w:val="21"/>
          <w:highlight w:val="none"/>
        </w:rPr>
        <w:t>或）延误的工期由发包人承担。</w:t>
      </w:r>
    </w:p>
    <w:p w14:paraId="093B088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承包人发现文物后不及时报告或隐瞒不报，致使文物丢失或损坏的，应赔偿损失，并承担相应的法律责任。</w:t>
      </w:r>
    </w:p>
    <w:p w14:paraId="38C1E52D">
      <w:pPr>
        <w:pStyle w:val="4"/>
        <w:spacing w:before="0" w:after="0" w:line="360" w:lineRule="auto"/>
        <w:ind w:firstLine="420" w:firstLineChars="200"/>
        <w:rPr>
          <w:rFonts w:eastAsia="黑体"/>
          <w:color w:val="auto"/>
          <w:sz w:val="21"/>
          <w:szCs w:val="21"/>
          <w:highlight w:val="none"/>
        </w:rPr>
      </w:pPr>
      <w:bookmarkStart w:id="191" w:name="_Toc32005"/>
      <w:r>
        <w:rPr>
          <w:rFonts w:eastAsia="黑体"/>
          <w:color w:val="auto"/>
          <w:sz w:val="21"/>
          <w:szCs w:val="21"/>
          <w:highlight w:val="none"/>
        </w:rPr>
        <w:t>1</w:t>
      </w:r>
      <w:bookmarkStart w:id="192" w:name="_Toc337558736"/>
      <w:r>
        <w:rPr>
          <w:rFonts w:eastAsia="黑体"/>
          <w:color w:val="auto"/>
          <w:sz w:val="21"/>
          <w:szCs w:val="21"/>
          <w:highlight w:val="none"/>
        </w:rPr>
        <w:t>.10交通运输</w:t>
      </w:r>
      <w:bookmarkEnd w:id="191"/>
    </w:p>
    <w:bookmarkEnd w:id="192"/>
    <w:p w14:paraId="0181BE8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1.10.1</w:t>
      </w:r>
      <w:r>
        <w:rPr>
          <w:rFonts w:hint="eastAsia" w:eastAsia="仿宋_GB2312"/>
          <w:color w:val="auto"/>
          <w:kern w:val="0"/>
          <w:szCs w:val="21"/>
          <w:highlight w:val="none"/>
        </w:rPr>
        <w:t xml:space="preserve"> </w:t>
      </w:r>
      <w:r>
        <w:rPr>
          <w:rFonts w:eastAsia="仿宋_GB2312"/>
          <w:color w:val="auto"/>
          <w:kern w:val="0"/>
          <w:szCs w:val="21"/>
          <w:highlight w:val="none"/>
        </w:rPr>
        <w:t>出入现场的权利</w:t>
      </w:r>
    </w:p>
    <w:p w14:paraId="6977DA7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除专用合同条款另有约定外，发包人应根据施工需要，负责取得出入施工现场所需的</w:t>
      </w:r>
      <w:r>
        <w:rPr>
          <w:rFonts w:hint="eastAsia" w:eastAsia="仿宋_GB2312"/>
          <w:color w:val="auto"/>
          <w:kern w:val="0"/>
          <w:szCs w:val="21"/>
          <w:highlight w:val="none"/>
        </w:rPr>
        <w:t>批准手续和</w:t>
      </w:r>
      <w:r>
        <w:rPr>
          <w:rFonts w:eastAsia="仿宋_GB2312"/>
          <w:color w:val="auto"/>
          <w:kern w:val="0"/>
          <w:szCs w:val="21"/>
          <w:highlight w:val="none"/>
        </w:rPr>
        <w:t>全部权利，以及取得因施工所需修建道路、桥梁以及其他基础设施的权利，并承担相关手续费用和建设费用。承包人应协助发包人办理修建场内外道路、桥梁以及其他基础设施的手续。</w:t>
      </w:r>
    </w:p>
    <w:p w14:paraId="3605371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11F383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1.10.2</w:t>
      </w:r>
      <w:r>
        <w:rPr>
          <w:rFonts w:hint="eastAsia" w:eastAsia="仿宋_GB2312"/>
          <w:color w:val="auto"/>
          <w:kern w:val="0"/>
          <w:szCs w:val="21"/>
          <w:highlight w:val="none"/>
        </w:rPr>
        <w:t xml:space="preserve"> </w:t>
      </w:r>
      <w:r>
        <w:rPr>
          <w:rFonts w:eastAsia="仿宋_GB2312"/>
          <w:color w:val="auto"/>
          <w:kern w:val="0"/>
          <w:szCs w:val="21"/>
          <w:highlight w:val="none"/>
        </w:rPr>
        <w:t>场外交通</w:t>
      </w:r>
    </w:p>
    <w:p w14:paraId="25BC34B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03EA30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1.10.3场内交通</w:t>
      </w:r>
    </w:p>
    <w:p w14:paraId="3E00128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D386D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4E85F4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场外交通和场内交通的边界由合同当事人在专用合同条款中约定。</w:t>
      </w:r>
    </w:p>
    <w:p w14:paraId="619C5F6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1.10.4</w:t>
      </w:r>
      <w:r>
        <w:rPr>
          <w:rFonts w:hint="eastAsia" w:eastAsia="仿宋_GB2312"/>
          <w:color w:val="auto"/>
          <w:kern w:val="0"/>
          <w:szCs w:val="21"/>
          <w:highlight w:val="none"/>
        </w:rPr>
        <w:t xml:space="preserve"> </w:t>
      </w:r>
      <w:r>
        <w:rPr>
          <w:rFonts w:eastAsia="仿宋_GB2312"/>
          <w:color w:val="auto"/>
          <w:kern w:val="0"/>
          <w:szCs w:val="21"/>
          <w:highlight w:val="none"/>
        </w:rPr>
        <w:t>超大件和超重件的运输</w:t>
      </w:r>
    </w:p>
    <w:p w14:paraId="470554E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297E5C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1.10.5</w:t>
      </w:r>
      <w:r>
        <w:rPr>
          <w:rFonts w:hint="eastAsia" w:eastAsia="仿宋_GB2312"/>
          <w:color w:val="auto"/>
          <w:kern w:val="0"/>
          <w:szCs w:val="21"/>
          <w:highlight w:val="none"/>
        </w:rPr>
        <w:t xml:space="preserve"> </w:t>
      </w:r>
      <w:r>
        <w:rPr>
          <w:rFonts w:eastAsia="仿宋_GB2312"/>
          <w:color w:val="auto"/>
          <w:kern w:val="0"/>
          <w:szCs w:val="21"/>
          <w:highlight w:val="none"/>
        </w:rPr>
        <w:t>道路和桥梁的损坏责任</w:t>
      </w:r>
    </w:p>
    <w:p w14:paraId="08561F4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因承包人运输造成施工场地内外公共道路和桥梁损坏的，由承包人承担修复损坏的全部费用和可能引起的赔偿。</w:t>
      </w:r>
    </w:p>
    <w:p w14:paraId="6AFA3AB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1.10.6</w:t>
      </w:r>
      <w:r>
        <w:rPr>
          <w:rFonts w:hint="eastAsia" w:eastAsia="仿宋_GB2312"/>
          <w:color w:val="auto"/>
          <w:kern w:val="0"/>
          <w:szCs w:val="21"/>
          <w:highlight w:val="none"/>
        </w:rPr>
        <w:t xml:space="preserve"> </w:t>
      </w:r>
      <w:r>
        <w:rPr>
          <w:rFonts w:eastAsia="仿宋_GB2312"/>
          <w:color w:val="auto"/>
          <w:kern w:val="0"/>
          <w:szCs w:val="21"/>
          <w:highlight w:val="none"/>
        </w:rPr>
        <w:t>水路和航空运输</w:t>
      </w:r>
    </w:p>
    <w:p w14:paraId="1CAC1FA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本</w:t>
      </w:r>
      <w:r>
        <w:rPr>
          <w:rFonts w:hint="eastAsia" w:eastAsia="仿宋_GB2312"/>
          <w:color w:val="auto"/>
          <w:kern w:val="0"/>
          <w:szCs w:val="21"/>
          <w:highlight w:val="none"/>
        </w:rPr>
        <w:t>款</w:t>
      </w:r>
      <w:r>
        <w:rPr>
          <w:rFonts w:eastAsia="仿宋_GB2312"/>
          <w:color w:val="auto"/>
          <w:kern w:val="0"/>
          <w:szCs w:val="21"/>
          <w:highlight w:val="none"/>
        </w:rPr>
        <w:t>前述各</w:t>
      </w:r>
      <w:r>
        <w:rPr>
          <w:rFonts w:hint="eastAsia" w:eastAsia="仿宋_GB2312"/>
          <w:color w:val="auto"/>
          <w:kern w:val="0"/>
          <w:szCs w:val="21"/>
          <w:highlight w:val="none"/>
        </w:rPr>
        <w:t>项</w:t>
      </w:r>
      <w:r>
        <w:rPr>
          <w:rFonts w:eastAsia="仿宋_GB2312"/>
          <w:color w:val="auto"/>
          <w:kern w:val="0"/>
          <w:szCs w:val="21"/>
          <w:highlight w:val="none"/>
        </w:rPr>
        <w:t>的内容适用于水路运输和航空运输，其中“道路”一词的涵义包括河道、航线、船闸、机场、码头、堤防以及水路或航空运输中其他相似结构物；“车辆”一词的涵义包括船舶和飞机等。</w:t>
      </w:r>
    </w:p>
    <w:p w14:paraId="12463B88">
      <w:pPr>
        <w:pStyle w:val="4"/>
        <w:spacing w:before="0" w:after="0" w:line="360" w:lineRule="auto"/>
        <w:ind w:firstLine="420" w:firstLineChars="200"/>
        <w:rPr>
          <w:rFonts w:eastAsia="黑体"/>
          <w:color w:val="auto"/>
          <w:sz w:val="21"/>
          <w:szCs w:val="21"/>
          <w:highlight w:val="none"/>
        </w:rPr>
      </w:pPr>
      <w:bookmarkStart w:id="193" w:name="_Toc27509"/>
      <w:r>
        <w:rPr>
          <w:rFonts w:eastAsia="黑体"/>
          <w:color w:val="auto"/>
          <w:sz w:val="21"/>
          <w:szCs w:val="21"/>
          <w:highlight w:val="none"/>
        </w:rPr>
        <w:t>1</w:t>
      </w:r>
      <w:bookmarkStart w:id="194" w:name="_Toc337558737"/>
      <w:bookmarkStart w:id="195" w:name="_Toc296346538"/>
      <w:bookmarkStart w:id="196" w:name="_Toc296503037"/>
      <w:r>
        <w:rPr>
          <w:rFonts w:eastAsia="黑体"/>
          <w:color w:val="auto"/>
          <w:sz w:val="21"/>
          <w:szCs w:val="21"/>
          <w:highlight w:val="none"/>
        </w:rPr>
        <w:t>.11知识产权</w:t>
      </w:r>
      <w:bookmarkEnd w:id="193"/>
      <w:r>
        <w:rPr>
          <w:rFonts w:eastAsia="黑体"/>
          <w:color w:val="auto"/>
          <w:sz w:val="21"/>
          <w:szCs w:val="21"/>
          <w:highlight w:val="none"/>
        </w:rPr>
        <w:t xml:space="preserve"> </w:t>
      </w:r>
      <w:bookmarkEnd w:id="194"/>
    </w:p>
    <w:bookmarkEnd w:id="195"/>
    <w:bookmarkEnd w:id="196"/>
    <w:p w14:paraId="2B66944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953CA7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4F622A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3C4FB6B">
      <w:pPr>
        <w:autoSpaceDE w:val="0"/>
        <w:autoSpaceDN w:val="0"/>
        <w:adjustRightInd w:val="0"/>
        <w:spacing w:line="360" w:lineRule="auto"/>
        <w:ind w:firstLine="420" w:firstLineChars="200"/>
        <w:jc w:val="left"/>
        <w:rPr>
          <w:color w:val="auto"/>
          <w:szCs w:val="21"/>
          <w:highlight w:val="none"/>
        </w:rPr>
      </w:pPr>
      <w:r>
        <w:rPr>
          <w:rFonts w:eastAsia="仿宋_GB2312"/>
          <w:color w:val="auto"/>
          <w:szCs w:val="21"/>
          <w:highlight w:val="none"/>
        </w:rPr>
        <w:t>1.11.4 除专用合同条款另有约定外，承包人在合同签订前和签订时已确定采用的专利、专有技术、技术秘密的使用费已包含在签约合同价中。</w:t>
      </w:r>
    </w:p>
    <w:p w14:paraId="16EE2605">
      <w:pPr>
        <w:pStyle w:val="4"/>
        <w:spacing w:before="0" w:after="0" w:line="360" w:lineRule="auto"/>
        <w:ind w:firstLine="420" w:firstLineChars="200"/>
        <w:rPr>
          <w:rFonts w:eastAsia="黑体"/>
          <w:color w:val="auto"/>
          <w:sz w:val="21"/>
          <w:szCs w:val="21"/>
          <w:highlight w:val="none"/>
        </w:rPr>
      </w:pPr>
      <w:bookmarkStart w:id="197" w:name="_Toc20283"/>
      <w:r>
        <w:rPr>
          <w:rFonts w:eastAsia="黑体"/>
          <w:color w:val="auto"/>
          <w:sz w:val="21"/>
          <w:szCs w:val="21"/>
          <w:highlight w:val="none"/>
        </w:rPr>
        <w:t>1</w:t>
      </w:r>
      <w:bookmarkStart w:id="198" w:name="_Toc337558738"/>
      <w:r>
        <w:rPr>
          <w:rFonts w:eastAsia="黑体"/>
          <w:color w:val="auto"/>
          <w:sz w:val="21"/>
          <w:szCs w:val="21"/>
          <w:highlight w:val="none"/>
        </w:rPr>
        <w:t>.12保密</w:t>
      </w:r>
      <w:bookmarkEnd w:id="197"/>
    </w:p>
    <w:bookmarkEnd w:id="198"/>
    <w:p w14:paraId="493541B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除法律规定或合同另有约定外，未经发包人同意，承包人不得将发包人提供的图纸、文件以及声明需要保密的资料信息等商业秘密泄露给第三方。</w:t>
      </w:r>
    </w:p>
    <w:p w14:paraId="1B27EB2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除法律规定或合同另有约定外，未经承包人同意，发包人不得将承包人提供的技术秘密及声明需要保密的资料信息等商业秘密泄露给第三方。</w:t>
      </w:r>
    </w:p>
    <w:p w14:paraId="6574AB1A">
      <w:pPr>
        <w:pStyle w:val="4"/>
        <w:spacing w:before="0" w:after="0" w:line="360" w:lineRule="auto"/>
        <w:ind w:firstLine="420" w:firstLineChars="200"/>
        <w:rPr>
          <w:rFonts w:eastAsia="黑体"/>
          <w:color w:val="auto"/>
          <w:sz w:val="21"/>
          <w:szCs w:val="21"/>
          <w:highlight w:val="none"/>
        </w:rPr>
      </w:pPr>
      <w:bookmarkStart w:id="199" w:name="_Toc6235"/>
      <w:r>
        <w:rPr>
          <w:rFonts w:eastAsia="黑体"/>
          <w:color w:val="auto"/>
          <w:sz w:val="21"/>
          <w:szCs w:val="21"/>
          <w:highlight w:val="none"/>
        </w:rPr>
        <w:t>1.13工程量清单错误的修正</w:t>
      </w:r>
      <w:bookmarkEnd w:id="199"/>
    </w:p>
    <w:p w14:paraId="47D4FB48">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除专用合同条款另有约定外，</w:t>
      </w:r>
      <w:r>
        <w:rPr>
          <w:rFonts w:eastAsia="仿宋_GB2312"/>
          <w:color w:val="auto"/>
          <w:kern w:val="0"/>
          <w:szCs w:val="21"/>
          <w:highlight w:val="none"/>
        </w:rPr>
        <w:t>发包人提供的工程量清单，应被认为是准确的和完整的。出现下列情形之一时，发包人应予以修正，并相应调整合同价格：</w:t>
      </w:r>
    </w:p>
    <w:p w14:paraId="50B8D62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（1）工程量清单存在缺项、漏项的；</w:t>
      </w:r>
    </w:p>
    <w:p w14:paraId="5DFC0CE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（2）工程量清单偏差超出专用合同条款约定的工程量偏差范围的；</w:t>
      </w:r>
    </w:p>
    <w:p w14:paraId="2986D98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（3）未按照国家现行计量规范强制性规定计量的。</w:t>
      </w:r>
    </w:p>
    <w:p w14:paraId="3552BB19">
      <w:pPr>
        <w:pStyle w:val="3"/>
        <w:rPr>
          <w:rFonts w:ascii="Times New Roman" w:hAnsi="Times New Roman"/>
          <w:color w:val="auto"/>
          <w:sz w:val="21"/>
          <w:szCs w:val="21"/>
          <w:highlight w:val="none"/>
        </w:rPr>
      </w:pPr>
      <w:bookmarkStart w:id="200" w:name="_Toc6806"/>
      <w:r>
        <w:rPr>
          <w:rFonts w:ascii="Times New Roman" w:hAnsi="Times New Roman"/>
          <w:color w:val="auto"/>
          <w:sz w:val="21"/>
          <w:szCs w:val="21"/>
          <w:highlight w:val="none"/>
        </w:rPr>
        <w:t>2</w:t>
      </w:r>
      <w:bookmarkStart w:id="201" w:name="_Toc296346539"/>
      <w:bookmarkStart w:id="202" w:name="_Toc296503038"/>
      <w:bookmarkStart w:id="203" w:name="_Toc337558739"/>
      <w:r>
        <w:rPr>
          <w:rFonts w:ascii="Times New Roman" w:hAnsi="Times New Roman"/>
          <w:color w:val="auto"/>
          <w:sz w:val="21"/>
          <w:szCs w:val="21"/>
          <w:highlight w:val="none"/>
        </w:rPr>
        <w:t>. 发包人</w:t>
      </w:r>
      <w:bookmarkEnd w:id="200"/>
    </w:p>
    <w:bookmarkEnd w:id="201"/>
    <w:bookmarkEnd w:id="202"/>
    <w:bookmarkEnd w:id="203"/>
    <w:p w14:paraId="41E07F61">
      <w:pPr>
        <w:pStyle w:val="4"/>
        <w:spacing w:before="0" w:after="0" w:line="360" w:lineRule="auto"/>
        <w:ind w:firstLine="420" w:firstLineChars="200"/>
        <w:rPr>
          <w:rFonts w:eastAsia="黑体"/>
          <w:color w:val="auto"/>
          <w:sz w:val="21"/>
          <w:szCs w:val="21"/>
          <w:highlight w:val="none"/>
        </w:rPr>
      </w:pPr>
      <w:bookmarkStart w:id="204" w:name="_Toc2630"/>
      <w:r>
        <w:rPr>
          <w:rFonts w:eastAsia="黑体"/>
          <w:color w:val="auto"/>
          <w:sz w:val="21"/>
          <w:szCs w:val="21"/>
          <w:highlight w:val="none"/>
        </w:rPr>
        <w:t>2</w:t>
      </w:r>
      <w:bookmarkStart w:id="205" w:name="_Toc296346540"/>
      <w:bookmarkStart w:id="206" w:name="_Toc337558740"/>
      <w:bookmarkStart w:id="207" w:name="_Toc296503039"/>
      <w:r>
        <w:rPr>
          <w:rFonts w:eastAsia="黑体"/>
          <w:color w:val="auto"/>
          <w:sz w:val="21"/>
          <w:szCs w:val="21"/>
          <w:highlight w:val="none"/>
        </w:rPr>
        <w:t>.1 许可或批准</w:t>
      </w:r>
      <w:bookmarkEnd w:id="204"/>
    </w:p>
    <w:p w14:paraId="5C83892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D3159A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因发包人原因未能及时办理完毕前述许可、批准或备案，由发包人承担由此增加的费用和（或）延误的工期，并支付承包人合理的利润。</w:t>
      </w:r>
    </w:p>
    <w:p w14:paraId="29488C19">
      <w:pPr>
        <w:pStyle w:val="4"/>
        <w:spacing w:before="0" w:after="0" w:line="360" w:lineRule="auto"/>
        <w:ind w:firstLine="420" w:firstLineChars="200"/>
        <w:rPr>
          <w:rFonts w:eastAsia="黑体"/>
          <w:color w:val="auto"/>
          <w:sz w:val="21"/>
          <w:szCs w:val="21"/>
          <w:highlight w:val="none"/>
        </w:rPr>
      </w:pPr>
      <w:bookmarkStart w:id="208" w:name="_Toc27263"/>
      <w:r>
        <w:rPr>
          <w:rFonts w:eastAsia="黑体"/>
          <w:color w:val="auto"/>
          <w:sz w:val="21"/>
          <w:szCs w:val="21"/>
          <w:highlight w:val="none"/>
        </w:rPr>
        <w:t>2.2 发包人代表</w:t>
      </w:r>
      <w:bookmarkEnd w:id="208"/>
    </w:p>
    <w:p w14:paraId="5F33524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EE94F27">
      <w:pPr>
        <w:ind w:firstLine="420" w:firstLineChars="200"/>
        <w:rPr>
          <w:rFonts w:eastAsia="仿宋_GB2312"/>
          <w:color w:val="auto"/>
          <w:kern w:val="0"/>
          <w:szCs w:val="21"/>
          <w:highlight w:val="none"/>
        </w:rPr>
      </w:pPr>
      <w:r>
        <w:rPr>
          <w:rFonts w:eastAsia="仿宋_GB2312"/>
          <w:color w:val="auto"/>
          <w:kern w:val="0"/>
          <w:szCs w:val="21"/>
          <w:highlight w:val="none"/>
        </w:rPr>
        <w:t>发包人代表不能按照合同约定履行其职责及义务，并导致合同无法继续正常履行的，承包人可以要求发包人撤换发包人代表。</w:t>
      </w:r>
    </w:p>
    <w:p w14:paraId="678E7CAF">
      <w:pPr>
        <w:ind w:firstLine="420" w:firstLineChars="200"/>
        <w:rPr>
          <w:color w:val="auto"/>
          <w:szCs w:val="21"/>
          <w:highlight w:val="none"/>
        </w:rPr>
      </w:pPr>
      <w:r>
        <w:rPr>
          <w:rFonts w:hint="eastAsia" w:eastAsia="仿宋_GB2312"/>
          <w:color w:val="auto"/>
          <w:kern w:val="0"/>
          <w:szCs w:val="21"/>
          <w:highlight w:val="none"/>
        </w:rPr>
        <w:t>不属于法定必须监理的工程，监理人的职权可以由发包人代表或发包人指定的其他人员行使。</w:t>
      </w:r>
    </w:p>
    <w:p w14:paraId="60522688">
      <w:pPr>
        <w:pStyle w:val="4"/>
        <w:spacing w:before="0" w:after="0" w:line="360" w:lineRule="auto"/>
        <w:ind w:firstLine="420" w:firstLineChars="200"/>
        <w:rPr>
          <w:rFonts w:eastAsia="黑体"/>
          <w:color w:val="auto"/>
          <w:sz w:val="21"/>
          <w:szCs w:val="21"/>
          <w:highlight w:val="none"/>
        </w:rPr>
      </w:pPr>
      <w:bookmarkStart w:id="209" w:name="_Toc17574"/>
      <w:r>
        <w:rPr>
          <w:rFonts w:eastAsia="黑体"/>
          <w:color w:val="auto"/>
          <w:sz w:val="21"/>
          <w:szCs w:val="21"/>
          <w:highlight w:val="none"/>
        </w:rPr>
        <w:t>2.3 发包人人员</w:t>
      </w:r>
      <w:bookmarkEnd w:id="209"/>
    </w:p>
    <w:p w14:paraId="7134230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05B7C4B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发包人人员包括发包人代表及其他由发包人派驻施工现场的人员。</w:t>
      </w:r>
      <w:bookmarkEnd w:id="205"/>
      <w:bookmarkEnd w:id="206"/>
      <w:bookmarkEnd w:id="207"/>
    </w:p>
    <w:p w14:paraId="76026BEE">
      <w:pPr>
        <w:pStyle w:val="4"/>
        <w:spacing w:before="0" w:after="0" w:line="360" w:lineRule="auto"/>
        <w:ind w:firstLine="420" w:firstLineChars="200"/>
        <w:rPr>
          <w:rFonts w:eastAsia="黑体"/>
          <w:color w:val="auto"/>
          <w:sz w:val="21"/>
          <w:szCs w:val="21"/>
          <w:highlight w:val="none"/>
        </w:rPr>
      </w:pPr>
      <w:bookmarkStart w:id="210" w:name="_Toc27567"/>
      <w:r>
        <w:rPr>
          <w:rFonts w:eastAsia="黑体"/>
          <w:color w:val="auto"/>
          <w:sz w:val="21"/>
          <w:szCs w:val="21"/>
          <w:highlight w:val="none"/>
        </w:rPr>
        <w:t>2</w:t>
      </w:r>
      <w:bookmarkStart w:id="211" w:name="_Toc296346541"/>
      <w:bookmarkStart w:id="212" w:name="_Toc296503040"/>
      <w:bookmarkStart w:id="213" w:name="_Toc337558741"/>
      <w:r>
        <w:rPr>
          <w:rFonts w:eastAsia="黑体"/>
          <w:color w:val="auto"/>
          <w:sz w:val="21"/>
          <w:szCs w:val="21"/>
          <w:highlight w:val="none"/>
        </w:rPr>
        <w:t>.4 施工现场、施工条件和基础资料的提供</w:t>
      </w:r>
      <w:bookmarkEnd w:id="210"/>
      <w:r>
        <w:rPr>
          <w:rFonts w:eastAsia="黑体"/>
          <w:color w:val="auto"/>
          <w:sz w:val="21"/>
          <w:szCs w:val="21"/>
          <w:highlight w:val="none"/>
        </w:rPr>
        <w:t xml:space="preserve"> </w:t>
      </w:r>
      <w:bookmarkEnd w:id="211"/>
      <w:bookmarkEnd w:id="212"/>
      <w:bookmarkEnd w:id="213"/>
      <w:r>
        <w:rPr>
          <w:rFonts w:eastAsia="黑体"/>
          <w:color w:val="auto"/>
          <w:sz w:val="21"/>
          <w:szCs w:val="21"/>
          <w:highlight w:val="none"/>
        </w:rPr>
        <w:t xml:space="preserve"> </w:t>
      </w:r>
    </w:p>
    <w:p w14:paraId="55F3864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2.4.1 提供施工现场</w:t>
      </w:r>
    </w:p>
    <w:p w14:paraId="7A73B66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w:t>
      </w:r>
      <w:r>
        <w:rPr>
          <w:rFonts w:hint="eastAsia" w:eastAsia="仿宋_GB2312"/>
          <w:color w:val="auto"/>
          <w:kern w:val="0"/>
          <w:szCs w:val="21"/>
          <w:highlight w:val="none"/>
        </w:rPr>
        <w:t>最迟于</w:t>
      </w:r>
      <w:r>
        <w:rPr>
          <w:rFonts w:eastAsia="仿宋_GB2312"/>
          <w:color w:val="auto"/>
          <w:kern w:val="0"/>
          <w:szCs w:val="21"/>
          <w:highlight w:val="none"/>
        </w:rPr>
        <w:t>开工日期7天前向承包人移交施工现场。</w:t>
      </w:r>
    </w:p>
    <w:p w14:paraId="4429480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2.4.2 提供施工条件</w:t>
      </w:r>
    </w:p>
    <w:p w14:paraId="7EBC76B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除专用合同条款另有约定外，发包人应负责提供施工所需要的条件，包括：</w:t>
      </w:r>
    </w:p>
    <w:p w14:paraId="1F239D0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（1）将施工用水、电力、通讯线路等施工所必需的条件接至施工现场内；</w:t>
      </w:r>
    </w:p>
    <w:p w14:paraId="344BFF4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（2）保证向承包人提供正常施工所需要的进入施工现场的交通条件；</w:t>
      </w:r>
    </w:p>
    <w:p w14:paraId="628CB8D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（3）协调处理施工现场周围地下管线和邻近建筑物、构筑物、古树名木的保护工作，并承担相关费用；</w:t>
      </w:r>
    </w:p>
    <w:p w14:paraId="4B9C8BA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（4）按照专用合同条款约定</w:t>
      </w:r>
      <w:r>
        <w:rPr>
          <w:rFonts w:hint="eastAsia" w:eastAsia="仿宋_GB2312"/>
          <w:color w:val="auto"/>
          <w:kern w:val="0"/>
          <w:szCs w:val="21"/>
          <w:highlight w:val="none"/>
        </w:rPr>
        <w:t>应</w:t>
      </w:r>
      <w:r>
        <w:rPr>
          <w:rFonts w:eastAsia="仿宋_GB2312"/>
          <w:color w:val="auto"/>
          <w:kern w:val="0"/>
          <w:szCs w:val="21"/>
          <w:highlight w:val="none"/>
        </w:rPr>
        <w:t>提供的其他设施和条件。</w:t>
      </w:r>
    </w:p>
    <w:p w14:paraId="4FA5E380">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2.4.3 提供基础资料</w:t>
      </w:r>
    </w:p>
    <w:p w14:paraId="2A1585E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6BFF2E6">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14:paraId="5CD6298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2.4.4 逾期提供的责任</w:t>
      </w:r>
    </w:p>
    <w:p w14:paraId="1F05422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因发包人原因未能按合同约定及时向承包人提供施工现场、施工条件、基础资料的，由发包人承担由此增加的费用和（或）延误的工期。</w:t>
      </w:r>
    </w:p>
    <w:p w14:paraId="27C74E33">
      <w:pPr>
        <w:pStyle w:val="4"/>
        <w:spacing w:before="0" w:after="0" w:line="360" w:lineRule="auto"/>
        <w:ind w:firstLine="420" w:firstLineChars="200"/>
        <w:rPr>
          <w:rFonts w:eastAsia="黑体"/>
          <w:color w:val="auto"/>
          <w:sz w:val="21"/>
          <w:szCs w:val="21"/>
          <w:highlight w:val="none"/>
        </w:rPr>
      </w:pPr>
      <w:bookmarkStart w:id="214" w:name="_Toc9290"/>
      <w:r>
        <w:rPr>
          <w:rFonts w:eastAsia="黑体"/>
          <w:color w:val="auto"/>
          <w:sz w:val="21"/>
          <w:szCs w:val="21"/>
          <w:highlight w:val="none"/>
        </w:rPr>
        <w:t>2</w:t>
      </w:r>
      <w:bookmarkStart w:id="215" w:name="_Toc296503042"/>
      <w:bookmarkStart w:id="216" w:name="_Toc337558745"/>
      <w:bookmarkStart w:id="217" w:name="_Toc296346543"/>
      <w:r>
        <w:rPr>
          <w:rFonts w:eastAsia="黑体"/>
          <w:color w:val="auto"/>
          <w:sz w:val="21"/>
          <w:szCs w:val="21"/>
          <w:highlight w:val="none"/>
        </w:rPr>
        <w:t>.5 资</w:t>
      </w:r>
      <w:bookmarkEnd w:id="215"/>
      <w:bookmarkEnd w:id="216"/>
      <w:bookmarkEnd w:id="217"/>
      <w:r>
        <w:rPr>
          <w:rFonts w:eastAsia="黑体"/>
          <w:color w:val="auto"/>
          <w:sz w:val="21"/>
          <w:szCs w:val="21"/>
          <w:highlight w:val="none"/>
        </w:rPr>
        <w:t>金来源证明及支付担保</w:t>
      </w:r>
      <w:bookmarkEnd w:id="214"/>
    </w:p>
    <w:p w14:paraId="240FBC51">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0AB8355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57E2E9C6">
      <w:pPr>
        <w:pStyle w:val="4"/>
        <w:spacing w:before="0" w:after="0" w:line="360" w:lineRule="auto"/>
        <w:ind w:firstLine="420" w:firstLineChars="200"/>
        <w:rPr>
          <w:rFonts w:eastAsia="黑体"/>
          <w:color w:val="auto"/>
          <w:sz w:val="21"/>
          <w:szCs w:val="21"/>
          <w:highlight w:val="none"/>
        </w:rPr>
      </w:pPr>
      <w:bookmarkStart w:id="218" w:name="_Toc18118"/>
      <w:r>
        <w:rPr>
          <w:rFonts w:eastAsia="黑体"/>
          <w:color w:val="auto"/>
          <w:sz w:val="21"/>
          <w:szCs w:val="21"/>
          <w:highlight w:val="none"/>
        </w:rPr>
        <w:t>2.6 支付合同价款</w:t>
      </w:r>
      <w:bookmarkEnd w:id="218"/>
    </w:p>
    <w:p w14:paraId="372F405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发包人应按合同约定向承包人及时支付合同价款。</w:t>
      </w:r>
    </w:p>
    <w:p w14:paraId="2AC473FE">
      <w:pPr>
        <w:pStyle w:val="4"/>
        <w:spacing w:before="0" w:after="0" w:line="360" w:lineRule="auto"/>
        <w:ind w:firstLine="420" w:firstLineChars="200"/>
        <w:rPr>
          <w:rFonts w:eastAsia="黑体"/>
          <w:color w:val="auto"/>
          <w:sz w:val="21"/>
          <w:szCs w:val="21"/>
          <w:highlight w:val="none"/>
        </w:rPr>
      </w:pPr>
      <w:bookmarkStart w:id="219" w:name="_Toc14875"/>
      <w:r>
        <w:rPr>
          <w:rFonts w:eastAsia="黑体"/>
          <w:color w:val="auto"/>
          <w:sz w:val="21"/>
          <w:szCs w:val="21"/>
          <w:highlight w:val="none"/>
        </w:rPr>
        <w:t>2.7 组织竣工验收</w:t>
      </w:r>
      <w:bookmarkEnd w:id="219"/>
    </w:p>
    <w:p w14:paraId="4DA2B30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发包人应按合同约定及时组织竣工验收。</w:t>
      </w:r>
    </w:p>
    <w:p w14:paraId="75BC33D7">
      <w:pPr>
        <w:pStyle w:val="4"/>
        <w:spacing w:before="0" w:after="0" w:line="360" w:lineRule="auto"/>
        <w:ind w:firstLine="420" w:firstLineChars="200"/>
        <w:rPr>
          <w:rFonts w:eastAsia="黑体"/>
          <w:color w:val="auto"/>
          <w:sz w:val="21"/>
          <w:szCs w:val="21"/>
          <w:highlight w:val="none"/>
        </w:rPr>
      </w:pPr>
      <w:bookmarkStart w:id="220" w:name="_Toc20650"/>
      <w:r>
        <w:rPr>
          <w:rFonts w:eastAsia="黑体"/>
          <w:color w:val="auto"/>
          <w:sz w:val="21"/>
          <w:szCs w:val="21"/>
          <w:highlight w:val="none"/>
        </w:rPr>
        <w:t>2.8 现场统一管理协议</w:t>
      </w:r>
      <w:bookmarkEnd w:id="220"/>
    </w:p>
    <w:p w14:paraId="501DC6C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14:paraId="21607E84">
      <w:pPr>
        <w:pStyle w:val="3"/>
        <w:ind w:firstLine="1680"/>
        <w:rPr>
          <w:rFonts w:ascii="Times New Roman" w:hAnsi="Times New Roman"/>
          <w:color w:val="auto"/>
          <w:sz w:val="21"/>
          <w:szCs w:val="21"/>
          <w:highlight w:val="none"/>
        </w:rPr>
      </w:pPr>
      <w:bookmarkStart w:id="221" w:name="_Toc30852"/>
      <w:r>
        <w:rPr>
          <w:rFonts w:ascii="Times New Roman" w:hAnsi="Times New Roman"/>
          <w:color w:val="auto"/>
          <w:sz w:val="21"/>
          <w:szCs w:val="21"/>
          <w:highlight w:val="none"/>
        </w:rPr>
        <w:t>3</w:t>
      </w:r>
      <w:bookmarkStart w:id="222" w:name="_Toc296346546"/>
      <w:bookmarkStart w:id="223" w:name="_Toc337558746"/>
      <w:bookmarkStart w:id="224" w:name="_Toc296503045"/>
      <w:r>
        <w:rPr>
          <w:rFonts w:ascii="Times New Roman" w:hAnsi="Times New Roman"/>
          <w:color w:val="auto"/>
          <w:sz w:val="21"/>
          <w:szCs w:val="21"/>
          <w:highlight w:val="none"/>
        </w:rPr>
        <w:t>. 承包人</w:t>
      </w:r>
      <w:bookmarkEnd w:id="221"/>
    </w:p>
    <w:bookmarkEnd w:id="222"/>
    <w:bookmarkEnd w:id="223"/>
    <w:bookmarkEnd w:id="224"/>
    <w:p w14:paraId="0DE251D7">
      <w:pPr>
        <w:pStyle w:val="4"/>
        <w:spacing w:before="0" w:after="0" w:line="360" w:lineRule="auto"/>
        <w:ind w:firstLine="420" w:firstLineChars="200"/>
        <w:rPr>
          <w:rFonts w:eastAsia="黑体"/>
          <w:color w:val="auto"/>
          <w:sz w:val="21"/>
          <w:szCs w:val="21"/>
          <w:highlight w:val="none"/>
        </w:rPr>
      </w:pPr>
      <w:bookmarkStart w:id="225" w:name="_Toc18128"/>
      <w:r>
        <w:rPr>
          <w:rFonts w:eastAsia="黑体"/>
          <w:color w:val="auto"/>
          <w:sz w:val="21"/>
          <w:szCs w:val="21"/>
          <w:highlight w:val="none"/>
        </w:rPr>
        <w:t>3</w:t>
      </w:r>
      <w:bookmarkStart w:id="226" w:name="_Toc337558747"/>
      <w:bookmarkStart w:id="227" w:name="_Toc296503046"/>
      <w:bookmarkStart w:id="228" w:name="_Toc296346547"/>
      <w:r>
        <w:rPr>
          <w:rFonts w:eastAsia="黑体"/>
          <w:color w:val="auto"/>
          <w:sz w:val="21"/>
          <w:szCs w:val="21"/>
          <w:highlight w:val="none"/>
        </w:rPr>
        <w:t>.1 承包人的一般义务</w:t>
      </w:r>
      <w:bookmarkEnd w:id="225"/>
    </w:p>
    <w:bookmarkEnd w:id="226"/>
    <w:bookmarkEnd w:id="227"/>
    <w:bookmarkEnd w:id="228"/>
    <w:p w14:paraId="3E6A6E5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承包人在履行合同过程中应遵守法律和工程建设标准规范，并履行以下义务：</w:t>
      </w:r>
    </w:p>
    <w:p w14:paraId="1416B84D">
      <w:pPr>
        <w:numPr>
          <w:ilvl w:val="0"/>
          <w:numId w:val="32"/>
        </w:num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办理法律规定</w:t>
      </w:r>
      <w:r>
        <w:rPr>
          <w:rFonts w:hint="eastAsia" w:eastAsia="仿宋_GB2312"/>
          <w:color w:val="auto"/>
          <w:kern w:val="0"/>
          <w:szCs w:val="21"/>
          <w:highlight w:val="none"/>
        </w:rPr>
        <w:t>应</w:t>
      </w:r>
      <w:r>
        <w:rPr>
          <w:rFonts w:eastAsia="仿宋_GB2312"/>
          <w:color w:val="auto"/>
          <w:kern w:val="0"/>
          <w:szCs w:val="21"/>
          <w:highlight w:val="none"/>
        </w:rPr>
        <w:t>由承包人办理的许可和批准，并将</w:t>
      </w:r>
      <w:r>
        <w:rPr>
          <w:rFonts w:hint="eastAsia" w:eastAsia="仿宋_GB2312"/>
          <w:color w:val="auto"/>
          <w:kern w:val="0"/>
          <w:szCs w:val="21"/>
          <w:highlight w:val="none"/>
        </w:rPr>
        <w:t>办理</w:t>
      </w:r>
      <w:r>
        <w:rPr>
          <w:rFonts w:eastAsia="仿宋_GB2312"/>
          <w:color w:val="auto"/>
          <w:kern w:val="0"/>
          <w:szCs w:val="21"/>
          <w:highlight w:val="none"/>
        </w:rPr>
        <w:t>结果书面报送发包人留存；</w:t>
      </w:r>
    </w:p>
    <w:p w14:paraId="46A90F2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（2）按法律规定和合同约定完成工程，并在保修期内承担保修义务；</w:t>
      </w:r>
    </w:p>
    <w:p w14:paraId="5EB7395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（3）按法律规定和合同约定采取施工安全和环境保护措施，办理工伤保险，确保工程及人员、材料、设备和设施的安全；</w:t>
      </w:r>
    </w:p>
    <w:p w14:paraId="361E8C5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（4）按合同约定的工作内容和施工进度要求，编制施工组织设计和施工措施计划，并对所有施工作业和施工方法的完备性和安全可靠性负责；</w:t>
      </w:r>
    </w:p>
    <w:p w14:paraId="4CFB2DD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B196B9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（6）按照第6.3款</w:t>
      </w:r>
      <w:r>
        <w:rPr>
          <w:rFonts w:hint="eastAsia" w:eastAsia="仿宋_GB2312"/>
          <w:color w:val="auto"/>
          <w:kern w:val="0"/>
          <w:szCs w:val="21"/>
          <w:highlight w:val="none"/>
        </w:rPr>
        <w:t>〔</w:t>
      </w:r>
      <w:r>
        <w:rPr>
          <w:rFonts w:eastAsia="仿宋_GB2312"/>
          <w:color w:val="auto"/>
          <w:kern w:val="0"/>
          <w:szCs w:val="21"/>
          <w:highlight w:val="none"/>
        </w:rPr>
        <w:t>环境保护</w:t>
      </w:r>
      <w:r>
        <w:rPr>
          <w:rFonts w:hint="eastAsia" w:eastAsia="仿宋_GB2312"/>
          <w:color w:val="auto"/>
          <w:kern w:val="0"/>
          <w:szCs w:val="21"/>
          <w:highlight w:val="none"/>
        </w:rPr>
        <w:t>〕</w:t>
      </w:r>
      <w:r>
        <w:rPr>
          <w:rFonts w:eastAsia="仿宋_GB2312"/>
          <w:color w:val="auto"/>
          <w:kern w:val="0"/>
          <w:szCs w:val="21"/>
          <w:highlight w:val="none"/>
        </w:rPr>
        <w:t>约定负责施工场地及其周边环境与生态的保护工作；</w:t>
      </w:r>
    </w:p>
    <w:p w14:paraId="7941505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（7）按第6.1款</w:t>
      </w:r>
      <w:r>
        <w:rPr>
          <w:rFonts w:hint="eastAsia" w:eastAsia="仿宋_GB2312"/>
          <w:color w:val="auto"/>
          <w:kern w:val="0"/>
          <w:szCs w:val="21"/>
          <w:highlight w:val="none"/>
        </w:rPr>
        <w:t>〔</w:t>
      </w:r>
      <w:r>
        <w:rPr>
          <w:rFonts w:eastAsia="仿宋_GB2312"/>
          <w:color w:val="auto"/>
          <w:kern w:val="0"/>
          <w:szCs w:val="21"/>
          <w:highlight w:val="none"/>
        </w:rPr>
        <w:t>安全文明施工</w:t>
      </w:r>
      <w:r>
        <w:rPr>
          <w:rFonts w:hint="eastAsia" w:eastAsia="仿宋_GB2312"/>
          <w:color w:val="auto"/>
          <w:kern w:val="0"/>
          <w:szCs w:val="21"/>
          <w:highlight w:val="none"/>
        </w:rPr>
        <w:t>〕</w:t>
      </w:r>
      <w:r>
        <w:rPr>
          <w:rFonts w:eastAsia="仿宋_GB2312"/>
          <w:color w:val="auto"/>
          <w:kern w:val="0"/>
          <w:szCs w:val="21"/>
          <w:highlight w:val="none"/>
        </w:rPr>
        <w:t>约定采取施工安全措施，确保工程及其人员、材料、设备和设施的安全，防止因工程施工造成的人身伤害和财产损失；</w:t>
      </w:r>
    </w:p>
    <w:p w14:paraId="59B3838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w:t>
      </w:r>
      <w:r>
        <w:rPr>
          <w:rFonts w:hint="eastAsia" w:eastAsia="仿宋_GB2312"/>
          <w:color w:val="auto"/>
          <w:kern w:val="0"/>
          <w:szCs w:val="21"/>
          <w:highlight w:val="none"/>
        </w:rPr>
        <w:t>将</w:t>
      </w:r>
      <w:r>
        <w:rPr>
          <w:rFonts w:eastAsia="仿宋_GB2312"/>
          <w:color w:val="auto"/>
          <w:kern w:val="0"/>
          <w:szCs w:val="21"/>
          <w:highlight w:val="none"/>
        </w:rPr>
        <w:t>发包人按合同约定支付的各项价款专用于合同工程，且应及时支付其雇用人员工资，并及时向分包人支付合同价款；</w:t>
      </w:r>
    </w:p>
    <w:p w14:paraId="56C8AF5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（9）按照法律规定和合同约定编制竣工资料，完成竣工资料立卷及归档，并按专用合同条款约定的竣工资料的套数、内容、时间等要求移交发包人；</w:t>
      </w:r>
    </w:p>
    <w:p w14:paraId="6BFCC29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（10）应履行的其他义务。</w:t>
      </w:r>
    </w:p>
    <w:p w14:paraId="5AC267C8">
      <w:pPr>
        <w:pStyle w:val="4"/>
        <w:spacing w:before="0" w:after="0" w:line="360" w:lineRule="auto"/>
        <w:ind w:firstLine="420" w:firstLineChars="200"/>
        <w:rPr>
          <w:rFonts w:eastAsia="黑体"/>
          <w:color w:val="auto"/>
          <w:sz w:val="21"/>
          <w:szCs w:val="21"/>
          <w:highlight w:val="none"/>
        </w:rPr>
      </w:pPr>
      <w:bookmarkStart w:id="229" w:name="_Toc12558"/>
      <w:r>
        <w:rPr>
          <w:rFonts w:eastAsia="黑体"/>
          <w:color w:val="auto"/>
          <w:sz w:val="21"/>
          <w:szCs w:val="21"/>
          <w:highlight w:val="none"/>
        </w:rPr>
        <w:t>3</w:t>
      </w:r>
      <w:bookmarkStart w:id="230" w:name="_Toc296346548"/>
      <w:bookmarkStart w:id="231" w:name="_Toc296503047"/>
      <w:bookmarkStart w:id="232" w:name="_Toc337558748"/>
      <w:r>
        <w:rPr>
          <w:rFonts w:eastAsia="黑体"/>
          <w:color w:val="auto"/>
          <w:sz w:val="21"/>
          <w:szCs w:val="21"/>
          <w:highlight w:val="none"/>
        </w:rPr>
        <w:t>.2 项目经理</w:t>
      </w:r>
      <w:bookmarkEnd w:id="229"/>
    </w:p>
    <w:bookmarkEnd w:id="230"/>
    <w:bookmarkEnd w:id="231"/>
    <w:bookmarkEnd w:id="232"/>
    <w:p w14:paraId="6F145BC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B114E8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1FFB49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承包人违反上述约定的，应按照专用合同条款的约定，承担违约责任。</w:t>
      </w:r>
    </w:p>
    <w:p w14:paraId="29BEF8D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3.2.2 项目经理按合同约定组织工程实施。在紧急情况下</w:t>
      </w:r>
      <w:r>
        <w:rPr>
          <w:rFonts w:hint="eastAsia" w:eastAsia="仿宋_GB2312"/>
          <w:color w:val="auto"/>
          <w:kern w:val="0"/>
          <w:szCs w:val="21"/>
          <w:highlight w:val="none"/>
        </w:rPr>
        <w:t>为确保施工安全和人员安全</w:t>
      </w:r>
      <w:r>
        <w:rPr>
          <w:rFonts w:eastAsia="仿宋_GB2312"/>
          <w:color w:val="auto"/>
          <w:kern w:val="0"/>
          <w:szCs w:val="21"/>
          <w:highlight w:val="none"/>
        </w:rPr>
        <w:t>，</w:t>
      </w:r>
      <w:r>
        <w:rPr>
          <w:rFonts w:hint="eastAsia" w:eastAsia="仿宋_GB2312"/>
          <w:color w:val="auto"/>
          <w:kern w:val="0"/>
          <w:szCs w:val="21"/>
          <w:highlight w:val="none"/>
        </w:rPr>
        <w:t>在</w:t>
      </w:r>
      <w:r>
        <w:rPr>
          <w:rFonts w:eastAsia="仿宋_GB2312"/>
          <w:color w:val="auto"/>
          <w:kern w:val="0"/>
          <w:szCs w:val="21"/>
          <w:highlight w:val="none"/>
        </w:rPr>
        <w:t>无法与发包人代表和总监理工程师</w:t>
      </w:r>
      <w:r>
        <w:rPr>
          <w:rFonts w:hint="eastAsia" w:eastAsia="仿宋_GB2312"/>
          <w:color w:val="auto"/>
          <w:kern w:val="0"/>
          <w:szCs w:val="21"/>
          <w:highlight w:val="none"/>
        </w:rPr>
        <w:t>及时</w:t>
      </w:r>
      <w:r>
        <w:rPr>
          <w:rFonts w:eastAsia="仿宋_GB2312"/>
          <w:color w:val="auto"/>
          <w:kern w:val="0"/>
          <w:szCs w:val="21"/>
          <w:highlight w:val="none"/>
        </w:rPr>
        <w:t>取得联系时，项目经理有权采取必要的措施保证与工程有关的人身、财产和工程的安全，但应在48小时内向发包人代表和总监理工程师提交书面报告。</w:t>
      </w:r>
    </w:p>
    <w:p w14:paraId="1E5C311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1D4C81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color w:val="auto"/>
          <w:kern w:val="0"/>
          <w:szCs w:val="21"/>
          <w:highlight w:val="none"/>
        </w:rPr>
        <w:t>继</w:t>
      </w:r>
      <w:r>
        <w:rPr>
          <w:rFonts w:eastAsia="仿宋_GB2312"/>
          <w:color w:val="auto"/>
          <w:kern w:val="0"/>
          <w:szCs w:val="21"/>
          <w:highlight w:val="none"/>
        </w:rPr>
        <w:t>任项目经理继续履行第3.2.1项约定的职责。承包人无正当理由拒绝更换项目经理的，应按照专用合同条款的约定承担违约责任。</w:t>
      </w:r>
    </w:p>
    <w:p w14:paraId="6B0C76F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3.2.5 项目经理因特殊情况授权其下属人员履行其某项工作职责的，该下属人员应具备履行相应职责的能力，并应提前7天将上述人员的姓名和授权范围书面通知</w:t>
      </w:r>
      <w:r>
        <w:rPr>
          <w:rFonts w:hint="eastAsia" w:eastAsia="仿宋_GB2312"/>
          <w:color w:val="auto"/>
          <w:kern w:val="0"/>
          <w:szCs w:val="21"/>
          <w:highlight w:val="none"/>
        </w:rPr>
        <w:t>发包人和</w:t>
      </w:r>
      <w:r>
        <w:rPr>
          <w:rFonts w:eastAsia="仿宋_GB2312"/>
          <w:color w:val="auto"/>
          <w:kern w:val="0"/>
          <w:szCs w:val="21"/>
          <w:highlight w:val="none"/>
        </w:rPr>
        <w:t>监理人，并征得发包人书面同意。</w:t>
      </w:r>
    </w:p>
    <w:p w14:paraId="583DABF0">
      <w:pPr>
        <w:pStyle w:val="4"/>
        <w:spacing w:before="0" w:after="0" w:line="360" w:lineRule="auto"/>
        <w:ind w:firstLine="420" w:firstLineChars="200"/>
        <w:rPr>
          <w:rFonts w:eastAsia="黑体"/>
          <w:color w:val="auto"/>
          <w:sz w:val="21"/>
          <w:szCs w:val="21"/>
          <w:highlight w:val="none"/>
        </w:rPr>
      </w:pPr>
      <w:bookmarkStart w:id="233" w:name="_Toc16093"/>
      <w:r>
        <w:rPr>
          <w:rFonts w:eastAsia="黑体"/>
          <w:color w:val="auto"/>
          <w:sz w:val="21"/>
          <w:szCs w:val="21"/>
          <w:highlight w:val="none"/>
        </w:rPr>
        <w:t>3</w:t>
      </w:r>
      <w:bookmarkStart w:id="234" w:name="_Toc296346549"/>
      <w:bookmarkStart w:id="235" w:name="_Toc296503048"/>
      <w:bookmarkStart w:id="236" w:name="_Toc337558749"/>
      <w:r>
        <w:rPr>
          <w:rFonts w:eastAsia="黑体"/>
          <w:color w:val="auto"/>
          <w:sz w:val="21"/>
          <w:szCs w:val="21"/>
          <w:highlight w:val="none"/>
        </w:rPr>
        <w:t xml:space="preserve">.3 </w:t>
      </w:r>
      <w:bookmarkEnd w:id="234"/>
      <w:bookmarkEnd w:id="235"/>
      <w:r>
        <w:rPr>
          <w:rFonts w:eastAsia="黑体"/>
          <w:color w:val="auto"/>
          <w:sz w:val="21"/>
          <w:szCs w:val="21"/>
          <w:highlight w:val="none"/>
        </w:rPr>
        <w:t>承包人人员</w:t>
      </w:r>
      <w:bookmarkEnd w:id="233"/>
    </w:p>
    <w:bookmarkEnd w:id="236"/>
    <w:p w14:paraId="50FA02E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color w:val="auto"/>
          <w:kern w:val="0"/>
          <w:szCs w:val="21"/>
          <w:highlight w:val="none"/>
        </w:rPr>
        <w:t>和</w:t>
      </w:r>
      <w:r>
        <w:rPr>
          <w:rFonts w:eastAsia="仿宋_GB2312"/>
          <w:color w:val="auto"/>
          <w:kern w:val="0"/>
          <w:szCs w:val="21"/>
          <w:highlight w:val="none"/>
        </w:rPr>
        <w:t>缴纳社会保险的有效证明。</w:t>
      </w:r>
    </w:p>
    <w:p w14:paraId="224E6DA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3.3.2 承包人派驻到施工现场的主要施工管理人员应相对稳定。施工过程中</w:t>
      </w:r>
      <w:r>
        <w:rPr>
          <w:rFonts w:hint="eastAsia" w:eastAsia="仿宋_GB2312"/>
          <w:color w:val="auto"/>
          <w:kern w:val="0"/>
          <w:szCs w:val="21"/>
          <w:highlight w:val="none"/>
        </w:rPr>
        <w:t>如有变动</w:t>
      </w:r>
      <w:r>
        <w:rPr>
          <w:rFonts w:eastAsia="仿宋_GB2312"/>
          <w:color w:val="auto"/>
          <w:kern w:val="0"/>
          <w:szCs w:val="21"/>
          <w:highlight w:val="none"/>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35D069D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特殊工种作业人员均应持有相应的资格证明，监理人可以随时检查。</w:t>
      </w:r>
    </w:p>
    <w:p w14:paraId="177856D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3.3.3 发包人对于承包人主要施工管理人员</w:t>
      </w:r>
      <w:r>
        <w:rPr>
          <w:rFonts w:hint="eastAsia" w:eastAsia="仿宋_GB2312"/>
          <w:color w:val="auto"/>
          <w:kern w:val="0"/>
          <w:szCs w:val="21"/>
          <w:highlight w:val="none"/>
        </w:rPr>
        <w:t>的资格或能力</w:t>
      </w:r>
      <w:r>
        <w:rPr>
          <w:rFonts w:eastAsia="仿宋_GB2312"/>
          <w:color w:val="auto"/>
          <w:kern w:val="0"/>
          <w:szCs w:val="21"/>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EA8166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1702BE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3.3.5 承包人擅自更换主要施工管理人员，或前述人员未经监理人或发包人同意擅自离开施工现场的，应按照专用合同条款约定承担违约责任。</w:t>
      </w:r>
    </w:p>
    <w:p w14:paraId="17515001">
      <w:pPr>
        <w:pStyle w:val="4"/>
        <w:spacing w:before="0" w:after="0" w:line="360" w:lineRule="auto"/>
        <w:ind w:firstLine="420" w:firstLineChars="200"/>
        <w:rPr>
          <w:rFonts w:eastAsia="黑体"/>
          <w:color w:val="auto"/>
          <w:sz w:val="21"/>
          <w:szCs w:val="21"/>
          <w:highlight w:val="none"/>
        </w:rPr>
      </w:pPr>
      <w:bookmarkStart w:id="237" w:name="_Toc3077"/>
      <w:r>
        <w:rPr>
          <w:rFonts w:eastAsia="黑体"/>
          <w:color w:val="auto"/>
          <w:sz w:val="21"/>
          <w:szCs w:val="21"/>
          <w:highlight w:val="none"/>
        </w:rPr>
        <w:t>3</w:t>
      </w:r>
      <w:bookmarkStart w:id="238" w:name="_Toc296503050"/>
      <w:bookmarkStart w:id="239" w:name="_Toc337558750"/>
      <w:bookmarkStart w:id="240" w:name="_Toc296346551"/>
      <w:r>
        <w:rPr>
          <w:rFonts w:eastAsia="黑体"/>
          <w:color w:val="auto"/>
          <w:sz w:val="21"/>
          <w:szCs w:val="21"/>
          <w:highlight w:val="none"/>
        </w:rPr>
        <w:t>.4 承包人现场查勘</w:t>
      </w:r>
      <w:bookmarkEnd w:id="237"/>
    </w:p>
    <w:bookmarkEnd w:id="238"/>
    <w:bookmarkEnd w:id="239"/>
    <w:bookmarkEnd w:id="240"/>
    <w:p w14:paraId="2576FF58">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承包人应对基于发包人按照第2.4.3项</w:t>
      </w:r>
      <w:r>
        <w:rPr>
          <w:rFonts w:hint="eastAsia" w:eastAsia="仿宋_GB2312"/>
          <w:color w:val="auto"/>
          <w:kern w:val="0"/>
          <w:szCs w:val="21"/>
          <w:highlight w:val="none"/>
        </w:rPr>
        <w:t>〔</w:t>
      </w:r>
      <w:r>
        <w:rPr>
          <w:rFonts w:eastAsia="仿宋_GB2312"/>
          <w:color w:val="auto"/>
          <w:kern w:val="0"/>
          <w:szCs w:val="21"/>
          <w:highlight w:val="none"/>
        </w:rPr>
        <w:t>提供基础资料</w:t>
      </w:r>
      <w:r>
        <w:rPr>
          <w:rFonts w:hint="eastAsia" w:eastAsia="仿宋_GB2312"/>
          <w:color w:val="auto"/>
          <w:kern w:val="0"/>
          <w:szCs w:val="21"/>
          <w:highlight w:val="none"/>
        </w:rPr>
        <w:t>〕</w:t>
      </w:r>
      <w:r>
        <w:rPr>
          <w:rFonts w:eastAsia="仿宋_GB2312"/>
          <w:color w:val="auto"/>
          <w:kern w:val="0"/>
          <w:szCs w:val="21"/>
          <w:highlight w:val="none"/>
        </w:rPr>
        <w:t>提交的基础资料所做出的解释和推断负责，但因基础资料存在错误、遗漏导致承包人解释或推断失实的，由发包人承担责任。</w:t>
      </w:r>
    </w:p>
    <w:p w14:paraId="612EA9A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62F984D">
      <w:pPr>
        <w:pStyle w:val="4"/>
        <w:spacing w:before="0" w:after="0" w:line="360" w:lineRule="auto"/>
        <w:ind w:firstLine="420" w:firstLineChars="200"/>
        <w:rPr>
          <w:rFonts w:eastAsia="黑体"/>
          <w:color w:val="auto"/>
          <w:sz w:val="21"/>
          <w:szCs w:val="21"/>
          <w:highlight w:val="none"/>
        </w:rPr>
      </w:pPr>
      <w:bookmarkStart w:id="241" w:name="_Toc27715"/>
      <w:r>
        <w:rPr>
          <w:rFonts w:eastAsia="黑体"/>
          <w:color w:val="auto"/>
          <w:sz w:val="21"/>
          <w:szCs w:val="21"/>
          <w:highlight w:val="none"/>
        </w:rPr>
        <w:t>3</w:t>
      </w:r>
      <w:bookmarkStart w:id="242" w:name="_Toc337558751"/>
      <w:bookmarkStart w:id="243" w:name="_Toc296346552"/>
      <w:bookmarkStart w:id="244" w:name="_Toc296503051"/>
      <w:r>
        <w:rPr>
          <w:rFonts w:eastAsia="黑体"/>
          <w:color w:val="auto"/>
          <w:sz w:val="21"/>
          <w:szCs w:val="21"/>
          <w:highlight w:val="none"/>
        </w:rPr>
        <w:t>.5 分包</w:t>
      </w:r>
      <w:bookmarkEnd w:id="241"/>
    </w:p>
    <w:bookmarkEnd w:id="242"/>
    <w:bookmarkEnd w:id="243"/>
    <w:bookmarkEnd w:id="244"/>
    <w:p w14:paraId="7AF2AEF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3.5.1 分包的一般约定</w:t>
      </w:r>
    </w:p>
    <w:p w14:paraId="4B302B2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1F35759">
      <w:pPr>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承包人不得以劳务分包的名义转包或违法分包工程。</w:t>
      </w:r>
    </w:p>
    <w:p w14:paraId="3F6ABA5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3.5.2 分包的确定</w:t>
      </w:r>
    </w:p>
    <w:p w14:paraId="7C7A65C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承包人应按专用合同条款的约定进行分包，确定分包人。已标价工程量清单或预算书中给定</w:t>
      </w:r>
      <w:r>
        <w:rPr>
          <w:rFonts w:hint="eastAsia" w:eastAsia="仿宋_GB2312"/>
          <w:color w:val="auto"/>
          <w:kern w:val="0"/>
          <w:szCs w:val="21"/>
          <w:highlight w:val="none"/>
        </w:rPr>
        <w:t>暂估价</w:t>
      </w:r>
      <w:r>
        <w:rPr>
          <w:rFonts w:eastAsia="仿宋_GB2312"/>
          <w:color w:val="auto"/>
          <w:kern w:val="0"/>
          <w:szCs w:val="21"/>
          <w:highlight w:val="none"/>
        </w:rPr>
        <w:t>的专业工程，按照第10.7款</w:t>
      </w:r>
      <w:r>
        <w:rPr>
          <w:rFonts w:hint="eastAsia" w:eastAsia="仿宋_GB2312"/>
          <w:color w:val="auto"/>
          <w:kern w:val="0"/>
          <w:szCs w:val="21"/>
          <w:highlight w:val="none"/>
        </w:rPr>
        <w:t>〔暂估价〕</w:t>
      </w:r>
      <w:r>
        <w:rPr>
          <w:rFonts w:eastAsia="仿宋_GB2312"/>
          <w:color w:val="auto"/>
          <w:kern w:val="0"/>
          <w:szCs w:val="21"/>
          <w:highlight w:val="non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E9E7D0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3.5.3 分包管理</w:t>
      </w:r>
    </w:p>
    <w:p w14:paraId="212F15D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承包人应向监理人提交分包人的主要施工管理人员表，并对分包人的施工人员进行实名制管理，包括但不限于进出场管理、登记造册以及各种证照的办理。</w:t>
      </w:r>
    </w:p>
    <w:p w14:paraId="266597A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3.5.4 分包合同价款</w:t>
      </w:r>
    </w:p>
    <w:p w14:paraId="22786EA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（1）除本项第（2）目约定的情况或专用合同条款另有约定外，分包合同价款由承包人与分包人结算，未经承包人同意，发包人不得向分包人支付分包工程价款；</w:t>
      </w:r>
    </w:p>
    <w:p w14:paraId="013A26A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（2）生效法律文书要求发包人向分包人支付分包合同价款的，发包人有权从应付承包人工程款中扣除该部分款项。</w:t>
      </w:r>
    </w:p>
    <w:p w14:paraId="2EEAC08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3.5.5 分包合同权益的转让</w:t>
      </w:r>
    </w:p>
    <w:p w14:paraId="7EE889F4">
      <w:pPr>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发包人与承包人协商一致后，可将承包人在分包合同项下享受的保修权益转让给发包人，转让合同生效后，承包人应通知分包人，并将通知分包人的书面文件交付发包人，之后由分包人向发包人履行义务。</w:t>
      </w:r>
    </w:p>
    <w:p w14:paraId="3A01409A">
      <w:pPr>
        <w:pStyle w:val="4"/>
        <w:spacing w:before="0" w:after="0" w:line="360" w:lineRule="auto"/>
        <w:ind w:firstLine="420" w:firstLineChars="200"/>
        <w:rPr>
          <w:rFonts w:eastAsia="黑体"/>
          <w:color w:val="auto"/>
          <w:sz w:val="21"/>
          <w:szCs w:val="21"/>
          <w:highlight w:val="none"/>
        </w:rPr>
      </w:pPr>
      <w:bookmarkStart w:id="245" w:name="_Toc12829"/>
      <w:r>
        <w:rPr>
          <w:rFonts w:eastAsia="黑体"/>
          <w:color w:val="auto"/>
          <w:sz w:val="21"/>
          <w:szCs w:val="21"/>
          <w:highlight w:val="none"/>
        </w:rPr>
        <w:t>3.6 工程照管与成品、半成品保护</w:t>
      </w:r>
      <w:bookmarkEnd w:id="245"/>
    </w:p>
    <w:p w14:paraId="5D1825D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（1）除专用合同条款另有约定外，自发包人向承包人移交施工现场之日起，承包人应负责照管工程及工程相关的材料、工程设备，直到颁发工程接收证书之日止。</w:t>
      </w:r>
    </w:p>
    <w:p w14:paraId="0270976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w:t>
      </w:r>
      <w:r>
        <w:rPr>
          <w:rFonts w:hint="eastAsia" w:eastAsia="仿宋_GB2312"/>
          <w:color w:val="auto"/>
          <w:kern w:val="0"/>
          <w:szCs w:val="21"/>
          <w:highlight w:val="none"/>
        </w:rPr>
        <w:t>2</w:t>
      </w:r>
      <w:r>
        <w:rPr>
          <w:rFonts w:eastAsia="仿宋_GB2312"/>
          <w:color w:val="auto"/>
          <w:kern w:val="0"/>
          <w:szCs w:val="21"/>
          <w:highlight w:val="none"/>
        </w:rPr>
        <w:t>）在承包人负责照管期间，因承包人原因造成工程、材料、工程设备损坏的，由承包人负责修复或更换，并承担由此增加的费用和（或）延误的工期。</w:t>
      </w:r>
    </w:p>
    <w:p w14:paraId="346D0C4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w:t>
      </w:r>
      <w:r>
        <w:rPr>
          <w:rFonts w:hint="eastAsia" w:eastAsia="仿宋_GB2312"/>
          <w:color w:val="auto"/>
          <w:kern w:val="0"/>
          <w:szCs w:val="21"/>
          <w:highlight w:val="none"/>
        </w:rPr>
        <w:t>3</w:t>
      </w:r>
      <w:r>
        <w:rPr>
          <w:rFonts w:eastAsia="仿宋_GB2312"/>
          <w:color w:val="auto"/>
          <w:kern w:val="0"/>
          <w:szCs w:val="21"/>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567CF309">
      <w:pPr>
        <w:pStyle w:val="4"/>
        <w:spacing w:before="0" w:after="0" w:line="360" w:lineRule="auto"/>
        <w:ind w:firstLine="420" w:firstLineChars="200"/>
        <w:rPr>
          <w:rFonts w:eastAsia="黑体"/>
          <w:color w:val="auto"/>
          <w:sz w:val="21"/>
          <w:szCs w:val="21"/>
          <w:highlight w:val="none"/>
        </w:rPr>
      </w:pPr>
      <w:bookmarkStart w:id="246" w:name="_Toc13248"/>
      <w:r>
        <w:rPr>
          <w:rFonts w:eastAsia="黑体"/>
          <w:color w:val="auto"/>
          <w:sz w:val="21"/>
          <w:szCs w:val="21"/>
          <w:highlight w:val="none"/>
        </w:rPr>
        <w:t>3</w:t>
      </w:r>
      <w:bookmarkStart w:id="247" w:name="_Toc337558752"/>
      <w:bookmarkStart w:id="248" w:name="_Toc296346553"/>
      <w:bookmarkStart w:id="249" w:name="_Toc296503052"/>
      <w:r>
        <w:rPr>
          <w:rFonts w:eastAsia="黑体"/>
          <w:color w:val="auto"/>
          <w:sz w:val="21"/>
          <w:szCs w:val="21"/>
          <w:highlight w:val="none"/>
        </w:rPr>
        <w:t>.7 履约担保</w:t>
      </w:r>
      <w:bookmarkEnd w:id="246"/>
    </w:p>
    <w:bookmarkEnd w:id="247"/>
    <w:bookmarkEnd w:id="248"/>
    <w:bookmarkEnd w:id="249"/>
    <w:p w14:paraId="128478B0">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发包人需要承包人提供履约担保的，由合同当事人在专用合同条款中约定履约担保的方式、金额及期限等。</w:t>
      </w:r>
      <w:r>
        <w:rPr>
          <w:rFonts w:eastAsia="仿宋_GB2312"/>
          <w:color w:val="auto"/>
          <w:kern w:val="0"/>
          <w:szCs w:val="21"/>
          <w:highlight w:val="none"/>
        </w:rPr>
        <w:t>履约担保可以采用银行保函或担保公司担保等形式，具体由合同当事人在专用合同条款中约定。</w:t>
      </w:r>
    </w:p>
    <w:p w14:paraId="7F16B84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14:paraId="25A93CF0">
      <w:pPr>
        <w:pStyle w:val="4"/>
        <w:spacing w:before="0" w:after="0" w:line="360" w:lineRule="auto"/>
        <w:ind w:firstLine="420" w:firstLineChars="200"/>
        <w:rPr>
          <w:rFonts w:eastAsia="黑体"/>
          <w:color w:val="auto"/>
          <w:sz w:val="21"/>
          <w:szCs w:val="21"/>
          <w:highlight w:val="none"/>
        </w:rPr>
      </w:pPr>
      <w:bookmarkStart w:id="250" w:name="_Toc24693"/>
      <w:r>
        <w:rPr>
          <w:rFonts w:eastAsia="黑体"/>
          <w:color w:val="auto"/>
          <w:sz w:val="21"/>
          <w:szCs w:val="21"/>
          <w:highlight w:val="none"/>
        </w:rPr>
        <w:t>3.8 联合体</w:t>
      </w:r>
      <w:bookmarkEnd w:id="250"/>
    </w:p>
    <w:p w14:paraId="68938A7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3.8.1 联合体各方应共同与发包人签订合同协议书。联合体各方应为履行合同</w:t>
      </w:r>
      <w:r>
        <w:rPr>
          <w:rFonts w:hint="eastAsia" w:eastAsia="仿宋_GB2312"/>
          <w:color w:val="auto"/>
          <w:kern w:val="0"/>
          <w:szCs w:val="21"/>
          <w:highlight w:val="none"/>
        </w:rPr>
        <w:t>向发包人</w:t>
      </w:r>
      <w:r>
        <w:rPr>
          <w:rFonts w:eastAsia="仿宋_GB2312"/>
          <w:color w:val="auto"/>
          <w:kern w:val="0"/>
          <w:szCs w:val="21"/>
          <w:highlight w:val="none"/>
        </w:rPr>
        <w:t>承担连带责任。</w:t>
      </w:r>
    </w:p>
    <w:p w14:paraId="7F33074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3.8.2 联合体协议经发包人确认后作为合同附件。在履行合同过程中，未经发包人同意，不得修改联合体协议。</w:t>
      </w:r>
    </w:p>
    <w:p w14:paraId="63AB6D7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3.8.3 联合体牵头人负责与发包人和监理人联系，并接受指示，负责组织联合体各成员全面履行合同。</w:t>
      </w:r>
    </w:p>
    <w:p w14:paraId="42941287">
      <w:pPr>
        <w:pStyle w:val="3"/>
        <w:ind w:firstLine="1680"/>
        <w:rPr>
          <w:rFonts w:ascii="Times New Roman" w:hAnsi="Times New Roman"/>
          <w:color w:val="auto"/>
          <w:sz w:val="21"/>
          <w:szCs w:val="21"/>
          <w:highlight w:val="none"/>
        </w:rPr>
      </w:pPr>
      <w:bookmarkStart w:id="251" w:name="_Toc1007"/>
      <w:r>
        <w:rPr>
          <w:rFonts w:ascii="Times New Roman" w:hAnsi="Times New Roman"/>
          <w:color w:val="auto"/>
          <w:sz w:val="21"/>
          <w:szCs w:val="21"/>
          <w:highlight w:val="none"/>
        </w:rPr>
        <w:t>4</w:t>
      </w:r>
      <w:bookmarkStart w:id="252" w:name="_Toc296503053"/>
      <w:bookmarkStart w:id="253" w:name="_Toc296346554"/>
      <w:bookmarkStart w:id="254" w:name="_Toc337558753"/>
      <w:r>
        <w:rPr>
          <w:rFonts w:ascii="Times New Roman" w:hAnsi="Times New Roman"/>
          <w:color w:val="auto"/>
          <w:sz w:val="21"/>
          <w:szCs w:val="21"/>
          <w:highlight w:val="none"/>
        </w:rPr>
        <w:t>. 监</w:t>
      </w:r>
      <w:bookmarkEnd w:id="252"/>
      <w:bookmarkEnd w:id="253"/>
      <w:r>
        <w:rPr>
          <w:rFonts w:ascii="Times New Roman" w:hAnsi="Times New Roman"/>
          <w:color w:val="auto"/>
          <w:sz w:val="21"/>
          <w:szCs w:val="21"/>
          <w:highlight w:val="none"/>
        </w:rPr>
        <w:t>理人</w:t>
      </w:r>
      <w:bookmarkEnd w:id="251"/>
    </w:p>
    <w:bookmarkEnd w:id="254"/>
    <w:p w14:paraId="45978EC6">
      <w:pPr>
        <w:pStyle w:val="4"/>
        <w:spacing w:before="0" w:after="0" w:line="360" w:lineRule="auto"/>
        <w:ind w:firstLine="420" w:firstLineChars="200"/>
        <w:rPr>
          <w:rFonts w:eastAsia="黑体"/>
          <w:color w:val="auto"/>
          <w:sz w:val="21"/>
          <w:szCs w:val="21"/>
          <w:highlight w:val="none"/>
        </w:rPr>
      </w:pPr>
      <w:bookmarkStart w:id="255" w:name="_Toc8547"/>
      <w:r>
        <w:rPr>
          <w:rFonts w:eastAsia="黑体"/>
          <w:color w:val="auto"/>
          <w:sz w:val="21"/>
          <w:szCs w:val="21"/>
          <w:highlight w:val="none"/>
        </w:rPr>
        <w:t>4</w:t>
      </w:r>
      <w:bookmarkStart w:id="256" w:name="_Toc296346555"/>
      <w:bookmarkStart w:id="257" w:name="_Toc296503054"/>
      <w:bookmarkStart w:id="258" w:name="_Toc337558754"/>
      <w:r>
        <w:rPr>
          <w:rFonts w:eastAsia="黑体"/>
          <w:color w:val="auto"/>
          <w:sz w:val="21"/>
          <w:szCs w:val="21"/>
          <w:highlight w:val="none"/>
        </w:rPr>
        <w:t>.1监理人的一般规定</w:t>
      </w:r>
      <w:bookmarkEnd w:id="255"/>
    </w:p>
    <w:bookmarkEnd w:id="256"/>
    <w:bookmarkEnd w:id="257"/>
    <w:bookmarkEnd w:id="258"/>
    <w:p w14:paraId="624D119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1A837D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除专用合同条款另有约定外，监理人在施工现场的办公场所、生活场所由承包人提供，所发生的费用由发包人承担。</w:t>
      </w:r>
    </w:p>
    <w:p w14:paraId="6D728A6B">
      <w:pPr>
        <w:pStyle w:val="4"/>
        <w:spacing w:before="0" w:after="0" w:line="360" w:lineRule="auto"/>
        <w:ind w:firstLine="420" w:firstLineChars="200"/>
        <w:rPr>
          <w:rFonts w:eastAsia="黑体"/>
          <w:color w:val="auto"/>
          <w:sz w:val="21"/>
          <w:szCs w:val="21"/>
          <w:highlight w:val="none"/>
        </w:rPr>
      </w:pPr>
      <w:bookmarkStart w:id="259" w:name="_Toc25421"/>
      <w:r>
        <w:rPr>
          <w:rFonts w:eastAsia="黑体"/>
          <w:color w:val="auto"/>
          <w:sz w:val="21"/>
          <w:szCs w:val="21"/>
          <w:highlight w:val="none"/>
        </w:rPr>
        <w:t>4</w:t>
      </w:r>
      <w:bookmarkStart w:id="260" w:name="_Toc337558755"/>
      <w:r>
        <w:rPr>
          <w:rFonts w:eastAsia="黑体"/>
          <w:color w:val="auto"/>
          <w:sz w:val="21"/>
          <w:szCs w:val="21"/>
          <w:highlight w:val="none"/>
        </w:rPr>
        <w:t>.2监理人员</w:t>
      </w:r>
      <w:bookmarkEnd w:id="259"/>
    </w:p>
    <w:bookmarkEnd w:id="260"/>
    <w:p w14:paraId="5E3512D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发包人授予监理人对工程实施监理的权利由监理人派驻施工现场的监理人员行使，监理人员包括总监理工程师及监理工程师。</w:t>
      </w:r>
      <w:r>
        <w:rPr>
          <w:rFonts w:hint="eastAsia" w:eastAsia="仿宋_GB2312"/>
          <w:color w:val="auto"/>
          <w:kern w:val="0"/>
          <w:szCs w:val="21"/>
          <w:highlight w:val="none"/>
        </w:rPr>
        <w:t>发包人</w:t>
      </w:r>
      <w:r>
        <w:rPr>
          <w:rFonts w:eastAsia="仿宋_GB2312"/>
          <w:color w:val="auto"/>
          <w:kern w:val="0"/>
          <w:szCs w:val="21"/>
          <w:highlight w:val="none"/>
        </w:rPr>
        <w:t>应将授权的总监理工程师和监理工程师的姓名及授权范围以书面形式提前通知承包人。更换总监理工程师的，</w:t>
      </w:r>
      <w:r>
        <w:rPr>
          <w:rFonts w:hint="eastAsia" w:eastAsia="仿宋_GB2312"/>
          <w:color w:val="auto"/>
          <w:kern w:val="0"/>
          <w:szCs w:val="21"/>
          <w:highlight w:val="none"/>
        </w:rPr>
        <w:t>发包人</w:t>
      </w:r>
      <w:r>
        <w:rPr>
          <w:rFonts w:eastAsia="仿宋_GB2312"/>
          <w:color w:val="auto"/>
          <w:kern w:val="0"/>
          <w:szCs w:val="21"/>
          <w:highlight w:val="none"/>
        </w:rPr>
        <w:t>应提前7天书面通知承包人；更换其他监理人员，</w:t>
      </w:r>
      <w:r>
        <w:rPr>
          <w:rFonts w:hint="eastAsia" w:eastAsia="仿宋_GB2312"/>
          <w:color w:val="auto"/>
          <w:kern w:val="0"/>
          <w:szCs w:val="21"/>
          <w:highlight w:val="none"/>
        </w:rPr>
        <w:t>发包</w:t>
      </w:r>
      <w:r>
        <w:rPr>
          <w:rFonts w:eastAsia="仿宋_GB2312"/>
          <w:color w:val="auto"/>
          <w:kern w:val="0"/>
          <w:szCs w:val="21"/>
          <w:highlight w:val="none"/>
        </w:rPr>
        <w:t>人应提前48小时书面通知承包人。</w:t>
      </w:r>
    </w:p>
    <w:p w14:paraId="3521D359">
      <w:pPr>
        <w:pStyle w:val="4"/>
        <w:spacing w:before="0" w:after="0" w:line="360" w:lineRule="auto"/>
        <w:ind w:firstLine="420" w:firstLineChars="200"/>
        <w:rPr>
          <w:rFonts w:eastAsia="黑体"/>
          <w:color w:val="auto"/>
          <w:sz w:val="21"/>
          <w:szCs w:val="21"/>
          <w:highlight w:val="none"/>
        </w:rPr>
      </w:pPr>
      <w:bookmarkStart w:id="261" w:name="_Toc30959"/>
      <w:r>
        <w:rPr>
          <w:rFonts w:eastAsia="黑体"/>
          <w:color w:val="auto"/>
          <w:sz w:val="21"/>
          <w:szCs w:val="21"/>
          <w:highlight w:val="none"/>
        </w:rPr>
        <w:t>4</w:t>
      </w:r>
      <w:bookmarkStart w:id="262" w:name="_Toc296503055"/>
      <w:bookmarkStart w:id="263" w:name="_Toc296346556"/>
      <w:bookmarkStart w:id="264" w:name="_Toc337558756"/>
      <w:r>
        <w:rPr>
          <w:rFonts w:eastAsia="黑体"/>
          <w:color w:val="auto"/>
          <w:sz w:val="21"/>
          <w:szCs w:val="21"/>
          <w:highlight w:val="none"/>
        </w:rPr>
        <w:t>.3</w:t>
      </w:r>
      <w:bookmarkEnd w:id="262"/>
      <w:bookmarkEnd w:id="263"/>
      <w:r>
        <w:rPr>
          <w:rFonts w:eastAsia="黑体"/>
          <w:color w:val="auto"/>
          <w:sz w:val="21"/>
          <w:szCs w:val="21"/>
          <w:highlight w:val="none"/>
        </w:rPr>
        <w:t>监理人的指</w:t>
      </w:r>
      <w:bookmarkEnd w:id="264"/>
      <w:r>
        <w:rPr>
          <w:rFonts w:eastAsia="黑体"/>
          <w:color w:val="auto"/>
          <w:sz w:val="21"/>
          <w:szCs w:val="21"/>
          <w:highlight w:val="none"/>
        </w:rPr>
        <w:t>示</w:t>
      </w:r>
      <w:bookmarkEnd w:id="261"/>
    </w:p>
    <w:p w14:paraId="6DB5CB1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23DB97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color w:val="auto"/>
          <w:kern w:val="0"/>
          <w:szCs w:val="21"/>
          <w:highlight w:val="none"/>
        </w:rPr>
        <w:t>相应</w:t>
      </w:r>
      <w:r>
        <w:rPr>
          <w:rFonts w:eastAsia="仿宋_GB2312"/>
          <w:color w:val="auto"/>
          <w:kern w:val="0"/>
          <w:szCs w:val="21"/>
          <w:highlight w:val="none"/>
        </w:rPr>
        <w:t>责任。除专用合同条款另有约定外，总监理工程师不应将第4.4款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约定应由总监理工程师作出确定的权力授权或委托给其他监理人员。</w:t>
      </w:r>
    </w:p>
    <w:p w14:paraId="4501621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611D3EC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9FD84F9">
      <w:pPr>
        <w:pStyle w:val="4"/>
        <w:spacing w:before="0" w:after="0" w:line="360" w:lineRule="auto"/>
        <w:ind w:firstLine="420" w:firstLineChars="200"/>
        <w:rPr>
          <w:rFonts w:eastAsia="黑体"/>
          <w:color w:val="auto"/>
          <w:sz w:val="21"/>
          <w:szCs w:val="21"/>
          <w:highlight w:val="none"/>
        </w:rPr>
      </w:pPr>
      <w:bookmarkStart w:id="265" w:name="_Toc26454"/>
      <w:r>
        <w:rPr>
          <w:rFonts w:eastAsia="黑体"/>
          <w:color w:val="auto"/>
          <w:sz w:val="21"/>
          <w:szCs w:val="21"/>
          <w:highlight w:val="none"/>
        </w:rPr>
        <w:t>4</w:t>
      </w:r>
      <w:bookmarkStart w:id="266" w:name="_Toc296503057"/>
      <w:bookmarkStart w:id="267" w:name="_Toc337558757"/>
      <w:bookmarkStart w:id="268" w:name="_Toc296346558"/>
      <w:r>
        <w:rPr>
          <w:rFonts w:eastAsia="黑体"/>
          <w:color w:val="auto"/>
          <w:sz w:val="21"/>
          <w:szCs w:val="21"/>
          <w:highlight w:val="none"/>
        </w:rPr>
        <w:t>.4 商定或确定</w:t>
      </w:r>
      <w:bookmarkEnd w:id="265"/>
    </w:p>
    <w:bookmarkEnd w:id="266"/>
    <w:bookmarkEnd w:id="267"/>
    <w:bookmarkEnd w:id="268"/>
    <w:p w14:paraId="4DE31EE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w:t>
      </w:r>
      <w:r>
        <w:rPr>
          <w:rFonts w:hint="eastAsia" w:eastAsia="仿宋_GB2312"/>
          <w:color w:val="auto"/>
          <w:kern w:val="0"/>
          <w:szCs w:val="21"/>
          <w:highlight w:val="none"/>
        </w:rPr>
        <w:t>当事人</w:t>
      </w:r>
      <w:r>
        <w:rPr>
          <w:rFonts w:eastAsia="仿宋_GB2312"/>
          <w:color w:val="auto"/>
          <w:kern w:val="0"/>
          <w:szCs w:val="21"/>
          <w:highlight w:val="none"/>
        </w:rPr>
        <w:t>进行</w:t>
      </w:r>
      <w:r>
        <w:rPr>
          <w:rFonts w:hint="eastAsia" w:eastAsia="仿宋_GB2312"/>
          <w:color w:val="auto"/>
          <w:kern w:val="0"/>
          <w:szCs w:val="21"/>
          <w:highlight w:val="none"/>
        </w:rPr>
        <w:t>商定</w:t>
      </w:r>
      <w:r>
        <w:rPr>
          <w:rFonts w:eastAsia="仿宋_GB2312"/>
          <w:color w:val="auto"/>
          <w:kern w:val="0"/>
          <w:szCs w:val="21"/>
          <w:highlight w:val="none"/>
        </w:rPr>
        <w:t>或确定时，总监理工程师应当会同合同当事人尽量通过协商达成一致，不能达成一致的，由总监理工程师按照合同约定审慎做出公正的确定。</w:t>
      </w:r>
    </w:p>
    <w:p w14:paraId="1D251A4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约定处理。争议解决前，合同当事人暂按总监理工程师的确定执行；争议解决后，争议解决的结果与总监理工程师的确定不一致的，按照争议解决的结果执行，由此造成的损失由责任人承担。</w:t>
      </w:r>
    </w:p>
    <w:p w14:paraId="336CC1AC">
      <w:pPr>
        <w:pStyle w:val="3"/>
        <w:ind w:firstLine="1680"/>
        <w:rPr>
          <w:rFonts w:ascii="Times New Roman" w:hAnsi="Times New Roman"/>
          <w:color w:val="auto"/>
          <w:sz w:val="21"/>
          <w:szCs w:val="21"/>
          <w:highlight w:val="none"/>
        </w:rPr>
      </w:pPr>
      <w:bookmarkStart w:id="269" w:name="_Toc2542"/>
      <w:r>
        <w:rPr>
          <w:rFonts w:ascii="Times New Roman" w:hAnsi="Times New Roman"/>
          <w:color w:val="auto"/>
          <w:sz w:val="21"/>
          <w:szCs w:val="21"/>
          <w:highlight w:val="none"/>
        </w:rPr>
        <w:t>5</w:t>
      </w:r>
      <w:bookmarkStart w:id="270" w:name="_Toc337558758"/>
      <w:r>
        <w:rPr>
          <w:rFonts w:ascii="Times New Roman" w:hAnsi="Times New Roman"/>
          <w:color w:val="auto"/>
          <w:sz w:val="21"/>
          <w:szCs w:val="21"/>
          <w:highlight w:val="none"/>
        </w:rPr>
        <w:t>. 工程质量</w:t>
      </w:r>
      <w:bookmarkEnd w:id="269"/>
    </w:p>
    <w:bookmarkEnd w:id="270"/>
    <w:p w14:paraId="6E4EB4B4">
      <w:pPr>
        <w:pStyle w:val="4"/>
        <w:spacing w:before="0" w:after="0" w:line="360" w:lineRule="auto"/>
        <w:ind w:firstLine="420" w:firstLineChars="200"/>
        <w:rPr>
          <w:rFonts w:eastAsia="黑体"/>
          <w:color w:val="auto"/>
          <w:sz w:val="21"/>
          <w:szCs w:val="21"/>
          <w:highlight w:val="none"/>
        </w:rPr>
      </w:pPr>
      <w:bookmarkStart w:id="271" w:name="_Toc9645"/>
      <w:r>
        <w:rPr>
          <w:rFonts w:eastAsia="黑体"/>
          <w:color w:val="auto"/>
          <w:sz w:val="21"/>
          <w:szCs w:val="21"/>
          <w:highlight w:val="none"/>
        </w:rPr>
        <w:t>5</w:t>
      </w:r>
      <w:bookmarkStart w:id="272" w:name="_Toc337558759"/>
      <w:r>
        <w:rPr>
          <w:rFonts w:eastAsia="黑体"/>
          <w:color w:val="auto"/>
          <w:sz w:val="21"/>
          <w:szCs w:val="21"/>
          <w:highlight w:val="none"/>
        </w:rPr>
        <w:t>.1质量要求</w:t>
      </w:r>
      <w:bookmarkEnd w:id="271"/>
    </w:p>
    <w:bookmarkEnd w:id="272"/>
    <w:p w14:paraId="5C7759B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5.1.1 工程质量必须符合现行国家有关工程施工质量验收规范和标准的要求。有关工程质量的特殊标准或要求由合同当事人在专用合同条款中约定。</w:t>
      </w:r>
    </w:p>
    <w:p w14:paraId="69B8E8B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5.1.2 因发包人原因造成工程质量未达到合同约定标准的，由发包人承担由此增加的费用和（或）延误的工期，并支付承包人合理的利润。</w:t>
      </w:r>
    </w:p>
    <w:p w14:paraId="75C39EC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5.1.3 因承包人原因造成工程质量未达到合同约定标准的，发包人有权要求承包人</w:t>
      </w:r>
      <w:r>
        <w:rPr>
          <w:rFonts w:hint="eastAsia" w:eastAsia="仿宋_GB2312"/>
          <w:color w:val="auto"/>
          <w:kern w:val="0"/>
          <w:szCs w:val="21"/>
          <w:highlight w:val="none"/>
        </w:rPr>
        <w:t>修理或者</w:t>
      </w:r>
      <w:r>
        <w:rPr>
          <w:rFonts w:eastAsia="仿宋_GB2312"/>
          <w:color w:val="auto"/>
          <w:kern w:val="0"/>
          <w:szCs w:val="21"/>
          <w:highlight w:val="none"/>
        </w:rPr>
        <w:t>返工</w:t>
      </w:r>
      <w:r>
        <w:rPr>
          <w:rFonts w:hint="eastAsia" w:eastAsia="仿宋_GB2312"/>
          <w:color w:val="auto"/>
          <w:kern w:val="0"/>
          <w:szCs w:val="21"/>
          <w:highlight w:val="none"/>
        </w:rPr>
        <w:t>、改建</w:t>
      </w:r>
      <w:r>
        <w:rPr>
          <w:rFonts w:eastAsia="仿宋_GB2312"/>
          <w:color w:val="auto"/>
          <w:kern w:val="0"/>
          <w:szCs w:val="21"/>
          <w:highlight w:val="none"/>
        </w:rPr>
        <w:t>直至工程质量达到合同约定的标准为止，并由承包人承担由此增加的费用和（或）延误的工期。</w:t>
      </w:r>
    </w:p>
    <w:p w14:paraId="6CAEEEEA">
      <w:pPr>
        <w:pStyle w:val="4"/>
        <w:spacing w:before="0" w:after="0" w:line="360" w:lineRule="auto"/>
        <w:ind w:firstLine="420" w:firstLineChars="200"/>
        <w:rPr>
          <w:rFonts w:eastAsia="黑体"/>
          <w:color w:val="auto"/>
          <w:sz w:val="21"/>
          <w:szCs w:val="21"/>
          <w:highlight w:val="none"/>
        </w:rPr>
      </w:pPr>
      <w:bookmarkStart w:id="273" w:name="_Toc8466"/>
      <w:r>
        <w:rPr>
          <w:rFonts w:eastAsia="黑体"/>
          <w:color w:val="auto"/>
          <w:sz w:val="21"/>
          <w:szCs w:val="21"/>
          <w:highlight w:val="none"/>
        </w:rPr>
        <w:t>5</w:t>
      </w:r>
      <w:bookmarkStart w:id="274" w:name="_Toc337558760"/>
      <w:r>
        <w:rPr>
          <w:rFonts w:eastAsia="黑体"/>
          <w:color w:val="auto"/>
          <w:sz w:val="21"/>
          <w:szCs w:val="21"/>
          <w:highlight w:val="none"/>
        </w:rPr>
        <w:t>.2质量保证措施</w:t>
      </w:r>
      <w:bookmarkEnd w:id="273"/>
    </w:p>
    <w:bookmarkEnd w:id="274"/>
    <w:p w14:paraId="0E1070E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5.2.1 发包人的质量管理</w:t>
      </w:r>
    </w:p>
    <w:p w14:paraId="27C75AE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发包人应按照法律规定及合同约定完成与工程质量有关的各项工作。</w:t>
      </w:r>
    </w:p>
    <w:p w14:paraId="25F730B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5.2.2 承包人的质量管理</w:t>
      </w:r>
    </w:p>
    <w:p w14:paraId="17151D2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承包人按照第7.1款</w:t>
      </w:r>
      <w:r>
        <w:rPr>
          <w:rFonts w:hint="eastAsia" w:eastAsia="仿宋_GB2312"/>
          <w:color w:val="auto"/>
          <w:kern w:val="0"/>
          <w:szCs w:val="21"/>
          <w:highlight w:val="none"/>
        </w:rPr>
        <w:t>〔</w:t>
      </w:r>
      <w:r>
        <w:rPr>
          <w:rFonts w:eastAsia="仿宋_GB2312"/>
          <w:color w:val="auto"/>
          <w:kern w:val="0"/>
          <w:szCs w:val="21"/>
          <w:highlight w:val="none"/>
        </w:rPr>
        <w:t>施工组织设计</w:t>
      </w:r>
      <w:r>
        <w:rPr>
          <w:rFonts w:hint="eastAsia" w:eastAsia="仿宋_GB2312"/>
          <w:color w:val="auto"/>
          <w:kern w:val="0"/>
          <w:szCs w:val="21"/>
          <w:highlight w:val="none"/>
        </w:rPr>
        <w:t>〕</w:t>
      </w:r>
      <w:r>
        <w:rPr>
          <w:rFonts w:eastAsia="仿宋_GB2312"/>
          <w:color w:val="auto"/>
          <w:kern w:val="0"/>
          <w:szCs w:val="21"/>
          <w:highlight w:val="none"/>
        </w:rPr>
        <w:t>约定向发包人和监理人提交工程质量保证体系及措施文件，建立完善的质量检查制度，并提交相应的工程质量文件。对于发包人和监理人违反法律规定和合同约定的错误指示，承包人有权拒绝实施。</w:t>
      </w:r>
    </w:p>
    <w:p w14:paraId="200B080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承包人应对施工人员进行质量教育和技术培训，定期考核施工人员的劳动技能，严格执行施工规范和操作规程。</w:t>
      </w:r>
    </w:p>
    <w:p w14:paraId="623FBF3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298B16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5.2.3 监理人的质量检查和检验</w:t>
      </w:r>
    </w:p>
    <w:p w14:paraId="76DA63E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3378A8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4CB4A51">
      <w:pPr>
        <w:pStyle w:val="4"/>
        <w:spacing w:before="0" w:after="0" w:line="360" w:lineRule="auto"/>
        <w:ind w:firstLine="420" w:firstLineChars="200"/>
        <w:rPr>
          <w:rFonts w:eastAsia="黑体"/>
          <w:color w:val="auto"/>
          <w:sz w:val="21"/>
          <w:szCs w:val="21"/>
          <w:highlight w:val="none"/>
        </w:rPr>
      </w:pPr>
      <w:bookmarkStart w:id="275" w:name="_Toc30572"/>
      <w:r>
        <w:rPr>
          <w:rFonts w:eastAsia="黑体"/>
          <w:color w:val="auto"/>
          <w:sz w:val="21"/>
          <w:szCs w:val="21"/>
          <w:highlight w:val="none"/>
        </w:rPr>
        <w:t>5</w:t>
      </w:r>
      <w:bookmarkStart w:id="276" w:name="_Toc337558761"/>
      <w:r>
        <w:rPr>
          <w:rFonts w:eastAsia="黑体"/>
          <w:color w:val="auto"/>
          <w:sz w:val="21"/>
          <w:szCs w:val="21"/>
          <w:highlight w:val="none"/>
        </w:rPr>
        <w:t>.3 隐蔽工程检查</w:t>
      </w:r>
      <w:bookmarkEnd w:id="275"/>
    </w:p>
    <w:bookmarkEnd w:id="276"/>
    <w:p w14:paraId="35EEF25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5.3.1承包人自检</w:t>
      </w:r>
    </w:p>
    <w:p w14:paraId="2AD5048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承包人应当对工程隐蔽部位进行自检，并经自检确认是否具备覆盖条件。</w:t>
      </w:r>
    </w:p>
    <w:p w14:paraId="491C472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5.3.2检查程序</w:t>
      </w:r>
    </w:p>
    <w:p w14:paraId="5CE16F6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除专用合同条款另有约定外，工程隐蔽部位经承包人自检确认具备覆盖条件的，承包人应在</w:t>
      </w:r>
      <w:r>
        <w:rPr>
          <w:rFonts w:hint="eastAsia" w:eastAsia="仿宋_GB2312"/>
          <w:color w:val="auto"/>
          <w:kern w:val="0"/>
          <w:szCs w:val="21"/>
          <w:highlight w:val="none"/>
        </w:rPr>
        <w:t>共同</w:t>
      </w:r>
      <w:r>
        <w:rPr>
          <w:rFonts w:eastAsia="仿宋_GB2312"/>
          <w:color w:val="auto"/>
          <w:kern w:val="0"/>
          <w:szCs w:val="21"/>
          <w:highlight w:val="none"/>
        </w:rPr>
        <w:t>检查前48小时书面通知监理人检查，通知中应载明隐蔽检查的内容、时间和地点，并应附有自检记录和必要的检查资料。</w:t>
      </w:r>
    </w:p>
    <w:p w14:paraId="4F7C18B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6CCEAD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color w:val="auto"/>
          <w:kern w:val="0"/>
          <w:szCs w:val="21"/>
          <w:highlight w:val="none"/>
        </w:rPr>
        <w:t>〔</w:t>
      </w:r>
      <w:r>
        <w:rPr>
          <w:rFonts w:eastAsia="仿宋_GB2312"/>
          <w:color w:val="auto"/>
          <w:kern w:val="0"/>
          <w:szCs w:val="21"/>
          <w:highlight w:val="none"/>
        </w:rPr>
        <w:t>重新检查</w:t>
      </w:r>
      <w:r>
        <w:rPr>
          <w:rFonts w:hint="eastAsia" w:eastAsia="仿宋_GB2312"/>
          <w:color w:val="auto"/>
          <w:kern w:val="0"/>
          <w:szCs w:val="21"/>
          <w:highlight w:val="none"/>
        </w:rPr>
        <w:t>〕</w:t>
      </w:r>
      <w:r>
        <w:rPr>
          <w:rFonts w:eastAsia="仿宋_GB2312"/>
          <w:color w:val="auto"/>
          <w:kern w:val="0"/>
          <w:szCs w:val="21"/>
          <w:highlight w:val="none"/>
        </w:rPr>
        <w:t>的约定重新检查。</w:t>
      </w:r>
    </w:p>
    <w:p w14:paraId="5E5A031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5.3.3 重新检查</w:t>
      </w:r>
    </w:p>
    <w:p w14:paraId="3E3539A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AF2CE7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5.3.4 承包人私自覆盖</w:t>
      </w:r>
    </w:p>
    <w:p w14:paraId="6FE831B4">
      <w:pPr>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9C7AB3F">
      <w:pPr>
        <w:pStyle w:val="4"/>
        <w:spacing w:before="0" w:after="0" w:line="360" w:lineRule="auto"/>
        <w:ind w:firstLine="420" w:firstLineChars="200"/>
        <w:rPr>
          <w:rFonts w:eastAsia="黑体"/>
          <w:color w:val="auto"/>
          <w:sz w:val="21"/>
          <w:szCs w:val="21"/>
          <w:highlight w:val="none"/>
        </w:rPr>
      </w:pPr>
      <w:bookmarkStart w:id="277" w:name="_Toc15730"/>
      <w:r>
        <w:rPr>
          <w:rFonts w:eastAsia="黑体"/>
          <w:color w:val="auto"/>
          <w:sz w:val="21"/>
          <w:szCs w:val="21"/>
          <w:highlight w:val="none"/>
        </w:rPr>
        <w:t>5</w:t>
      </w:r>
      <w:bookmarkStart w:id="278" w:name="_Toc337558762"/>
      <w:r>
        <w:rPr>
          <w:rFonts w:eastAsia="黑体"/>
          <w:color w:val="auto"/>
          <w:sz w:val="21"/>
          <w:szCs w:val="21"/>
          <w:highlight w:val="none"/>
        </w:rPr>
        <w:t>.4不合格工程的处理</w:t>
      </w:r>
      <w:bookmarkEnd w:id="277"/>
    </w:p>
    <w:bookmarkEnd w:id="278"/>
    <w:p w14:paraId="3C01563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color w:val="auto"/>
          <w:kern w:val="0"/>
          <w:szCs w:val="21"/>
          <w:highlight w:val="none"/>
        </w:rPr>
        <w:t>〔</w:t>
      </w:r>
      <w:r>
        <w:rPr>
          <w:rFonts w:eastAsia="仿宋_GB2312"/>
          <w:color w:val="auto"/>
          <w:kern w:val="0"/>
          <w:szCs w:val="21"/>
          <w:highlight w:val="none"/>
        </w:rPr>
        <w:t>拒绝接收全部或部分工程</w:t>
      </w:r>
      <w:r>
        <w:rPr>
          <w:rFonts w:hint="eastAsia" w:eastAsia="仿宋_GB2312"/>
          <w:color w:val="auto"/>
          <w:kern w:val="0"/>
          <w:szCs w:val="21"/>
          <w:highlight w:val="none"/>
        </w:rPr>
        <w:t>〕</w:t>
      </w:r>
      <w:r>
        <w:rPr>
          <w:rFonts w:eastAsia="仿宋_GB2312"/>
          <w:color w:val="auto"/>
          <w:kern w:val="0"/>
          <w:szCs w:val="21"/>
          <w:highlight w:val="none"/>
        </w:rPr>
        <w:t xml:space="preserve">约定执行。 </w:t>
      </w:r>
    </w:p>
    <w:p w14:paraId="1A5677D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5.4.2 因发包人原因造成工程不合格的，由此增加的费用和（或）延误的工期由发包人承担，并支付承包人合理的利润。</w:t>
      </w:r>
    </w:p>
    <w:p w14:paraId="02415658">
      <w:pPr>
        <w:pStyle w:val="4"/>
        <w:spacing w:before="0" w:after="0" w:line="360" w:lineRule="auto"/>
        <w:ind w:firstLine="420" w:firstLineChars="200"/>
        <w:rPr>
          <w:rFonts w:eastAsia="黑体"/>
          <w:color w:val="auto"/>
          <w:sz w:val="21"/>
          <w:szCs w:val="21"/>
          <w:highlight w:val="none"/>
        </w:rPr>
      </w:pPr>
      <w:bookmarkStart w:id="279" w:name="_Toc26640"/>
      <w:r>
        <w:rPr>
          <w:rFonts w:eastAsia="黑体"/>
          <w:color w:val="auto"/>
          <w:sz w:val="21"/>
          <w:szCs w:val="21"/>
          <w:highlight w:val="none"/>
        </w:rPr>
        <w:t>5.5 质量争议检测</w:t>
      </w:r>
      <w:bookmarkEnd w:id="279"/>
    </w:p>
    <w:p w14:paraId="1F9A278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合同当事人对工程质量有争议的，由双方协商确定的工程质量检测机构鉴定，由此产生的费用及因此造成的损失，由责任方承担。</w:t>
      </w:r>
    </w:p>
    <w:p w14:paraId="77EAB99C">
      <w:pPr>
        <w:autoSpaceDE w:val="0"/>
        <w:autoSpaceDN w:val="0"/>
        <w:adjustRightInd w:val="0"/>
        <w:spacing w:line="360" w:lineRule="auto"/>
        <w:ind w:firstLine="1687"/>
        <w:jc w:val="left"/>
        <w:rPr>
          <w:rFonts w:eastAsia="仿宋_GB2312"/>
          <w:color w:val="auto"/>
          <w:kern w:val="0"/>
          <w:szCs w:val="21"/>
          <w:highlight w:val="none"/>
        </w:rPr>
      </w:pPr>
      <w:r>
        <w:rPr>
          <w:rFonts w:eastAsia="仿宋_GB2312"/>
          <w:color w:val="auto"/>
          <w:kern w:val="0"/>
          <w:szCs w:val="21"/>
          <w:highlight w:val="none"/>
        </w:rPr>
        <w:t>合同当事人均有责任的，由双方根据其责任分别承担。合同当事人无法达成一致的，按照第4.4款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执行。</w:t>
      </w:r>
    </w:p>
    <w:p w14:paraId="02DF9188">
      <w:pPr>
        <w:pStyle w:val="3"/>
        <w:ind w:firstLine="1680"/>
        <w:rPr>
          <w:rFonts w:ascii="Times New Roman" w:hAnsi="Times New Roman"/>
          <w:color w:val="auto"/>
          <w:sz w:val="21"/>
          <w:szCs w:val="21"/>
          <w:highlight w:val="none"/>
        </w:rPr>
      </w:pPr>
      <w:bookmarkStart w:id="280" w:name="_Toc10836"/>
      <w:r>
        <w:rPr>
          <w:rFonts w:ascii="Times New Roman" w:hAnsi="Times New Roman"/>
          <w:color w:val="auto"/>
          <w:sz w:val="21"/>
          <w:szCs w:val="21"/>
          <w:highlight w:val="none"/>
        </w:rPr>
        <w:t>6</w:t>
      </w:r>
      <w:bookmarkStart w:id="281" w:name="_Toc337558763"/>
      <w:r>
        <w:rPr>
          <w:rFonts w:ascii="Times New Roman" w:hAnsi="Times New Roman"/>
          <w:color w:val="auto"/>
          <w:sz w:val="21"/>
          <w:szCs w:val="21"/>
          <w:highlight w:val="none"/>
        </w:rPr>
        <w:t>. 安全文明施工与环境保护</w:t>
      </w:r>
      <w:bookmarkEnd w:id="280"/>
    </w:p>
    <w:bookmarkEnd w:id="281"/>
    <w:p w14:paraId="55DECB9F">
      <w:pPr>
        <w:pStyle w:val="4"/>
        <w:spacing w:before="0" w:after="0" w:line="360" w:lineRule="auto"/>
        <w:ind w:firstLine="420" w:firstLineChars="200"/>
        <w:rPr>
          <w:rFonts w:eastAsia="黑体"/>
          <w:color w:val="auto"/>
          <w:sz w:val="21"/>
          <w:szCs w:val="21"/>
          <w:highlight w:val="none"/>
        </w:rPr>
      </w:pPr>
      <w:bookmarkStart w:id="282" w:name="_Toc13467"/>
      <w:r>
        <w:rPr>
          <w:rFonts w:eastAsia="黑体"/>
          <w:color w:val="auto"/>
          <w:sz w:val="21"/>
          <w:szCs w:val="21"/>
          <w:highlight w:val="none"/>
        </w:rPr>
        <w:t>6</w:t>
      </w:r>
      <w:bookmarkStart w:id="283" w:name="_Toc337558764"/>
      <w:r>
        <w:rPr>
          <w:rFonts w:eastAsia="黑体"/>
          <w:color w:val="auto"/>
          <w:sz w:val="21"/>
          <w:szCs w:val="21"/>
          <w:highlight w:val="none"/>
        </w:rPr>
        <w:t>.1安全文明施工</w:t>
      </w:r>
      <w:bookmarkEnd w:id="282"/>
    </w:p>
    <w:bookmarkEnd w:id="283"/>
    <w:p w14:paraId="5F367BF6">
      <w:pPr>
        <w:spacing w:line="360" w:lineRule="auto"/>
        <w:ind w:firstLine="420" w:firstLineChars="200"/>
        <w:rPr>
          <w:rFonts w:eastAsia="仿宋_GB2312"/>
          <w:color w:val="auto"/>
          <w:szCs w:val="21"/>
          <w:highlight w:val="none"/>
        </w:rPr>
      </w:pPr>
      <w:r>
        <w:rPr>
          <w:rFonts w:eastAsia="仿宋_GB2312"/>
          <w:color w:val="auto"/>
          <w:szCs w:val="21"/>
          <w:highlight w:val="none"/>
        </w:rPr>
        <w:t>6.1.1安全生产要求</w:t>
      </w:r>
    </w:p>
    <w:p w14:paraId="483E7E1C">
      <w:pPr>
        <w:spacing w:line="360" w:lineRule="auto"/>
        <w:ind w:firstLine="420" w:firstLineChars="200"/>
        <w:rPr>
          <w:rFonts w:eastAsia="仿宋_GB2312"/>
          <w:color w:val="auto"/>
          <w:szCs w:val="21"/>
          <w:highlight w:val="none"/>
        </w:rPr>
      </w:pPr>
      <w:r>
        <w:rPr>
          <w:rFonts w:eastAsia="仿宋_GB2312"/>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078C7AC">
      <w:pPr>
        <w:spacing w:line="360" w:lineRule="auto"/>
        <w:ind w:firstLine="420" w:firstLineChars="200"/>
        <w:rPr>
          <w:rFonts w:eastAsia="仿宋_GB2312"/>
          <w:color w:val="auto"/>
          <w:szCs w:val="21"/>
          <w:highlight w:val="none"/>
        </w:rPr>
      </w:pPr>
      <w:r>
        <w:rPr>
          <w:rFonts w:eastAsia="仿宋_GB2312"/>
          <w:color w:val="auto"/>
          <w:szCs w:val="21"/>
          <w:highlight w:val="none"/>
        </w:rPr>
        <w:t>在施工过程中，如遇到突发的地质变动、事先未知的地下施工障碍等影响施工安全的紧急情况，</w:t>
      </w:r>
      <w:r>
        <w:rPr>
          <w:rFonts w:hint="eastAsia" w:eastAsia="仿宋_GB2312"/>
          <w:color w:val="auto"/>
          <w:szCs w:val="21"/>
          <w:highlight w:val="none"/>
        </w:rPr>
        <w:t>承包人应及时报告监理人和发包人，</w:t>
      </w:r>
      <w:r>
        <w:rPr>
          <w:rFonts w:eastAsia="仿宋_GB2312"/>
          <w:color w:val="auto"/>
          <w:szCs w:val="21"/>
          <w:highlight w:val="none"/>
        </w:rPr>
        <w:t>发包人应当及时下令停工并报</w:t>
      </w:r>
      <w:r>
        <w:rPr>
          <w:rFonts w:eastAsia="仿宋_GB2312"/>
          <w:color w:val="auto"/>
          <w:kern w:val="0"/>
          <w:szCs w:val="21"/>
          <w:highlight w:val="none"/>
        </w:rPr>
        <w:t>政府有关行政管理部门</w:t>
      </w:r>
      <w:r>
        <w:rPr>
          <w:rFonts w:eastAsia="仿宋_GB2312"/>
          <w:color w:val="auto"/>
          <w:szCs w:val="21"/>
          <w:highlight w:val="none"/>
        </w:rPr>
        <w:t>采取应急措施。</w:t>
      </w:r>
    </w:p>
    <w:p w14:paraId="5490E09C">
      <w:pPr>
        <w:spacing w:line="360" w:lineRule="auto"/>
        <w:ind w:firstLine="420" w:firstLineChars="200"/>
        <w:rPr>
          <w:rFonts w:eastAsia="仿宋_GB2312"/>
          <w:color w:val="auto"/>
          <w:szCs w:val="21"/>
          <w:highlight w:val="none"/>
        </w:rPr>
      </w:pPr>
      <w:r>
        <w:rPr>
          <w:rFonts w:eastAsia="仿宋_GB2312"/>
          <w:color w:val="auto"/>
          <w:szCs w:val="21"/>
          <w:highlight w:val="none"/>
        </w:rPr>
        <w:t>因安全生产需要暂停施工的，按照第7.8款</w:t>
      </w:r>
      <w:r>
        <w:rPr>
          <w:rFonts w:hint="eastAsia" w:eastAsia="仿宋_GB2312"/>
          <w:color w:val="auto"/>
          <w:szCs w:val="21"/>
          <w:highlight w:val="none"/>
        </w:rPr>
        <w:t>〔</w:t>
      </w:r>
      <w:r>
        <w:rPr>
          <w:rFonts w:eastAsia="仿宋_GB2312"/>
          <w:color w:val="auto"/>
          <w:szCs w:val="21"/>
          <w:highlight w:val="none"/>
        </w:rPr>
        <w:t>暂停施工</w:t>
      </w:r>
      <w:r>
        <w:rPr>
          <w:rFonts w:hint="eastAsia" w:eastAsia="仿宋_GB2312"/>
          <w:color w:val="auto"/>
          <w:szCs w:val="21"/>
          <w:highlight w:val="none"/>
        </w:rPr>
        <w:t>〕</w:t>
      </w:r>
      <w:r>
        <w:rPr>
          <w:rFonts w:eastAsia="仿宋_GB2312"/>
          <w:color w:val="auto"/>
          <w:szCs w:val="21"/>
          <w:highlight w:val="none"/>
        </w:rPr>
        <w:t>的约定执行。</w:t>
      </w:r>
    </w:p>
    <w:p w14:paraId="55059351">
      <w:pPr>
        <w:spacing w:line="360" w:lineRule="auto"/>
        <w:ind w:firstLine="420" w:firstLineChars="200"/>
        <w:rPr>
          <w:rFonts w:eastAsia="仿宋_GB2312"/>
          <w:color w:val="auto"/>
          <w:szCs w:val="21"/>
          <w:highlight w:val="none"/>
        </w:rPr>
      </w:pPr>
      <w:r>
        <w:rPr>
          <w:rFonts w:eastAsia="仿宋_GB2312"/>
          <w:color w:val="auto"/>
          <w:szCs w:val="21"/>
          <w:highlight w:val="none"/>
        </w:rPr>
        <w:t>6.1.2 安全生产保证措施</w:t>
      </w:r>
    </w:p>
    <w:p w14:paraId="51F171A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承包人应当按照有关</w:t>
      </w:r>
      <w:r>
        <w:rPr>
          <w:rFonts w:eastAsia="仿宋_GB2312"/>
          <w:color w:val="auto"/>
          <w:kern w:val="0"/>
          <w:szCs w:val="21"/>
          <w:highlight w:val="none"/>
        </w:rPr>
        <w:t>规定编制安全技术措施或者专项施工方案，</w:t>
      </w:r>
      <w:r>
        <w:rPr>
          <w:rFonts w:eastAsia="仿宋_GB2312"/>
          <w:color w:val="auto"/>
          <w:szCs w:val="21"/>
          <w:highlight w:val="none"/>
        </w:rPr>
        <w:t>建立安全生产责任制度、治安保卫制度及安全生产教育培训制度，并</w:t>
      </w:r>
      <w:r>
        <w:rPr>
          <w:rFonts w:eastAsia="仿宋_GB2312"/>
          <w:color w:val="auto"/>
          <w:kern w:val="0"/>
          <w:szCs w:val="21"/>
          <w:highlight w:val="none"/>
        </w:rPr>
        <w:t>按安全生产法律规定及合同约定履行安全职责，</w:t>
      </w:r>
      <w:r>
        <w:rPr>
          <w:rFonts w:hint="eastAsia" w:eastAsia="仿宋_GB2312"/>
          <w:color w:val="auto"/>
          <w:kern w:val="0"/>
          <w:szCs w:val="21"/>
          <w:highlight w:val="none"/>
        </w:rPr>
        <w:t>如实</w:t>
      </w:r>
      <w:r>
        <w:rPr>
          <w:rFonts w:eastAsia="仿宋_GB2312"/>
          <w:color w:val="auto"/>
          <w:szCs w:val="21"/>
          <w:highlight w:val="none"/>
        </w:rPr>
        <w:t>编制工程安全生产的有关记录，</w:t>
      </w:r>
      <w:r>
        <w:rPr>
          <w:rFonts w:eastAsia="仿宋_GB2312"/>
          <w:color w:val="auto"/>
          <w:kern w:val="0"/>
          <w:szCs w:val="21"/>
          <w:highlight w:val="none"/>
        </w:rPr>
        <w:t>接受发包人、监理人及政府安全监督部门的检查与监督。</w:t>
      </w:r>
    </w:p>
    <w:p w14:paraId="36A2DF3A">
      <w:pPr>
        <w:spacing w:line="360" w:lineRule="auto"/>
        <w:ind w:firstLine="420" w:firstLineChars="200"/>
        <w:rPr>
          <w:rFonts w:eastAsia="仿宋_GB2312"/>
          <w:color w:val="auto"/>
          <w:szCs w:val="21"/>
          <w:highlight w:val="none"/>
        </w:rPr>
      </w:pPr>
      <w:r>
        <w:rPr>
          <w:rFonts w:eastAsia="仿宋_GB2312"/>
          <w:color w:val="auto"/>
          <w:szCs w:val="21"/>
          <w:highlight w:val="none"/>
        </w:rPr>
        <w:t>6.1.3特别安全生产事项</w:t>
      </w:r>
    </w:p>
    <w:p w14:paraId="215A84B2">
      <w:pPr>
        <w:spacing w:line="360" w:lineRule="auto"/>
        <w:ind w:firstLine="420" w:firstLineChars="200"/>
        <w:rPr>
          <w:rFonts w:eastAsia="仿宋_GB2312"/>
          <w:color w:val="auto"/>
          <w:szCs w:val="21"/>
          <w:highlight w:val="none"/>
        </w:rPr>
      </w:pPr>
      <w:r>
        <w:rPr>
          <w:rFonts w:eastAsia="仿宋_GB2312"/>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8A1653A">
      <w:pPr>
        <w:spacing w:line="360" w:lineRule="auto"/>
        <w:ind w:firstLine="420" w:firstLineChars="200"/>
        <w:rPr>
          <w:rFonts w:eastAsia="仿宋_GB2312"/>
          <w:color w:val="auto"/>
          <w:szCs w:val="21"/>
          <w:highlight w:val="none"/>
        </w:rPr>
      </w:pPr>
      <w:r>
        <w:rPr>
          <w:rFonts w:eastAsia="仿宋_GB2312"/>
          <w:color w:val="auto"/>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52B51D43">
      <w:pPr>
        <w:spacing w:line="360" w:lineRule="auto"/>
        <w:ind w:firstLine="420" w:firstLineChars="200"/>
        <w:rPr>
          <w:rFonts w:eastAsia="仿宋_GB2312"/>
          <w:color w:val="auto"/>
          <w:szCs w:val="21"/>
          <w:highlight w:val="none"/>
        </w:rPr>
      </w:pPr>
      <w:r>
        <w:rPr>
          <w:rFonts w:eastAsia="仿宋_GB2312"/>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09308037">
      <w:pPr>
        <w:spacing w:line="360" w:lineRule="auto"/>
        <w:ind w:firstLine="420" w:firstLineChars="200"/>
        <w:rPr>
          <w:rFonts w:eastAsia="仿宋_GB2312"/>
          <w:color w:val="auto"/>
          <w:szCs w:val="21"/>
          <w:highlight w:val="none"/>
        </w:rPr>
      </w:pPr>
      <w:r>
        <w:rPr>
          <w:rFonts w:eastAsia="仿宋_GB2312"/>
          <w:color w:val="auto"/>
          <w:szCs w:val="21"/>
          <w:highlight w:val="none"/>
        </w:rPr>
        <w:t>需单独编制危险性较大分部分项专项工程施工方案的，及要求进行专家论证的超过一定规模的危险性较大的分部分项工程，承包人应及时编制和组织论证。</w:t>
      </w:r>
    </w:p>
    <w:p w14:paraId="24B36E89">
      <w:pPr>
        <w:spacing w:line="360" w:lineRule="auto"/>
        <w:ind w:firstLine="420" w:firstLineChars="200"/>
        <w:rPr>
          <w:rFonts w:eastAsia="仿宋_GB2312"/>
          <w:color w:val="auto"/>
          <w:szCs w:val="21"/>
          <w:highlight w:val="none"/>
        </w:rPr>
      </w:pPr>
      <w:r>
        <w:rPr>
          <w:rFonts w:eastAsia="仿宋_GB2312"/>
          <w:color w:val="auto"/>
          <w:szCs w:val="21"/>
          <w:highlight w:val="none"/>
        </w:rPr>
        <w:t>6.1.4 治安保卫</w:t>
      </w:r>
    </w:p>
    <w:p w14:paraId="12A44C39">
      <w:pPr>
        <w:spacing w:line="360" w:lineRule="auto"/>
        <w:ind w:firstLine="420" w:firstLineChars="200"/>
        <w:rPr>
          <w:rFonts w:eastAsia="仿宋_GB2312"/>
          <w:color w:val="auto"/>
          <w:szCs w:val="21"/>
          <w:highlight w:val="none"/>
        </w:rPr>
      </w:pPr>
      <w:r>
        <w:rPr>
          <w:rFonts w:eastAsia="仿宋_GB2312"/>
          <w:color w:val="auto"/>
          <w:szCs w:val="21"/>
          <w:highlight w:val="none"/>
        </w:rPr>
        <w:t>除专用合同条款另有约定外，发包人应与当地公安部门协商，在现场建立治安管理机构或联防组织，统一管理施工场地的治安保卫事项，履行合同工程的治安保卫职责。</w:t>
      </w:r>
    </w:p>
    <w:p w14:paraId="440CE100">
      <w:pPr>
        <w:spacing w:line="360" w:lineRule="auto"/>
        <w:ind w:firstLine="420" w:firstLineChars="200"/>
        <w:rPr>
          <w:rFonts w:eastAsia="仿宋_GB2312"/>
          <w:color w:val="auto"/>
          <w:szCs w:val="21"/>
          <w:highlight w:val="none"/>
        </w:rPr>
      </w:pPr>
      <w:r>
        <w:rPr>
          <w:rFonts w:eastAsia="仿宋_GB2312"/>
          <w:color w:val="auto"/>
          <w:szCs w:val="21"/>
          <w:highlight w:val="none"/>
        </w:rPr>
        <w:t>发包人和承包人除应协助现场治安管理机构或联防组织维护施工场地的社会治安外，还应做好包括生活区在内的各自管辖区的治安保卫工作。</w:t>
      </w:r>
    </w:p>
    <w:p w14:paraId="3D20A2FA">
      <w:pPr>
        <w:spacing w:line="360" w:lineRule="auto"/>
        <w:ind w:firstLine="420" w:firstLineChars="200"/>
        <w:rPr>
          <w:rFonts w:eastAsia="仿宋_GB2312"/>
          <w:color w:val="auto"/>
          <w:szCs w:val="21"/>
          <w:highlight w:val="none"/>
        </w:rPr>
      </w:pPr>
      <w:r>
        <w:rPr>
          <w:rFonts w:eastAsia="仿宋_GB2312"/>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color w:val="auto"/>
          <w:szCs w:val="21"/>
          <w:highlight w:val="none"/>
        </w:rPr>
        <w:t>和</w:t>
      </w:r>
      <w:r>
        <w:rPr>
          <w:rFonts w:eastAsia="仿宋_GB2312"/>
          <w:color w:val="auto"/>
          <w:szCs w:val="21"/>
          <w:highlight w:val="none"/>
        </w:rPr>
        <w:t>财产损失。</w:t>
      </w:r>
    </w:p>
    <w:p w14:paraId="281932D4">
      <w:pPr>
        <w:spacing w:line="360" w:lineRule="auto"/>
        <w:ind w:firstLine="420" w:firstLineChars="200"/>
        <w:rPr>
          <w:rFonts w:eastAsia="仿宋_GB2312"/>
          <w:color w:val="auto"/>
          <w:kern w:val="0"/>
          <w:szCs w:val="21"/>
          <w:highlight w:val="none"/>
        </w:rPr>
      </w:pPr>
      <w:r>
        <w:rPr>
          <w:rFonts w:eastAsia="仿宋_GB2312"/>
          <w:color w:val="auto"/>
          <w:szCs w:val="21"/>
          <w:highlight w:val="none"/>
        </w:rPr>
        <w:t>6.1.5 文明施工</w:t>
      </w:r>
    </w:p>
    <w:p w14:paraId="69BFB8F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承包人在工程施工期间，应当采取措施保持施工现场平整，物料堆放整齐。工程所在地有关政府行政管理部门有特殊要求的，按照其要求执行。</w:t>
      </w:r>
      <w:r>
        <w:rPr>
          <w:rFonts w:hint="eastAsia" w:eastAsia="仿宋_GB2312"/>
          <w:color w:val="auto"/>
          <w:kern w:val="0"/>
          <w:szCs w:val="21"/>
          <w:highlight w:val="none"/>
        </w:rPr>
        <w:t>合同当事人对文明施工有其他要求的，可以在专用合同条款中明确。</w:t>
      </w:r>
    </w:p>
    <w:p w14:paraId="7B27E6A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4C83F01">
      <w:pPr>
        <w:spacing w:line="360" w:lineRule="auto"/>
        <w:ind w:firstLine="420" w:firstLineChars="200"/>
        <w:rPr>
          <w:rFonts w:eastAsia="仿宋_GB2312"/>
          <w:color w:val="auto"/>
          <w:szCs w:val="21"/>
          <w:highlight w:val="none"/>
        </w:rPr>
      </w:pPr>
      <w:r>
        <w:rPr>
          <w:rFonts w:eastAsia="仿宋_GB2312"/>
          <w:color w:val="auto"/>
          <w:szCs w:val="21"/>
          <w:highlight w:val="none"/>
        </w:rPr>
        <w:t>6.1.6 安全文明施工费</w:t>
      </w:r>
    </w:p>
    <w:p w14:paraId="5125D4F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3367EC2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4DABD7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color w:val="auto"/>
          <w:kern w:val="0"/>
          <w:szCs w:val="21"/>
          <w:highlight w:val="none"/>
        </w:rPr>
        <w:t>〔</w:t>
      </w:r>
      <w:r>
        <w:rPr>
          <w:rFonts w:eastAsia="仿宋_GB2312"/>
          <w:color w:val="auto"/>
          <w:kern w:val="0"/>
          <w:szCs w:val="21"/>
          <w:highlight w:val="none"/>
        </w:rPr>
        <w:t>发包人违约的情形</w:t>
      </w:r>
      <w:r>
        <w:rPr>
          <w:rFonts w:hint="eastAsia" w:eastAsia="仿宋_GB2312"/>
          <w:color w:val="auto"/>
          <w:kern w:val="0"/>
          <w:szCs w:val="21"/>
          <w:highlight w:val="none"/>
        </w:rPr>
        <w:t>〕</w:t>
      </w:r>
      <w:r>
        <w:rPr>
          <w:rFonts w:eastAsia="仿宋_GB2312"/>
          <w:color w:val="auto"/>
          <w:kern w:val="0"/>
          <w:szCs w:val="21"/>
          <w:highlight w:val="none"/>
        </w:rPr>
        <w:t>执行。</w:t>
      </w:r>
    </w:p>
    <w:p w14:paraId="46A3C51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3CCE00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6.1.7 紧急情况</w:t>
      </w:r>
      <w:r>
        <w:rPr>
          <w:rFonts w:hint="eastAsia" w:eastAsia="仿宋_GB2312"/>
          <w:color w:val="auto"/>
          <w:kern w:val="0"/>
          <w:szCs w:val="21"/>
          <w:highlight w:val="none"/>
        </w:rPr>
        <w:t>处理</w:t>
      </w:r>
    </w:p>
    <w:p w14:paraId="35BBD3E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在工程实施期间或</w:t>
      </w:r>
      <w:r>
        <w:rPr>
          <w:rFonts w:hint="eastAsia" w:eastAsia="仿宋_GB2312"/>
          <w:color w:val="auto"/>
          <w:kern w:val="0"/>
          <w:szCs w:val="21"/>
          <w:highlight w:val="none"/>
        </w:rPr>
        <w:t>保修期</w:t>
      </w:r>
      <w:r>
        <w:rPr>
          <w:rFonts w:eastAsia="仿宋_GB2312"/>
          <w:color w:val="auto"/>
          <w:kern w:val="0"/>
          <w:szCs w:val="21"/>
          <w:highlight w:val="none"/>
        </w:rPr>
        <w:t>内发生危及工程安全的事件，</w:t>
      </w:r>
      <w:r>
        <w:rPr>
          <w:rFonts w:hint="eastAsia" w:eastAsia="仿宋_GB2312"/>
          <w:color w:val="auto"/>
          <w:kern w:val="0"/>
          <w:szCs w:val="21"/>
          <w:highlight w:val="none"/>
        </w:rPr>
        <w:t>由</w:t>
      </w:r>
      <w:r>
        <w:rPr>
          <w:rFonts w:eastAsia="仿宋_GB2312"/>
          <w:color w:val="auto"/>
          <w:kern w:val="0"/>
          <w:szCs w:val="21"/>
          <w:highlight w:val="none"/>
        </w:rPr>
        <w:t>监理人</w:t>
      </w:r>
      <w:r>
        <w:rPr>
          <w:rFonts w:hint="eastAsia" w:eastAsia="仿宋_GB2312"/>
          <w:color w:val="auto"/>
          <w:kern w:val="0"/>
          <w:szCs w:val="21"/>
          <w:highlight w:val="none"/>
        </w:rPr>
        <w:t>或发包人或房屋建筑的所有权人、管理人、使用人</w:t>
      </w:r>
      <w:r>
        <w:rPr>
          <w:rFonts w:eastAsia="仿宋_GB2312"/>
          <w:color w:val="auto"/>
          <w:kern w:val="0"/>
          <w:szCs w:val="21"/>
          <w:highlight w:val="none"/>
        </w:rPr>
        <w:t>通知承包人进行抢救，承包人声明无能力或不愿立即执行的，发包人有权雇佣其他人员进行抢救。此类抢救按合同约定属于承包人义务的，由此增加的费用和（或）延误的工期由承包人承担。</w:t>
      </w:r>
    </w:p>
    <w:p w14:paraId="01BDDAF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6.1.8 事故处理</w:t>
      </w:r>
    </w:p>
    <w:p w14:paraId="6B86854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2B3FA8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6.1.9 安全生产责任</w:t>
      </w:r>
    </w:p>
    <w:p w14:paraId="6D9F79B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6.1.9.1 发包人的安全责任</w:t>
      </w:r>
    </w:p>
    <w:p w14:paraId="1A0E404C">
      <w:pPr>
        <w:spacing w:line="360" w:lineRule="auto"/>
        <w:ind w:firstLine="420" w:firstLineChars="200"/>
        <w:rPr>
          <w:rFonts w:eastAsia="仿宋_GB2312"/>
          <w:color w:val="auto"/>
          <w:szCs w:val="21"/>
          <w:highlight w:val="none"/>
        </w:rPr>
      </w:pPr>
      <w:r>
        <w:rPr>
          <w:rFonts w:eastAsia="仿宋_GB2312"/>
          <w:color w:val="auto"/>
          <w:szCs w:val="21"/>
          <w:highlight w:val="none"/>
        </w:rPr>
        <w:t>发包人应负责赔偿以下各种情况造成</w:t>
      </w:r>
      <w:r>
        <w:rPr>
          <w:rFonts w:hint="eastAsia" w:eastAsia="仿宋_GB2312"/>
          <w:color w:val="auto"/>
          <w:szCs w:val="21"/>
          <w:highlight w:val="none"/>
        </w:rPr>
        <w:t>的</w:t>
      </w:r>
      <w:r>
        <w:rPr>
          <w:rFonts w:eastAsia="仿宋_GB2312"/>
          <w:color w:val="auto"/>
          <w:szCs w:val="21"/>
          <w:highlight w:val="none"/>
        </w:rPr>
        <w:t>损失：</w:t>
      </w:r>
    </w:p>
    <w:p w14:paraId="2FC5682C">
      <w:pPr>
        <w:spacing w:line="360" w:lineRule="auto"/>
        <w:ind w:firstLine="420" w:firstLineChars="200"/>
        <w:rPr>
          <w:rFonts w:eastAsia="仿宋_GB2312"/>
          <w:color w:val="auto"/>
          <w:szCs w:val="21"/>
          <w:highlight w:val="none"/>
        </w:rPr>
      </w:pPr>
      <w:r>
        <w:rPr>
          <w:rFonts w:eastAsia="仿宋_GB2312"/>
          <w:color w:val="auto"/>
          <w:szCs w:val="21"/>
          <w:highlight w:val="none"/>
        </w:rPr>
        <w:t>（1）工程或工程的任何部分对土地的占用所造成的第三者财产损失；</w:t>
      </w:r>
    </w:p>
    <w:p w14:paraId="433A1B2E">
      <w:pPr>
        <w:spacing w:line="360" w:lineRule="auto"/>
        <w:ind w:firstLine="420" w:firstLineChars="200"/>
        <w:rPr>
          <w:rFonts w:eastAsia="仿宋_GB2312"/>
          <w:color w:val="auto"/>
          <w:szCs w:val="21"/>
          <w:highlight w:val="none"/>
        </w:rPr>
      </w:pPr>
      <w:r>
        <w:rPr>
          <w:rFonts w:eastAsia="仿宋_GB2312"/>
          <w:color w:val="auto"/>
          <w:szCs w:val="21"/>
          <w:highlight w:val="none"/>
        </w:rPr>
        <w:t>（2）由于发包人原因在施工场地及其毗邻地带造成的第三者人身伤亡和财产损失</w:t>
      </w:r>
      <w:r>
        <w:rPr>
          <w:rFonts w:hint="eastAsia" w:eastAsia="仿宋_GB2312"/>
          <w:color w:val="auto"/>
          <w:szCs w:val="21"/>
          <w:highlight w:val="none"/>
        </w:rPr>
        <w:t>；</w:t>
      </w:r>
    </w:p>
    <w:p w14:paraId="27317A38">
      <w:pPr>
        <w:spacing w:line="360" w:lineRule="auto"/>
        <w:ind w:firstLine="420" w:firstLineChars="200"/>
        <w:rPr>
          <w:rFonts w:eastAsia="仿宋_GB2312"/>
          <w:color w:val="auto"/>
          <w:szCs w:val="21"/>
          <w:highlight w:val="none"/>
        </w:rPr>
      </w:pPr>
      <w:r>
        <w:rPr>
          <w:rFonts w:hint="eastAsia" w:eastAsia="仿宋_GB2312"/>
          <w:color w:val="auto"/>
          <w:szCs w:val="21"/>
          <w:highlight w:val="none"/>
        </w:rPr>
        <w:t>（3）由于发包人原因对承包人、监理人造成的人员人身伤亡和财产损失；</w:t>
      </w:r>
    </w:p>
    <w:p w14:paraId="302A8D43">
      <w:pPr>
        <w:spacing w:line="360" w:lineRule="auto"/>
        <w:ind w:firstLine="420" w:firstLineChars="200"/>
        <w:rPr>
          <w:rFonts w:eastAsia="仿宋_GB2312"/>
          <w:color w:val="auto"/>
          <w:szCs w:val="21"/>
          <w:highlight w:val="none"/>
        </w:rPr>
      </w:pPr>
      <w:r>
        <w:rPr>
          <w:rFonts w:hint="eastAsia" w:eastAsia="仿宋_GB2312"/>
          <w:color w:val="auto"/>
          <w:szCs w:val="21"/>
          <w:highlight w:val="none"/>
        </w:rPr>
        <w:t>（4）由于发包人原因造成的发包人自身人员的人身伤害以及财产损失。</w:t>
      </w:r>
    </w:p>
    <w:p w14:paraId="6B7A11C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6.1.9.2 承包人的安全责任</w:t>
      </w:r>
    </w:p>
    <w:p w14:paraId="4509530A">
      <w:pPr>
        <w:spacing w:line="360" w:lineRule="auto"/>
        <w:ind w:firstLine="420" w:firstLineChars="200"/>
        <w:rPr>
          <w:rFonts w:eastAsia="仿宋_GB2312"/>
          <w:color w:val="auto"/>
          <w:kern w:val="0"/>
          <w:szCs w:val="21"/>
          <w:highlight w:val="none"/>
        </w:rPr>
      </w:pPr>
      <w:r>
        <w:rPr>
          <w:rFonts w:eastAsia="仿宋_GB2312"/>
          <w:color w:val="auto"/>
          <w:szCs w:val="21"/>
          <w:highlight w:val="none"/>
        </w:rPr>
        <w:t>由于承包人原因在施工场地内及其毗邻地带造成的</w:t>
      </w:r>
      <w:r>
        <w:rPr>
          <w:rFonts w:hint="eastAsia" w:eastAsia="仿宋_GB2312"/>
          <w:color w:val="auto"/>
          <w:szCs w:val="21"/>
          <w:highlight w:val="none"/>
        </w:rPr>
        <w:t>发包人、监理人以及</w:t>
      </w:r>
      <w:r>
        <w:rPr>
          <w:rFonts w:eastAsia="仿宋_GB2312"/>
          <w:color w:val="auto"/>
          <w:szCs w:val="21"/>
          <w:highlight w:val="none"/>
        </w:rPr>
        <w:t>第三者人员伤亡和财产损失，由承包人负责赔偿。</w:t>
      </w:r>
    </w:p>
    <w:p w14:paraId="11C38CC3">
      <w:pPr>
        <w:pStyle w:val="4"/>
        <w:spacing w:before="0" w:after="0" w:line="360" w:lineRule="auto"/>
        <w:ind w:firstLine="420" w:firstLineChars="200"/>
        <w:rPr>
          <w:rFonts w:eastAsia="黑体"/>
          <w:color w:val="auto"/>
          <w:sz w:val="21"/>
          <w:szCs w:val="21"/>
          <w:highlight w:val="none"/>
        </w:rPr>
      </w:pPr>
      <w:bookmarkStart w:id="284" w:name="_Toc7230"/>
      <w:r>
        <w:rPr>
          <w:rFonts w:eastAsia="黑体"/>
          <w:color w:val="auto"/>
          <w:sz w:val="21"/>
          <w:szCs w:val="21"/>
          <w:highlight w:val="none"/>
        </w:rPr>
        <w:t>6</w:t>
      </w:r>
      <w:bookmarkStart w:id="285" w:name="_Toc337558765"/>
      <w:r>
        <w:rPr>
          <w:rFonts w:eastAsia="黑体"/>
          <w:color w:val="auto"/>
          <w:sz w:val="21"/>
          <w:szCs w:val="21"/>
          <w:highlight w:val="none"/>
        </w:rPr>
        <w:t>.2 职业健康</w:t>
      </w:r>
      <w:bookmarkEnd w:id="284"/>
    </w:p>
    <w:bookmarkEnd w:id="285"/>
    <w:p w14:paraId="15FBDE6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6.2.1 劳动保护</w:t>
      </w:r>
    </w:p>
    <w:p w14:paraId="7A9096F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7FBA73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C4AD90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w:t>
      </w:r>
      <w:r>
        <w:rPr>
          <w:rFonts w:hint="eastAsia" w:eastAsia="仿宋_GB2312"/>
          <w:color w:val="auto"/>
          <w:kern w:val="0"/>
          <w:szCs w:val="21"/>
          <w:highlight w:val="none"/>
        </w:rPr>
        <w:t>法律</w:t>
      </w:r>
      <w:r>
        <w:rPr>
          <w:rFonts w:eastAsia="仿宋_GB2312"/>
          <w:color w:val="auto"/>
          <w:kern w:val="0"/>
          <w:szCs w:val="21"/>
          <w:highlight w:val="none"/>
        </w:rPr>
        <w:t>规定安排工作时间，保证其雇佣人员享有休息和休假的权利。因工程施工的特殊需要占用休假日或延长工作时间的，应不超过法律规定的限度，并按法律规定给予补休或付酬。</w:t>
      </w:r>
    </w:p>
    <w:p w14:paraId="4E739DA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6.2.2 生活条件</w:t>
      </w:r>
    </w:p>
    <w:p w14:paraId="4474FD6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729D5B8">
      <w:pPr>
        <w:pStyle w:val="4"/>
        <w:spacing w:before="0" w:after="0" w:line="360" w:lineRule="auto"/>
        <w:ind w:firstLine="420" w:firstLineChars="200"/>
        <w:rPr>
          <w:rFonts w:eastAsia="黑体"/>
          <w:color w:val="auto"/>
          <w:sz w:val="21"/>
          <w:szCs w:val="21"/>
          <w:highlight w:val="none"/>
        </w:rPr>
      </w:pPr>
      <w:bookmarkStart w:id="286" w:name="_Toc9437"/>
      <w:r>
        <w:rPr>
          <w:rFonts w:eastAsia="黑体"/>
          <w:color w:val="auto"/>
          <w:sz w:val="21"/>
          <w:szCs w:val="21"/>
          <w:highlight w:val="none"/>
        </w:rPr>
        <w:t>6</w:t>
      </w:r>
      <w:bookmarkStart w:id="287" w:name="_Toc337558766"/>
      <w:r>
        <w:rPr>
          <w:rFonts w:eastAsia="黑体"/>
          <w:color w:val="auto"/>
          <w:sz w:val="21"/>
          <w:szCs w:val="21"/>
          <w:highlight w:val="none"/>
        </w:rPr>
        <w:t>.3 环境保护</w:t>
      </w:r>
      <w:bookmarkEnd w:id="286"/>
    </w:p>
    <w:bookmarkEnd w:id="287"/>
    <w:p w14:paraId="7AF8DF5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89DE5B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承包人应当承担因其原因引起的环境污染侵权损害赔偿责任，因上述环境污染引起纠纷而导致暂停施工的，由此增加的费用和（或）延误的工期由承包人承担。</w:t>
      </w:r>
    </w:p>
    <w:p w14:paraId="1C82DCA0">
      <w:pPr>
        <w:pStyle w:val="3"/>
        <w:ind w:firstLine="1680"/>
        <w:rPr>
          <w:rFonts w:ascii="Times New Roman" w:hAnsi="Times New Roman"/>
          <w:color w:val="auto"/>
          <w:sz w:val="21"/>
          <w:szCs w:val="21"/>
          <w:highlight w:val="none"/>
        </w:rPr>
      </w:pPr>
      <w:bookmarkStart w:id="288" w:name="_Toc5018"/>
      <w:r>
        <w:rPr>
          <w:rFonts w:ascii="Times New Roman" w:hAnsi="Times New Roman"/>
          <w:color w:val="auto"/>
          <w:sz w:val="21"/>
          <w:szCs w:val="21"/>
          <w:highlight w:val="none"/>
        </w:rPr>
        <w:t>7</w:t>
      </w:r>
      <w:bookmarkStart w:id="289" w:name="_Toc337558767"/>
      <w:r>
        <w:rPr>
          <w:rFonts w:ascii="Times New Roman" w:hAnsi="Times New Roman"/>
          <w:color w:val="auto"/>
          <w:sz w:val="21"/>
          <w:szCs w:val="21"/>
          <w:highlight w:val="none"/>
        </w:rPr>
        <w:t>. 工期和进度</w:t>
      </w:r>
      <w:bookmarkEnd w:id="288"/>
    </w:p>
    <w:bookmarkEnd w:id="289"/>
    <w:p w14:paraId="6356A79C">
      <w:pPr>
        <w:pStyle w:val="4"/>
        <w:spacing w:before="0" w:after="0" w:line="360" w:lineRule="auto"/>
        <w:ind w:firstLine="420" w:firstLineChars="200"/>
        <w:rPr>
          <w:rFonts w:eastAsia="黑体"/>
          <w:color w:val="auto"/>
          <w:sz w:val="21"/>
          <w:szCs w:val="21"/>
          <w:highlight w:val="none"/>
        </w:rPr>
      </w:pPr>
      <w:bookmarkStart w:id="290" w:name="_Toc6154"/>
      <w:r>
        <w:rPr>
          <w:rFonts w:eastAsia="黑体"/>
          <w:color w:val="auto"/>
          <w:sz w:val="21"/>
          <w:szCs w:val="21"/>
          <w:highlight w:val="none"/>
        </w:rPr>
        <w:t>7</w:t>
      </w:r>
      <w:bookmarkStart w:id="291" w:name="_Toc337558768"/>
      <w:bookmarkStart w:id="292" w:name="_Toc296346567"/>
      <w:bookmarkStart w:id="293" w:name="_Toc296503066"/>
      <w:r>
        <w:rPr>
          <w:rFonts w:eastAsia="黑体"/>
          <w:color w:val="auto"/>
          <w:sz w:val="21"/>
          <w:szCs w:val="21"/>
          <w:highlight w:val="none"/>
        </w:rPr>
        <w:t>.1施工组织设计</w:t>
      </w:r>
      <w:bookmarkEnd w:id="290"/>
    </w:p>
    <w:bookmarkEnd w:id="291"/>
    <w:p w14:paraId="0E69027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 xml:space="preserve">7.1.1 </w:t>
      </w:r>
      <w:r>
        <w:rPr>
          <w:rFonts w:eastAsia="仿宋_GB2312"/>
          <w:color w:val="auto"/>
          <w:kern w:val="0"/>
          <w:szCs w:val="21"/>
          <w:highlight w:val="none"/>
        </w:rPr>
        <w:t>施工组织设计的内容</w:t>
      </w:r>
    </w:p>
    <w:p w14:paraId="6D8F325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施工组织设计应包含以下内容：</w:t>
      </w:r>
    </w:p>
    <w:p w14:paraId="298B218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（1）施工方案； </w:t>
      </w:r>
    </w:p>
    <w:p w14:paraId="5991FD8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（2）施工现场平面布置图；</w:t>
      </w:r>
    </w:p>
    <w:p w14:paraId="50B6FFF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（3）施工进度计划和保证措施； </w:t>
      </w:r>
    </w:p>
    <w:p w14:paraId="1785EF1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（4）劳动力及材料供应计划；</w:t>
      </w:r>
    </w:p>
    <w:p w14:paraId="0830EDD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（5）施工机械设备的选用；</w:t>
      </w:r>
    </w:p>
    <w:p w14:paraId="582201D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（6）质量保证体系及措施；</w:t>
      </w:r>
    </w:p>
    <w:p w14:paraId="2BAD64A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（7）安全生产、文明施工措施；</w:t>
      </w:r>
    </w:p>
    <w:p w14:paraId="35FC3D4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（8）环境保护、成本控制措施</w:t>
      </w:r>
      <w:r>
        <w:rPr>
          <w:rFonts w:hint="eastAsia" w:eastAsia="仿宋_GB2312"/>
          <w:color w:val="auto"/>
          <w:kern w:val="0"/>
          <w:szCs w:val="21"/>
          <w:highlight w:val="none"/>
        </w:rPr>
        <w:t>；</w:t>
      </w:r>
    </w:p>
    <w:p w14:paraId="28C8A7DD">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（9）合同当事人约定的其他内容</w:t>
      </w:r>
      <w:r>
        <w:rPr>
          <w:rFonts w:eastAsia="仿宋_GB2312"/>
          <w:color w:val="auto"/>
          <w:kern w:val="0"/>
          <w:szCs w:val="21"/>
          <w:highlight w:val="none"/>
        </w:rPr>
        <w:t>。</w:t>
      </w:r>
    </w:p>
    <w:p w14:paraId="34DC8A8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 xml:space="preserve">7.1.2 </w:t>
      </w:r>
      <w:r>
        <w:rPr>
          <w:rFonts w:eastAsia="仿宋_GB2312"/>
          <w:color w:val="auto"/>
          <w:kern w:val="0"/>
          <w:szCs w:val="21"/>
          <w:highlight w:val="none"/>
        </w:rPr>
        <w:t>施工组织设计的提交和修改</w:t>
      </w:r>
    </w:p>
    <w:p w14:paraId="0BBBFEB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除专用合同条款另有约定外，承包人应在合同签订后14天内，但至迟不得晚于第7.3.2项</w:t>
      </w:r>
      <w:r>
        <w:rPr>
          <w:rFonts w:hint="eastAsia" w:eastAsia="仿宋_GB2312"/>
          <w:color w:val="auto"/>
          <w:kern w:val="0"/>
          <w:szCs w:val="21"/>
          <w:highlight w:val="none"/>
        </w:rPr>
        <w:t>〔</w:t>
      </w:r>
      <w:r>
        <w:rPr>
          <w:rFonts w:eastAsia="仿宋_GB2312"/>
          <w:color w:val="auto"/>
          <w:kern w:val="0"/>
          <w:szCs w:val="21"/>
          <w:highlight w:val="none"/>
        </w:rPr>
        <w:t>开工通知</w:t>
      </w:r>
      <w:r>
        <w:rPr>
          <w:rFonts w:hint="eastAsia" w:eastAsia="仿宋_GB2312"/>
          <w:color w:val="auto"/>
          <w:kern w:val="0"/>
          <w:szCs w:val="21"/>
          <w:highlight w:val="none"/>
        </w:rPr>
        <w:t>〕</w:t>
      </w:r>
      <w:r>
        <w:rPr>
          <w:rFonts w:eastAsia="仿宋_GB2312"/>
          <w:color w:val="auto"/>
          <w:kern w:val="0"/>
          <w:szCs w:val="21"/>
          <w:highlight w:val="none"/>
        </w:rPr>
        <w:t>载明的开工日期前7天，向监理人</w:t>
      </w:r>
      <w:r>
        <w:rPr>
          <w:rFonts w:hint="eastAsia" w:eastAsia="仿宋_GB2312"/>
          <w:color w:val="auto"/>
          <w:kern w:val="0"/>
          <w:szCs w:val="21"/>
          <w:highlight w:val="none"/>
        </w:rPr>
        <w:t>和发包人</w:t>
      </w:r>
      <w:r>
        <w:rPr>
          <w:rFonts w:eastAsia="仿宋_GB2312"/>
          <w:color w:val="auto"/>
          <w:kern w:val="0"/>
          <w:szCs w:val="21"/>
          <w:highlight w:val="none"/>
        </w:rPr>
        <w:t>提交详细的施工组织设计。</w:t>
      </w:r>
      <w:r>
        <w:rPr>
          <w:rFonts w:hint="eastAsia" w:eastAsia="仿宋_GB2312"/>
          <w:color w:val="auto"/>
          <w:kern w:val="0"/>
          <w:szCs w:val="21"/>
          <w:highlight w:val="none"/>
        </w:rPr>
        <w:t>除专用合同条款另有约定外，发包人和监理人应在收到施工组织设计后7天内确认或提出修改意见</w:t>
      </w:r>
      <w:r>
        <w:rPr>
          <w:rFonts w:eastAsia="仿宋_GB2312"/>
          <w:color w:val="auto"/>
          <w:kern w:val="0"/>
          <w:szCs w:val="21"/>
          <w:highlight w:val="none"/>
        </w:rPr>
        <w:t>。对发包人和监理人提出的合理意见和要求，承包人应自费修改完善。</w:t>
      </w:r>
      <w:r>
        <w:rPr>
          <w:rFonts w:hint="eastAsia" w:eastAsia="仿宋_GB2312"/>
          <w:color w:val="auto"/>
          <w:kern w:val="0"/>
          <w:szCs w:val="21"/>
          <w:highlight w:val="none"/>
        </w:rPr>
        <w:t>跟发包人和监理人意见不一致的，按照发包人的意见和要求修改完善。</w:t>
      </w:r>
      <w:r>
        <w:rPr>
          <w:rFonts w:eastAsia="仿宋_GB2312"/>
          <w:color w:val="auto"/>
          <w:kern w:val="0"/>
          <w:szCs w:val="21"/>
          <w:highlight w:val="none"/>
        </w:rPr>
        <w:t>据工程实际情况需要修改施工组织设计的，承包人应向发包人和监理人提交修改后的施工组织设计。</w:t>
      </w:r>
    </w:p>
    <w:p w14:paraId="462794D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施工进度计划的编制和修改按照第7.2款</w:t>
      </w:r>
      <w:r>
        <w:rPr>
          <w:rFonts w:hint="eastAsia" w:eastAsia="仿宋_GB2312"/>
          <w:color w:val="auto"/>
          <w:kern w:val="0"/>
          <w:szCs w:val="21"/>
          <w:highlight w:val="none"/>
        </w:rPr>
        <w:t>〔</w:t>
      </w:r>
      <w:r>
        <w:rPr>
          <w:rFonts w:eastAsia="仿宋_GB2312"/>
          <w:color w:val="auto"/>
          <w:kern w:val="0"/>
          <w:szCs w:val="21"/>
          <w:highlight w:val="none"/>
        </w:rPr>
        <w:t>施工进度计划</w:t>
      </w:r>
      <w:r>
        <w:rPr>
          <w:rFonts w:hint="eastAsia" w:eastAsia="仿宋_GB2312"/>
          <w:color w:val="auto"/>
          <w:kern w:val="0"/>
          <w:szCs w:val="21"/>
          <w:highlight w:val="none"/>
        </w:rPr>
        <w:t>〕</w:t>
      </w:r>
      <w:r>
        <w:rPr>
          <w:rFonts w:eastAsia="仿宋_GB2312"/>
          <w:color w:val="auto"/>
          <w:kern w:val="0"/>
          <w:szCs w:val="21"/>
          <w:highlight w:val="none"/>
        </w:rPr>
        <w:t>执行。</w:t>
      </w:r>
    </w:p>
    <w:p w14:paraId="7786A8B7">
      <w:pPr>
        <w:pStyle w:val="4"/>
        <w:spacing w:before="0" w:after="0" w:line="360" w:lineRule="auto"/>
        <w:ind w:firstLine="420" w:firstLineChars="200"/>
        <w:rPr>
          <w:rFonts w:eastAsia="黑体"/>
          <w:color w:val="auto"/>
          <w:sz w:val="21"/>
          <w:szCs w:val="21"/>
          <w:highlight w:val="none"/>
        </w:rPr>
      </w:pPr>
      <w:bookmarkStart w:id="294" w:name="_Toc6512"/>
      <w:r>
        <w:rPr>
          <w:rFonts w:eastAsia="黑体"/>
          <w:color w:val="auto"/>
          <w:sz w:val="21"/>
          <w:szCs w:val="21"/>
          <w:highlight w:val="none"/>
        </w:rPr>
        <w:t>7</w:t>
      </w:r>
      <w:bookmarkStart w:id="295" w:name="_Toc337558769"/>
      <w:r>
        <w:rPr>
          <w:rFonts w:eastAsia="黑体"/>
          <w:color w:val="auto"/>
          <w:sz w:val="21"/>
          <w:szCs w:val="21"/>
          <w:highlight w:val="none"/>
        </w:rPr>
        <w:t>.2 施工进度计划</w:t>
      </w:r>
      <w:bookmarkEnd w:id="294"/>
    </w:p>
    <w:bookmarkEnd w:id="295"/>
    <w:p w14:paraId="04036AC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7.2.1 施工进度计划的编制</w:t>
      </w:r>
    </w:p>
    <w:p w14:paraId="1224C06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承包人应按照第7.1款</w:t>
      </w:r>
      <w:r>
        <w:rPr>
          <w:rFonts w:hint="eastAsia" w:eastAsia="仿宋_GB2312"/>
          <w:color w:val="auto"/>
          <w:kern w:val="0"/>
          <w:szCs w:val="21"/>
          <w:highlight w:val="none"/>
        </w:rPr>
        <w:t>〔</w:t>
      </w:r>
      <w:r>
        <w:rPr>
          <w:rFonts w:eastAsia="仿宋_GB2312"/>
          <w:color w:val="auto"/>
          <w:kern w:val="0"/>
          <w:szCs w:val="21"/>
          <w:highlight w:val="none"/>
        </w:rPr>
        <w:t>施工组织设计</w:t>
      </w:r>
      <w:r>
        <w:rPr>
          <w:rFonts w:hint="eastAsia" w:eastAsia="仿宋_GB2312"/>
          <w:color w:val="auto"/>
          <w:kern w:val="0"/>
          <w:szCs w:val="21"/>
          <w:highlight w:val="none"/>
        </w:rPr>
        <w:t>〕</w:t>
      </w:r>
      <w:r>
        <w:rPr>
          <w:rFonts w:eastAsia="仿宋_GB2312"/>
          <w:color w:val="auto"/>
          <w:kern w:val="0"/>
          <w:szCs w:val="21"/>
          <w:highlight w:val="non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6F5A39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7.2.2 施工进度计划的修订</w:t>
      </w:r>
    </w:p>
    <w:p w14:paraId="38914A2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8D63E11">
      <w:pPr>
        <w:pStyle w:val="4"/>
        <w:spacing w:before="0" w:after="0" w:line="360" w:lineRule="auto"/>
        <w:ind w:firstLine="420" w:firstLineChars="200"/>
        <w:rPr>
          <w:rFonts w:eastAsia="黑体"/>
          <w:color w:val="auto"/>
          <w:sz w:val="21"/>
          <w:szCs w:val="21"/>
          <w:highlight w:val="none"/>
        </w:rPr>
      </w:pPr>
      <w:bookmarkStart w:id="296" w:name="_Toc9995"/>
      <w:r>
        <w:rPr>
          <w:rFonts w:eastAsia="黑体"/>
          <w:color w:val="auto"/>
          <w:sz w:val="21"/>
          <w:szCs w:val="21"/>
          <w:highlight w:val="none"/>
        </w:rPr>
        <w:t>7</w:t>
      </w:r>
      <w:bookmarkStart w:id="297" w:name="_Toc337558770"/>
      <w:r>
        <w:rPr>
          <w:rFonts w:eastAsia="黑体"/>
          <w:color w:val="auto"/>
          <w:sz w:val="21"/>
          <w:szCs w:val="21"/>
          <w:highlight w:val="none"/>
        </w:rPr>
        <w:t>.3 开工</w:t>
      </w:r>
      <w:bookmarkEnd w:id="296"/>
    </w:p>
    <w:p w14:paraId="0E17D6BD">
      <w:pPr>
        <w:spacing w:line="360" w:lineRule="auto"/>
        <w:ind w:firstLine="420" w:firstLineChars="200"/>
        <w:rPr>
          <w:rFonts w:eastAsia="仿宋_GB2312"/>
          <w:color w:val="auto"/>
          <w:szCs w:val="21"/>
          <w:highlight w:val="none"/>
        </w:rPr>
      </w:pPr>
      <w:r>
        <w:rPr>
          <w:rFonts w:eastAsia="仿宋_GB2312"/>
          <w:color w:val="auto"/>
          <w:kern w:val="0"/>
          <w:szCs w:val="21"/>
          <w:highlight w:val="none"/>
        </w:rPr>
        <w:t>7.3.1 开工准备</w:t>
      </w:r>
    </w:p>
    <w:p w14:paraId="4395CBD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除专用合同条款另有约定外，承包人应按照第7.1款</w:t>
      </w:r>
      <w:r>
        <w:rPr>
          <w:rFonts w:hint="eastAsia" w:eastAsia="仿宋_GB2312"/>
          <w:color w:val="auto"/>
          <w:kern w:val="0"/>
          <w:szCs w:val="21"/>
          <w:highlight w:val="none"/>
        </w:rPr>
        <w:t>〔</w:t>
      </w:r>
      <w:r>
        <w:rPr>
          <w:rFonts w:eastAsia="仿宋_GB2312"/>
          <w:color w:val="auto"/>
          <w:kern w:val="0"/>
          <w:szCs w:val="21"/>
          <w:highlight w:val="none"/>
        </w:rPr>
        <w:t>施工组织设计</w:t>
      </w:r>
      <w:r>
        <w:rPr>
          <w:rFonts w:hint="eastAsia" w:eastAsia="仿宋_GB2312"/>
          <w:color w:val="auto"/>
          <w:kern w:val="0"/>
          <w:szCs w:val="21"/>
          <w:highlight w:val="none"/>
        </w:rPr>
        <w:t>〕</w:t>
      </w:r>
      <w:r>
        <w:rPr>
          <w:rFonts w:eastAsia="仿宋_GB2312"/>
          <w:color w:val="auto"/>
          <w:kern w:val="0"/>
          <w:szCs w:val="21"/>
          <w:highlight w:val="non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4BA571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除专用合同条款另有约定外，合同当事人应按约定完成开工准备工作。</w:t>
      </w:r>
    </w:p>
    <w:p w14:paraId="5BAAFE1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7.3.2 开工通知</w:t>
      </w:r>
    </w:p>
    <w:bookmarkEnd w:id="297"/>
    <w:p w14:paraId="49E2AD2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81A2B4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w:t>
      </w:r>
    </w:p>
    <w:p w14:paraId="3EFB28C5">
      <w:pPr>
        <w:pStyle w:val="4"/>
        <w:spacing w:before="0" w:after="0" w:line="360" w:lineRule="auto"/>
        <w:ind w:firstLine="420" w:firstLineChars="200"/>
        <w:rPr>
          <w:rFonts w:eastAsia="黑体"/>
          <w:color w:val="auto"/>
          <w:sz w:val="21"/>
          <w:szCs w:val="21"/>
          <w:highlight w:val="none"/>
        </w:rPr>
      </w:pPr>
      <w:bookmarkStart w:id="298" w:name="_Toc20230"/>
      <w:r>
        <w:rPr>
          <w:rFonts w:eastAsia="黑体"/>
          <w:color w:val="auto"/>
          <w:sz w:val="21"/>
          <w:szCs w:val="21"/>
          <w:highlight w:val="none"/>
        </w:rPr>
        <w:t>7.4测量放线</w:t>
      </w:r>
      <w:bookmarkEnd w:id="298"/>
    </w:p>
    <w:p w14:paraId="4457EF9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7.4.1 除专用合同条款另有约定外，发包人应在至迟不得晚于第7.3.2项</w:t>
      </w:r>
      <w:r>
        <w:rPr>
          <w:rFonts w:hint="eastAsia" w:eastAsia="仿宋_GB2312"/>
          <w:color w:val="auto"/>
          <w:kern w:val="0"/>
          <w:szCs w:val="21"/>
          <w:highlight w:val="none"/>
        </w:rPr>
        <w:t>〔</w:t>
      </w:r>
      <w:r>
        <w:rPr>
          <w:rFonts w:eastAsia="仿宋_GB2312"/>
          <w:color w:val="auto"/>
          <w:kern w:val="0"/>
          <w:szCs w:val="21"/>
          <w:highlight w:val="none"/>
        </w:rPr>
        <w:t>开工通知</w:t>
      </w:r>
      <w:r>
        <w:rPr>
          <w:rFonts w:hint="eastAsia" w:eastAsia="仿宋_GB2312"/>
          <w:color w:val="auto"/>
          <w:kern w:val="0"/>
          <w:szCs w:val="21"/>
          <w:highlight w:val="none"/>
        </w:rPr>
        <w:t>〕</w:t>
      </w:r>
      <w:r>
        <w:rPr>
          <w:rFonts w:eastAsia="仿宋_GB2312"/>
          <w:color w:val="auto"/>
          <w:kern w:val="0"/>
          <w:szCs w:val="21"/>
          <w:highlight w:val="none"/>
        </w:rPr>
        <w:t>载明的开工日期前7天通过监理人向承包人提供测量基准点、基准线和水准点及其书面资料。发包人应对其提供的测量基准点、基准线和水准点及其书面资料的真实性、准确性和完整性负责。</w:t>
      </w:r>
    </w:p>
    <w:p w14:paraId="7C8EA45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7441B9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AE426E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施工过程中对施工现场内水准点等测量标志物的保护工作由承包人负责。</w:t>
      </w:r>
    </w:p>
    <w:p w14:paraId="7DB48590">
      <w:pPr>
        <w:pStyle w:val="4"/>
        <w:spacing w:before="0" w:after="0" w:line="360" w:lineRule="auto"/>
        <w:ind w:firstLine="420" w:firstLineChars="200"/>
        <w:rPr>
          <w:rFonts w:eastAsia="黑体"/>
          <w:color w:val="auto"/>
          <w:sz w:val="21"/>
          <w:szCs w:val="21"/>
          <w:highlight w:val="none"/>
        </w:rPr>
      </w:pPr>
      <w:bookmarkStart w:id="299" w:name="_Toc4639"/>
      <w:r>
        <w:rPr>
          <w:rFonts w:eastAsia="黑体"/>
          <w:color w:val="auto"/>
          <w:sz w:val="21"/>
          <w:szCs w:val="21"/>
          <w:highlight w:val="none"/>
        </w:rPr>
        <w:t>7</w:t>
      </w:r>
      <w:bookmarkEnd w:id="292"/>
      <w:bookmarkEnd w:id="293"/>
      <w:bookmarkStart w:id="300" w:name="_Toc296503073"/>
      <w:bookmarkStart w:id="301" w:name="_Toc337558772"/>
      <w:bookmarkStart w:id="302" w:name="_Toc296346574"/>
      <w:r>
        <w:rPr>
          <w:rFonts w:eastAsia="黑体"/>
          <w:color w:val="auto"/>
          <w:sz w:val="21"/>
          <w:szCs w:val="21"/>
          <w:highlight w:val="none"/>
        </w:rPr>
        <w:t>.5</w:t>
      </w:r>
      <w:r>
        <w:rPr>
          <w:rFonts w:hint="eastAsia" w:eastAsia="黑体"/>
          <w:color w:val="auto"/>
          <w:sz w:val="21"/>
          <w:szCs w:val="21"/>
          <w:highlight w:val="none"/>
        </w:rPr>
        <w:t xml:space="preserve"> </w:t>
      </w:r>
      <w:r>
        <w:rPr>
          <w:rFonts w:eastAsia="黑体"/>
          <w:color w:val="auto"/>
          <w:sz w:val="21"/>
          <w:szCs w:val="21"/>
          <w:highlight w:val="none"/>
        </w:rPr>
        <w:t>工期延误</w:t>
      </w:r>
      <w:bookmarkEnd w:id="299"/>
    </w:p>
    <w:bookmarkEnd w:id="300"/>
    <w:bookmarkEnd w:id="301"/>
    <w:bookmarkEnd w:id="302"/>
    <w:p w14:paraId="1174E0D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7.5.1 因发包人原因导致工期延误</w:t>
      </w:r>
    </w:p>
    <w:p w14:paraId="4BE392B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在合同履行过程中，因下列情况导致工期延误和（或）费用增加的，由发包人承担由此延误的工期和（或）增加的费用： </w:t>
      </w:r>
    </w:p>
    <w:p w14:paraId="7480702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（1）发包人未能按合同约定提供图纸或所提供图纸不符合合同约定的；</w:t>
      </w:r>
    </w:p>
    <w:p w14:paraId="7E5BD47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（2）发包人未能按合同约定提供施工现场、施工条件、基础资料、许可、批准等开工条件的；</w:t>
      </w:r>
    </w:p>
    <w:p w14:paraId="23F3F2D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（3）发包人提供的测量基准点、基准线和水准点及其书面资料存在错误或疏漏的；</w:t>
      </w:r>
    </w:p>
    <w:p w14:paraId="60B8E35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（4）发包人未能在计划开工日期之日起7天内同意下达开工通知的；</w:t>
      </w:r>
    </w:p>
    <w:p w14:paraId="2FF5B53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（5）发包人未能按合同约定日期支付工程预付款、进度款的；</w:t>
      </w:r>
    </w:p>
    <w:p w14:paraId="00365641">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（6）监理人未按合同约定发出指示、批准等文件的；</w:t>
      </w:r>
    </w:p>
    <w:p w14:paraId="3F97A97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（7）专用合同条款中约定的其他情形。</w:t>
      </w:r>
    </w:p>
    <w:p w14:paraId="384D40B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因发包人原因未按计划开工日期开工的，发包人应按实际开工日期顺延竣工日期。</w:t>
      </w:r>
    </w:p>
    <w:p w14:paraId="06B90986">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7.5.2 因承包人原因导致工期延误</w:t>
      </w:r>
    </w:p>
    <w:p w14:paraId="03AF0704">
      <w:pPr>
        <w:autoSpaceDE w:val="0"/>
        <w:autoSpaceDN w:val="0"/>
        <w:adjustRightInd w:val="0"/>
        <w:spacing w:line="360" w:lineRule="auto"/>
        <w:ind w:firstLine="420" w:firstLineChars="200"/>
        <w:jc w:val="left"/>
        <w:rPr>
          <w:rFonts w:eastAsia="仿宋_GB2312"/>
          <w:color w:val="auto"/>
          <w:kern w:val="0"/>
          <w:szCs w:val="21"/>
          <w:highlight w:val="none"/>
        </w:rPr>
      </w:pPr>
      <w:bookmarkStart w:id="303" w:name="_Toc296346577"/>
      <w:bookmarkStart w:id="304" w:name="_Toc296503076"/>
      <w:r>
        <w:rPr>
          <w:rFonts w:eastAsia="仿宋_GB2312"/>
          <w:color w:val="auto"/>
          <w:kern w:val="0"/>
          <w:szCs w:val="21"/>
          <w:highlight w:val="none"/>
        </w:rPr>
        <w:t>因</w:t>
      </w:r>
      <w:bookmarkEnd w:id="303"/>
      <w:bookmarkEnd w:id="304"/>
      <w:r>
        <w:rPr>
          <w:rFonts w:eastAsia="仿宋_GB2312"/>
          <w:color w:val="auto"/>
          <w:kern w:val="0"/>
          <w:szCs w:val="21"/>
          <w:highlight w:val="none"/>
        </w:rPr>
        <w:t>承包人原因造成工期延误的，可以在专用合同条款</w:t>
      </w:r>
      <w:r>
        <w:rPr>
          <w:rFonts w:hint="eastAsia" w:eastAsia="仿宋_GB2312"/>
          <w:color w:val="auto"/>
          <w:kern w:val="0"/>
          <w:szCs w:val="21"/>
          <w:highlight w:val="none"/>
        </w:rPr>
        <w:t>或补充条款</w:t>
      </w:r>
      <w:r>
        <w:rPr>
          <w:rFonts w:eastAsia="仿宋_GB2312"/>
          <w:color w:val="auto"/>
          <w:kern w:val="0"/>
          <w:szCs w:val="21"/>
          <w:highlight w:val="none"/>
        </w:rPr>
        <w:t>中约定逾期竣工</w:t>
      </w:r>
      <w:r>
        <w:rPr>
          <w:rFonts w:hint="eastAsia" w:eastAsia="仿宋_GB2312"/>
          <w:color w:val="auto"/>
          <w:kern w:val="0"/>
          <w:szCs w:val="21"/>
          <w:highlight w:val="none"/>
        </w:rPr>
        <w:t>违约责任的承担方式，包括约定</w:t>
      </w:r>
      <w:r>
        <w:rPr>
          <w:rFonts w:eastAsia="仿宋_GB2312"/>
          <w:color w:val="auto"/>
          <w:kern w:val="0"/>
          <w:szCs w:val="21"/>
          <w:highlight w:val="none"/>
        </w:rPr>
        <w:t>违约金的计算方法和逾期竣工违约金的上限</w:t>
      </w:r>
      <w:r>
        <w:rPr>
          <w:rFonts w:hint="eastAsia" w:eastAsia="仿宋_GB2312"/>
          <w:color w:val="auto"/>
          <w:kern w:val="0"/>
          <w:szCs w:val="21"/>
          <w:highlight w:val="none"/>
        </w:rPr>
        <w:t>或其他赔偿责任等</w:t>
      </w:r>
      <w:r>
        <w:rPr>
          <w:rFonts w:eastAsia="仿宋_GB2312"/>
          <w:color w:val="auto"/>
          <w:kern w:val="0"/>
          <w:szCs w:val="21"/>
          <w:highlight w:val="none"/>
        </w:rPr>
        <w:t>。承包人</w:t>
      </w:r>
      <w:r>
        <w:rPr>
          <w:rFonts w:hint="eastAsia" w:eastAsia="仿宋_GB2312"/>
          <w:color w:val="auto"/>
          <w:kern w:val="0"/>
          <w:szCs w:val="21"/>
          <w:highlight w:val="none"/>
        </w:rPr>
        <w:t>承担前述违约责任</w:t>
      </w:r>
      <w:r>
        <w:rPr>
          <w:rFonts w:eastAsia="仿宋_GB2312"/>
          <w:color w:val="auto"/>
          <w:kern w:val="0"/>
          <w:szCs w:val="21"/>
          <w:highlight w:val="none"/>
        </w:rPr>
        <w:t>，</w:t>
      </w:r>
      <w:r>
        <w:rPr>
          <w:rFonts w:hint="eastAsia" w:eastAsia="仿宋_GB2312"/>
          <w:color w:val="auto"/>
          <w:kern w:val="0"/>
          <w:szCs w:val="21"/>
          <w:highlight w:val="none"/>
        </w:rPr>
        <w:t>并</w:t>
      </w:r>
      <w:r>
        <w:rPr>
          <w:rFonts w:eastAsia="仿宋_GB2312"/>
          <w:color w:val="auto"/>
          <w:kern w:val="0"/>
          <w:szCs w:val="21"/>
          <w:highlight w:val="none"/>
        </w:rPr>
        <w:t>不免除</w:t>
      </w:r>
      <w:r>
        <w:rPr>
          <w:rFonts w:hint="eastAsia" w:eastAsia="仿宋_GB2312"/>
          <w:color w:val="auto"/>
          <w:kern w:val="0"/>
          <w:szCs w:val="21"/>
          <w:highlight w:val="none"/>
        </w:rPr>
        <w:t>或减轻其</w:t>
      </w:r>
      <w:r>
        <w:rPr>
          <w:rFonts w:eastAsia="仿宋_GB2312"/>
          <w:color w:val="auto"/>
          <w:kern w:val="0"/>
          <w:szCs w:val="21"/>
          <w:highlight w:val="none"/>
        </w:rPr>
        <w:t>继续完成工程及修补缺陷的义务。</w:t>
      </w:r>
    </w:p>
    <w:p w14:paraId="6CACD3CE">
      <w:pPr>
        <w:pStyle w:val="4"/>
        <w:spacing w:before="0" w:after="0" w:line="360" w:lineRule="auto"/>
        <w:ind w:firstLine="420" w:firstLineChars="200"/>
        <w:rPr>
          <w:rFonts w:eastAsia="黑体"/>
          <w:color w:val="auto"/>
          <w:sz w:val="21"/>
          <w:szCs w:val="21"/>
          <w:highlight w:val="none"/>
        </w:rPr>
      </w:pPr>
      <w:bookmarkStart w:id="305" w:name="_Toc20325"/>
      <w:r>
        <w:rPr>
          <w:rFonts w:eastAsia="黑体"/>
          <w:color w:val="auto"/>
          <w:sz w:val="21"/>
          <w:szCs w:val="21"/>
          <w:highlight w:val="none"/>
        </w:rPr>
        <w:t>7</w:t>
      </w:r>
      <w:bookmarkStart w:id="306" w:name="_Toc337558773"/>
      <w:bookmarkStart w:id="307" w:name="_Toc296503074"/>
      <w:bookmarkStart w:id="308" w:name="_Toc296346575"/>
      <w:bookmarkStart w:id="309" w:name="_Toc296346578"/>
      <w:bookmarkStart w:id="310" w:name="_Toc296503077"/>
      <w:r>
        <w:rPr>
          <w:rFonts w:eastAsia="黑体"/>
          <w:color w:val="auto"/>
          <w:sz w:val="21"/>
          <w:szCs w:val="21"/>
          <w:highlight w:val="none"/>
        </w:rPr>
        <w:t>.6 不利物质条件</w:t>
      </w:r>
      <w:bookmarkEnd w:id="305"/>
    </w:p>
    <w:bookmarkEnd w:id="306"/>
    <w:bookmarkEnd w:id="307"/>
    <w:bookmarkEnd w:id="308"/>
    <w:p w14:paraId="3D467E3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4660CD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color w:val="auto"/>
          <w:kern w:val="0"/>
          <w:szCs w:val="21"/>
          <w:highlight w:val="none"/>
        </w:rPr>
        <w:t>〔</w:t>
      </w:r>
      <w:r>
        <w:rPr>
          <w:rFonts w:eastAsia="仿宋_GB2312"/>
          <w:color w:val="auto"/>
          <w:kern w:val="0"/>
          <w:szCs w:val="21"/>
          <w:highlight w:val="none"/>
        </w:rPr>
        <w:t>变更</w:t>
      </w:r>
      <w:r>
        <w:rPr>
          <w:rFonts w:hint="eastAsia" w:eastAsia="仿宋_GB2312"/>
          <w:color w:val="auto"/>
          <w:kern w:val="0"/>
          <w:szCs w:val="21"/>
          <w:highlight w:val="none"/>
        </w:rPr>
        <w:t>〕</w:t>
      </w:r>
      <w:r>
        <w:rPr>
          <w:rFonts w:eastAsia="仿宋_GB2312"/>
          <w:color w:val="auto"/>
          <w:kern w:val="0"/>
          <w:szCs w:val="21"/>
          <w:highlight w:val="none"/>
        </w:rPr>
        <w:t>约定执行。承包人因采取合理措施而增加的费用和（或）延误的工期由发包人承担。</w:t>
      </w:r>
    </w:p>
    <w:p w14:paraId="6A0707F7">
      <w:pPr>
        <w:pStyle w:val="4"/>
        <w:spacing w:before="0" w:after="0" w:line="360" w:lineRule="auto"/>
        <w:ind w:firstLine="420" w:firstLineChars="200"/>
        <w:rPr>
          <w:rFonts w:eastAsia="黑体"/>
          <w:color w:val="auto"/>
          <w:sz w:val="21"/>
          <w:szCs w:val="21"/>
          <w:highlight w:val="none"/>
        </w:rPr>
      </w:pPr>
      <w:bookmarkStart w:id="311" w:name="_Toc7374"/>
      <w:r>
        <w:rPr>
          <w:rFonts w:eastAsia="黑体"/>
          <w:color w:val="auto"/>
          <w:sz w:val="21"/>
          <w:szCs w:val="21"/>
          <w:highlight w:val="none"/>
        </w:rPr>
        <w:t>7</w:t>
      </w:r>
      <w:bookmarkStart w:id="312" w:name="_Toc296503075"/>
      <w:bookmarkStart w:id="313" w:name="_Toc296346576"/>
      <w:bookmarkStart w:id="314" w:name="_Toc337558774"/>
      <w:r>
        <w:rPr>
          <w:rFonts w:eastAsia="黑体"/>
          <w:color w:val="auto"/>
          <w:sz w:val="21"/>
          <w:szCs w:val="21"/>
          <w:highlight w:val="none"/>
        </w:rPr>
        <w:t>.7</w:t>
      </w:r>
      <w:r>
        <w:rPr>
          <w:rFonts w:hint="eastAsia" w:eastAsia="黑体"/>
          <w:color w:val="auto"/>
          <w:sz w:val="21"/>
          <w:szCs w:val="21"/>
          <w:highlight w:val="none"/>
        </w:rPr>
        <w:t xml:space="preserve"> </w:t>
      </w:r>
      <w:r>
        <w:rPr>
          <w:rFonts w:eastAsia="黑体"/>
          <w:color w:val="auto"/>
          <w:sz w:val="21"/>
          <w:szCs w:val="21"/>
          <w:highlight w:val="none"/>
        </w:rPr>
        <w:t>异常恶劣的气候条件</w:t>
      </w:r>
      <w:bookmarkEnd w:id="311"/>
    </w:p>
    <w:bookmarkEnd w:id="312"/>
    <w:bookmarkEnd w:id="313"/>
    <w:bookmarkEnd w:id="314"/>
    <w:p w14:paraId="2AC97E9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F0A94B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承包人应采取克服异常恶劣的气候条件的合理措施继续施工，并及时通知发包人和监理人。监理人经发包人同意后应当及时发出指示，指示构成变更的，按第10条</w:t>
      </w:r>
      <w:r>
        <w:rPr>
          <w:rFonts w:hint="eastAsia" w:eastAsia="仿宋_GB2312"/>
          <w:color w:val="auto"/>
          <w:kern w:val="0"/>
          <w:szCs w:val="21"/>
          <w:highlight w:val="none"/>
        </w:rPr>
        <w:t>〔</w:t>
      </w:r>
      <w:r>
        <w:rPr>
          <w:rFonts w:eastAsia="仿宋_GB2312"/>
          <w:color w:val="auto"/>
          <w:kern w:val="0"/>
          <w:szCs w:val="21"/>
          <w:highlight w:val="none"/>
        </w:rPr>
        <w:t>变更</w:t>
      </w:r>
      <w:r>
        <w:rPr>
          <w:rFonts w:hint="eastAsia" w:eastAsia="仿宋_GB2312"/>
          <w:color w:val="auto"/>
          <w:kern w:val="0"/>
          <w:szCs w:val="21"/>
          <w:highlight w:val="none"/>
        </w:rPr>
        <w:t>〕</w:t>
      </w:r>
      <w:r>
        <w:rPr>
          <w:rFonts w:eastAsia="仿宋_GB2312"/>
          <w:color w:val="auto"/>
          <w:kern w:val="0"/>
          <w:szCs w:val="21"/>
          <w:highlight w:val="none"/>
        </w:rPr>
        <w:t>约定办理。承包人因采取合理措施而增加的费用和（或）延误的工期由发包人承担。</w:t>
      </w:r>
    </w:p>
    <w:p w14:paraId="23F70D5D">
      <w:pPr>
        <w:pStyle w:val="4"/>
        <w:spacing w:before="0" w:after="0" w:line="360" w:lineRule="auto"/>
        <w:ind w:firstLine="420" w:firstLineChars="200"/>
        <w:rPr>
          <w:rFonts w:eastAsia="黑体"/>
          <w:color w:val="auto"/>
          <w:sz w:val="21"/>
          <w:szCs w:val="21"/>
          <w:highlight w:val="none"/>
        </w:rPr>
      </w:pPr>
      <w:bookmarkStart w:id="315" w:name="_Toc6672"/>
      <w:r>
        <w:rPr>
          <w:rFonts w:eastAsia="黑体"/>
          <w:color w:val="auto"/>
          <w:sz w:val="21"/>
          <w:szCs w:val="21"/>
          <w:highlight w:val="none"/>
        </w:rPr>
        <w:t>7</w:t>
      </w:r>
      <w:bookmarkStart w:id="316" w:name="_Toc337558775"/>
      <w:r>
        <w:rPr>
          <w:rFonts w:eastAsia="黑体"/>
          <w:color w:val="auto"/>
          <w:sz w:val="21"/>
          <w:szCs w:val="21"/>
          <w:highlight w:val="none"/>
        </w:rPr>
        <w:t>.8</w:t>
      </w:r>
      <w:r>
        <w:rPr>
          <w:rFonts w:hint="eastAsia" w:eastAsia="黑体"/>
          <w:color w:val="auto"/>
          <w:sz w:val="21"/>
          <w:szCs w:val="21"/>
          <w:highlight w:val="none"/>
        </w:rPr>
        <w:t xml:space="preserve"> </w:t>
      </w:r>
      <w:r>
        <w:rPr>
          <w:rFonts w:eastAsia="黑体"/>
          <w:color w:val="auto"/>
          <w:sz w:val="21"/>
          <w:szCs w:val="21"/>
          <w:highlight w:val="none"/>
        </w:rPr>
        <w:t>暂停施工</w:t>
      </w:r>
      <w:bookmarkEnd w:id="315"/>
    </w:p>
    <w:bookmarkEnd w:id="309"/>
    <w:bookmarkEnd w:id="310"/>
    <w:bookmarkEnd w:id="316"/>
    <w:p w14:paraId="57C8721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7.8.1发包人原因引起的暂停施工</w:t>
      </w:r>
    </w:p>
    <w:p w14:paraId="3FCCC261">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因发包人原因引起暂停施工的，监理人经发包人同意后，应及时下达暂停施工指示。情况紧急且监理人未及时下达暂停施工指示的，按照第7.8.4项</w:t>
      </w:r>
      <w:r>
        <w:rPr>
          <w:rFonts w:hint="eastAsia" w:eastAsia="仿宋_GB2312"/>
          <w:color w:val="auto"/>
          <w:kern w:val="0"/>
          <w:szCs w:val="21"/>
          <w:highlight w:val="none"/>
        </w:rPr>
        <w:t>〔</w:t>
      </w:r>
      <w:r>
        <w:rPr>
          <w:rFonts w:eastAsia="仿宋_GB2312"/>
          <w:color w:val="auto"/>
          <w:kern w:val="0"/>
          <w:szCs w:val="21"/>
          <w:highlight w:val="none"/>
        </w:rPr>
        <w:t>紧急情况下的暂停施工</w:t>
      </w:r>
      <w:r>
        <w:rPr>
          <w:rFonts w:hint="eastAsia" w:eastAsia="仿宋_GB2312"/>
          <w:color w:val="auto"/>
          <w:kern w:val="0"/>
          <w:szCs w:val="21"/>
          <w:highlight w:val="none"/>
        </w:rPr>
        <w:t>〕</w:t>
      </w:r>
      <w:r>
        <w:rPr>
          <w:rFonts w:eastAsia="仿宋_GB2312"/>
          <w:color w:val="auto"/>
          <w:kern w:val="0"/>
          <w:szCs w:val="21"/>
          <w:highlight w:val="none"/>
        </w:rPr>
        <w:t>执行。</w:t>
      </w:r>
    </w:p>
    <w:p w14:paraId="2D49D2A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因发包人原因引起的暂停施工，发包人应承担由此增加的费用和（或）延误的工期。</w:t>
      </w:r>
    </w:p>
    <w:p w14:paraId="04238BE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7.8.2 承包人原因引起的暂停施工</w:t>
      </w:r>
    </w:p>
    <w:p w14:paraId="62BB66C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因承包人原因引起的暂停施工，承包人应承担由此增加的费用和（或）延误的工期。</w:t>
      </w:r>
    </w:p>
    <w:p w14:paraId="4A62A0C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7.8.3 指示暂停施工</w:t>
      </w:r>
    </w:p>
    <w:p w14:paraId="44BFE7B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监理人认为有必要时，并经发包人批准后，可向承包人作出暂停施工的指示，承包人应按监理人指示暂停施工。</w:t>
      </w:r>
    </w:p>
    <w:p w14:paraId="1129FC8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7.8.4 紧急情况下的暂停施工</w:t>
      </w:r>
    </w:p>
    <w:p w14:paraId="12C989B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紧急情况需暂停施工，且监理人未及时下达暂停施工指示的，承包人可先暂停施工，并及时通知监理人。监理人应在接到通知后24小时内发出指示。监理人不同意承包人暂停施工的，应说明理由，承包人对监理人的答复有异议，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约定处理。</w:t>
      </w:r>
    </w:p>
    <w:p w14:paraId="58B597B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7.8.5 暂停施工后的复工</w:t>
      </w:r>
    </w:p>
    <w:p w14:paraId="498AE81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0F7215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承包人无故拖延和拒绝复工的，承包人承担由此增加的费用和（或）延误的工期；因发包人原因无法按时复工的，按照第7.5.1项</w:t>
      </w:r>
      <w:r>
        <w:rPr>
          <w:rFonts w:hint="eastAsia" w:eastAsia="仿宋_GB2312"/>
          <w:color w:val="auto"/>
          <w:kern w:val="0"/>
          <w:szCs w:val="21"/>
          <w:highlight w:val="none"/>
        </w:rPr>
        <w:t>〔</w:t>
      </w:r>
      <w:r>
        <w:rPr>
          <w:rFonts w:eastAsia="仿宋_GB2312"/>
          <w:color w:val="auto"/>
          <w:kern w:val="0"/>
          <w:szCs w:val="21"/>
          <w:highlight w:val="none"/>
        </w:rPr>
        <w:t>因发包人原因导致工期延误</w:t>
      </w:r>
      <w:r>
        <w:rPr>
          <w:rFonts w:hint="eastAsia" w:eastAsia="仿宋_GB2312"/>
          <w:color w:val="auto"/>
          <w:kern w:val="0"/>
          <w:szCs w:val="21"/>
          <w:highlight w:val="none"/>
        </w:rPr>
        <w:t>〕</w:t>
      </w:r>
      <w:r>
        <w:rPr>
          <w:rFonts w:eastAsia="仿宋_GB2312"/>
          <w:color w:val="auto"/>
          <w:kern w:val="0"/>
          <w:szCs w:val="21"/>
          <w:highlight w:val="none"/>
        </w:rPr>
        <w:t>约定办理。</w:t>
      </w:r>
    </w:p>
    <w:p w14:paraId="53C7A02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7.8.6 暂停施工持续56天以上</w:t>
      </w:r>
    </w:p>
    <w:p w14:paraId="2C591C4B">
      <w:pPr>
        <w:spacing w:line="360" w:lineRule="auto"/>
        <w:ind w:firstLine="409" w:firstLineChars="195"/>
        <w:jc w:val="left"/>
        <w:rPr>
          <w:rFonts w:eastAsia="仿宋_GB2312"/>
          <w:color w:val="auto"/>
          <w:kern w:val="0"/>
          <w:szCs w:val="21"/>
          <w:highlight w:val="none"/>
        </w:rPr>
      </w:pPr>
      <w:r>
        <w:rPr>
          <w:rFonts w:eastAsia="仿宋_GB2312"/>
          <w:color w:val="auto"/>
          <w:kern w:val="0"/>
          <w:szCs w:val="21"/>
          <w:highlight w:val="none"/>
        </w:rPr>
        <w:t>监理人发出暂停施工指示后56天内未向承包人发出复工通知，除该项停工属于第7.8.2项</w:t>
      </w:r>
      <w:r>
        <w:rPr>
          <w:rFonts w:hint="eastAsia" w:eastAsia="仿宋_GB2312"/>
          <w:color w:val="auto"/>
          <w:kern w:val="0"/>
          <w:szCs w:val="21"/>
          <w:highlight w:val="none"/>
        </w:rPr>
        <w:t>〔</w:t>
      </w:r>
      <w:r>
        <w:rPr>
          <w:rFonts w:eastAsia="仿宋_GB2312"/>
          <w:color w:val="auto"/>
          <w:kern w:val="0"/>
          <w:szCs w:val="21"/>
          <w:highlight w:val="none"/>
        </w:rPr>
        <w:t>承包人原因引起的暂停施工</w:t>
      </w:r>
      <w:r>
        <w:rPr>
          <w:rFonts w:hint="eastAsia" w:eastAsia="仿宋_GB2312"/>
          <w:color w:val="auto"/>
          <w:kern w:val="0"/>
          <w:szCs w:val="21"/>
          <w:highlight w:val="none"/>
        </w:rPr>
        <w:t>〕</w:t>
      </w:r>
      <w:r>
        <w:rPr>
          <w:rFonts w:eastAsia="仿宋_GB2312"/>
          <w:color w:val="auto"/>
          <w:kern w:val="0"/>
          <w:szCs w:val="21"/>
          <w:highlight w:val="none"/>
        </w:rPr>
        <w:t>及第17条</w:t>
      </w:r>
      <w:r>
        <w:rPr>
          <w:rFonts w:hint="eastAsia" w:eastAsia="仿宋_GB2312"/>
          <w:color w:val="auto"/>
          <w:kern w:val="0"/>
          <w:szCs w:val="21"/>
          <w:highlight w:val="none"/>
        </w:rPr>
        <w:t>〔</w:t>
      </w:r>
      <w:r>
        <w:rPr>
          <w:rFonts w:eastAsia="仿宋_GB2312"/>
          <w:color w:val="auto"/>
          <w:kern w:val="0"/>
          <w:szCs w:val="21"/>
          <w:highlight w:val="none"/>
        </w:rPr>
        <w:t>不可抗力</w:t>
      </w:r>
      <w:r>
        <w:rPr>
          <w:rFonts w:hint="eastAsia" w:eastAsia="仿宋_GB2312"/>
          <w:color w:val="auto"/>
          <w:kern w:val="0"/>
          <w:szCs w:val="21"/>
          <w:highlight w:val="none"/>
        </w:rPr>
        <w:t>〕</w:t>
      </w:r>
      <w:r>
        <w:rPr>
          <w:rFonts w:eastAsia="仿宋_GB2312"/>
          <w:color w:val="auto"/>
          <w:kern w:val="0"/>
          <w:szCs w:val="21"/>
          <w:highlight w:val="non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color w:val="auto"/>
          <w:kern w:val="0"/>
          <w:szCs w:val="21"/>
          <w:highlight w:val="none"/>
        </w:rPr>
        <w:t>〔</w:t>
      </w:r>
      <w:r>
        <w:rPr>
          <w:rFonts w:eastAsia="仿宋_GB2312"/>
          <w:color w:val="auto"/>
          <w:kern w:val="0"/>
          <w:szCs w:val="21"/>
          <w:highlight w:val="none"/>
        </w:rPr>
        <w:t>变更的范围</w:t>
      </w:r>
      <w:r>
        <w:rPr>
          <w:rFonts w:hint="eastAsia" w:eastAsia="仿宋_GB2312"/>
          <w:color w:val="auto"/>
          <w:kern w:val="0"/>
          <w:szCs w:val="21"/>
          <w:highlight w:val="none"/>
        </w:rPr>
        <w:t>〕</w:t>
      </w:r>
      <w:r>
        <w:rPr>
          <w:rFonts w:eastAsia="仿宋_GB2312"/>
          <w:color w:val="auto"/>
          <w:kern w:val="0"/>
          <w:szCs w:val="21"/>
          <w:highlight w:val="none"/>
        </w:rPr>
        <w:t>第（2）项的可取消工作。</w:t>
      </w:r>
    </w:p>
    <w:p w14:paraId="719F2E54">
      <w:pPr>
        <w:spacing w:line="360" w:lineRule="auto"/>
        <w:ind w:firstLine="409" w:firstLineChars="195"/>
        <w:jc w:val="left"/>
        <w:rPr>
          <w:rFonts w:eastAsia="仿宋_GB2312"/>
          <w:color w:val="auto"/>
          <w:kern w:val="0"/>
          <w:szCs w:val="21"/>
          <w:highlight w:val="none"/>
        </w:rPr>
      </w:pPr>
      <w:r>
        <w:rPr>
          <w:rFonts w:eastAsia="仿宋_GB2312"/>
          <w:color w:val="auto"/>
          <w:kern w:val="0"/>
          <w:szCs w:val="21"/>
          <w:highlight w:val="none"/>
        </w:rPr>
        <w:t>暂停施工持续</w:t>
      </w:r>
      <w:r>
        <w:rPr>
          <w:rFonts w:hint="eastAsia" w:eastAsia="仿宋_GB2312"/>
          <w:color w:val="auto"/>
          <w:kern w:val="0"/>
          <w:szCs w:val="21"/>
          <w:highlight w:val="none"/>
        </w:rPr>
        <w:t>84</w:t>
      </w:r>
      <w:r>
        <w:rPr>
          <w:rFonts w:eastAsia="仿宋_GB2312"/>
          <w:color w:val="auto"/>
          <w:kern w:val="0"/>
          <w:szCs w:val="21"/>
          <w:highlight w:val="none"/>
        </w:rPr>
        <w:t>天以上不复工的，且不属于第7.8.2项</w:t>
      </w:r>
      <w:r>
        <w:rPr>
          <w:rFonts w:hint="eastAsia" w:eastAsia="仿宋_GB2312"/>
          <w:color w:val="auto"/>
          <w:kern w:val="0"/>
          <w:szCs w:val="21"/>
          <w:highlight w:val="none"/>
        </w:rPr>
        <w:t>〔</w:t>
      </w:r>
      <w:r>
        <w:rPr>
          <w:rFonts w:eastAsia="仿宋_GB2312"/>
          <w:color w:val="auto"/>
          <w:kern w:val="0"/>
          <w:szCs w:val="21"/>
          <w:highlight w:val="none"/>
        </w:rPr>
        <w:t>承包人原因引起的暂停施工</w:t>
      </w:r>
      <w:r>
        <w:rPr>
          <w:rFonts w:hint="eastAsia" w:eastAsia="仿宋_GB2312"/>
          <w:color w:val="auto"/>
          <w:kern w:val="0"/>
          <w:szCs w:val="21"/>
          <w:highlight w:val="none"/>
        </w:rPr>
        <w:t>〕</w:t>
      </w:r>
      <w:r>
        <w:rPr>
          <w:rFonts w:eastAsia="仿宋_GB2312"/>
          <w:color w:val="auto"/>
          <w:kern w:val="0"/>
          <w:szCs w:val="21"/>
          <w:highlight w:val="none"/>
        </w:rPr>
        <w:t>及第17条</w:t>
      </w:r>
      <w:r>
        <w:rPr>
          <w:rFonts w:hint="eastAsia" w:eastAsia="仿宋_GB2312"/>
          <w:color w:val="auto"/>
          <w:kern w:val="0"/>
          <w:szCs w:val="21"/>
          <w:highlight w:val="none"/>
        </w:rPr>
        <w:t>〔</w:t>
      </w:r>
      <w:r>
        <w:rPr>
          <w:rFonts w:eastAsia="仿宋_GB2312"/>
          <w:color w:val="auto"/>
          <w:kern w:val="0"/>
          <w:szCs w:val="21"/>
          <w:highlight w:val="none"/>
        </w:rPr>
        <w:t>不可抗力</w:t>
      </w:r>
      <w:r>
        <w:rPr>
          <w:rFonts w:hint="eastAsia" w:eastAsia="仿宋_GB2312"/>
          <w:color w:val="auto"/>
          <w:kern w:val="0"/>
          <w:szCs w:val="21"/>
          <w:highlight w:val="none"/>
        </w:rPr>
        <w:t>〕</w:t>
      </w:r>
      <w:r>
        <w:rPr>
          <w:rFonts w:eastAsia="仿宋_GB2312"/>
          <w:color w:val="auto"/>
          <w:kern w:val="0"/>
          <w:szCs w:val="21"/>
          <w:highlight w:val="none"/>
        </w:rPr>
        <w:t>约定的情形，并影响到整个工程以及合同目的实现的，承包人有权提出价格调整要求，或者解除合同。解除合同的，按照第16.1.3项</w:t>
      </w:r>
      <w:r>
        <w:rPr>
          <w:rFonts w:hint="eastAsia" w:eastAsia="仿宋_GB2312"/>
          <w:color w:val="auto"/>
          <w:kern w:val="0"/>
          <w:szCs w:val="21"/>
          <w:highlight w:val="none"/>
        </w:rPr>
        <w:t>〔</w:t>
      </w:r>
      <w:r>
        <w:rPr>
          <w:rFonts w:eastAsia="仿宋_GB2312"/>
          <w:color w:val="auto"/>
          <w:kern w:val="0"/>
          <w:szCs w:val="21"/>
          <w:highlight w:val="none"/>
        </w:rPr>
        <w:t>因发包人违约解除合同</w:t>
      </w:r>
      <w:r>
        <w:rPr>
          <w:rFonts w:hint="eastAsia" w:eastAsia="仿宋_GB2312"/>
          <w:color w:val="auto"/>
          <w:kern w:val="0"/>
          <w:szCs w:val="21"/>
          <w:highlight w:val="none"/>
        </w:rPr>
        <w:t>〕</w:t>
      </w:r>
      <w:r>
        <w:rPr>
          <w:rFonts w:eastAsia="仿宋_GB2312"/>
          <w:color w:val="auto"/>
          <w:kern w:val="0"/>
          <w:szCs w:val="21"/>
          <w:highlight w:val="none"/>
        </w:rPr>
        <w:t>执行。</w:t>
      </w:r>
    </w:p>
    <w:p w14:paraId="02C1387E">
      <w:pPr>
        <w:spacing w:line="360" w:lineRule="auto"/>
        <w:ind w:left="16" w:firstLine="409" w:firstLineChars="195"/>
        <w:jc w:val="left"/>
        <w:rPr>
          <w:rFonts w:eastAsia="仿宋_GB2312"/>
          <w:color w:val="auto"/>
          <w:kern w:val="0"/>
          <w:szCs w:val="21"/>
          <w:highlight w:val="none"/>
        </w:rPr>
      </w:pPr>
      <w:r>
        <w:rPr>
          <w:rFonts w:eastAsia="仿宋_GB2312"/>
          <w:color w:val="auto"/>
          <w:kern w:val="0"/>
          <w:szCs w:val="21"/>
          <w:highlight w:val="none"/>
        </w:rPr>
        <w:t>7.8.7 暂停施工期间的工程照管</w:t>
      </w:r>
    </w:p>
    <w:p w14:paraId="49A0E38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暂停施工期间，承包人应负责妥善照管工程并提供安全保障，由此增加的费用由责任方承担。</w:t>
      </w:r>
    </w:p>
    <w:p w14:paraId="3C44D2B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7.8.8 暂停施工的措施</w:t>
      </w:r>
    </w:p>
    <w:p w14:paraId="3755655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暂停施工期间，发包人和承包人均应采取必要的措施确保工程质量及安全，防止因暂停施工扩大损失。</w:t>
      </w:r>
    </w:p>
    <w:p w14:paraId="621D9BC9">
      <w:pPr>
        <w:pStyle w:val="4"/>
        <w:spacing w:before="0" w:after="0" w:line="360" w:lineRule="auto"/>
        <w:ind w:firstLine="420" w:firstLineChars="200"/>
        <w:rPr>
          <w:rFonts w:eastAsia="黑体"/>
          <w:color w:val="auto"/>
          <w:sz w:val="21"/>
          <w:szCs w:val="21"/>
          <w:highlight w:val="none"/>
        </w:rPr>
      </w:pPr>
      <w:bookmarkStart w:id="317" w:name="_Toc21059"/>
      <w:r>
        <w:rPr>
          <w:rFonts w:eastAsia="黑体"/>
          <w:color w:val="auto"/>
          <w:sz w:val="21"/>
          <w:szCs w:val="21"/>
          <w:highlight w:val="none"/>
        </w:rPr>
        <w:t>7.9提前竣工</w:t>
      </w:r>
      <w:bookmarkEnd w:id="317"/>
    </w:p>
    <w:p w14:paraId="24EE5E6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color w:val="auto"/>
          <w:kern w:val="0"/>
          <w:szCs w:val="21"/>
          <w:highlight w:val="none"/>
        </w:rPr>
        <w:t>承包人认为提前竣工指示无法执行的，应向监理人和发包人提出书面异议，发包人和监理人应在收到异议后7天内予以答复。任何情况下，发包人不得压缩合理工期。</w:t>
      </w:r>
    </w:p>
    <w:p w14:paraId="67A8CDA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7.9.2 发包人要求承包人提前竣工，或承包人提出提前竣工的建议能够给发包人带来效益的，合同当事人可以在专用合同条款中约定提前竣工的奖励。</w:t>
      </w:r>
    </w:p>
    <w:p w14:paraId="51E6E5B2">
      <w:pPr>
        <w:pStyle w:val="3"/>
        <w:ind w:firstLine="1680"/>
        <w:rPr>
          <w:rFonts w:ascii="Times New Roman" w:hAnsi="Times New Roman"/>
          <w:color w:val="auto"/>
          <w:sz w:val="21"/>
          <w:szCs w:val="21"/>
          <w:highlight w:val="none"/>
        </w:rPr>
      </w:pPr>
      <w:bookmarkStart w:id="318" w:name="_Toc14452"/>
      <w:r>
        <w:rPr>
          <w:rFonts w:ascii="Times New Roman" w:hAnsi="Times New Roman"/>
          <w:color w:val="auto"/>
          <w:sz w:val="21"/>
          <w:szCs w:val="21"/>
          <w:highlight w:val="none"/>
        </w:rPr>
        <w:t>8</w:t>
      </w:r>
      <w:bookmarkStart w:id="319" w:name="_Toc337558776"/>
      <w:bookmarkStart w:id="320" w:name="_Toc296346559"/>
      <w:bookmarkStart w:id="321" w:name="_Toc296503058"/>
      <w:r>
        <w:rPr>
          <w:rFonts w:ascii="Times New Roman" w:hAnsi="Times New Roman"/>
          <w:color w:val="auto"/>
          <w:sz w:val="21"/>
          <w:szCs w:val="21"/>
          <w:highlight w:val="none"/>
        </w:rPr>
        <w:t>. 材料与设备</w:t>
      </w:r>
      <w:bookmarkEnd w:id="318"/>
    </w:p>
    <w:bookmarkEnd w:id="319"/>
    <w:bookmarkEnd w:id="320"/>
    <w:bookmarkEnd w:id="321"/>
    <w:p w14:paraId="2206CFEF">
      <w:pPr>
        <w:pStyle w:val="4"/>
        <w:spacing w:before="0" w:after="0" w:line="360" w:lineRule="auto"/>
        <w:ind w:firstLine="420" w:firstLineChars="200"/>
        <w:rPr>
          <w:rFonts w:eastAsia="黑体"/>
          <w:color w:val="auto"/>
          <w:sz w:val="21"/>
          <w:szCs w:val="21"/>
          <w:highlight w:val="none"/>
        </w:rPr>
      </w:pPr>
      <w:bookmarkStart w:id="322" w:name="_Toc15735"/>
      <w:r>
        <w:rPr>
          <w:rFonts w:eastAsia="黑体"/>
          <w:color w:val="auto"/>
          <w:sz w:val="21"/>
          <w:szCs w:val="21"/>
          <w:highlight w:val="none"/>
        </w:rPr>
        <w:t>8</w:t>
      </w:r>
      <w:bookmarkStart w:id="323" w:name="_Toc296346560"/>
      <w:bookmarkStart w:id="324" w:name="_Toc296503059"/>
      <w:bookmarkStart w:id="325" w:name="_Toc337558777"/>
      <w:bookmarkStart w:id="326" w:name="_Toc468936960"/>
      <w:r>
        <w:rPr>
          <w:rFonts w:eastAsia="黑体"/>
          <w:color w:val="auto"/>
          <w:sz w:val="21"/>
          <w:szCs w:val="21"/>
          <w:highlight w:val="none"/>
        </w:rPr>
        <w:t>.1发包人供应材料与工程设备</w:t>
      </w:r>
      <w:bookmarkEnd w:id="322"/>
    </w:p>
    <w:bookmarkEnd w:id="323"/>
    <w:bookmarkEnd w:id="324"/>
    <w:bookmarkEnd w:id="325"/>
    <w:p w14:paraId="7A63B75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5E7EB68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承包人应提前30天通过监理人以书面形式通知发包人供应材料与工程设备进场。承包人按照第7.2.2项</w:t>
      </w:r>
      <w:r>
        <w:rPr>
          <w:rFonts w:hint="eastAsia" w:eastAsia="仿宋_GB2312"/>
          <w:color w:val="auto"/>
          <w:kern w:val="0"/>
          <w:szCs w:val="21"/>
          <w:highlight w:val="none"/>
        </w:rPr>
        <w:t>〔</w:t>
      </w:r>
      <w:r>
        <w:rPr>
          <w:rFonts w:eastAsia="仿宋_GB2312"/>
          <w:color w:val="auto"/>
          <w:kern w:val="0"/>
          <w:szCs w:val="21"/>
          <w:highlight w:val="none"/>
        </w:rPr>
        <w:t>施工进度计划的修订</w:t>
      </w:r>
      <w:r>
        <w:rPr>
          <w:rFonts w:hint="eastAsia" w:eastAsia="仿宋_GB2312"/>
          <w:color w:val="auto"/>
          <w:kern w:val="0"/>
          <w:szCs w:val="21"/>
          <w:highlight w:val="none"/>
        </w:rPr>
        <w:t>〕</w:t>
      </w:r>
      <w:r>
        <w:rPr>
          <w:rFonts w:eastAsia="仿宋_GB2312"/>
          <w:color w:val="auto"/>
          <w:kern w:val="0"/>
          <w:szCs w:val="21"/>
          <w:highlight w:val="none"/>
        </w:rPr>
        <w:t>约定修订施工进度计划时，需同时提交经修订后的发包人供应材料与工程设备的进场计划。</w:t>
      </w:r>
    </w:p>
    <w:p w14:paraId="3E2CBB4C">
      <w:pPr>
        <w:pStyle w:val="4"/>
        <w:spacing w:before="0" w:after="0" w:line="360" w:lineRule="auto"/>
        <w:ind w:firstLine="420" w:firstLineChars="200"/>
        <w:rPr>
          <w:rFonts w:eastAsia="黑体"/>
          <w:color w:val="auto"/>
          <w:sz w:val="21"/>
          <w:szCs w:val="21"/>
          <w:highlight w:val="none"/>
        </w:rPr>
      </w:pPr>
      <w:bookmarkStart w:id="327" w:name="_Toc7129"/>
      <w:r>
        <w:rPr>
          <w:rFonts w:eastAsia="黑体"/>
          <w:color w:val="auto"/>
          <w:sz w:val="21"/>
          <w:szCs w:val="21"/>
          <w:highlight w:val="none"/>
        </w:rPr>
        <w:t>8</w:t>
      </w:r>
      <w:bookmarkStart w:id="328" w:name="_Toc337558778"/>
      <w:bookmarkStart w:id="329" w:name="_Toc296503060"/>
      <w:bookmarkStart w:id="330" w:name="_Toc296346561"/>
      <w:r>
        <w:rPr>
          <w:rFonts w:eastAsia="黑体"/>
          <w:color w:val="auto"/>
          <w:sz w:val="21"/>
          <w:szCs w:val="21"/>
          <w:highlight w:val="none"/>
        </w:rPr>
        <w:t>.2承包人采购材料与工程设备</w:t>
      </w:r>
      <w:bookmarkEnd w:id="327"/>
    </w:p>
    <w:bookmarkEnd w:id="328"/>
    <w:bookmarkEnd w:id="329"/>
    <w:bookmarkEnd w:id="330"/>
    <w:p w14:paraId="551A282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color w:val="auto"/>
          <w:kern w:val="0"/>
          <w:szCs w:val="21"/>
          <w:highlight w:val="none"/>
        </w:rPr>
        <w:t>相应责任</w:t>
      </w:r>
      <w:r>
        <w:rPr>
          <w:rFonts w:eastAsia="仿宋_GB2312"/>
          <w:color w:val="auto"/>
          <w:kern w:val="0"/>
          <w:szCs w:val="21"/>
          <w:highlight w:val="none"/>
        </w:rPr>
        <w:t>。</w:t>
      </w:r>
    </w:p>
    <w:p w14:paraId="678430D2">
      <w:pPr>
        <w:pStyle w:val="4"/>
        <w:spacing w:before="0" w:after="0" w:line="360" w:lineRule="auto"/>
        <w:ind w:firstLine="420" w:firstLineChars="200"/>
        <w:rPr>
          <w:rFonts w:eastAsia="黑体"/>
          <w:color w:val="auto"/>
          <w:sz w:val="21"/>
          <w:szCs w:val="21"/>
          <w:highlight w:val="none"/>
        </w:rPr>
      </w:pPr>
      <w:bookmarkStart w:id="331" w:name="_Toc15333"/>
      <w:r>
        <w:rPr>
          <w:rFonts w:eastAsia="黑体"/>
          <w:color w:val="auto"/>
          <w:sz w:val="21"/>
          <w:szCs w:val="21"/>
          <w:highlight w:val="none"/>
        </w:rPr>
        <w:t>8</w:t>
      </w:r>
      <w:bookmarkStart w:id="332" w:name="_Toc296503061"/>
      <w:bookmarkStart w:id="333" w:name="_Toc337558779"/>
      <w:bookmarkStart w:id="334" w:name="_Toc296346562"/>
      <w:r>
        <w:rPr>
          <w:rFonts w:eastAsia="黑体"/>
          <w:color w:val="auto"/>
          <w:sz w:val="21"/>
          <w:szCs w:val="21"/>
          <w:highlight w:val="none"/>
        </w:rPr>
        <w:t>.3材料与工程设备的接收与拒收</w:t>
      </w:r>
      <w:bookmarkEnd w:id="331"/>
    </w:p>
    <w:bookmarkEnd w:id="332"/>
    <w:bookmarkEnd w:id="333"/>
    <w:bookmarkEnd w:id="334"/>
    <w:p w14:paraId="5551C66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w:t>
      </w:r>
      <w:r>
        <w:rPr>
          <w:rFonts w:hint="eastAsia" w:eastAsia="仿宋_GB2312"/>
          <w:color w:val="auto"/>
          <w:kern w:val="0"/>
          <w:szCs w:val="21"/>
          <w:highlight w:val="none"/>
        </w:rPr>
        <w:t>符合约定的予以接收，不符合约定的，承包人有权拒收</w:t>
      </w:r>
      <w:r>
        <w:rPr>
          <w:rFonts w:eastAsia="仿宋_GB2312"/>
          <w:color w:val="auto"/>
          <w:kern w:val="0"/>
          <w:szCs w:val="21"/>
          <w:highlight w:val="none"/>
        </w:rPr>
        <w:t>。</w:t>
      </w:r>
    </w:p>
    <w:p w14:paraId="3D35164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发包人提供的材料和工程设备的规格、数量或质量不符合合同约定的，或因发包人原因导致交货日期延误或交货地点变更等情况的，按照第16.1款</w:t>
      </w:r>
      <w:r>
        <w:rPr>
          <w:rFonts w:hint="eastAsia" w:eastAsia="仿宋_GB2312"/>
          <w:color w:val="auto"/>
          <w:kern w:val="0"/>
          <w:szCs w:val="21"/>
          <w:highlight w:val="none"/>
        </w:rPr>
        <w:t>〔</w:t>
      </w:r>
      <w:r>
        <w:rPr>
          <w:rFonts w:eastAsia="仿宋_GB2312"/>
          <w:color w:val="auto"/>
          <w:kern w:val="0"/>
          <w:szCs w:val="21"/>
          <w:highlight w:val="none"/>
        </w:rPr>
        <w:t>发包人违约</w:t>
      </w:r>
      <w:r>
        <w:rPr>
          <w:rFonts w:hint="eastAsia" w:eastAsia="仿宋_GB2312"/>
          <w:color w:val="auto"/>
          <w:kern w:val="0"/>
          <w:szCs w:val="21"/>
          <w:highlight w:val="none"/>
        </w:rPr>
        <w:t>〕</w:t>
      </w:r>
      <w:r>
        <w:rPr>
          <w:rFonts w:eastAsia="仿宋_GB2312"/>
          <w:color w:val="auto"/>
          <w:kern w:val="0"/>
          <w:szCs w:val="21"/>
          <w:highlight w:val="none"/>
        </w:rPr>
        <w:t>约定办理。</w:t>
      </w:r>
    </w:p>
    <w:p w14:paraId="38A4E98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8.3.2 承包人采购的材料和工程设备，应保证产品质量合格，承包人应在材料和工程设备到货前24小时通知监理人</w:t>
      </w:r>
      <w:r>
        <w:rPr>
          <w:rFonts w:hint="eastAsia" w:eastAsia="仿宋_GB2312"/>
          <w:color w:val="auto"/>
          <w:kern w:val="0"/>
          <w:szCs w:val="21"/>
          <w:highlight w:val="none"/>
        </w:rPr>
        <w:t>清点</w:t>
      </w:r>
      <w:r>
        <w:rPr>
          <w:rFonts w:eastAsia="仿宋_GB2312"/>
          <w:color w:val="auto"/>
          <w:kern w:val="0"/>
          <w:szCs w:val="21"/>
          <w:highlight w:val="none"/>
        </w:rPr>
        <w:t>。承</w:t>
      </w:r>
      <w:bookmarkStart w:id="335" w:name="_Toc250655469"/>
      <w:r>
        <w:rPr>
          <w:rFonts w:eastAsia="仿宋_GB2312"/>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335"/>
    <w:p w14:paraId="29A0A9CE">
      <w:pPr>
        <w:autoSpaceDE w:val="0"/>
        <w:autoSpaceDN w:val="0"/>
        <w:adjustRightInd w:val="0"/>
        <w:spacing w:line="360" w:lineRule="auto"/>
        <w:ind w:firstLine="315" w:firstLineChars="150"/>
        <w:jc w:val="left"/>
        <w:rPr>
          <w:rFonts w:eastAsia="仿宋_GB2312"/>
          <w:color w:val="auto"/>
          <w:kern w:val="0"/>
          <w:szCs w:val="21"/>
          <w:highlight w:val="none"/>
        </w:rPr>
      </w:pPr>
      <w:r>
        <w:rPr>
          <w:rFonts w:eastAsia="仿宋_GB2312"/>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39F06AD">
      <w:pPr>
        <w:pStyle w:val="4"/>
        <w:spacing w:before="0" w:after="0" w:line="360" w:lineRule="auto"/>
        <w:ind w:firstLine="420" w:firstLineChars="200"/>
        <w:rPr>
          <w:rFonts w:eastAsia="黑体"/>
          <w:color w:val="auto"/>
          <w:sz w:val="21"/>
          <w:szCs w:val="21"/>
          <w:highlight w:val="none"/>
        </w:rPr>
      </w:pPr>
      <w:bookmarkStart w:id="336" w:name="_Toc24540"/>
      <w:r>
        <w:rPr>
          <w:rFonts w:eastAsia="黑体"/>
          <w:color w:val="auto"/>
          <w:sz w:val="21"/>
          <w:szCs w:val="21"/>
          <w:highlight w:val="none"/>
        </w:rPr>
        <w:t>8</w:t>
      </w:r>
      <w:bookmarkStart w:id="337" w:name="_Toc337558780"/>
      <w:bookmarkStart w:id="338" w:name="_Toc296503062"/>
      <w:bookmarkStart w:id="339" w:name="_Toc296346563"/>
      <w:r>
        <w:rPr>
          <w:rFonts w:eastAsia="黑体"/>
          <w:color w:val="auto"/>
          <w:sz w:val="21"/>
          <w:szCs w:val="21"/>
          <w:highlight w:val="none"/>
        </w:rPr>
        <w:t>.4材料与工程设备的保管与使用</w:t>
      </w:r>
      <w:bookmarkEnd w:id="336"/>
    </w:p>
    <w:bookmarkEnd w:id="337"/>
    <w:bookmarkEnd w:id="338"/>
    <w:bookmarkEnd w:id="339"/>
    <w:p w14:paraId="56CFCF3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8.4.1 发包人供应</w:t>
      </w:r>
      <w:r>
        <w:rPr>
          <w:rFonts w:eastAsia="仿宋_GB2312"/>
          <w:color w:val="auto"/>
          <w:szCs w:val="21"/>
          <w:highlight w:val="none"/>
        </w:rPr>
        <w:t>材料与</w:t>
      </w:r>
      <w:r>
        <w:rPr>
          <w:rFonts w:eastAsia="仿宋_GB2312"/>
          <w:color w:val="auto"/>
          <w:kern w:val="0"/>
          <w:szCs w:val="21"/>
          <w:highlight w:val="none"/>
        </w:rPr>
        <w:t>工程</w:t>
      </w:r>
      <w:r>
        <w:rPr>
          <w:rFonts w:eastAsia="仿宋_GB2312"/>
          <w:color w:val="auto"/>
          <w:szCs w:val="21"/>
          <w:highlight w:val="none"/>
        </w:rPr>
        <w:t>设备的保管与使用</w:t>
      </w:r>
    </w:p>
    <w:p w14:paraId="7D4D964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发包人供应的材料和工程设备，承包人清点后由承包人妥善保管，保管费用由发包人承担，但已标价工程量清单或预算书已经列支除外。因承包人原因发生丢失毁损的，由承包人负责赔偿；</w:t>
      </w:r>
      <w:r>
        <w:rPr>
          <w:rFonts w:hint="eastAsia" w:eastAsia="仿宋_GB2312"/>
          <w:color w:val="auto"/>
          <w:kern w:val="0"/>
          <w:szCs w:val="21"/>
          <w:highlight w:val="none"/>
        </w:rPr>
        <w:t>发包人</w:t>
      </w:r>
      <w:r>
        <w:rPr>
          <w:rFonts w:eastAsia="仿宋_GB2312"/>
          <w:color w:val="auto"/>
          <w:kern w:val="0"/>
          <w:szCs w:val="21"/>
          <w:highlight w:val="none"/>
        </w:rPr>
        <w:t>未通知承包人清点的，承包人不负责材料和工程设备的保管，由此导致丢失毁损的由发包人负责。</w:t>
      </w:r>
    </w:p>
    <w:p w14:paraId="248AC9B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发包人供应的材料和工程设备使用前，由承包人负责检验，检验费用由发包人承担，不合格的不得使用。</w:t>
      </w:r>
    </w:p>
    <w:p w14:paraId="7B69DDB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8.4.2 承包人采购</w:t>
      </w:r>
      <w:r>
        <w:rPr>
          <w:rFonts w:eastAsia="仿宋_GB2312"/>
          <w:color w:val="auto"/>
          <w:szCs w:val="21"/>
          <w:highlight w:val="none"/>
        </w:rPr>
        <w:t>材料与</w:t>
      </w:r>
      <w:r>
        <w:rPr>
          <w:rFonts w:eastAsia="仿宋_GB2312"/>
          <w:color w:val="auto"/>
          <w:kern w:val="0"/>
          <w:szCs w:val="21"/>
          <w:highlight w:val="none"/>
        </w:rPr>
        <w:t>工程</w:t>
      </w:r>
      <w:r>
        <w:rPr>
          <w:rFonts w:eastAsia="仿宋_GB2312"/>
          <w:color w:val="auto"/>
          <w:szCs w:val="21"/>
          <w:highlight w:val="none"/>
        </w:rPr>
        <w:t>设备的保管与使用</w:t>
      </w:r>
    </w:p>
    <w:p w14:paraId="276C1DC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9BE789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B25F069">
      <w:pPr>
        <w:pStyle w:val="4"/>
        <w:spacing w:before="0" w:after="0" w:line="360" w:lineRule="auto"/>
        <w:ind w:firstLine="420" w:firstLineChars="200"/>
        <w:rPr>
          <w:rFonts w:eastAsia="黑体"/>
          <w:color w:val="auto"/>
          <w:sz w:val="21"/>
          <w:szCs w:val="21"/>
          <w:highlight w:val="none"/>
        </w:rPr>
      </w:pPr>
      <w:bookmarkStart w:id="340" w:name="_Toc1685"/>
      <w:r>
        <w:rPr>
          <w:rFonts w:eastAsia="黑体"/>
          <w:color w:val="auto"/>
          <w:sz w:val="21"/>
          <w:szCs w:val="21"/>
          <w:highlight w:val="none"/>
        </w:rPr>
        <w:t>8.5禁止使用不合格的材料和工程设备</w:t>
      </w:r>
      <w:bookmarkEnd w:id="340"/>
    </w:p>
    <w:p w14:paraId="1984A9D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117356D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8.5.2 监理人发现承包人使用了不合格的材料和工程设备，承包人应按照监理人的指示立即改正，并禁止在工程中继续使用不合格的材料和工程设备。</w:t>
      </w:r>
    </w:p>
    <w:p w14:paraId="10D784D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8.5.3 发包人提供的材料或工程设备不符合合同要求的，承包人有权拒绝，并可要求发包人更换，由此增加的费用和（或）延误的工期由发包人承担。</w:t>
      </w:r>
    </w:p>
    <w:p w14:paraId="37102D48">
      <w:pPr>
        <w:pStyle w:val="4"/>
        <w:spacing w:before="0" w:after="0" w:line="360" w:lineRule="auto"/>
        <w:ind w:firstLine="420" w:firstLineChars="200"/>
        <w:rPr>
          <w:rFonts w:eastAsia="黑体"/>
          <w:color w:val="auto"/>
          <w:sz w:val="21"/>
          <w:szCs w:val="21"/>
          <w:highlight w:val="none"/>
        </w:rPr>
      </w:pPr>
      <w:bookmarkStart w:id="341" w:name="_Toc15803"/>
      <w:r>
        <w:rPr>
          <w:rFonts w:eastAsia="黑体"/>
          <w:color w:val="auto"/>
          <w:sz w:val="21"/>
          <w:szCs w:val="21"/>
          <w:highlight w:val="none"/>
        </w:rPr>
        <w:t>8.6 样品</w:t>
      </w:r>
      <w:bookmarkEnd w:id="341"/>
    </w:p>
    <w:p w14:paraId="02A602B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8.6.1</w:t>
      </w:r>
      <w:r>
        <w:rPr>
          <w:rFonts w:eastAsia="仿宋_GB2312"/>
          <w:color w:val="auto"/>
          <w:kern w:val="0"/>
          <w:szCs w:val="21"/>
          <w:highlight w:val="none"/>
        </w:rPr>
        <w:tab/>
      </w:r>
      <w:r>
        <w:rPr>
          <w:rFonts w:eastAsia="仿宋_GB2312"/>
          <w:color w:val="auto"/>
          <w:kern w:val="0"/>
          <w:szCs w:val="21"/>
          <w:highlight w:val="none"/>
        </w:rPr>
        <w:t>样品的报送</w:t>
      </w:r>
      <w:r>
        <w:rPr>
          <w:rFonts w:hint="eastAsia" w:eastAsia="仿宋_GB2312"/>
          <w:color w:val="auto"/>
          <w:kern w:val="0"/>
          <w:szCs w:val="21"/>
          <w:highlight w:val="none"/>
        </w:rPr>
        <w:t>与封存</w:t>
      </w:r>
    </w:p>
    <w:p w14:paraId="35C20A7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需要承包人报送样品的材料或工程设备，样品的种类、名称、规格、数量等要求均应在专用合同条款中约定。样品的报送程序如下：</w:t>
      </w:r>
    </w:p>
    <w:p w14:paraId="7018E3C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5E74AF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534DC4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（3）经发包人和监理人审批确认的样品</w:t>
      </w:r>
      <w:r>
        <w:rPr>
          <w:rFonts w:hint="eastAsia" w:eastAsia="仿宋_GB2312"/>
          <w:color w:val="auto"/>
          <w:kern w:val="0"/>
          <w:szCs w:val="21"/>
          <w:highlight w:val="none"/>
        </w:rPr>
        <w:t>应按约定的方法封样，封存的样品</w:t>
      </w:r>
      <w:r>
        <w:rPr>
          <w:rFonts w:eastAsia="仿宋_GB2312"/>
          <w:color w:val="auto"/>
          <w:kern w:val="0"/>
          <w:szCs w:val="21"/>
          <w:highlight w:val="none"/>
        </w:rPr>
        <w:t>作为检验工程相关部分的标准之一。承包人在施工过程中不得使用与样品不符的材料或工程设备。</w:t>
      </w:r>
    </w:p>
    <w:p w14:paraId="27F42A4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（4）发包人和监理人对样品的审批确认仅为确认相关材料或工程设备的特征或用途，不得被理解为对合同的修改或改变，也并不减轻或免除承包人任何的责任和义务。</w:t>
      </w:r>
      <w:r>
        <w:rPr>
          <w:rFonts w:hint="eastAsia" w:eastAsia="仿宋_GB2312"/>
          <w:color w:val="auto"/>
          <w:kern w:val="0"/>
          <w:szCs w:val="21"/>
          <w:highlight w:val="none"/>
        </w:rPr>
        <w:t>如果封存的样品修改或改变了合同约定，合同当事人应当以书面协议予以确认。</w:t>
      </w:r>
    </w:p>
    <w:p w14:paraId="5D06910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8.6.2 样品的保管</w:t>
      </w:r>
    </w:p>
    <w:p w14:paraId="5FF68BF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经批准的样品应由监理人负责封存于现场，承包人应在现场为保存样品提供适当和固定的场所并保持适当和良好的存储环境条件。</w:t>
      </w:r>
    </w:p>
    <w:p w14:paraId="10645514">
      <w:pPr>
        <w:pStyle w:val="4"/>
        <w:spacing w:before="0" w:after="0" w:line="360" w:lineRule="auto"/>
        <w:ind w:firstLine="420" w:firstLineChars="200"/>
        <w:rPr>
          <w:rFonts w:eastAsia="黑体"/>
          <w:color w:val="auto"/>
          <w:sz w:val="21"/>
          <w:szCs w:val="21"/>
          <w:highlight w:val="none"/>
        </w:rPr>
      </w:pPr>
      <w:bookmarkStart w:id="342" w:name="_Toc11457"/>
      <w:r>
        <w:rPr>
          <w:rFonts w:eastAsia="黑体"/>
          <w:color w:val="auto"/>
          <w:sz w:val="21"/>
          <w:szCs w:val="21"/>
          <w:highlight w:val="none"/>
        </w:rPr>
        <w:t>8.7材料与工程设备的替代</w:t>
      </w:r>
      <w:bookmarkEnd w:id="342"/>
    </w:p>
    <w:p w14:paraId="7420ABA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8.7.1 出现下列情况需要使用替代材料和工程设备的，承包人应按照第8.7.2项约定的程序执行：</w:t>
      </w:r>
    </w:p>
    <w:p w14:paraId="2465A87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（1）基准日</w:t>
      </w:r>
      <w:r>
        <w:rPr>
          <w:rFonts w:hint="eastAsia" w:eastAsia="仿宋_GB2312"/>
          <w:color w:val="auto"/>
          <w:kern w:val="0"/>
          <w:szCs w:val="21"/>
          <w:highlight w:val="none"/>
        </w:rPr>
        <w:t>期</w:t>
      </w:r>
      <w:r>
        <w:rPr>
          <w:rFonts w:eastAsia="仿宋_GB2312"/>
          <w:color w:val="auto"/>
          <w:kern w:val="0"/>
          <w:szCs w:val="21"/>
          <w:highlight w:val="none"/>
        </w:rPr>
        <w:t>后生效的法律规定禁止使用的；</w:t>
      </w:r>
    </w:p>
    <w:p w14:paraId="6AFBC63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（2）发包人要求使用替代品的；</w:t>
      </w:r>
    </w:p>
    <w:p w14:paraId="57F15ED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（3）因其他原因必须使用替代品的。</w:t>
      </w:r>
    </w:p>
    <w:p w14:paraId="61D1276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8.7.2 承包人应在使用替代材料和工程设备28天前书面通知监理人，并附下列文件：</w:t>
      </w:r>
    </w:p>
    <w:p w14:paraId="2FE1F34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（1）被替代的材料和工程设备的名称、数量、规格、型号、品牌、性能、价格及其他相关资料；</w:t>
      </w:r>
    </w:p>
    <w:p w14:paraId="0A3E1E7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（2）替代品的名称、数量、规格、型号、品牌、性能、价格及其他相关资料；</w:t>
      </w:r>
    </w:p>
    <w:p w14:paraId="0C22AB5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（3）替代品与被替代产品之间的差异以及使用替代品可能对工程产生的影响；</w:t>
      </w:r>
    </w:p>
    <w:p w14:paraId="2915189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（4）替代品与被替代产品的价格差异；</w:t>
      </w:r>
    </w:p>
    <w:p w14:paraId="295CC10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（5）使用替代品的理由和原因说明；</w:t>
      </w:r>
    </w:p>
    <w:p w14:paraId="66660C8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（6）监理人要求的其他文件。</w:t>
      </w:r>
    </w:p>
    <w:p w14:paraId="73FB487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监理人应在收到通知后14天内向承包人发出经发包人签认的书面指示。</w:t>
      </w:r>
    </w:p>
    <w:p w14:paraId="0A19057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8.7.3 发包人认可使用替代材料和工程设备的，替代材料和工程设备的价格，按照已标价工程量清单或预算书相同项目的价格认定；无相同项目的，参考相似项目价格认定；</w:t>
      </w:r>
      <w:r>
        <w:rPr>
          <w:rFonts w:hint="eastAsia" w:eastAsia="仿宋_GB2312"/>
          <w:color w:val="auto"/>
          <w:kern w:val="0"/>
          <w:szCs w:val="21"/>
          <w:highlight w:val="none"/>
        </w:rPr>
        <w:t>既无</w:t>
      </w:r>
      <w:r>
        <w:rPr>
          <w:rFonts w:eastAsia="仿宋_GB2312"/>
          <w:color w:val="auto"/>
          <w:kern w:val="0"/>
          <w:szCs w:val="21"/>
          <w:highlight w:val="none"/>
        </w:rPr>
        <w:t>相同项目</w:t>
      </w:r>
      <w:r>
        <w:rPr>
          <w:rFonts w:hint="eastAsia" w:eastAsia="仿宋_GB2312"/>
          <w:color w:val="auto"/>
          <w:kern w:val="0"/>
          <w:szCs w:val="21"/>
          <w:highlight w:val="none"/>
        </w:rPr>
        <w:t>也</w:t>
      </w:r>
      <w:r>
        <w:rPr>
          <w:rFonts w:eastAsia="仿宋_GB2312"/>
          <w:color w:val="auto"/>
          <w:kern w:val="0"/>
          <w:szCs w:val="21"/>
          <w:highlight w:val="none"/>
        </w:rPr>
        <w:t>无相似项目的，</w:t>
      </w:r>
      <w:r>
        <w:rPr>
          <w:rFonts w:hint="eastAsia" w:eastAsia="仿宋_GB2312"/>
          <w:color w:val="auto"/>
          <w:kern w:val="0"/>
          <w:szCs w:val="21"/>
          <w:highlight w:val="none"/>
        </w:rPr>
        <w:t>按照合理的成本与利润构成的原则，</w:t>
      </w:r>
      <w:r>
        <w:rPr>
          <w:rFonts w:eastAsia="仿宋_GB2312"/>
          <w:color w:val="auto"/>
          <w:kern w:val="0"/>
          <w:szCs w:val="21"/>
          <w:highlight w:val="none"/>
        </w:rPr>
        <w:t>由合同当事人按照第4.4款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确定价格。</w:t>
      </w:r>
    </w:p>
    <w:p w14:paraId="7CF41553">
      <w:pPr>
        <w:pStyle w:val="4"/>
        <w:spacing w:before="0" w:after="0" w:line="360" w:lineRule="auto"/>
        <w:ind w:firstLine="420" w:firstLineChars="200"/>
        <w:rPr>
          <w:rFonts w:eastAsia="黑体"/>
          <w:color w:val="auto"/>
          <w:sz w:val="21"/>
          <w:szCs w:val="21"/>
          <w:highlight w:val="none"/>
        </w:rPr>
      </w:pPr>
      <w:bookmarkStart w:id="343" w:name="_Toc7930"/>
      <w:r>
        <w:rPr>
          <w:rFonts w:eastAsia="黑体"/>
          <w:color w:val="auto"/>
          <w:sz w:val="21"/>
          <w:szCs w:val="21"/>
          <w:highlight w:val="none"/>
        </w:rPr>
        <w:t>8.8施工设备和临时设施</w:t>
      </w:r>
      <w:bookmarkEnd w:id="343"/>
    </w:p>
    <w:p w14:paraId="3AE3029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8.8.1 承包人提供的施工设备和临时设施</w:t>
      </w:r>
    </w:p>
    <w:p w14:paraId="31E75B5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13A89F9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除专用合同条款另有约定外，承包人应自行承担修建临时设施的费用，需要临时占地的，应由发包人办理申请手续并承担相应费用。</w:t>
      </w:r>
    </w:p>
    <w:p w14:paraId="46FFC63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8.8.2发包人提供的施工设备和临时设施</w:t>
      </w:r>
    </w:p>
    <w:p w14:paraId="5D63FBB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发包人提供的施工设备或临时设施在专用合同条款中约定。</w:t>
      </w:r>
    </w:p>
    <w:p w14:paraId="5FBC0C6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8.8.3要求承包人增加或更换施工设备</w:t>
      </w:r>
    </w:p>
    <w:p w14:paraId="4C35518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4851D54">
      <w:pPr>
        <w:pStyle w:val="4"/>
        <w:spacing w:before="0" w:after="0" w:line="360" w:lineRule="auto"/>
        <w:ind w:firstLine="420" w:firstLineChars="200"/>
        <w:rPr>
          <w:rFonts w:eastAsia="黑体"/>
          <w:color w:val="auto"/>
          <w:sz w:val="21"/>
          <w:szCs w:val="21"/>
          <w:highlight w:val="none"/>
        </w:rPr>
      </w:pPr>
      <w:bookmarkStart w:id="344" w:name="_Toc21601"/>
      <w:r>
        <w:rPr>
          <w:rFonts w:eastAsia="黑体"/>
          <w:color w:val="auto"/>
          <w:sz w:val="21"/>
          <w:szCs w:val="21"/>
          <w:highlight w:val="none"/>
        </w:rPr>
        <w:t>8</w:t>
      </w:r>
      <w:bookmarkStart w:id="345" w:name="_Toc337558781"/>
      <w:bookmarkStart w:id="346" w:name="_Toc296346564"/>
      <w:bookmarkStart w:id="347" w:name="_Toc296503063"/>
      <w:r>
        <w:rPr>
          <w:rFonts w:eastAsia="黑体"/>
          <w:color w:val="auto"/>
          <w:sz w:val="21"/>
          <w:szCs w:val="21"/>
          <w:highlight w:val="none"/>
        </w:rPr>
        <w:t>.9材料与设备专用</w:t>
      </w:r>
      <w:r>
        <w:rPr>
          <w:rFonts w:hint="eastAsia" w:eastAsia="黑体"/>
          <w:color w:val="auto"/>
          <w:sz w:val="21"/>
          <w:szCs w:val="21"/>
          <w:highlight w:val="none"/>
        </w:rPr>
        <w:t>要求</w:t>
      </w:r>
      <w:bookmarkEnd w:id="344"/>
    </w:p>
    <w:bookmarkEnd w:id="345"/>
    <w:bookmarkEnd w:id="346"/>
    <w:bookmarkEnd w:id="347"/>
    <w:p w14:paraId="71C2FA5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26"/>
      <w:r>
        <w:rPr>
          <w:rFonts w:eastAsia="仿宋_GB2312"/>
          <w:color w:val="auto"/>
          <w:kern w:val="0"/>
          <w:szCs w:val="21"/>
          <w:highlight w:val="none"/>
        </w:rPr>
        <w:t>经发包人批准，承包人可以根据施工进度计划撤走闲置的施工设备和其他物品。</w:t>
      </w:r>
    </w:p>
    <w:p w14:paraId="600A480C">
      <w:pPr>
        <w:pStyle w:val="3"/>
        <w:ind w:firstLine="1680"/>
        <w:rPr>
          <w:rFonts w:ascii="Times New Roman" w:hAnsi="Times New Roman"/>
          <w:color w:val="auto"/>
          <w:sz w:val="21"/>
          <w:szCs w:val="21"/>
          <w:highlight w:val="none"/>
        </w:rPr>
      </w:pPr>
      <w:bookmarkStart w:id="348" w:name="_Toc29221"/>
      <w:r>
        <w:rPr>
          <w:rFonts w:ascii="Times New Roman" w:hAnsi="Times New Roman"/>
          <w:color w:val="auto"/>
          <w:sz w:val="21"/>
          <w:szCs w:val="21"/>
          <w:highlight w:val="none"/>
        </w:rPr>
        <w:t>9</w:t>
      </w:r>
      <w:bookmarkStart w:id="349" w:name="_Toc337558782"/>
      <w:bookmarkStart w:id="350" w:name="_Toc296503083"/>
      <w:bookmarkStart w:id="351" w:name="_Toc296346584"/>
      <w:r>
        <w:rPr>
          <w:rFonts w:ascii="Times New Roman" w:hAnsi="Times New Roman"/>
          <w:color w:val="auto"/>
          <w:sz w:val="21"/>
          <w:szCs w:val="21"/>
          <w:highlight w:val="none"/>
        </w:rPr>
        <w:t>. 试验与检验</w:t>
      </w:r>
      <w:bookmarkEnd w:id="348"/>
    </w:p>
    <w:bookmarkEnd w:id="349"/>
    <w:p w14:paraId="057AE4FB">
      <w:pPr>
        <w:pStyle w:val="4"/>
        <w:spacing w:before="0" w:after="0" w:line="360" w:lineRule="auto"/>
        <w:ind w:firstLine="420" w:firstLineChars="200"/>
        <w:rPr>
          <w:rFonts w:eastAsia="黑体"/>
          <w:color w:val="auto"/>
          <w:sz w:val="21"/>
          <w:szCs w:val="21"/>
          <w:highlight w:val="none"/>
        </w:rPr>
      </w:pPr>
      <w:bookmarkStart w:id="352" w:name="_Toc30818"/>
      <w:r>
        <w:rPr>
          <w:rFonts w:eastAsia="黑体"/>
          <w:color w:val="auto"/>
          <w:sz w:val="21"/>
          <w:szCs w:val="21"/>
          <w:highlight w:val="none"/>
        </w:rPr>
        <w:t>9</w:t>
      </w:r>
      <w:bookmarkStart w:id="353" w:name="_Toc337558783"/>
      <w:r>
        <w:rPr>
          <w:rFonts w:eastAsia="黑体"/>
          <w:color w:val="auto"/>
          <w:sz w:val="21"/>
          <w:szCs w:val="21"/>
          <w:highlight w:val="none"/>
        </w:rPr>
        <w:t>.1试验设备与试验人员</w:t>
      </w:r>
      <w:bookmarkEnd w:id="352"/>
    </w:p>
    <w:bookmarkEnd w:id="353"/>
    <w:p w14:paraId="56AF24E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826D8A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9.1.2 承包人应按专用合同条款的约定提供试验设备、取样装置、试验场所和试验条件，并向监理人提交相应进场计划表。</w:t>
      </w:r>
    </w:p>
    <w:p w14:paraId="2553583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承包人配置的试验设备要符合相应试验规程的要求并经过具有资质的检测单位检测，且在正式使用该试验设备前，需要经过监理人与承包人共同校定。</w:t>
      </w:r>
    </w:p>
    <w:p w14:paraId="096CEB8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3293C1C7">
      <w:pPr>
        <w:pStyle w:val="4"/>
        <w:spacing w:before="0" w:after="0" w:line="360" w:lineRule="auto"/>
        <w:ind w:firstLine="420" w:firstLineChars="200"/>
        <w:rPr>
          <w:rFonts w:eastAsia="黑体"/>
          <w:color w:val="auto"/>
          <w:sz w:val="21"/>
          <w:szCs w:val="21"/>
          <w:highlight w:val="none"/>
        </w:rPr>
      </w:pPr>
      <w:bookmarkStart w:id="354" w:name="_Toc15040"/>
      <w:r>
        <w:rPr>
          <w:rFonts w:eastAsia="黑体"/>
          <w:color w:val="auto"/>
          <w:sz w:val="21"/>
          <w:szCs w:val="21"/>
          <w:highlight w:val="none"/>
        </w:rPr>
        <w:t>9</w:t>
      </w:r>
      <w:bookmarkStart w:id="355" w:name="_Toc337558784"/>
      <w:r>
        <w:rPr>
          <w:rFonts w:eastAsia="黑体"/>
          <w:color w:val="auto"/>
          <w:sz w:val="21"/>
          <w:szCs w:val="21"/>
          <w:highlight w:val="none"/>
        </w:rPr>
        <w:t>.2取样</w:t>
      </w:r>
      <w:bookmarkEnd w:id="354"/>
    </w:p>
    <w:bookmarkEnd w:id="355"/>
    <w:p w14:paraId="697DCA2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试验属于自检性质的，承包人可以单独取样。试验属于监理人抽检性质的，可由监理人取样，也可由承包人的试验人员在监理人的监督下取样。</w:t>
      </w:r>
    </w:p>
    <w:p w14:paraId="19C22D37">
      <w:pPr>
        <w:pStyle w:val="4"/>
        <w:spacing w:before="0" w:after="0" w:line="360" w:lineRule="auto"/>
        <w:ind w:firstLine="420" w:firstLineChars="200"/>
        <w:rPr>
          <w:rFonts w:eastAsia="黑体"/>
          <w:color w:val="auto"/>
          <w:sz w:val="21"/>
          <w:szCs w:val="21"/>
          <w:highlight w:val="none"/>
        </w:rPr>
      </w:pPr>
      <w:bookmarkStart w:id="356" w:name="_Toc22873"/>
      <w:r>
        <w:rPr>
          <w:rFonts w:eastAsia="黑体"/>
          <w:color w:val="auto"/>
          <w:sz w:val="21"/>
          <w:szCs w:val="21"/>
          <w:highlight w:val="none"/>
        </w:rPr>
        <w:t>9</w:t>
      </w:r>
      <w:bookmarkStart w:id="357" w:name="_Toc337558785"/>
      <w:r>
        <w:rPr>
          <w:rFonts w:eastAsia="黑体"/>
          <w:color w:val="auto"/>
          <w:sz w:val="21"/>
          <w:szCs w:val="21"/>
          <w:highlight w:val="none"/>
        </w:rPr>
        <w:t>.3材料、工程设备和工程的试验和检验</w:t>
      </w:r>
      <w:bookmarkEnd w:id="356"/>
    </w:p>
    <w:bookmarkEnd w:id="357"/>
    <w:p w14:paraId="494D5D0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7F71C1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DFDF8A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337CA2C">
      <w:pPr>
        <w:pStyle w:val="4"/>
        <w:spacing w:before="0" w:after="0" w:line="360" w:lineRule="auto"/>
        <w:ind w:firstLine="420" w:firstLineChars="200"/>
        <w:rPr>
          <w:rFonts w:eastAsia="黑体"/>
          <w:color w:val="auto"/>
          <w:sz w:val="21"/>
          <w:szCs w:val="21"/>
          <w:highlight w:val="none"/>
        </w:rPr>
      </w:pPr>
      <w:bookmarkStart w:id="358" w:name="_Toc23974"/>
      <w:r>
        <w:rPr>
          <w:rFonts w:eastAsia="黑体"/>
          <w:color w:val="auto"/>
          <w:sz w:val="21"/>
          <w:szCs w:val="21"/>
          <w:highlight w:val="none"/>
        </w:rPr>
        <w:t>9</w:t>
      </w:r>
      <w:bookmarkStart w:id="359" w:name="_Toc337558786"/>
      <w:r>
        <w:rPr>
          <w:rFonts w:eastAsia="黑体"/>
          <w:color w:val="auto"/>
          <w:sz w:val="21"/>
          <w:szCs w:val="21"/>
          <w:highlight w:val="none"/>
        </w:rPr>
        <w:t>.4现场工艺试验</w:t>
      </w:r>
      <w:bookmarkEnd w:id="358"/>
    </w:p>
    <w:bookmarkEnd w:id="359"/>
    <w:p w14:paraId="7E53CEB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702EA01E">
      <w:pPr>
        <w:pStyle w:val="3"/>
        <w:ind w:firstLine="1680"/>
        <w:rPr>
          <w:rFonts w:ascii="Times New Roman" w:hAnsi="Times New Roman"/>
          <w:color w:val="auto"/>
          <w:sz w:val="21"/>
          <w:szCs w:val="21"/>
          <w:highlight w:val="none"/>
        </w:rPr>
      </w:pPr>
      <w:bookmarkStart w:id="360" w:name="_Toc15589"/>
      <w:r>
        <w:rPr>
          <w:rFonts w:ascii="Times New Roman" w:hAnsi="Times New Roman"/>
          <w:color w:val="auto"/>
          <w:sz w:val="21"/>
          <w:szCs w:val="21"/>
          <w:highlight w:val="none"/>
        </w:rPr>
        <w:t>1</w:t>
      </w:r>
      <w:bookmarkStart w:id="361" w:name="_Toc337558787"/>
      <w:r>
        <w:rPr>
          <w:rFonts w:ascii="Times New Roman" w:hAnsi="Times New Roman"/>
          <w:color w:val="auto"/>
          <w:sz w:val="21"/>
          <w:szCs w:val="21"/>
          <w:highlight w:val="none"/>
        </w:rPr>
        <w:t>0. 变更</w:t>
      </w:r>
      <w:bookmarkEnd w:id="350"/>
      <w:bookmarkEnd w:id="351"/>
      <w:bookmarkEnd w:id="360"/>
    </w:p>
    <w:bookmarkEnd w:id="361"/>
    <w:p w14:paraId="47C18420">
      <w:pPr>
        <w:pStyle w:val="4"/>
        <w:spacing w:before="0" w:after="0" w:line="360" w:lineRule="auto"/>
        <w:ind w:firstLine="420" w:firstLineChars="200"/>
        <w:rPr>
          <w:rFonts w:eastAsia="黑体"/>
          <w:color w:val="auto"/>
          <w:sz w:val="21"/>
          <w:szCs w:val="21"/>
          <w:highlight w:val="none"/>
        </w:rPr>
      </w:pPr>
      <w:bookmarkStart w:id="362" w:name="_Toc30050"/>
      <w:r>
        <w:rPr>
          <w:rFonts w:eastAsia="黑体"/>
          <w:color w:val="auto"/>
          <w:sz w:val="21"/>
          <w:szCs w:val="21"/>
          <w:highlight w:val="none"/>
        </w:rPr>
        <w:t>1</w:t>
      </w:r>
      <w:bookmarkStart w:id="363" w:name="_Toc296503084"/>
      <w:bookmarkStart w:id="364" w:name="_Toc337558788"/>
      <w:bookmarkStart w:id="365" w:name="_Toc296346585"/>
      <w:r>
        <w:rPr>
          <w:rFonts w:eastAsia="黑体"/>
          <w:color w:val="auto"/>
          <w:sz w:val="21"/>
          <w:szCs w:val="21"/>
          <w:highlight w:val="none"/>
        </w:rPr>
        <w:t>0.1变更的范围</w:t>
      </w:r>
      <w:bookmarkEnd w:id="362"/>
    </w:p>
    <w:bookmarkEnd w:id="363"/>
    <w:bookmarkEnd w:id="364"/>
    <w:bookmarkEnd w:id="365"/>
    <w:p w14:paraId="65F6A8B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除专用合同条款另有约定外，合同履行过程中发生以下情形的，应按照本条约定进行变更：</w:t>
      </w:r>
    </w:p>
    <w:p w14:paraId="42B4A18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（1）增加或减少合同中任何工作，或追加额外的工作；</w:t>
      </w:r>
    </w:p>
    <w:p w14:paraId="26A5480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（2）取消合同中任何工作，但转由他人实施的工作除外；</w:t>
      </w:r>
    </w:p>
    <w:p w14:paraId="2DC81C4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（3）改变合同中任何工作的质量标准或其他特性；</w:t>
      </w:r>
    </w:p>
    <w:p w14:paraId="70F2191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（4）改变工程的基线、标高、位置和尺寸；</w:t>
      </w:r>
    </w:p>
    <w:p w14:paraId="12BABD1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（5）改变工程的时间安排或实施顺序。</w:t>
      </w:r>
    </w:p>
    <w:p w14:paraId="20F4D487">
      <w:pPr>
        <w:pStyle w:val="4"/>
        <w:spacing w:before="0" w:after="0" w:line="360" w:lineRule="auto"/>
        <w:ind w:firstLine="420" w:firstLineChars="200"/>
        <w:rPr>
          <w:rFonts w:eastAsia="黑体"/>
          <w:color w:val="auto"/>
          <w:sz w:val="21"/>
          <w:szCs w:val="21"/>
          <w:highlight w:val="none"/>
        </w:rPr>
      </w:pPr>
      <w:bookmarkStart w:id="366" w:name="_Toc14634"/>
      <w:r>
        <w:rPr>
          <w:rFonts w:eastAsia="黑体"/>
          <w:color w:val="auto"/>
          <w:sz w:val="21"/>
          <w:szCs w:val="21"/>
          <w:highlight w:val="none"/>
        </w:rPr>
        <w:t>1</w:t>
      </w:r>
      <w:bookmarkStart w:id="367" w:name="_Toc296346586"/>
      <w:bookmarkStart w:id="368" w:name="_Toc337558789"/>
      <w:bookmarkStart w:id="369" w:name="_Toc296503085"/>
      <w:r>
        <w:rPr>
          <w:rFonts w:eastAsia="黑体"/>
          <w:color w:val="auto"/>
          <w:sz w:val="21"/>
          <w:szCs w:val="21"/>
          <w:highlight w:val="none"/>
        </w:rPr>
        <w:t>0.2变更权</w:t>
      </w:r>
      <w:bookmarkEnd w:id="366"/>
    </w:p>
    <w:bookmarkEnd w:id="367"/>
    <w:bookmarkEnd w:id="368"/>
    <w:bookmarkEnd w:id="369"/>
    <w:p w14:paraId="6B8A093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990A2C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涉及设计变更的，应由设计人提供变更后的图纸和说明。如变更超过原设计标准或批准的建设规模时，发包人应及时办理规划、设计变更</w:t>
      </w:r>
      <w:r>
        <w:rPr>
          <w:rFonts w:hint="eastAsia" w:eastAsia="仿宋_GB2312"/>
          <w:color w:val="auto"/>
          <w:kern w:val="0"/>
          <w:szCs w:val="21"/>
          <w:highlight w:val="none"/>
        </w:rPr>
        <w:t>等</w:t>
      </w:r>
      <w:r>
        <w:rPr>
          <w:rFonts w:eastAsia="仿宋_GB2312"/>
          <w:color w:val="auto"/>
          <w:kern w:val="0"/>
          <w:szCs w:val="21"/>
          <w:highlight w:val="none"/>
        </w:rPr>
        <w:t>审批手续。</w:t>
      </w:r>
    </w:p>
    <w:p w14:paraId="2CC27D3F">
      <w:pPr>
        <w:pStyle w:val="4"/>
        <w:spacing w:before="0" w:after="0" w:line="360" w:lineRule="auto"/>
        <w:ind w:firstLine="420" w:firstLineChars="200"/>
        <w:rPr>
          <w:rFonts w:eastAsia="黑体"/>
          <w:color w:val="auto"/>
          <w:sz w:val="21"/>
          <w:szCs w:val="21"/>
          <w:highlight w:val="none"/>
        </w:rPr>
      </w:pPr>
      <w:bookmarkStart w:id="370" w:name="_Toc5703"/>
      <w:r>
        <w:rPr>
          <w:rFonts w:eastAsia="黑体"/>
          <w:color w:val="auto"/>
          <w:sz w:val="21"/>
          <w:szCs w:val="21"/>
          <w:highlight w:val="none"/>
        </w:rPr>
        <w:t>1</w:t>
      </w:r>
      <w:bookmarkStart w:id="371" w:name="_Toc337558790"/>
      <w:bookmarkStart w:id="372" w:name="_Toc296346587"/>
      <w:bookmarkStart w:id="373" w:name="_Toc296503086"/>
      <w:r>
        <w:rPr>
          <w:rFonts w:eastAsia="黑体"/>
          <w:color w:val="auto"/>
          <w:sz w:val="21"/>
          <w:szCs w:val="21"/>
          <w:highlight w:val="none"/>
        </w:rPr>
        <w:t>0.3变更程序</w:t>
      </w:r>
      <w:bookmarkEnd w:id="370"/>
    </w:p>
    <w:bookmarkEnd w:id="371"/>
    <w:bookmarkEnd w:id="372"/>
    <w:bookmarkEnd w:id="373"/>
    <w:p w14:paraId="3C4BAD8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10</w:t>
      </w:r>
      <w:r>
        <w:rPr>
          <w:rFonts w:eastAsia="仿宋_GB2312"/>
          <w:color w:val="auto"/>
          <w:kern w:val="0"/>
          <w:szCs w:val="21"/>
          <w:highlight w:val="none"/>
        </w:rPr>
        <w:t>.3.1 发包人提出变更</w:t>
      </w:r>
    </w:p>
    <w:p w14:paraId="3E4C22F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发包人提出变更的，应通过监理人向承包人发出变更指示，变更指示应说明计划变更的工程范围和变更的内容。</w:t>
      </w:r>
    </w:p>
    <w:p w14:paraId="09E6A6F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10</w:t>
      </w:r>
      <w:r>
        <w:rPr>
          <w:rFonts w:eastAsia="仿宋_GB2312"/>
          <w:color w:val="auto"/>
          <w:kern w:val="0"/>
          <w:szCs w:val="21"/>
          <w:highlight w:val="none"/>
        </w:rPr>
        <w:t>.3.2 监理人提出变更建议</w:t>
      </w:r>
    </w:p>
    <w:p w14:paraId="70A10D6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D8C0BEC">
      <w:pPr>
        <w:autoSpaceDE w:val="0"/>
        <w:autoSpaceDN w:val="0"/>
        <w:adjustRightInd w:val="0"/>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10.3.3 变更执行</w:t>
      </w:r>
    </w:p>
    <w:p w14:paraId="30B23EF7">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承包人收到监理人下达的变更指示后，应当立即或者根据进度计划的需要予以执行。</w:t>
      </w:r>
    </w:p>
    <w:p w14:paraId="412668AA">
      <w:pPr>
        <w:pStyle w:val="4"/>
        <w:spacing w:before="0" w:after="0" w:line="360" w:lineRule="auto"/>
        <w:ind w:firstLine="420" w:firstLineChars="200"/>
        <w:rPr>
          <w:rFonts w:eastAsia="黑体"/>
          <w:color w:val="auto"/>
          <w:sz w:val="21"/>
          <w:szCs w:val="21"/>
          <w:highlight w:val="none"/>
        </w:rPr>
      </w:pPr>
      <w:bookmarkStart w:id="374" w:name="_Toc29953"/>
      <w:r>
        <w:rPr>
          <w:rFonts w:eastAsia="黑体"/>
          <w:color w:val="auto"/>
          <w:sz w:val="21"/>
          <w:szCs w:val="21"/>
          <w:highlight w:val="none"/>
        </w:rPr>
        <w:t>1</w:t>
      </w:r>
      <w:bookmarkStart w:id="375" w:name="_Toc337558791"/>
      <w:bookmarkStart w:id="376" w:name="_Toc296503087"/>
      <w:bookmarkStart w:id="377" w:name="_Toc296346588"/>
      <w:r>
        <w:rPr>
          <w:rFonts w:eastAsia="黑体"/>
          <w:color w:val="auto"/>
          <w:sz w:val="21"/>
          <w:szCs w:val="21"/>
          <w:highlight w:val="none"/>
        </w:rPr>
        <w:t>0.4变更</w:t>
      </w:r>
      <w:r>
        <w:rPr>
          <w:rFonts w:hint="eastAsia" w:eastAsia="黑体"/>
          <w:color w:val="auto"/>
          <w:sz w:val="21"/>
          <w:szCs w:val="21"/>
          <w:highlight w:val="none"/>
        </w:rPr>
        <w:t>计价</w:t>
      </w:r>
      <w:bookmarkEnd w:id="374"/>
    </w:p>
    <w:bookmarkEnd w:id="375"/>
    <w:bookmarkEnd w:id="376"/>
    <w:bookmarkEnd w:id="377"/>
    <w:p w14:paraId="798A20EA">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10.4.1 变更计价原则</w:t>
      </w:r>
    </w:p>
    <w:p w14:paraId="431DA51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除专用合同条款另有约定外，变更</w:t>
      </w:r>
      <w:r>
        <w:rPr>
          <w:rFonts w:hint="eastAsia" w:eastAsia="仿宋_GB2312"/>
          <w:color w:val="auto"/>
          <w:kern w:val="0"/>
          <w:szCs w:val="21"/>
          <w:highlight w:val="none"/>
        </w:rPr>
        <w:t>计价</w:t>
      </w:r>
      <w:r>
        <w:rPr>
          <w:rFonts w:eastAsia="仿宋_GB2312"/>
          <w:color w:val="auto"/>
          <w:kern w:val="0"/>
          <w:szCs w:val="21"/>
          <w:highlight w:val="none"/>
        </w:rPr>
        <w:t>按照本款约定处理：</w:t>
      </w:r>
    </w:p>
    <w:p w14:paraId="63528B5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（1）已标价工程量清单或预算书有相同项目的，按照相同项目单价认定；</w:t>
      </w:r>
    </w:p>
    <w:p w14:paraId="70B76BD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（2）已标价工程量清单或预算书中无相同项目，但有类似项目的，参照类似项目的单价认定；</w:t>
      </w:r>
    </w:p>
    <w:p w14:paraId="47B18AB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确定变更工作的单价。</w:t>
      </w:r>
    </w:p>
    <w:p w14:paraId="0122BC4A">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10.4.2 变更计价程序</w:t>
      </w:r>
    </w:p>
    <w:p w14:paraId="2C9E0C65">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承包人应在收到变更指示后14天内，通过监理人向发包人提交变更计价申请。承包人在14天内未通过监理人向发包人提出变更计价申请的，视为该项变更不涉及价格调整，但是，变更指示导致价格减少的除外。</w:t>
      </w:r>
      <w:r>
        <w:rPr>
          <w:rFonts w:eastAsia="仿宋_GB2312"/>
          <w:color w:val="auto"/>
          <w:kern w:val="0"/>
          <w:szCs w:val="21"/>
          <w:highlight w:val="none"/>
        </w:rPr>
        <w:t>发包人应在</w:t>
      </w:r>
      <w:r>
        <w:rPr>
          <w:rFonts w:hint="eastAsia" w:eastAsia="仿宋_GB2312"/>
          <w:color w:val="auto"/>
          <w:kern w:val="0"/>
          <w:szCs w:val="21"/>
          <w:highlight w:val="none"/>
        </w:rPr>
        <w:t>承包人通过监理人提交变更计价申请</w:t>
      </w:r>
      <w:r>
        <w:rPr>
          <w:rFonts w:eastAsia="仿宋_GB2312"/>
          <w:color w:val="auto"/>
          <w:kern w:val="0"/>
          <w:szCs w:val="21"/>
          <w:highlight w:val="none"/>
        </w:rPr>
        <w:t>后</w:t>
      </w:r>
      <w:r>
        <w:rPr>
          <w:rFonts w:hint="eastAsia" w:eastAsia="仿宋_GB2312"/>
          <w:color w:val="auto"/>
          <w:kern w:val="0"/>
          <w:szCs w:val="21"/>
          <w:highlight w:val="none"/>
        </w:rPr>
        <w:t>21</w:t>
      </w:r>
      <w:r>
        <w:rPr>
          <w:rFonts w:eastAsia="仿宋_GB2312"/>
          <w:color w:val="auto"/>
          <w:kern w:val="0"/>
          <w:szCs w:val="21"/>
          <w:highlight w:val="none"/>
        </w:rPr>
        <w:t>天内审批完毕。</w:t>
      </w:r>
      <w:r>
        <w:rPr>
          <w:rFonts w:hint="eastAsia" w:eastAsia="仿宋_GB2312"/>
          <w:color w:val="auto"/>
          <w:kern w:val="0"/>
          <w:szCs w:val="21"/>
          <w:highlight w:val="none"/>
        </w:rPr>
        <w:t>发包人逾期未完成审批或未提出异议的，视为认可承包人提交的变更计价申请。</w:t>
      </w:r>
    </w:p>
    <w:p w14:paraId="464E4A4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因变更引起的价格调整</w:t>
      </w:r>
      <w:r>
        <w:rPr>
          <w:rFonts w:hint="eastAsia" w:eastAsia="仿宋_GB2312"/>
          <w:color w:val="auto"/>
          <w:kern w:val="0"/>
          <w:szCs w:val="21"/>
          <w:highlight w:val="none"/>
        </w:rPr>
        <w:t>在变更实施完成后</w:t>
      </w:r>
      <w:r>
        <w:rPr>
          <w:rFonts w:eastAsia="仿宋_GB2312"/>
          <w:color w:val="auto"/>
          <w:kern w:val="0"/>
          <w:szCs w:val="21"/>
          <w:highlight w:val="none"/>
        </w:rPr>
        <w:t>应计入最近一期的进度款中支付。</w:t>
      </w:r>
    </w:p>
    <w:p w14:paraId="44850F27">
      <w:pPr>
        <w:pStyle w:val="4"/>
        <w:spacing w:before="0" w:after="0" w:line="360" w:lineRule="auto"/>
        <w:ind w:firstLine="420" w:firstLineChars="200"/>
        <w:rPr>
          <w:rFonts w:eastAsia="黑体"/>
          <w:color w:val="auto"/>
          <w:sz w:val="21"/>
          <w:szCs w:val="21"/>
          <w:highlight w:val="none"/>
        </w:rPr>
      </w:pPr>
      <w:bookmarkStart w:id="378" w:name="_Toc26706"/>
      <w:r>
        <w:rPr>
          <w:rFonts w:eastAsia="黑体"/>
          <w:color w:val="auto"/>
          <w:sz w:val="21"/>
          <w:szCs w:val="21"/>
          <w:highlight w:val="none"/>
        </w:rPr>
        <w:t>1</w:t>
      </w:r>
      <w:bookmarkStart w:id="379" w:name="_Toc296503094"/>
      <w:bookmarkStart w:id="380" w:name="_Toc296346595"/>
      <w:bookmarkStart w:id="381" w:name="_Toc337558792"/>
      <w:r>
        <w:rPr>
          <w:rFonts w:eastAsia="黑体"/>
          <w:color w:val="auto"/>
          <w:sz w:val="21"/>
          <w:szCs w:val="21"/>
          <w:highlight w:val="none"/>
        </w:rPr>
        <w:t>0.5承包人的合理化建议</w:t>
      </w:r>
      <w:bookmarkEnd w:id="378"/>
    </w:p>
    <w:bookmarkEnd w:id="379"/>
    <w:bookmarkEnd w:id="380"/>
    <w:bookmarkEnd w:id="381"/>
    <w:p w14:paraId="3FA31C8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承包人提出合理化建议的，应向监理人提交合理化建议说明，说明建议的内容和理由，以及实施该建议对合同价格和工期的影响。</w:t>
      </w:r>
    </w:p>
    <w:p w14:paraId="6F8ABE0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color w:val="auto"/>
          <w:kern w:val="0"/>
          <w:szCs w:val="21"/>
          <w:highlight w:val="none"/>
        </w:rPr>
        <w:t>〔</w:t>
      </w:r>
      <w:r>
        <w:rPr>
          <w:rFonts w:eastAsia="仿宋_GB2312"/>
          <w:color w:val="auto"/>
          <w:kern w:val="0"/>
          <w:szCs w:val="21"/>
          <w:highlight w:val="none"/>
        </w:rPr>
        <w:t>变更</w:t>
      </w:r>
      <w:r>
        <w:rPr>
          <w:rFonts w:hint="eastAsia" w:eastAsia="仿宋_GB2312"/>
          <w:color w:val="auto"/>
          <w:kern w:val="0"/>
          <w:szCs w:val="21"/>
          <w:highlight w:val="none"/>
        </w:rPr>
        <w:t>计价〕</w:t>
      </w:r>
      <w:r>
        <w:rPr>
          <w:rFonts w:eastAsia="仿宋_GB2312"/>
          <w:color w:val="auto"/>
          <w:kern w:val="0"/>
          <w:szCs w:val="21"/>
          <w:highlight w:val="none"/>
        </w:rPr>
        <w:t>约定执行。发包人不同意变更的，监理人应书面通知承包人。</w:t>
      </w:r>
    </w:p>
    <w:p w14:paraId="38A857C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合理化建议降低了合同价格或者提高了工程经济效益的，发包人可对承包人给予奖励，奖励的方法和金额在专用合同条款中约定。</w:t>
      </w:r>
    </w:p>
    <w:p w14:paraId="2D3D1DBA">
      <w:pPr>
        <w:pStyle w:val="4"/>
        <w:spacing w:before="0" w:after="0" w:line="360" w:lineRule="auto"/>
        <w:ind w:firstLine="420" w:firstLineChars="200"/>
        <w:rPr>
          <w:rFonts w:eastAsia="黑体"/>
          <w:color w:val="auto"/>
          <w:sz w:val="21"/>
          <w:szCs w:val="21"/>
          <w:highlight w:val="none"/>
        </w:rPr>
      </w:pPr>
      <w:bookmarkStart w:id="382" w:name="_Toc19155"/>
      <w:r>
        <w:rPr>
          <w:rFonts w:eastAsia="黑体"/>
          <w:color w:val="auto"/>
          <w:sz w:val="21"/>
          <w:szCs w:val="21"/>
          <w:highlight w:val="none"/>
        </w:rPr>
        <w:t>1</w:t>
      </w:r>
      <w:bookmarkStart w:id="383" w:name="_Toc337558793"/>
      <w:r>
        <w:rPr>
          <w:rFonts w:eastAsia="黑体"/>
          <w:color w:val="auto"/>
          <w:sz w:val="21"/>
          <w:szCs w:val="21"/>
          <w:highlight w:val="none"/>
        </w:rPr>
        <w:t>0.6变更引起的工期调整</w:t>
      </w:r>
      <w:bookmarkEnd w:id="382"/>
      <w:r>
        <w:rPr>
          <w:rFonts w:eastAsia="黑体"/>
          <w:color w:val="auto"/>
          <w:sz w:val="21"/>
          <w:szCs w:val="21"/>
          <w:highlight w:val="none"/>
        </w:rPr>
        <w:t xml:space="preserve"> </w:t>
      </w:r>
      <w:bookmarkEnd w:id="383"/>
      <w:r>
        <w:rPr>
          <w:rFonts w:eastAsia="黑体"/>
          <w:color w:val="auto"/>
          <w:sz w:val="21"/>
          <w:szCs w:val="21"/>
          <w:highlight w:val="none"/>
        </w:rPr>
        <w:t xml:space="preserve">  </w:t>
      </w:r>
    </w:p>
    <w:p w14:paraId="1CAA42A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因变更引起工期变化的，合同当事人均可要求调整合同工期，由合同当事人按照第4.4款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并参考工程所在地的工期定额标准确定增减工期天数。</w:t>
      </w:r>
    </w:p>
    <w:p w14:paraId="4ACB276E">
      <w:pPr>
        <w:pStyle w:val="4"/>
        <w:spacing w:before="0" w:after="0" w:line="360" w:lineRule="auto"/>
        <w:ind w:firstLine="420" w:firstLineChars="200"/>
        <w:rPr>
          <w:rFonts w:eastAsia="黑体"/>
          <w:color w:val="auto"/>
          <w:sz w:val="21"/>
          <w:szCs w:val="21"/>
          <w:highlight w:val="none"/>
        </w:rPr>
      </w:pPr>
      <w:bookmarkStart w:id="384" w:name="_Toc27934"/>
      <w:r>
        <w:rPr>
          <w:rFonts w:eastAsia="黑体"/>
          <w:color w:val="auto"/>
          <w:sz w:val="21"/>
          <w:szCs w:val="21"/>
          <w:highlight w:val="none"/>
        </w:rPr>
        <w:t>10.7</w:t>
      </w:r>
      <w:r>
        <w:rPr>
          <w:rFonts w:hint="eastAsia" w:eastAsia="黑体"/>
          <w:color w:val="auto"/>
          <w:sz w:val="21"/>
          <w:szCs w:val="21"/>
          <w:highlight w:val="none"/>
        </w:rPr>
        <w:t>暂估价</w:t>
      </w:r>
      <w:bookmarkEnd w:id="384"/>
    </w:p>
    <w:p w14:paraId="6EB473FC">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暂估价</w:t>
      </w:r>
      <w:r>
        <w:rPr>
          <w:rFonts w:eastAsia="仿宋_GB2312"/>
          <w:color w:val="auto"/>
          <w:kern w:val="0"/>
          <w:szCs w:val="21"/>
          <w:highlight w:val="none"/>
        </w:rPr>
        <w:t>专业分包工程、</w:t>
      </w:r>
      <w:r>
        <w:rPr>
          <w:rFonts w:hint="eastAsia" w:eastAsia="仿宋_GB2312"/>
          <w:color w:val="auto"/>
          <w:kern w:val="0"/>
          <w:szCs w:val="21"/>
          <w:highlight w:val="none"/>
        </w:rPr>
        <w:t>服务、</w:t>
      </w:r>
      <w:r>
        <w:rPr>
          <w:rFonts w:eastAsia="仿宋_GB2312"/>
          <w:color w:val="auto"/>
          <w:kern w:val="0"/>
          <w:szCs w:val="21"/>
          <w:highlight w:val="none"/>
        </w:rPr>
        <w:t>材料和工程设备的明细由合同当事人在专用合同条款中约定。</w:t>
      </w:r>
    </w:p>
    <w:p w14:paraId="1BD28043">
      <w:pPr>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10.7.1</w:t>
      </w:r>
      <w:r>
        <w:rPr>
          <w:rFonts w:eastAsia="仿宋_GB2312"/>
          <w:color w:val="auto"/>
          <w:kern w:val="0"/>
          <w:szCs w:val="21"/>
          <w:highlight w:val="none"/>
        </w:rPr>
        <w:t xml:space="preserve"> 依法必须招标的</w:t>
      </w:r>
      <w:r>
        <w:rPr>
          <w:rFonts w:hint="eastAsia" w:eastAsia="仿宋_GB2312"/>
          <w:color w:val="auto"/>
          <w:kern w:val="0"/>
          <w:szCs w:val="21"/>
          <w:highlight w:val="none"/>
        </w:rPr>
        <w:t>暂估价</w:t>
      </w:r>
      <w:r>
        <w:rPr>
          <w:rFonts w:eastAsia="仿宋_GB2312"/>
          <w:color w:val="auto"/>
          <w:kern w:val="0"/>
          <w:szCs w:val="21"/>
          <w:highlight w:val="none"/>
        </w:rPr>
        <w:t>项目</w:t>
      </w:r>
    </w:p>
    <w:p w14:paraId="758F4B9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对于依法必须招标的</w:t>
      </w:r>
      <w:r>
        <w:rPr>
          <w:rFonts w:hint="eastAsia" w:eastAsia="仿宋_GB2312"/>
          <w:color w:val="auto"/>
          <w:kern w:val="0"/>
          <w:szCs w:val="21"/>
          <w:highlight w:val="none"/>
        </w:rPr>
        <w:t>暂估价</w:t>
      </w:r>
      <w:r>
        <w:rPr>
          <w:rFonts w:eastAsia="仿宋_GB2312"/>
          <w:color w:val="auto"/>
          <w:kern w:val="0"/>
          <w:szCs w:val="21"/>
          <w:highlight w:val="none"/>
        </w:rPr>
        <w:t>项目，采取以下第1种方式确定</w:t>
      </w:r>
      <w:r>
        <w:rPr>
          <w:rFonts w:hint="eastAsia" w:eastAsia="仿宋_GB2312"/>
          <w:color w:val="auto"/>
          <w:kern w:val="0"/>
          <w:szCs w:val="21"/>
          <w:highlight w:val="none"/>
        </w:rPr>
        <w:t>。合同当事人也可以在</w:t>
      </w:r>
      <w:r>
        <w:rPr>
          <w:rFonts w:eastAsia="仿宋_GB2312"/>
          <w:color w:val="auto"/>
          <w:kern w:val="0"/>
          <w:szCs w:val="21"/>
          <w:highlight w:val="none"/>
        </w:rPr>
        <w:t>专用合同条款</w:t>
      </w:r>
      <w:r>
        <w:rPr>
          <w:rFonts w:hint="eastAsia" w:eastAsia="仿宋_GB2312"/>
          <w:color w:val="auto"/>
          <w:kern w:val="0"/>
          <w:szCs w:val="21"/>
          <w:highlight w:val="none"/>
        </w:rPr>
        <w:t>中选择其他招标方式。</w:t>
      </w:r>
    </w:p>
    <w:p w14:paraId="155434C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第1种方式：对于依法必须招标的</w:t>
      </w:r>
      <w:r>
        <w:rPr>
          <w:rFonts w:hint="eastAsia" w:eastAsia="仿宋_GB2312"/>
          <w:color w:val="auto"/>
          <w:kern w:val="0"/>
          <w:szCs w:val="21"/>
          <w:highlight w:val="none"/>
        </w:rPr>
        <w:t>暂估价</w:t>
      </w:r>
      <w:r>
        <w:rPr>
          <w:rFonts w:eastAsia="仿宋_GB2312"/>
          <w:color w:val="auto"/>
          <w:kern w:val="0"/>
          <w:szCs w:val="21"/>
          <w:highlight w:val="none"/>
        </w:rPr>
        <w:t>项目，由承包人招标，对该</w:t>
      </w:r>
      <w:r>
        <w:rPr>
          <w:rFonts w:hint="eastAsia" w:eastAsia="仿宋_GB2312"/>
          <w:color w:val="auto"/>
          <w:kern w:val="0"/>
          <w:szCs w:val="21"/>
          <w:highlight w:val="none"/>
        </w:rPr>
        <w:t>暂估价</w:t>
      </w:r>
      <w:r>
        <w:rPr>
          <w:rFonts w:eastAsia="仿宋_GB2312"/>
          <w:color w:val="auto"/>
          <w:kern w:val="0"/>
          <w:szCs w:val="21"/>
          <w:highlight w:val="none"/>
        </w:rPr>
        <w:t>项目的确认和批准按照以下约定执行：</w:t>
      </w:r>
    </w:p>
    <w:p w14:paraId="5A7A7F01">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8671DB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color w:val="auto"/>
          <w:kern w:val="0"/>
          <w:szCs w:val="21"/>
          <w:highlight w:val="none"/>
        </w:rPr>
        <w:t>并按照法律规定参加评标</w:t>
      </w:r>
      <w:r>
        <w:rPr>
          <w:rFonts w:eastAsia="仿宋_GB2312"/>
          <w:color w:val="auto"/>
          <w:kern w:val="0"/>
          <w:szCs w:val="21"/>
          <w:highlight w:val="none"/>
        </w:rPr>
        <w:t>；</w:t>
      </w:r>
    </w:p>
    <w:p w14:paraId="16EC7D02">
      <w:pPr>
        <w:spacing w:line="360" w:lineRule="auto"/>
        <w:ind w:firstLine="1687"/>
        <w:jc w:val="left"/>
        <w:rPr>
          <w:rFonts w:eastAsia="仿宋_GB2312"/>
          <w:color w:val="auto"/>
          <w:kern w:val="0"/>
          <w:szCs w:val="21"/>
          <w:highlight w:val="none"/>
        </w:rPr>
      </w:pPr>
      <w:r>
        <w:rPr>
          <w:rFonts w:eastAsia="仿宋_GB2312"/>
          <w:color w:val="auto"/>
          <w:kern w:val="0"/>
          <w:szCs w:val="21"/>
          <w:highlight w:val="none"/>
        </w:rPr>
        <w:t xml:space="preserve">    （3）承包人与供应商、分包人在签订</w:t>
      </w:r>
      <w:r>
        <w:rPr>
          <w:rFonts w:hint="eastAsia" w:eastAsia="仿宋_GB2312"/>
          <w:color w:val="auto"/>
          <w:kern w:val="0"/>
          <w:szCs w:val="21"/>
          <w:highlight w:val="none"/>
        </w:rPr>
        <w:t>暂估价</w:t>
      </w:r>
      <w:r>
        <w:rPr>
          <w:rFonts w:eastAsia="仿宋_GB2312"/>
          <w:color w:val="auto"/>
          <w:kern w:val="0"/>
          <w:szCs w:val="21"/>
          <w:highlight w:val="none"/>
        </w:rPr>
        <w:t>合同前，应当提前7天将确定的中标候选供应商或中标候选分包人的资料报送发包人，发包人应在收到资料后3天内与承包人共同确定中标人；承包人应当在签订合同后7天内，将</w:t>
      </w:r>
      <w:r>
        <w:rPr>
          <w:rFonts w:hint="eastAsia" w:eastAsia="仿宋_GB2312"/>
          <w:color w:val="auto"/>
          <w:kern w:val="0"/>
          <w:szCs w:val="21"/>
          <w:highlight w:val="none"/>
        </w:rPr>
        <w:t>暂估价</w:t>
      </w:r>
      <w:r>
        <w:rPr>
          <w:rFonts w:eastAsia="仿宋_GB2312"/>
          <w:color w:val="auto"/>
          <w:kern w:val="0"/>
          <w:szCs w:val="21"/>
          <w:highlight w:val="none"/>
        </w:rPr>
        <w:t>合同副本报送发包人留存。</w:t>
      </w:r>
    </w:p>
    <w:p w14:paraId="098462B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第2种方式：对于依法必须招标的</w:t>
      </w:r>
      <w:r>
        <w:rPr>
          <w:rFonts w:hint="eastAsia" w:eastAsia="仿宋_GB2312"/>
          <w:color w:val="auto"/>
          <w:kern w:val="0"/>
          <w:szCs w:val="21"/>
          <w:highlight w:val="none"/>
        </w:rPr>
        <w:t>暂估价</w:t>
      </w:r>
      <w:r>
        <w:rPr>
          <w:rFonts w:eastAsia="仿宋_GB2312"/>
          <w:color w:val="auto"/>
          <w:kern w:val="0"/>
          <w:szCs w:val="21"/>
          <w:highlight w:val="none"/>
        </w:rPr>
        <w:t>项目，由发包人和承包人共同招标确定</w:t>
      </w:r>
      <w:r>
        <w:rPr>
          <w:rFonts w:hint="eastAsia" w:eastAsia="仿宋_GB2312"/>
          <w:color w:val="auto"/>
          <w:kern w:val="0"/>
          <w:szCs w:val="21"/>
          <w:highlight w:val="none"/>
        </w:rPr>
        <w:t>暂估价</w:t>
      </w:r>
      <w:r>
        <w:rPr>
          <w:rFonts w:eastAsia="仿宋_GB2312"/>
          <w:color w:val="auto"/>
          <w:kern w:val="0"/>
          <w:szCs w:val="21"/>
          <w:highlight w:val="none"/>
        </w:rPr>
        <w:t>供应商或分包人的，承包人应按照施工进度计划，在招标工作启动前14天通知发包人，并提交</w:t>
      </w:r>
      <w:r>
        <w:rPr>
          <w:rFonts w:hint="eastAsia" w:eastAsia="仿宋_GB2312"/>
          <w:color w:val="auto"/>
          <w:kern w:val="0"/>
          <w:szCs w:val="21"/>
          <w:highlight w:val="none"/>
        </w:rPr>
        <w:t>暂估价</w:t>
      </w:r>
      <w:r>
        <w:rPr>
          <w:rFonts w:eastAsia="仿宋_GB2312"/>
          <w:color w:val="auto"/>
          <w:kern w:val="0"/>
          <w:szCs w:val="21"/>
          <w:highlight w:val="none"/>
        </w:rPr>
        <w:t>招标方案和工作分工。发包人应在收到后7天内确认。确定中标人后，由发包人、承包人与中标人共同签订</w:t>
      </w:r>
      <w:r>
        <w:rPr>
          <w:rFonts w:hint="eastAsia" w:eastAsia="仿宋_GB2312"/>
          <w:color w:val="auto"/>
          <w:kern w:val="0"/>
          <w:szCs w:val="21"/>
          <w:highlight w:val="none"/>
        </w:rPr>
        <w:t>暂估价</w:t>
      </w:r>
      <w:r>
        <w:rPr>
          <w:rFonts w:eastAsia="仿宋_GB2312"/>
          <w:color w:val="auto"/>
          <w:kern w:val="0"/>
          <w:szCs w:val="21"/>
          <w:highlight w:val="none"/>
        </w:rPr>
        <w:t>合同。</w:t>
      </w:r>
    </w:p>
    <w:p w14:paraId="36CAACD1">
      <w:pPr>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10.7.2</w:t>
      </w:r>
      <w:r>
        <w:rPr>
          <w:rFonts w:eastAsia="仿宋_GB2312"/>
          <w:color w:val="auto"/>
          <w:kern w:val="0"/>
          <w:szCs w:val="21"/>
          <w:highlight w:val="none"/>
        </w:rPr>
        <w:t>不属于依法必须招标的</w:t>
      </w:r>
      <w:r>
        <w:rPr>
          <w:rFonts w:hint="eastAsia" w:eastAsia="仿宋_GB2312"/>
          <w:color w:val="auto"/>
          <w:kern w:val="0"/>
          <w:szCs w:val="21"/>
          <w:highlight w:val="none"/>
        </w:rPr>
        <w:t>暂估价</w:t>
      </w:r>
      <w:r>
        <w:rPr>
          <w:rFonts w:eastAsia="仿宋_GB2312"/>
          <w:color w:val="auto"/>
          <w:kern w:val="0"/>
          <w:szCs w:val="21"/>
          <w:highlight w:val="none"/>
        </w:rPr>
        <w:t>项目</w:t>
      </w:r>
    </w:p>
    <w:p w14:paraId="18548E3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除专用合同条款另有约定外，对于不属于依法必须招标的</w:t>
      </w:r>
      <w:r>
        <w:rPr>
          <w:rFonts w:hint="eastAsia" w:eastAsia="仿宋_GB2312"/>
          <w:color w:val="auto"/>
          <w:kern w:val="0"/>
          <w:szCs w:val="21"/>
          <w:highlight w:val="none"/>
        </w:rPr>
        <w:t>暂估价</w:t>
      </w:r>
      <w:r>
        <w:rPr>
          <w:rFonts w:eastAsia="仿宋_GB2312"/>
          <w:color w:val="auto"/>
          <w:kern w:val="0"/>
          <w:szCs w:val="21"/>
          <w:highlight w:val="none"/>
        </w:rPr>
        <w:t>项目，采取以下第1种方式确定：</w:t>
      </w:r>
      <w:r>
        <w:rPr>
          <w:rFonts w:hint="eastAsia" w:eastAsia="仿宋_GB2312"/>
          <w:color w:val="auto"/>
          <w:kern w:val="0"/>
          <w:szCs w:val="21"/>
          <w:highlight w:val="none"/>
        </w:rPr>
        <w:t xml:space="preserve"> </w:t>
      </w:r>
    </w:p>
    <w:p w14:paraId="7EE0A7F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第1种方式：对于不属于依法必须招标的</w:t>
      </w:r>
      <w:r>
        <w:rPr>
          <w:rFonts w:hint="eastAsia" w:eastAsia="仿宋_GB2312"/>
          <w:color w:val="auto"/>
          <w:kern w:val="0"/>
          <w:szCs w:val="21"/>
          <w:highlight w:val="none"/>
        </w:rPr>
        <w:t>暂估价</w:t>
      </w:r>
      <w:r>
        <w:rPr>
          <w:rFonts w:eastAsia="仿宋_GB2312"/>
          <w:color w:val="auto"/>
          <w:kern w:val="0"/>
          <w:szCs w:val="21"/>
          <w:highlight w:val="none"/>
        </w:rPr>
        <w:t>项目，按本项约定确认和批准：</w:t>
      </w:r>
    </w:p>
    <w:p w14:paraId="0B98ED0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（1）承包人应根据施工进度计划，在签订</w:t>
      </w:r>
      <w:r>
        <w:rPr>
          <w:rFonts w:hint="eastAsia" w:eastAsia="仿宋_GB2312"/>
          <w:color w:val="auto"/>
          <w:kern w:val="0"/>
          <w:szCs w:val="21"/>
          <w:highlight w:val="none"/>
        </w:rPr>
        <w:t>暂估价</w:t>
      </w:r>
      <w:r>
        <w:rPr>
          <w:rFonts w:eastAsia="仿宋_GB2312"/>
          <w:color w:val="auto"/>
          <w:kern w:val="0"/>
          <w:szCs w:val="21"/>
          <w:highlight w:val="none"/>
        </w:rPr>
        <w:t>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4CACD4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（2）发包人认为承包人确定的供应商、分包人无法满足工程质量或合同要求的，发包人可以要求承包人重新确定</w:t>
      </w:r>
      <w:r>
        <w:rPr>
          <w:rFonts w:hint="eastAsia" w:eastAsia="仿宋_GB2312"/>
          <w:color w:val="auto"/>
          <w:kern w:val="0"/>
          <w:szCs w:val="21"/>
          <w:highlight w:val="none"/>
        </w:rPr>
        <w:t>暂估价</w:t>
      </w:r>
      <w:r>
        <w:rPr>
          <w:rFonts w:eastAsia="仿宋_GB2312"/>
          <w:color w:val="auto"/>
          <w:kern w:val="0"/>
          <w:szCs w:val="21"/>
          <w:highlight w:val="none"/>
        </w:rPr>
        <w:t>项目的供应商、分包人;</w:t>
      </w:r>
    </w:p>
    <w:p w14:paraId="733240E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（3）承包人应当在签订</w:t>
      </w:r>
      <w:r>
        <w:rPr>
          <w:rFonts w:hint="eastAsia" w:eastAsia="仿宋_GB2312"/>
          <w:color w:val="auto"/>
          <w:kern w:val="0"/>
          <w:szCs w:val="21"/>
          <w:highlight w:val="none"/>
        </w:rPr>
        <w:t>暂估价</w:t>
      </w:r>
      <w:r>
        <w:rPr>
          <w:rFonts w:eastAsia="仿宋_GB2312"/>
          <w:color w:val="auto"/>
          <w:kern w:val="0"/>
          <w:szCs w:val="21"/>
          <w:highlight w:val="none"/>
        </w:rPr>
        <w:t>合同后7天内，将</w:t>
      </w:r>
      <w:r>
        <w:rPr>
          <w:rFonts w:hint="eastAsia" w:eastAsia="仿宋_GB2312"/>
          <w:color w:val="auto"/>
          <w:kern w:val="0"/>
          <w:szCs w:val="21"/>
          <w:highlight w:val="none"/>
        </w:rPr>
        <w:t>暂估价</w:t>
      </w:r>
      <w:r>
        <w:rPr>
          <w:rFonts w:eastAsia="仿宋_GB2312"/>
          <w:color w:val="auto"/>
          <w:kern w:val="0"/>
          <w:szCs w:val="21"/>
          <w:highlight w:val="none"/>
        </w:rPr>
        <w:t>合同副本报送发包人留存。</w:t>
      </w:r>
    </w:p>
    <w:p w14:paraId="69F0165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第2种方式：承包人按照第10.7.1项</w:t>
      </w:r>
      <w:r>
        <w:rPr>
          <w:rFonts w:hint="eastAsia" w:eastAsia="仿宋_GB2312"/>
          <w:color w:val="auto"/>
          <w:kern w:val="0"/>
          <w:szCs w:val="21"/>
          <w:highlight w:val="none"/>
        </w:rPr>
        <w:t>〔</w:t>
      </w:r>
      <w:r>
        <w:rPr>
          <w:rFonts w:eastAsia="仿宋_GB2312"/>
          <w:color w:val="auto"/>
          <w:kern w:val="0"/>
          <w:szCs w:val="21"/>
          <w:highlight w:val="none"/>
        </w:rPr>
        <w:t>依法必须招标的</w:t>
      </w:r>
      <w:r>
        <w:rPr>
          <w:rFonts w:hint="eastAsia" w:eastAsia="仿宋_GB2312"/>
          <w:color w:val="auto"/>
          <w:kern w:val="0"/>
          <w:szCs w:val="21"/>
          <w:highlight w:val="none"/>
        </w:rPr>
        <w:t>暂估价</w:t>
      </w:r>
      <w:r>
        <w:rPr>
          <w:rFonts w:eastAsia="仿宋_GB2312"/>
          <w:color w:val="auto"/>
          <w:kern w:val="0"/>
          <w:szCs w:val="21"/>
          <w:highlight w:val="none"/>
        </w:rPr>
        <w:t>项目</w:t>
      </w:r>
      <w:r>
        <w:rPr>
          <w:rFonts w:hint="eastAsia" w:eastAsia="仿宋_GB2312"/>
          <w:color w:val="auto"/>
          <w:kern w:val="0"/>
          <w:szCs w:val="21"/>
          <w:highlight w:val="none"/>
        </w:rPr>
        <w:t>〕</w:t>
      </w:r>
      <w:r>
        <w:rPr>
          <w:rFonts w:eastAsia="仿宋_GB2312"/>
          <w:color w:val="auto"/>
          <w:kern w:val="0"/>
          <w:szCs w:val="21"/>
          <w:highlight w:val="none"/>
        </w:rPr>
        <w:t>约定的第1种方式确定</w:t>
      </w:r>
      <w:r>
        <w:rPr>
          <w:rFonts w:hint="eastAsia" w:eastAsia="仿宋_GB2312"/>
          <w:color w:val="auto"/>
          <w:kern w:val="0"/>
          <w:szCs w:val="21"/>
          <w:highlight w:val="none"/>
        </w:rPr>
        <w:t>暂估价</w:t>
      </w:r>
      <w:r>
        <w:rPr>
          <w:rFonts w:eastAsia="仿宋_GB2312"/>
          <w:color w:val="auto"/>
          <w:kern w:val="0"/>
          <w:szCs w:val="21"/>
          <w:highlight w:val="none"/>
        </w:rPr>
        <w:t>项目。</w:t>
      </w:r>
    </w:p>
    <w:p w14:paraId="3A96B5CB">
      <w:pPr>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第3种方式：</w:t>
      </w:r>
      <w:r>
        <w:rPr>
          <w:rFonts w:eastAsia="仿宋_GB2312"/>
          <w:color w:val="auto"/>
          <w:kern w:val="0"/>
          <w:szCs w:val="21"/>
          <w:highlight w:val="none"/>
        </w:rPr>
        <w:t>承包人直接实施的</w:t>
      </w:r>
      <w:r>
        <w:rPr>
          <w:rFonts w:hint="eastAsia" w:eastAsia="仿宋_GB2312"/>
          <w:color w:val="auto"/>
          <w:kern w:val="0"/>
          <w:szCs w:val="21"/>
          <w:highlight w:val="none"/>
        </w:rPr>
        <w:t>暂估价</w:t>
      </w:r>
      <w:r>
        <w:rPr>
          <w:rFonts w:eastAsia="仿宋_GB2312"/>
          <w:color w:val="auto"/>
          <w:kern w:val="0"/>
          <w:szCs w:val="21"/>
          <w:highlight w:val="none"/>
        </w:rPr>
        <w:t>项目</w:t>
      </w:r>
    </w:p>
    <w:p w14:paraId="42C8F59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承包人具备实施</w:t>
      </w:r>
      <w:r>
        <w:rPr>
          <w:rFonts w:hint="eastAsia" w:eastAsia="仿宋_GB2312"/>
          <w:color w:val="auto"/>
          <w:kern w:val="0"/>
          <w:szCs w:val="21"/>
          <w:highlight w:val="none"/>
        </w:rPr>
        <w:t>暂估价</w:t>
      </w:r>
      <w:r>
        <w:rPr>
          <w:rFonts w:eastAsia="仿宋_GB2312"/>
          <w:color w:val="auto"/>
          <w:kern w:val="0"/>
          <w:szCs w:val="21"/>
          <w:highlight w:val="none"/>
        </w:rPr>
        <w:t>项目的资格和条件的，经发包人和承包人协商一致后，可由承包人自行实施</w:t>
      </w:r>
      <w:r>
        <w:rPr>
          <w:rFonts w:hint="eastAsia" w:eastAsia="仿宋_GB2312"/>
          <w:color w:val="auto"/>
          <w:kern w:val="0"/>
          <w:szCs w:val="21"/>
          <w:highlight w:val="none"/>
        </w:rPr>
        <w:t>暂估价</w:t>
      </w:r>
      <w:r>
        <w:rPr>
          <w:rFonts w:eastAsia="仿宋_GB2312"/>
          <w:color w:val="auto"/>
          <w:kern w:val="0"/>
          <w:szCs w:val="21"/>
          <w:highlight w:val="none"/>
        </w:rPr>
        <w:t>项目，合同当事人可以在专用合同条款约定具体事项。</w:t>
      </w:r>
    </w:p>
    <w:p w14:paraId="3281F78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10.7.3 因发包人原因导致</w:t>
      </w:r>
      <w:r>
        <w:rPr>
          <w:rFonts w:hint="eastAsia" w:eastAsia="仿宋_GB2312"/>
          <w:color w:val="auto"/>
          <w:kern w:val="0"/>
          <w:szCs w:val="21"/>
          <w:highlight w:val="none"/>
        </w:rPr>
        <w:t>暂估价</w:t>
      </w:r>
      <w:r>
        <w:rPr>
          <w:rFonts w:eastAsia="仿宋_GB2312"/>
          <w:color w:val="auto"/>
          <w:kern w:val="0"/>
          <w:szCs w:val="21"/>
          <w:highlight w:val="none"/>
        </w:rPr>
        <w:t>合同订立和履行迟延的，由此增加的费用和（或）延误的工期由发包人承担。因承包人原因导致</w:t>
      </w:r>
      <w:r>
        <w:rPr>
          <w:rFonts w:hint="eastAsia" w:eastAsia="仿宋_GB2312"/>
          <w:color w:val="auto"/>
          <w:kern w:val="0"/>
          <w:szCs w:val="21"/>
          <w:highlight w:val="none"/>
        </w:rPr>
        <w:t>暂估价</w:t>
      </w:r>
      <w:r>
        <w:rPr>
          <w:rFonts w:eastAsia="仿宋_GB2312"/>
          <w:color w:val="auto"/>
          <w:kern w:val="0"/>
          <w:szCs w:val="21"/>
          <w:highlight w:val="none"/>
        </w:rPr>
        <w:t>合同订立和履行迟延的，由此增加的费用和（或）延误的工期由承包人承担。</w:t>
      </w:r>
    </w:p>
    <w:p w14:paraId="3F019178">
      <w:pPr>
        <w:pStyle w:val="4"/>
        <w:spacing w:before="0" w:after="0" w:line="360" w:lineRule="auto"/>
        <w:ind w:firstLine="420" w:firstLineChars="200"/>
        <w:rPr>
          <w:rFonts w:eastAsia="黑体"/>
          <w:color w:val="auto"/>
          <w:sz w:val="21"/>
          <w:szCs w:val="21"/>
          <w:highlight w:val="none"/>
        </w:rPr>
      </w:pPr>
      <w:bookmarkStart w:id="385" w:name="_Toc27460"/>
      <w:r>
        <w:rPr>
          <w:rFonts w:eastAsia="黑体"/>
          <w:color w:val="auto"/>
          <w:sz w:val="21"/>
          <w:szCs w:val="21"/>
          <w:highlight w:val="none"/>
        </w:rPr>
        <w:t>1</w:t>
      </w:r>
      <w:bookmarkStart w:id="386" w:name="_Toc337558794"/>
      <w:bookmarkStart w:id="387" w:name="_Toc322522561"/>
      <w:bookmarkStart w:id="388" w:name="_Toc296503090"/>
      <w:bookmarkStart w:id="389" w:name="_Toc296346591"/>
      <w:r>
        <w:rPr>
          <w:rFonts w:eastAsia="黑体"/>
          <w:color w:val="auto"/>
          <w:sz w:val="21"/>
          <w:szCs w:val="21"/>
          <w:highlight w:val="none"/>
        </w:rPr>
        <w:t>0.8暂列金额</w:t>
      </w:r>
      <w:bookmarkEnd w:id="385"/>
    </w:p>
    <w:bookmarkEnd w:id="386"/>
    <w:p w14:paraId="3A366E8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暂列金额应按照发包人的要求使用，发包人的要求应通过监理人发出。</w:t>
      </w:r>
      <w:r>
        <w:rPr>
          <w:rFonts w:hint="eastAsia" w:eastAsia="仿宋_GB2312"/>
          <w:color w:val="auto"/>
          <w:kern w:val="0"/>
          <w:szCs w:val="21"/>
          <w:highlight w:val="none"/>
        </w:rPr>
        <w:t>合同当事人可以在专用合同条款中协商确定有关事项。</w:t>
      </w:r>
    </w:p>
    <w:bookmarkEnd w:id="387"/>
    <w:bookmarkEnd w:id="388"/>
    <w:bookmarkEnd w:id="389"/>
    <w:p w14:paraId="553A1065">
      <w:pPr>
        <w:pStyle w:val="4"/>
        <w:spacing w:before="0" w:after="0" w:line="360" w:lineRule="auto"/>
        <w:ind w:firstLine="420" w:firstLineChars="200"/>
        <w:rPr>
          <w:rFonts w:eastAsia="黑体"/>
          <w:color w:val="auto"/>
          <w:sz w:val="21"/>
          <w:szCs w:val="21"/>
          <w:highlight w:val="none"/>
        </w:rPr>
      </w:pPr>
      <w:bookmarkStart w:id="390" w:name="_Toc14959"/>
      <w:r>
        <w:rPr>
          <w:rFonts w:eastAsia="黑体"/>
          <w:color w:val="auto"/>
          <w:sz w:val="21"/>
          <w:szCs w:val="21"/>
          <w:highlight w:val="none"/>
        </w:rPr>
        <w:t>1</w:t>
      </w:r>
      <w:bookmarkStart w:id="391" w:name="_Toc337558796"/>
      <w:bookmarkStart w:id="392" w:name="_Toc296503091"/>
      <w:bookmarkStart w:id="393" w:name="_Toc296346592"/>
      <w:r>
        <w:rPr>
          <w:rFonts w:eastAsia="黑体"/>
          <w:color w:val="auto"/>
          <w:sz w:val="21"/>
          <w:szCs w:val="21"/>
          <w:highlight w:val="none"/>
        </w:rPr>
        <w:t>0.9计日工</w:t>
      </w:r>
      <w:bookmarkEnd w:id="390"/>
      <w:r>
        <w:rPr>
          <w:rFonts w:eastAsia="黑体"/>
          <w:color w:val="auto"/>
          <w:sz w:val="21"/>
          <w:szCs w:val="21"/>
          <w:highlight w:val="none"/>
        </w:rPr>
        <w:t xml:space="preserve"> </w:t>
      </w:r>
      <w:bookmarkEnd w:id="391"/>
      <w:bookmarkEnd w:id="392"/>
      <w:bookmarkEnd w:id="393"/>
    </w:p>
    <w:p w14:paraId="2F93E21C">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需要采用计日工方式的，经发包人同意后</w:t>
      </w:r>
      <w:r>
        <w:rPr>
          <w:rFonts w:eastAsia="仿宋_GB2312"/>
          <w:color w:val="auto"/>
          <w:kern w:val="0"/>
          <w:szCs w:val="21"/>
          <w:highlight w:val="none"/>
        </w:rPr>
        <w:t>，由监理人通知承包人以计日工计价方式实施</w:t>
      </w:r>
      <w:r>
        <w:rPr>
          <w:rFonts w:hint="eastAsia" w:eastAsia="仿宋_GB2312"/>
          <w:color w:val="auto"/>
          <w:kern w:val="0"/>
          <w:szCs w:val="21"/>
          <w:highlight w:val="none"/>
        </w:rPr>
        <w:t>相应</w:t>
      </w:r>
      <w:r>
        <w:rPr>
          <w:rFonts w:eastAsia="仿宋_GB2312"/>
          <w:color w:val="auto"/>
          <w:kern w:val="0"/>
          <w:szCs w:val="21"/>
          <w:highlight w:val="non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确定</w:t>
      </w:r>
      <w:r>
        <w:rPr>
          <w:rFonts w:hint="eastAsia" w:eastAsia="仿宋_GB2312"/>
          <w:color w:val="auto"/>
          <w:kern w:val="0"/>
          <w:szCs w:val="21"/>
          <w:highlight w:val="none"/>
        </w:rPr>
        <w:t>计日工</w:t>
      </w:r>
      <w:r>
        <w:rPr>
          <w:rFonts w:eastAsia="仿宋_GB2312"/>
          <w:color w:val="auto"/>
          <w:kern w:val="0"/>
          <w:szCs w:val="21"/>
          <w:highlight w:val="none"/>
        </w:rPr>
        <w:t>的单价。</w:t>
      </w:r>
    </w:p>
    <w:p w14:paraId="575629D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采用计日工计价的任何一项工作，承包人应在该项工作实施过程中，每天提交以下报表和有关凭证报送监理人审查：</w:t>
      </w:r>
    </w:p>
    <w:p w14:paraId="1F8FAC2B">
      <w:pPr>
        <w:spacing w:line="360" w:lineRule="auto"/>
        <w:ind w:firstLine="315" w:firstLineChars="150"/>
        <w:jc w:val="left"/>
        <w:rPr>
          <w:rFonts w:eastAsia="仿宋_GB2312"/>
          <w:color w:val="auto"/>
          <w:kern w:val="0"/>
          <w:szCs w:val="21"/>
          <w:highlight w:val="none"/>
        </w:rPr>
      </w:pPr>
      <w:r>
        <w:rPr>
          <w:rFonts w:eastAsia="仿宋_GB2312"/>
          <w:color w:val="auto"/>
          <w:kern w:val="0"/>
          <w:szCs w:val="21"/>
          <w:highlight w:val="none"/>
        </w:rPr>
        <w:t>（1）工作名称、内容和数量；</w:t>
      </w:r>
    </w:p>
    <w:p w14:paraId="65CCB4A7">
      <w:pPr>
        <w:spacing w:line="360" w:lineRule="auto"/>
        <w:ind w:firstLine="315" w:firstLineChars="150"/>
        <w:jc w:val="left"/>
        <w:rPr>
          <w:rFonts w:eastAsia="仿宋_GB2312"/>
          <w:color w:val="auto"/>
          <w:kern w:val="0"/>
          <w:szCs w:val="21"/>
          <w:highlight w:val="none"/>
        </w:rPr>
      </w:pPr>
      <w:r>
        <w:rPr>
          <w:rFonts w:eastAsia="仿宋_GB2312"/>
          <w:color w:val="auto"/>
          <w:kern w:val="0"/>
          <w:szCs w:val="21"/>
          <w:highlight w:val="none"/>
        </w:rPr>
        <w:t>（2）投入该工作的所有人员的姓名、专业、工种、级别和耗用工时；</w:t>
      </w:r>
    </w:p>
    <w:p w14:paraId="793B4BFF">
      <w:pPr>
        <w:spacing w:line="360" w:lineRule="auto"/>
        <w:ind w:firstLine="315" w:firstLineChars="150"/>
        <w:jc w:val="left"/>
        <w:rPr>
          <w:rFonts w:eastAsia="仿宋_GB2312"/>
          <w:color w:val="auto"/>
          <w:kern w:val="0"/>
          <w:szCs w:val="21"/>
          <w:highlight w:val="none"/>
        </w:rPr>
      </w:pPr>
      <w:r>
        <w:rPr>
          <w:rFonts w:eastAsia="仿宋_GB2312"/>
          <w:color w:val="auto"/>
          <w:kern w:val="0"/>
          <w:szCs w:val="21"/>
          <w:highlight w:val="none"/>
        </w:rPr>
        <w:t>（3）投入该工作的材料类别和数量；</w:t>
      </w:r>
    </w:p>
    <w:p w14:paraId="72DF73F7">
      <w:pPr>
        <w:spacing w:line="360" w:lineRule="auto"/>
        <w:ind w:firstLine="315" w:firstLineChars="150"/>
        <w:jc w:val="left"/>
        <w:rPr>
          <w:rFonts w:eastAsia="仿宋_GB2312"/>
          <w:color w:val="auto"/>
          <w:kern w:val="0"/>
          <w:szCs w:val="21"/>
          <w:highlight w:val="none"/>
        </w:rPr>
      </w:pPr>
      <w:r>
        <w:rPr>
          <w:rFonts w:eastAsia="仿宋_GB2312"/>
          <w:color w:val="auto"/>
          <w:kern w:val="0"/>
          <w:szCs w:val="21"/>
          <w:highlight w:val="none"/>
        </w:rPr>
        <w:t>（4）投入该工作的施工设备型号、台数和耗用台时；</w:t>
      </w:r>
    </w:p>
    <w:p w14:paraId="0170AE2A">
      <w:pPr>
        <w:spacing w:line="360" w:lineRule="auto"/>
        <w:ind w:firstLine="315" w:firstLineChars="150"/>
        <w:jc w:val="left"/>
        <w:rPr>
          <w:rFonts w:eastAsia="仿宋_GB2312"/>
          <w:color w:val="auto"/>
          <w:kern w:val="0"/>
          <w:szCs w:val="21"/>
          <w:highlight w:val="none"/>
        </w:rPr>
      </w:pPr>
      <w:r>
        <w:rPr>
          <w:rFonts w:eastAsia="仿宋_GB2312"/>
          <w:color w:val="auto"/>
          <w:kern w:val="0"/>
          <w:szCs w:val="21"/>
          <w:highlight w:val="none"/>
        </w:rPr>
        <w:t>（5）其他有关资料和凭证。</w:t>
      </w:r>
    </w:p>
    <w:p w14:paraId="5AD6363B">
      <w:pPr>
        <w:spacing w:line="360" w:lineRule="auto"/>
        <w:ind w:firstLine="315" w:firstLineChars="150"/>
        <w:jc w:val="left"/>
        <w:rPr>
          <w:rFonts w:eastAsia="仿宋_GB2312"/>
          <w:color w:val="auto"/>
          <w:kern w:val="0"/>
          <w:szCs w:val="21"/>
          <w:highlight w:val="none"/>
        </w:rPr>
      </w:pPr>
      <w:r>
        <w:rPr>
          <w:rFonts w:eastAsia="仿宋_GB2312"/>
          <w:color w:val="auto"/>
          <w:kern w:val="0"/>
          <w:szCs w:val="21"/>
          <w:highlight w:val="none"/>
        </w:rPr>
        <w:t xml:space="preserve"> 计日工由承包人汇总后，列入最近一期进度付款申请单，由监理人审查并经发包人批准后列入进度付款。</w:t>
      </w:r>
    </w:p>
    <w:p w14:paraId="66EB5F62">
      <w:pPr>
        <w:pStyle w:val="3"/>
        <w:ind w:firstLine="1680"/>
        <w:rPr>
          <w:rFonts w:ascii="Times New Roman" w:hAnsi="Times New Roman"/>
          <w:color w:val="auto"/>
          <w:sz w:val="21"/>
          <w:szCs w:val="21"/>
          <w:highlight w:val="none"/>
        </w:rPr>
      </w:pPr>
      <w:bookmarkStart w:id="394" w:name="_Toc17928"/>
      <w:r>
        <w:rPr>
          <w:rFonts w:ascii="Times New Roman" w:hAnsi="Times New Roman"/>
          <w:color w:val="auto"/>
          <w:sz w:val="21"/>
          <w:szCs w:val="21"/>
          <w:highlight w:val="none"/>
        </w:rPr>
        <w:t>11. 价格调整</w:t>
      </w:r>
      <w:bookmarkEnd w:id="394"/>
    </w:p>
    <w:p w14:paraId="6EB711C2">
      <w:pPr>
        <w:pStyle w:val="4"/>
        <w:spacing w:before="0" w:after="0" w:line="360" w:lineRule="auto"/>
        <w:ind w:firstLine="420" w:firstLineChars="200"/>
        <w:rPr>
          <w:rFonts w:eastAsia="黑体"/>
          <w:color w:val="auto"/>
          <w:sz w:val="21"/>
          <w:szCs w:val="21"/>
          <w:highlight w:val="none"/>
        </w:rPr>
      </w:pPr>
      <w:bookmarkStart w:id="395" w:name="_Toc30240"/>
      <w:bookmarkStart w:id="396" w:name="_Toc296346593"/>
      <w:bookmarkStart w:id="397" w:name="_Toc296503092"/>
      <w:bookmarkStart w:id="398" w:name="_Toc337558797"/>
      <w:r>
        <w:rPr>
          <w:rFonts w:eastAsia="黑体"/>
          <w:color w:val="auto"/>
          <w:sz w:val="21"/>
          <w:szCs w:val="21"/>
          <w:highlight w:val="none"/>
        </w:rPr>
        <w:t>11.1市场价格波动引起的调整</w:t>
      </w:r>
      <w:bookmarkEnd w:id="395"/>
    </w:p>
    <w:bookmarkEnd w:id="396"/>
    <w:bookmarkEnd w:id="397"/>
    <w:bookmarkEnd w:id="398"/>
    <w:p w14:paraId="0031338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7A931CE8">
      <w:pPr>
        <w:spacing w:line="360" w:lineRule="auto"/>
        <w:ind w:firstLine="420" w:firstLineChars="200"/>
        <w:rPr>
          <w:rFonts w:eastAsia="仿宋_GB2312"/>
          <w:color w:val="auto"/>
          <w:szCs w:val="21"/>
          <w:highlight w:val="none"/>
        </w:rPr>
      </w:pPr>
      <w:r>
        <w:rPr>
          <w:rFonts w:eastAsia="仿宋_GB2312"/>
          <w:color w:val="auto"/>
          <w:szCs w:val="21"/>
          <w:highlight w:val="none"/>
        </w:rPr>
        <w:t>第1种方式：采用价格指数</w:t>
      </w:r>
      <w:r>
        <w:rPr>
          <w:rFonts w:hint="eastAsia" w:eastAsia="仿宋_GB2312"/>
          <w:color w:val="auto"/>
          <w:szCs w:val="21"/>
          <w:highlight w:val="none"/>
        </w:rPr>
        <w:t>进行价格</w:t>
      </w:r>
      <w:r>
        <w:rPr>
          <w:rFonts w:eastAsia="仿宋_GB2312"/>
          <w:color w:val="auto"/>
          <w:szCs w:val="21"/>
          <w:highlight w:val="none"/>
        </w:rPr>
        <w:t>调整。</w:t>
      </w:r>
    </w:p>
    <w:p w14:paraId="78C8E013">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szCs w:val="21"/>
          <w:highlight w:val="none"/>
        </w:rPr>
        <w:t>（1）价格调整公式</w:t>
      </w:r>
    </w:p>
    <w:p w14:paraId="4D49216D">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szCs w:val="21"/>
          <w:highlight w:val="none"/>
        </w:rPr>
        <w:t>因人工、材料和设备等价格波动影响合同价格时，根据专用合同条款中约定的数据，按以下公式计算差额并调整合同价格：</w:t>
      </w:r>
    </w:p>
    <w:p w14:paraId="09943B6D">
      <w:pPr>
        <w:tabs>
          <w:tab w:val="left" w:pos="0"/>
          <w:tab w:val="left" w:pos="360"/>
          <w:tab w:val="left" w:pos="540"/>
        </w:tabs>
        <w:spacing w:line="360" w:lineRule="auto"/>
        <w:ind w:firstLine="600" w:firstLineChars="200"/>
        <w:rPr>
          <w:rFonts w:eastAsia="仿宋_GB2312"/>
          <w:color w:val="auto"/>
          <w:sz w:val="30"/>
          <w:szCs w:val="32"/>
          <w:highlight w:val="none"/>
        </w:rPr>
      </w:pPr>
      <w:r>
        <w:rPr>
          <w:rFonts w:hint="eastAsia" w:eastAsia="仿宋_GB2312"/>
          <w:color w:val="auto"/>
          <w:position w:val="-30"/>
          <w:sz w:val="30"/>
          <w:szCs w:val="32"/>
          <w:highlight w:val="none"/>
        </w:rPr>
        <w:object>
          <v:shape id="_x0000_i1025" o:spt="75" type="#_x0000_t75" style="height:44pt;width:360pt;" o:ole="t" filled="f" o:preferrelative="t" stroked="f" coordsize="21600,21600">
            <v:path/>
            <v:fill on="f" focussize="0,0"/>
            <v:stroke on="f" joinstyle="miter"/>
            <v:imagedata r:id="rId20" o:title=""/>
            <o:lock v:ext="edit" aspectratio="t"/>
            <w10:wrap type="none"/>
            <w10:anchorlock/>
          </v:shape>
          <o:OLEObject Type="Embed" ProgID="Equation.KSEE3" ShapeID="_x0000_i1025" DrawAspect="Content" ObjectID="_1468075725" r:id="rId19">
            <o:LockedField>false</o:LockedField>
          </o:OLEObject>
        </w:object>
      </w:r>
    </w:p>
    <w:p w14:paraId="16B87C7F">
      <w:pPr>
        <w:tabs>
          <w:tab w:val="left" w:pos="0"/>
          <w:tab w:val="left" w:pos="360"/>
          <w:tab w:val="left" w:pos="540"/>
        </w:tabs>
        <w:spacing w:line="360" w:lineRule="auto"/>
        <w:ind w:firstLine="1687"/>
        <w:rPr>
          <w:rFonts w:eastAsia="仿宋_GB2312"/>
          <w:color w:val="auto"/>
          <w:szCs w:val="21"/>
          <w:highlight w:val="none"/>
        </w:rPr>
      </w:pPr>
      <w:r>
        <w:rPr>
          <w:rFonts w:eastAsia="仿宋_GB2312"/>
          <w:color w:val="auto"/>
          <w:szCs w:val="21"/>
          <w:highlight w:val="none"/>
        </w:rPr>
        <w:t>公式中：ΔP——需调整的价格差额；</w:t>
      </w:r>
    </w:p>
    <w:p w14:paraId="3E8CDAF2">
      <w:pPr>
        <w:tabs>
          <w:tab w:val="left" w:pos="0"/>
          <w:tab w:val="left" w:pos="360"/>
          <w:tab w:val="left" w:pos="540"/>
        </w:tabs>
        <w:spacing w:line="360" w:lineRule="auto"/>
        <w:ind w:firstLine="1260" w:firstLineChars="600"/>
        <w:rPr>
          <w:rFonts w:eastAsia="仿宋_GB2312"/>
          <w:color w:val="auto"/>
          <w:szCs w:val="21"/>
          <w:highlight w:val="none"/>
        </w:rPr>
      </w:pPr>
      <w:r>
        <w:rPr>
          <w:rFonts w:eastAsia="仿宋_GB2312"/>
          <w:color w:val="auto"/>
          <w:position w:val="-6"/>
          <w:szCs w:val="21"/>
          <w:highlight w:val="none"/>
        </w:rPr>
        <w:object>
          <v:shape id="_x0000_i1026" o:spt="75" type="#_x0000_t75" style="height:18pt;width:18pt;" o:ole="t" filled="f" o:preferrelative="t" stroked="f" coordsize="21600,21600">
            <v:path/>
            <v:fill on="f" focussize="0,0"/>
            <v:stroke on="f" joinstyle="miter"/>
            <v:imagedata r:id="rId22" o:title=""/>
            <o:lock v:ext="edit" aspectratio="t"/>
            <w10:wrap type="none"/>
            <w10:anchorlock/>
          </v:shape>
          <o:OLEObject Type="Embed" ProgID="Equation.KSEE3" ShapeID="_x0000_i1026" DrawAspect="Content" ObjectID="_1468075726" r:id="rId21">
            <o:LockedField>false</o:LockedField>
          </o:OLEObject>
        </w:object>
      </w:r>
      <w:r>
        <w:rPr>
          <w:rFonts w:eastAsia="仿宋_GB2312"/>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3CB84257">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szCs w:val="21"/>
          <w:highlight w:val="none"/>
        </w:rPr>
        <w:t>A——定值权重（即不调部分的权重）；</w:t>
      </w:r>
    </w:p>
    <w:p w14:paraId="03D5E7F0">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position w:val="-10"/>
          <w:szCs w:val="21"/>
          <w:highlight w:val="none"/>
        </w:rPr>
        <w:object>
          <v:shape id="_x0000_i1027" o:spt="75" type="#_x0000_t75" style="height:21pt;width:101pt;" o:ole="t" filled="f" o:preferrelative="t" stroked="f" coordsize="21600,21600">
            <v:path/>
            <v:fill on="f" focussize="0,0"/>
            <v:stroke on="f" joinstyle="miter"/>
            <v:imagedata r:id="rId24" o:title=""/>
            <o:lock v:ext="edit" aspectratio="t"/>
            <w10:wrap type="none"/>
            <w10:anchorlock/>
          </v:shape>
          <o:OLEObject Type="Embed" ProgID="Equation.KSEE3" ShapeID="_x0000_i1027" DrawAspect="Content" ObjectID="_1468075727" r:id="rId23">
            <o:LockedField>false</o:LockedField>
          </o:OLEObject>
        </w:object>
      </w:r>
      <w:r>
        <w:rPr>
          <w:rFonts w:eastAsia="仿宋_GB2312"/>
          <w:color w:val="auto"/>
          <w:szCs w:val="21"/>
          <w:highlight w:val="none"/>
        </w:rPr>
        <w:t>——各可调因子的变值权重（即可调部分的权重），为各可调因子在签约合同价中所占的比例；</w:t>
      </w:r>
    </w:p>
    <w:p w14:paraId="402F9DFB">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position w:val="-10"/>
          <w:szCs w:val="21"/>
          <w:highlight w:val="none"/>
        </w:rPr>
        <w:object>
          <v:shape id="_x0000_i1028" o:spt="75" type="#_x0000_t75" style="height:20.5pt;width:102pt;" o:ole="t" filled="f" o:preferrelative="t" stroked="f" coordsize="21600,21600">
            <v:path/>
            <v:fill on="f" focussize="0,0"/>
            <v:stroke on="f" joinstyle="miter"/>
            <v:imagedata r:id="rId26" o:title=""/>
            <o:lock v:ext="edit" aspectratio="t"/>
            <w10:wrap type="none"/>
            <w10:anchorlock/>
          </v:shape>
          <o:OLEObject Type="Embed" ProgID="Equation.KSEE3" ShapeID="_x0000_i1028" DrawAspect="Content" ObjectID="_1468075728" r:id="rId25">
            <o:LockedField>false</o:LockedField>
          </o:OLEObject>
        </w:object>
      </w:r>
      <w:r>
        <w:rPr>
          <w:rFonts w:eastAsia="仿宋_GB2312"/>
          <w:color w:val="auto"/>
          <w:szCs w:val="21"/>
          <w:highlight w:val="none"/>
        </w:rPr>
        <w:t>——各可调因子的现行价格指数，指约定的付款证书相关周期最后一天的前42天的各可调因子的价格指数；</w:t>
      </w:r>
    </w:p>
    <w:p w14:paraId="7DCC7E12">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position w:val="-10"/>
          <w:szCs w:val="21"/>
          <w:highlight w:val="none"/>
        </w:rPr>
        <w:object>
          <v:shape id="_x0000_i1029" o:spt="75" type="#_x0000_t75" style="height:20pt;width:108pt;" o:ole="t" filled="f" o:preferrelative="t" stroked="f" coordsize="21600,21600">
            <v:path/>
            <v:fill on="f" focussize="0,0"/>
            <v:stroke on="f" joinstyle="miter"/>
            <v:imagedata r:id="rId28" o:title=""/>
            <o:lock v:ext="edit" aspectratio="t"/>
            <w10:wrap type="none"/>
            <w10:anchorlock/>
          </v:shape>
          <o:OLEObject Type="Embed" ProgID="Equation.KSEE3" ShapeID="_x0000_i1029" DrawAspect="Content" ObjectID="_1468075729" r:id="rId27">
            <o:LockedField>false</o:LockedField>
          </o:OLEObject>
        </w:object>
      </w:r>
      <w:r>
        <w:rPr>
          <w:rFonts w:eastAsia="仿宋_GB2312"/>
          <w:color w:val="auto"/>
          <w:szCs w:val="21"/>
          <w:highlight w:val="none"/>
        </w:rPr>
        <w:t>——各可调因子的基本价格指数，指基准日期的各可调因子的价格指数。</w:t>
      </w:r>
    </w:p>
    <w:p w14:paraId="290D7B37">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53CBE6E">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szCs w:val="21"/>
          <w:highlight w:val="none"/>
        </w:rPr>
        <w:t>（2）暂时确定调整差额</w:t>
      </w:r>
    </w:p>
    <w:p w14:paraId="06624673">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szCs w:val="21"/>
          <w:highlight w:val="none"/>
        </w:rPr>
        <w:t>在计算调整差额时无现行价格指数的，合同当事人同意暂用前次价格指数计算。实际价格指数有调整的，合同当事人进行相应调整。</w:t>
      </w:r>
    </w:p>
    <w:p w14:paraId="03355E02">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szCs w:val="21"/>
          <w:highlight w:val="none"/>
        </w:rPr>
        <w:t>（3）权重的调整</w:t>
      </w:r>
    </w:p>
    <w:p w14:paraId="316416FE">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szCs w:val="21"/>
          <w:highlight w:val="none"/>
        </w:rPr>
        <w:t>因变更导致合同约定的权重不合理时，按照第4.4款</w:t>
      </w:r>
      <w:r>
        <w:rPr>
          <w:rFonts w:hint="eastAsia" w:eastAsia="仿宋_GB2312"/>
          <w:color w:val="auto"/>
          <w:szCs w:val="21"/>
          <w:highlight w:val="none"/>
        </w:rPr>
        <w:t>〔</w:t>
      </w:r>
      <w:r>
        <w:rPr>
          <w:rFonts w:eastAsia="仿宋_GB2312"/>
          <w:color w:val="auto"/>
          <w:szCs w:val="21"/>
          <w:highlight w:val="none"/>
        </w:rPr>
        <w:t>商定或确定</w:t>
      </w:r>
      <w:r>
        <w:rPr>
          <w:rFonts w:hint="eastAsia" w:eastAsia="仿宋_GB2312"/>
          <w:color w:val="auto"/>
          <w:szCs w:val="21"/>
          <w:highlight w:val="none"/>
        </w:rPr>
        <w:t>〕</w:t>
      </w:r>
      <w:r>
        <w:rPr>
          <w:rFonts w:eastAsia="仿宋_GB2312"/>
          <w:color w:val="auto"/>
          <w:szCs w:val="21"/>
          <w:highlight w:val="none"/>
        </w:rPr>
        <w:t>执行。</w:t>
      </w:r>
    </w:p>
    <w:p w14:paraId="67D2E4D1">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szCs w:val="21"/>
          <w:highlight w:val="none"/>
        </w:rPr>
        <w:t>（4）因承包人原因工期延误后的价格调整</w:t>
      </w:r>
    </w:p>
    <w:p w14:paraId="20A10EE7">
      <w:pPr>
        <w:tabs>
          <w:tab w:val="left" w:pos="0"/>
          <w:tab w:val="left" w:pos="360"/>
          <w:tab w:val="left" w:pos="540"/>
        </w:tabs>
        <w:spacing w:line="360" w:lineRule="auto"/>
        <w:ind w:firstLine="420" w:firstLineChars="200"/>
        <w:rPr>
          <w:rFonts w:eastAsia="仿宋_GB2312"/>
          <w:color w:val="auto"/>
          <w:szCs w:val="21"/>
          <w:highlight w:val="none"/>
        </w:rPr>
      </w:pPr>
      <w:r>
        <w:rPr>
          <w:rFonts w:eastAsia="仿宋_GB2312"/>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5DC579C0">
      <w:pPr>
        <w:spacing w:line="360" w:lineRule="auto"/>
        <w:ind w:firstLine="420" w:firstLineChars="200"/>
        <w:rPr>
          <w:rFonts w:eastAsia="仿宋_GB2312"/>
          <w:color w:val="auto"/>
          <w:szCs w:val="21"/>
          <w:highlight w:val="none"/>
        </w:rPr>
      </w:pPr>
      <w:r>
        <w:rPr>
          <w:rFonts w:eastAsia="仿宋_GB2312"/>
          <w:color w:val="auto"/>
          <w:szCs w:val="21"/>
          <w:highlight w:val="none"/>
        </w:rPr>
        <w:t>第2种方式：采用造价信息</w:t>
      </w:r>
      <w:r>
        <w:rPr>
          <w:rFonts w:hint="eastAsia" w:eastAsia="仿宋_GB2312"/>
          <w:color w:val="auto"/>
          <w:szCs w:val="21"/>
          <w:highlight w:val="none"/>
        </w:rPr>
        <w:t>进行价格</w:t>
      </w:r>
      <w:r>
        <w:rPr>
          <w:rFonts w:eastAsia="仿宋_GB2312"/>
          <w:color w:val="auto"/>
          <w:szCs w:val="21"/>
          <w:highlight w:val="none"/>
        </w:rPr>
        <w:t>调整。</w:t>
      </w:r>
    </w:p>
    <w:p w14:paraId="7BDC9FAD">
      <w:pPr>
        <w:spacing w:line="360" w:lineRule="auto"/>
        <w:ind w:firstLine="420" w:firstLineChars="200"/>
        <w:rPr>
          <w:rFonts w:eastAsia="仿宋_GB2312"/>
          <w:color w:val="auto"/>
          <w:szCs w:val="21"/>
          <w:highlight w:val="none"/>
        </w:rPr>
      </w:pPr>
      <w:r>
        <w:rPr>
          <w:rFonts w:eastAsia="仿宋_GB2312"/>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color w:val="auto"/>
          <w:szCs w:val="21"/>
          <w:highlight w:val="none"/>
        </w:rPr>
        <w:t>量</w:t>
      </w:r>
      <w:r>
        <w:rPr>
          <w:rFonts w:eastAsia="仿宋_GB2312"/>
          <w:color w:val="auto"/>
          <w:szCs w:val="21"/>
          <w:highlight w:val="none"/>
        </w:rPr>
        <w:t>应由发包人审批，发包人确认需调整的材料单价及数量，作为调整合同价格的依据。</w:t>
      </w:r>
    </w:p>
    <w:p w14:paraId="59E6A363">
      <w:pPr>
        <w:spacing w:line="360" w:lineRule="auto"/>
        <w:ind w:firstLine="420" w:firstLineChars="200"/>
        <w:rPr>
          <w:rFonts w:eastAsia="仿宋_GB2312"/>
          <w:color w:val="auto"/>
          <w:szCs w:val="21"/>
          <w:highlight w:val="none"/>
        </w:rPr>
      </w:pPr>
      <w:r>
        <w:rPr>
          <w:rFonts w:eastAsia="仿宋_GB2312"/>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016EA68">
      <w:pPr>
        <w:spacing w:line="360" w:lineRule="auto"/>
        <w:ind w:firstLine="420" w:firstLineChars="200"/>
        <w:rPr>
          <w:rFonts w:eastAsia="仿宋_GB2312"/>
          <w:color w:val="auto"/>
          <w:szCs w:val="21"/>
          <w:highlight w:val="none"/>
        </w:rPr>
      </w:pPr>
      <w:r>
        <w:rPr>
          <w:rFonts w:eastAsia="仿宋_GB2312"/>
          <w:color w:val="auto"/>
          <w:szCs w:val="21"/>
          <w:highlight w:val="none"/>
        </w:rPr>
        <w:t>（2）材料、工程设备价格变化的价款调整按照发包人提供的基准价格，按以下风险范围规定执行:</w:t>
      </w:r>
    </w:p>
    <w:p w14:paraId="0A2B384E">
      <w:pPr>
        <w:spacing w:line="360" w:lineRule="auto"/>
        <w:ind w:firstLine="420" w:firstLineChars="200"/>
        <w:rPr>
          <w:rFonts w:eastAsia="仿宋_GB2312"/>
          <w:color w:val="auto"/>
          <w:szCs w:val="21"/>
          <w:highlight w:val="none"/>
        </w:rPr>
      </w:pPr>
      <w:r>
        <w:rPr>
          <w:rFonts w:hint="eastAsia" w:ascii="宋体" w:hAnsi="宋体" w:cs="宋体"/>
          <w:color w:val="auto"/>
          <w:szCs w:val="21"/>
          <w:highlight w:val="none"/>
        </w:rPr>
        <w:t>①</w:t>
      </w:r>
      <w:r>
        <w:rPr>
          <w:rFonts w:eastAsia="仿宋_GB2312"/>
          <w:color w:val="auto"/>
          <w:szCs w:val="21"/>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71BB55F">
      <w:pPr>
        <w:spacing w:line="360" w:lineRule="auto"/>
        <w:ind w:firstLine="420" w:firstLineChars="200"/>
        <w:rPr>
          <w:rFonts w:eastAsia="仿宋_GB2312"/>
          <w:color w:val="auto"/>
          <w:szCs w:val="21"/>
          <w:highlight w:val="none"/>
        </w:rPr>
      </w:pPr>
      <w:r>
        <w:rPr>
          <w:rFonts w:hint="eastAsia" w:ascii="宋体" w:hAnsi="宋体" w:cs="宋体"/>
          <w:color w:val="auto"/>
          <w:szCs w:val="21"/>
          <w:highlight w:val="none"/>
        </w:rPr>
        <w:t>②</w:t>
      </w:r>
      <w:r>
        <w:rPr>
          <w:rFonts w:eastAsia="仿宋_GB2312"/>
          <w:color w:val="auto"/>
          <w:szCs w:val="21"/>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D09C503">
      <w:pPr>
        <w:spacing w:line="360" w:lineRule="auto"/>
        <w:ind w:firstLine="420" w:firstLineChars="200"/>
        <w:rPr>
          <w:rFonts w:eastAsia="仿宋_GB2312"/>
          <w:color w:val="auto"/>
          <w:szCs w:val="21"/>
          <w:highlight w:val="none"/>
        </w:rPr>
      </w:pPr>
      <w:r>
        <w:rPr>
          <w:rFonts w:hint="eastAsia" w:ascii="宋体" w:hAnsi="宋体" w:cs="宋体"/>
          <w:color w:val="auto"/>
          <w:szCs w:val="21"/>
          <w:highlight w:val="none"/>
        </w:rPr>
        <w:t>③</w:t>
      </w:r>
      <w:r>
        <w:rPr>
          <w:rFonts w:eastAsia="仿宋_GB2312"/>
          <w:color w:val="auto"/>
          <w:szCs w:val="21"/>
          <w:highlight w:val="none"/>
        </w:rPr>
        <w:t>承包人在已标价工程量清单或预算书中载明材料单价等于基准价格的：除专用合同条款另有约定外，合同履行期间材料单价涨跌幅以基准价格为基础超过±5%时，其超过部分据实调整。</w:t>
      </w:r>
    </w:p>
    <w:p w14:paraId="3AD7E100">
      <w:pPr>
        <w:spacing w:line="360" w:lineRule="auto"/>
        <w:ind w:firstLine="420" w:firstLineChars="200"/>
        <w:rPr>
          <w:rFonts w:eastAsia="仿宋_GB2312"/>
          <w:color w:val="auto"/>
          <w:szCs w:val="21"/>
          <w:highlight w:val="none"/>
        </w:rPr>
      </w:pPr>
      <w:r>
        <w:rPr>
          <w:rFonts w:hint="eastAsia" w:ascii="宋体" w:hAnsi="宋体" w:cs="宋体"/>
          <w:color w:val="auto"/>
          <w:szCs w:val="21"/>
          <w:highlight w:val="none"/>
        </w:rPr>
        <w:t>④</w:t>
      </w:r>
      <w:r>
        <w:rPr>
          <w:rFonts w:hint="eastAsia" w:eastAsia="仿宋_GB2312"/>
          <w:color w:val="auto"/>
          <w:szCs w:val="21"/>
          <w:highlight w:val="none"/>
        </w:rPr>
        <w:t>合同履行期间的材料、工程设备价格，按照国家或省，自治区，直辖市建设行政管理部门、行业建设管理部门或其授权的工程造价管理机构发布的材料、工程设备价格信息确定。若无相应价格信息，则按照承包人报发包人审核确认的价格确定。</w:t>
      </w:r>
    </w:p>
    <w:p w14:paraId="06DF9FD6">
      <w:pPr>
        <w:spacing w:line="360" w:lineRule="auto"/>
        <w:ind w:firstLine="420" w:firstLineChars="200"/>
        <w:rPr>
          <w:rFonts w:eastAsia="仿宋_GB2312"/>
          <w:color w:val="auto"/>
          <w:szCs w:val="21"/>
          <w:highlight w:val="none"/>
        </w:rPr>
      </w:pPr>
      <w:r>
        <w:rPr>
          <w:rFonts w:eastAsia="仿宋_GB2312"/>
          <w:color w:val="auto"/>
          <w:szCs w:val="21"/>
          <w:highlight w:val="none"/>
        </w:rPr>
        <w:t>（3）施工机械台班单价或施工机械使用费发生变化超过省级或行业建设主管部门或其授权的工程造价管理机构规定的范围时，按规定调整合同价格。</w:t>
      </w:r>
    </w:p>
    <w:p w14:paraId="4C037842">
      <w:pPr>
        <w:spacing w:line="360" w:lineRule="auto"/>
        <w:ind w:firstLine="420" w:firstLineChars="200"/>
        <w:rPr>
          <w:rFonts w:eastAsia="仿宋_GB2312"/>
          <w:color w:val="auto"/>
          <w:szCs w:val="21"/>
          <w:highlight w:val="none"/>
        </w:rPr>
      </w:pPr>
      <w:r>
        <w:rPr>
          <w:rFonts w:eastAsia="仿宋_GB2312"/>
          <w:color w:val="auto"/>
          <w:szCs w:val="21"/>
          <w:highlight w:val="none"/>
        </w:rPr>
        <w:t>第3种方式：专用合同条款约定的其他方式。</w:t>
      </w:r>
    </w:p>
    <w:p w14:paraId="3C295990">
      <w:pPr>
        <w:pStyle w:val="4"/>
        <w:spacing w:before="0" w:after="0" w:line="360" w:lineRule="auto"/>
        <w:ind w:firstLine="420" w:firstLineChars="200"/>
        <w:rPr>
          <w:rFonts w:eastAsia="黑体"/>
          <w:color w:val="auto"/>
          <w:sz w:val="21"/>
          <w:szCs w:val="21"/>
          <w:highlight w:val="none"/>
        </w:rPr>
      </w:pPr>
      <w:bookmarkStart w:id="399" w:name="_Toc29343"/>
      <w:bookmarkStart w:id="400" w:name="_Toc296503093"/>
      <w:bookmarkStart w:id="401" w:name="_Toc337558798"/>
      <w:bookmarkStart w:id="402" w:name="_Toc296346594"/>
      <w:r>
        <w:rPr>
          <w:rFonts w:eastAsia="黑体"/>
          <w:color w:val="auto"/>
          <w:sz w:val="21"/>
          <w:szCs w:val="21"/>
          <w:highlight w:val="none"/>
        </w:rPr>
        <w:t>11.2法律变化引起的调整</w:t>
      </w:r>
      <w:bookmarkEnd w:id="399"/>
    </w:p>
    <w:bookmarkEnd w:id="400"/>
    <w:bookmarkEnd w:id="401"/>
    <w:bookmarkEnd w:id="402"/>
    <w:p w14:paraId="195DBE22">
      <w:pPr>
        <w:spacing w:line="360" w:lineRule="auto"/>
        <w:ind w:firstLine="420" w:firstLineChars="200"/>
        <w:rPr>
          <w:rFonts w:eastAsia="仿宋_GB2312"/>
          <w:color w:val="auto"/>
          <w:szCs w:val="21"/>
          <w:highlight w:val="none"/>
        </w:rPr>
      </w:pPr>
      <w:r>
        <w:rPr>
          <w:rFonts w:eastAsia="仿宋_GB2312"/>
          <w:color w:val="auto"/>
          <w:szCs w:val="21"/>
          <w:highlight w:val="none"/>
        </w:rPr>
        <w:t>基准日</w:t>
      </w:r>
      <w:r>
        <w:rPr>
          <w:rFonts w:hint="eastAsia" w:eastAsia="仿宋_GB2312"/>
          <w:color w:val="auto"/>
          <w:szCs w:val="21"/>
          <w:highlight w:val="none"/>
        </w:rPr>
        <w:t>期</w:t>
      </w:r>
      <w:r>
        <w:rPr>
          <w:rFonts w:eastAsia="仿宋_GB2312"/>
          <w:color w:val="auto"/>
          <w:szCs w:val="21"/>
          <w:highlight w:val="none"/>
        </w:rPr>
        <w:t>后，法律变化</w:t>
      </w:r>
      <w:r>
        <w:rPr>
          <w:rFonts w:hint="eastAsia" w:eastAsia="仿宋_GB2312"/>
          <w:color w:val="auto"/>
          <w:szCs w:val="21"/>
          <w:highlight w:val="none"/>
        </w:rPr>
        <w:t>导致承包人在合同履行过程中所需要的费用发生除第11.1款〔市场价格波动引起的调整〕约定以外的增加时，由发包人承担由此增加的费用；减少时，应从合同价格中予以扣减。</w:t>
      </w:r>
      <w:r>
        <w:rPr>
          <w:rFonts w:eastAsia="仿宋_GB2312"/>
          <w:color w:val="auto"/>
          <w:szCs w:val="21"/>
          <w:highlight w:val="none"/>
        </w:rPr>
        <w:t>基准日</w:t>
      </w:r>
      <w:r>
        <w:rPr>
          <w:rFonts w:hint="eastAsia" w:eastAsia="仿宋_GB2312"/>
          <w:color w:val="auto"/>
          <w:szCs w:val="21"/>
          <w:highlight w:val="none"/>
        </w:rPr>
        <w:t>期</w:t>
      </w:r>
      <w:r>
        <w:rPr>
          <w:rFonts w:eastAsia="仿宋_GB2312"/>
          <w:color w:val="auto"/>
          <w:szCs w:val="21"/>
          <w:highlight w:val="none"/>
        </w:rPr>
        <w:t>后，</w:t>
      </w:r>
      <w:r>
        <w:rPr>
          <w:rFonts w:hint="eastAsia" w:eastAsia="仿宋_GB2312"/>
          <w:color w:val="auto"/>
          <w:szCs w:val="21"/>
          <w:highlight w:val="none"/>
        </w:rPr>
        <w:t>因</w:t>
      </w:r>
      <w:r>
        <w:rPr>
          <w:rFonts w:eastAsia="仿宋_GB2312"/>
          <w:color w:val="auto"/>
          <w:szCs w:val="21"/>
          <w:highlight w:val="none"/>
        </w:rPr>
        <w:t>法律变化</w:t>
      </w:r>
      <w:r>
        <w:rPr>
          <w:rFonts w:hint="eastAsia" w:eastAsia="仿宋_GB2312"/>
          <w:color w:val="auto"/>
          <w:szCs w:val="21"/>
          <w:highlight w:val="none"/>
        </w:rPr>
        <w:t>造成工期延误时，工期应予以顺延。</w:t>
      </w:r>
    </w:p>
    <w:p w14:paraId="3C53E981">
      <w:pPr>
        <w:spacing w:line="360" w:lineRule="auto"/>
        <w:ind w:firstLine="420" w:firstLineChars="200"/>
        <w:rPr>
          <w:rFonts w:eastAsia="仿宋_GB2312"/>
          <w:color w:val="auto"/>
          <w:szCs w:val="21"/>
          <w:highlight w:val="none"/>
        </w:rPr>
      </w:pPr>
      <w:r>
        <w:rPr>
          <w:rFonts w:hint="eastAsia" w:eastAsia="仿宋_GB2312"/>
          <w:color w:val="auto"/>
          <w:szCs w:val="21"/>
          <w:highlight w:val="none"/>
        </w:rPr>
        <w:t>因法律变化引起的合同价格和工期调整，合同当事人无法达成一致的，由总监理工程师按第4.4款〔商定或确定〕的约定处理。</w:t>
      </w:r>
    </w:p>
    <w:p w14:paraId="7A31DAD1">
      <w:pPr>
        <w:spacing w:line="360" w:lineRule="auto"/>
        <w:ind w:firstLine="420" w:firstLineChars="200"/>
        <w:rPr>
          <w:rFonts w:eastAsia="仿宋_GB2312"/>
          <w:color w:val="auto"/>
          <w:szCs w:val="21"/>
          <w:highlight w:val="none"/>
        </w:rPr>
      </w:pPr>
      <w:r>
        <w:rPr>
          <w:rFonts w:eastAsia="仿宋_GB2312"/>
          <w:color w:val="auto"/>
          <w:kern w:val="0"/>
          <w:szCs w:val="21"/>
          <w:highlight w:val="none"/>
        </w:rPr>
        <w:t>因承包人原因造成工期延误，在工期延误期间出现法律变化的，由此增加的费用和（或）延误的工期由承包人承担。</w:t>
      </w:r>
    </w:p>
    <w:p w14:paraId="65A485C6">
      <w:pPr>
        <w:pStyle w:val="3"/>
        <w:ind w:firstLine="1680"/>
        <w:rPr>
          <w:rFonts w:ascii="Times New Roman" w:hAnsi="Times New Roman"/>
          <w:color w:val="auto"/>
          <w:sz w:val="21"/>
          <w:szCs w:val="21"/>
          <w:highlight w:val="none"/>
        </w:rPr>
      </w:pPr>
      <w:bookmarkStart w:id="403" w:name="_Toc1658"/>
      <w:bookmarkStart w:id="404" w:name="_Toc337558799"/>
      <w:bookmarkStart w:id="405" w:name="_Toc296503096"/>
      <w:bookmarkStart w:id="406" w:name="_Toc296346597"/>
      <w:r>
        <w:rPr>
          <w:rFonts w:ascii="Times New Roman" w:hAnsi="Times New Roman"/>
          <w:color w:val="auto"/>
          <w:sz w:val="21"/>
          <w:szCs w:val="21"/>
          <w:highlight w:val="none"/>
        </w:rPr>
        <w:t>12. 合同价格、计量与支付</w:t>
      </w:r>
      <w:bookmarkEnd w:id="403"/>
    </w:p>
    <w:bookmarkEnd w:id="404"/>
    <w:p w14:paraId="73ACF4E3">
      <w:pPr>
        <w:pStyle w:val="4"/>
        <w:spacing w:before="0" w:after="0" w:line="360" w:lineRule="auto"/>
        <w:ind w:firstLine="420" w:firstLineChars="200"/>
        <w:rPr>
          <w:rFonts w:eastAsia="黑体"/>
          <w:color w:val="auto"/>
          <w:sz w:val="21"/>
          <w:szCs w:val="21"/>
          <w:highlight w:val="none"/>
        </w:rPr>
      </w:pPr>
      <w:bookmarkStart w:id="407" w:name="_Toc24532"/>
      <w:bookmarkStart w:id="408" w:name="_Toc337558800"/>
      <w:r>
        <w:rPr>
          <w:rFonts w:eastAsia="黑体"/>
          <w:color w:val="auto"/>
          <w:sz w:val="21"/>
          <w:szCs w:val="21"/>
          <w:highlight w:val="none"/>
        </w:rPr>
        <w:t>12.1 合同价</w:t>
      </w:r>
      <w:bookmarkEnd w:id="405"/>
      <w:bookmarkEnd w:id="406"/>
      <w:r>
        <w:rPr>
          <w:rFonts w:eastAsia="黑体"/>
          <w:color w:val="auto"/>
          <w:sz w:val="21"/>
          <w:szCs w:val="21"/>
          <w:highlight w:val="none"/>
        </w:rPr>
        <w:t>格形式</w:t>
      </w:r>
      <w:bookmarkEnd w:id="407"/>
    </w:p>
    <w:bookmarkEnd w:id="408"/>
    <w:p w14:paraId="4D3BA14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发包人和承包人应在合同协议书中</w:t>
      </w:r>
      <w:r>
        <w:rPr>
          <w:rFonts w:hint="eastAsia" w:eastAsia="仿宋_GB2312"/>
          <w:color w:val="auto"/>
          <w:kern w:val="0"/>
          <w:szCs w:val="21"/>
          <w:highlight w:val="none"/>
        </w:rPr>
        <w:t>选择</w:t>
      </w:r>
      <w:r>
        <w:rPr>
          <w:rFonts w:eastAsia="仿宋_GB2312"/>
          <w:color w:val="auto"/>
          <w:kern w:val="0"/>
          <w:szCs w:val="21"/>
          <w:highlight w:val="none"/>
        </w:rPr>
        <w:t xml:space="preserve">下列一种合同价格形式： </w:t>
      </w:r>
    </w:p>
    <w:p w14:paraId="03A5E69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w:t>
      </w:r>
      <w:r>
        <w:rPr>
          <w:rFonts w:hint="eastAsia" w:eastAsia="仿宋_GB2312"/>
          <w:color w:val="auto"/>
          <w:kern w:val="0"/>
          <w:szCs w:val="21"/>
          <w:highlight w:val="none"/>
        </w:rPr>
        <w:t>.</w:t>
      </w:r>
      <w:r>
        <w:rPr>
          <w:rFonts w:eastAsia="仿宋_GB2312"/>
          <w:color w:val="auto"/>
          <w:kern w:val="0"/>
          <w:szCs w:val="21"/>
          <w:highlight w:val="none"/>
        </w:rPr>
        <w:t>单价合同</w:t>
      </w:r>
    </w:p>
    <w:p w14:paraId="0E8C46F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单价合同是指合同当事人约定以工程量清单及其综合单价进行合同价格计算、调整和确认的建设工程施工合同，</w:t>
      </w:r>
      <w:r>
        <w:rPr>
          <w:rFonts w:eastAsia="仿宋_GB2312"/>
          <w:color w:val="auto"/>
          <w:szCs w:val="21"/>
          <w:highlight w:val="none"/>
        </w:rPr>
        <w:t>在约定的范围内合同单价不作调整</w:t>
      </w:r>
      <w:r>
        <w:rPr>
          <w:rFonts w:eastAsia="仿宋_GB2312"/>
          <w:color w:val="auto"/>
          <w:kern w:val="0"/>
          <w:szCs w:val="21"/>
          <w:highlight w:val="none"/>
        </w:rPr>
        <w:t>。合同当事人应在专用合同条款中约定综合单价包含的风险范围和风险费用的计算方法</w:t>
      </w:r>
      <w:r>
        <w:rPr>
          <w:rFonts w:eastAsia="仿宋_GB2312"/>
          <w:color w:val="auto"/>
          <w:szCs w:val="21"/>
          <w:highlight w:val="none"/>
        </w:rPr>
        <w:t>，</w:t>
      </w:r>
      <w:r>
        <w:rPr>
          <w:rFonts w:eastAsia="仿宋_GB2312"/>
          <w:color w:val="auto"/>
          <w:kern w:val="0"/>
          <w:szCs w:val="21"/>
          <w:highlight w:val="none"/>
        </w:rPr>
        <w:t>并约定风险范围以外的合同价格的调整方法，其中因市场价格波动引起的调整按第11.1款</w:t>
      </w:r>
      <w:r>
        <w:rPr>
          <w:rFonts w:hint="eastAsia" w:eastAsia="仿宋_GB2312"/>
          <w:color w:val="auto"/>
          <w:kern w:val="0"/>
          <w:szCs w:val="21"/>
          <w:highlight w:val="none"/>
        </w:rPr>
        <w:t>〔</w:t>
      </w:r>
      <w:r>
        <w:rPr>
          <w:rFonts w:eastAsia="仿宋_GB2312"/>
          <w:color w:val="auto"/>
          <w:kern w:val="0"/>
          <w:szCs w:val="21"/>
          <w:highlight w:val="none"/>
        </w:rPr>
        <w:t>市场价格波动引起的调整</w:t>
      </w:r>
      <w:r>
        <w:rPr>
          <w:rFonts w:hint="eastAsia" w:eastAsia="仿宋_GB2312"/>
          <w:color w:val="auto"/>
          <w:kern w:val="0"/>
          <w:szCs w:val="21"/>
          <w:highlight w:val="none"/>
        </w:rPr>
        <w:t>〕</w:t>
      </w:r>
      <w:r>
        <w:rPr>
          <w:rFonts w:eastAsia="仿宋_GB2312"/>
          <w:color w:val="auto"/>
          <w:kern w:val="0"/>
          <w:szCs w:val="21"/>
          <w:highlight w:val="none"/>
        </w:rPr>
        <w:t>约定执行。</w:t>
      </w:r>
    </w:p>
    <w:p w14:paraId="368B1AD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w:t>
      </w:r>
      <w:r>
        <w:rPr>
          <w:rFonts w:hint="eastAsia" w:eastAsia="仿宋_GB2312"/>
          <w:color w:val="auto"/>
          <w:kern w:val="0"/>
          <w:szCs w:val="21"/>
          <w:highlight w:val="none"/>
        </w:rPr>
        <w:t>.</w:t>
      </w:r>
      <w:r>
        <w:rPr>
          <w:rFonts w:eastAsia="仿宋_GB2312"/>
          <w:color w:val="auto"/>
          <w:kern w:val="0"/>
          <w:szCs w:val="21"/>
          <w:highlight w:val="none"/>
        </w:rPr>
        <w:t>总价合同</w:t>
      </w:r>
    </w:p>
    <w:p w14:paraId="119285C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总价合同是指合同当事人约定以施工图、已标价工程量清单或预算书及有关条件进行合同价格计算、调整和确认的建设工程施工合同，</w:t>
      </w:r>
      <w:r>
        <w:rPr>
          <w:rFonts w:eastAsia="仿宋_GB2312"/>
          <w:color w:val="auto"/>
          <w:szCs w:val="21"/>
          <w:highlight w:val="none"/>
        </w:rPr>
        <w:t>在约定的范围内合同总价不作调整</w:t>
      </w:r>
      <w:r>
        <w:rPr>
          <w:rFonts w:eastAsia="仿宋_GB2312"/>
          <w:color w:val="auto"/>
          <w:kern w:val="0"/>
          <w:szCs w:val="21"/>
          <w:highlight w:val="none"/>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color w:val="auto"/>
          <w:kern w:val="0"/>
          <w:szCs w:val="21"/>
          <w:highlight w:val="none"/>
        </w:rPr>
        <w:t>〔</w:t>
      </w:r>
      <w:r>
        <w:rPr>
          <w:rFonts w:eastAsia="仿宋_GB2312"/>
          <w:color w:val="auto"/>
          <w:kern w:val="0"/>
          <w:szCs w:val="21"/>
          <w:highlight w:val="none"/>
        </w:rPr>
        <w:t>市场价格波动引起的调整</w:t>
      </w:r>
      <w:r>
        <w:rPr>
          <w:rFonts w:hint="eastAsia" w:eastAsia="仿宋_GB2312"/>
          <w:color w:val="auto"/>
          <w:kern w:val="0"/>
          <w:szCs w:val="21"/>
          <w:highlight w:val="none"/>
        </w:rPr>
        <w:t>〕</w:t>
      </w:r>
      <w:r>
        <w:rPr>
          <w:rFonts w:eastAsia="仿宋_GB2312"/>
          <w:color w:val="auto"/>
          <w:kern w:val="0"/>
          <w:szCs w:val="21"/>
          <w:highlight w:val="none"/>
        </w:rPr>
        <w:t>、因法律变化引起的调整按第11.2款</w:t>
      </w:r>
      <w:r>
        <w:rPr>
          <w:rFonts w:hint="eastAsia" w:eastAsia="仿宋_GB2312"/>
          <w:color w:val="auto"/>
          <w:kern w:val="0"/>
          <w:szCs w:val="21"/>
          <w:highlight w:val="none"/>
        </w:rPr>
        <w:t>〔</w:t>
      </w:r>
      <w:r>
        <w:rPr>
          <w:rFonts w:eastAsia="仿宋_GB2312"/>
          <w:color w:val="auto"/>
          <w:kern w:val="0"/>
          <w:szCs w:val="21"/>
          <w:highlight w:val="none"/>
        </w:rPr>
        <w:t>法律变化引起的调整</w:t>
      </w:r>
      <w:r>
        <w:rPr>
          <w:rFonts w:hint="eastAsia" w:eastAsia="仿宋_GB2312"/>
          <w:color w:val="auto"/>
          <w:kern w:val="0"/>
          <w:szCs w:val="21"/>
          <w:highlight w:val="none"/>
        </w:rPr>
        <w:t>〕</w:t>
      </w:r>
      <w:r>
        <w:rPr>
          <w:rFonts w:eastAsia="仿宋_GB2312"/>
          <w:color w:val="auto"/>
          <w:kern w:val="0"/>
          <w:szCs w:val="21"/>
          <w:highlight w:val="none"/>
        </w:rPr>
        <w:t>约定执行。</w:t>
      </w:r>
    </w:p>
    <w:p w14:paraId="3D22CF9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w:t>
      </w:r>
      <w:r>
        <w:rPr>
          <w:rFonts w:hint="eastAsia" w:eastAsia="仿宋_GB2312"/>
          <w:color w:val="auto"/>
          <w:kern w:val="0"/>
          <w:szCs w:val="21"/>
          <w:highlight w:val="none"/>
        </w:rPr>
        <w:t>.</w:t>
      </w:r>
      <w:r>
        <w:rPr>
          <w:rFonts w:eastAsia="仿宋_GB2312"/>
          <w:color w:val="auto"/>
          <w:kern w:val="0"/>
          <w:szCs w:val="21"/>
          <w:highlight w:val="none"/>
        </w:rPr>
        <w:t>其它价格形式</w:t>
      </w:r>
    </w:p>
    <w:p w14:paraId="7B8221A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合同当事人可在专用合同条款中约定其他合同价格形式。</w:t>
      </w:r>
    </w:p>
    <w:p w14:paraId="4A51E90C">
      <w:pPr>
        <w:pStyle w:val="4"/>
        <w:spacing w:before="0" w:after="0" w:line="360" w:lineRule="auto"/>
        <w:ind w:firstLine="420" w:firstLineChars="200"/>
        <w:rPr>
          <w:rFonts w:eastAsia="黑体"/>
          <w:color w:val="auto"/>
          <w:sz w:val="21"/>
          <w:szCs w:val="21"/>
          <w:highlight w:val="none"/>
        </w:rPr>
      </w:pPr>
      <w:bookmarkStart w:id="409" w:name="_Toc296503097"/>
      <w:bookmarkStart w:id="410" w:name="_Toc296346598"/>
      <w:bookmarkStart w:id="411" w:name="_Toc16951"/>
      <w:bookmarkStart w:id="412" w:name="_Toc337558801"/>
      <w:r>
        <w:rPr>
          <w:rFonts w:eastAsia="黑体"/>
          <w:color w:val="auto"/>
          <w:sz w:val="21"/>
          <w:szCs w:val="21"/>
          <w:highlight w:val="none"/>
        </w:rPr>
        <w:t>12.2预</w:t>
      </w:r>
      <w:bookmarkEnd w:id="409"/>
      <w:bookmarkEnd w:id="410"/>
      <w:bookmarkStart w:id="413" w:name="_Toc296503100"/>
      <w:bookmarkStart w:id="414" w:name="_Toc296346601"/>
      <w:r>
        <w:rPr>
          <w:rFonts w:eastAsia="黑体"/>
          <w:color w:val="auto"/>
          <w:sz w:val="21"/>
          <w:szCs w:val="21"/>
          <w:highlight w:val="none"/>
        </w:rPr>
        <w:t>付款</w:t>
      </w:r>
      <w:bookmarkEnd w:id="411"/>
    </w:p>
    <w:bookmarkEnd w:id="412"/>
    <w:bookmarkEnd w:id="413"/>
    <w:bookmarkEnd w:id="414"/>
    <w:p w14:paraId="4366420F">
      <w:pPr>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12.2.</w:t>
      </w:r>
      <w:r>
        <w:rPr>
          <w:rFonts w:eastAsia="仿宋_GB2312"/>
          <w:color w:val="auto"/>
          <w:kern w:val="0"/>
          <w:szCs w:val="21"/>
          <w:highlight w:val="none"/>
        </w:rPr>
        <w:t>1预付款的支付</w:t>
      </w:r>
    </w:p>
    <w:p w14:paraId="450104F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5328C841">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除专用合同条款另有约定外，预付款在进度付款中同比例扣回。在颁发工程接收证书前，提前解除合同的，尚未扣完的预付款应与合同价款一并结算。</w:t>
      </w:r>
    </w:p>
    <w:p w14:paraId="5E9752D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发包人逾期支付预付款超过7天的，承包人有权向发包人发出要求预付的催告通知，发包人收到通知后7天内仍未支付的，承包人有权暂停施工，并按第16.1.1项</w:t>
      </w:r>
      <w:r>
        <w:rPr>
          <w:rFonts w:hint="eastAsia" w:eastAsia="仿宋_GB2312"/>
          <w:color w:val="auto"/>
          <w:kern w:val="0"/>
          <w:szCs w:val="21"/>
          <w:highlight w:val="none"/>
        </w:rPr>
        <w:t>〔</w:t>
      </w:r>
      <w:r>
        <w:rPr>
          <w:rFonts w:eastAsia="仿宋_GB2312"/>
          <w:color w:val="auto"/>
          <w:kern w:val="0"/>
          <w:szCs w:val="21"/>
          <w:highlight w:val="none"/>
        </w:rPr>
        <w:t>发包人违约的情形</w:t>
      </w:r>
      <w:r>
        <w:rPr>
          <w:rFonts w:hint="eastAsia" w:eastAsia="仿宋_GB2312"/>
          <w:color w:val="auto"/>
          <w:kern w:val="0"/>
          <w:szCs w:val="21"/>
          <w:highlight w:val="none"/>
        </w:rPr>
        <w:t>〕</w:t>
      </w:r>
      <w:r>
        <w:rPr>
          <w:rFonts w:eastAsia="仿宋_GB2312"/>
          <w:color w:val="auto"/>
          <w:kern w:val="0"/>
          <w:szCs w:val="21"/>
          <w:highlight w:val="none"/>
        </w:rPr>
        <w:t>执行。</w:t>
      </w:r>
    </w:p>
    <w:p w14:paraId="6E529551">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12.2.2 预付款担保</w:t>
      </w:r>
    </w:p>
    <w:p w14:paraId="713724A2">
      <w:pPr>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发包人要求承包人提供预付款担保的</w:t>
      </w:r>
      <w:r>
        <w:rPr>
          <w:rFonts w:eastAsia="仿宋_GB2312"/>
          <w:color w:val="auto"/>
          <w:kern w:val="0"/>
          <w:szCs w:val="21"/>
          <w:highlight w:val="none"/>
        </w:rPr>
        <w:t>，承包人应在发包人支付预付款7天前提供预付款担保</w:t>
      </w:r>
      <w:r>
        <w:rPr>
          <w:rFonts w:hint="eastAsia" w:eastAsia="仿宋_GB2312"/>
          <w:color w:val="auto"/>
          <w:kern w:val="0"/>
          <w:szCs w:val="21"/>
          <w:highlight w:val="none"/>
        </w:rPr>
        <w:t>，</w:t>
      </w:r>
      <w:r>
        <w:rPr>
          <w:rFonts w:eastAsia="仿宋_GB2312"/>
          <w:color w:val="auto"/>
          <w:kern w:val="0"/>
          <w:szCs w:val="21"/>
          <w:highlight w:val="none"/>
        </w:rPr>
        <w:t>专用合同条款另有约定</w:t>
      </w:r>
      <w:r>
        <w:rPr>
          <w:rFonts w:hint="eastAsia" w:eastAsia="仿宋_GB2312"/>
          <w:color w:val="auto"/>
          <w:kern w:val="0"/>
          <w:szCs w:val="21"/>
          <w:highlight w:val="none"/>
        </w:rPr>
        <w:t>除</w:t>
      </w:r>
      <w:r>
        <w:rPr>
          <w:rFonts w:eastAsia="仿宋_GB2312"/>
          <w:color w:val="auto"/>
          <w:kern w:val="0"/>
          <w:szCs w:val="21"/>
          <w:highlight w:val="none"/>
        </w:rPr>
        <w:t>外。预付款担保可采用银行保函、担保公司担保等形式，具体由合同当事人在专用合同条款中约定。在预付款完全扣回之前，承包人应保证预付款担保持续有效。</w:t>
      </w:r>
    </w:p>
    <w:p w14:paraId="6B853D61">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发包人在工程款中逐期扣回预付款后，预付款担保额度应相应减少，但剩余的预付款担保金额不得低于未被扣回的预付款金额。</w:t>
      </w:r>
    </w:p>
    <w:p w14:paraId="7190AD0B">
      <w:pPr>
        <w:pStyle w:val="4"/>
        <w:spacing w:before="0" w:after="0" w:line="360" w:lineRule="auto"/>
        <w:ind w:firstLine="420" w:firstLineChars="200"/>
        <w:rPr>
          <w:rFonts w:eastAsia="黑体"/>
          <w:color w:val="auto"/>
          <w:sz w:val="21"/>
          <w:szCs w:val="21"/>
          <w:highlight w:val="none"/>
        </w:rPr>
      </w:pPr>
      <w:bookmarkStart w:id="415" w:name="_Toc2085"/>
      <w:bookmarkStart w:id="416" w:name="_Toc337558802"/>
      <w:r>
        <w:rPr>
          <w:rFonts w:eastAsia="黑体"/>
          <w:color w:val="auto"/>
          <w:sz w:val="21"/>
          <w:szCs w:val="21"/>
          <w:highlight w:val="none"/>
        </w:rPr>
        <w:t>12.3计量</w:t>
      </w:r>
      <w:bookmarkEnd w:id="415"/>
    </w:p>
    <w:bookmarkEnd w:id="416"/>
    <w:p w14:paraId="564B741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12.3.1 计量原则</w:t>
      </w:r>
    </w:p>
    <w:p w14:paraId="27B22C6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工程量计量按照合同约定的工程量计算规则、图纸及变更指示</w:t>
      </w:r>
      <w:r>
        <w:rPr>
          <w:rFonts w:hint="eastAsia" w:eastAsia="仿宋_GB2312"/>
          <w:color w:val="auto"/>
          <w:kern w:val="0"/>
          <w:szCs w:val="21"/>
          <w:highlight w:val="none"/>
        </w:rPr>
        <w:t>等</w:t>
      </w:r>
      <w:r>
        <w:rPr>
          <w:rFonts w:eastAsia="仿宋_GB2312"/>
          <w:color w:val="auto"/>
          <w:kern w:val="0"/>
          <w:szCs w:val="21"/>
          <w:highlight w:val="none"/>
        </w:rPr>
        <w:t>进行计量。工程量计算规则应以相关的国家标准、行业标准</w:t>
      </w:r>
      <w:r>
        <w:rPr>
          <w:rFonts w:hint="eastAsia" w:eastAsia="仿宋_GB2312"/>
          <w:color w:val="auto"/>
          <w:kern w:val="0"/>
          <w:szCs w:val="21"/>
          <w:highlight w:val="none"/>
        </w:rPr>
        <w:t>等</w:t>
      </w:r>
      <w:r>
        <w:rPr>
          <w:rFonts w:eastAsia="仿宋_GB2312"/>
          <w:color w:val="auto"/>
          <w:kern w:val="0"/>
          <w:szCs w:val="21"/>
          <w:highlight w:val="none"/>
        </w:rPr>
        <w:t>为依据，由合同当事人在专用合同条款中约定。</w:t>
      </w:r>
    </w:p>
    <w:p w14:paraId="795EBAF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12.3.2 计量周期</w:t>
      </w:r>
    </w:p>
    <w:p w14:paraId="42379B7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除专用合同条款另有约定外，工程量的计量按月进行。</w:t>
      </w:r>
    </w:p>
    <w:p w14:paraId="6A547A0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12.3.3 单价合同的计量</w:t>
      </w:r>
    </w:p>
    <w:p w14:paraId="45D9344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除专用合同条款另有约定外，单价合同的计量按照本项约定执行：</w:t>
      </w:r>
    </w:p>
    <w:p w14:paraId="38B87A2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（1）承包人应于每月25日向监理人报送上月20日至当月19日已完成的工程量报告，并附具进度付款申请单、已完成工程量报表和有关资料。</w:t>
      </w:r>
    </w:p>
    <w:p w14:paraId="1833715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88F75B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（3）监理人未在收到承包人提交的工程量报表后的7天内完成审核的，承包人报送的工程量报告中的工程量视为承包人实际完成的工程量，据此计算工程价款。</w:t>
      </w:r>
    </w:p>
    <w:p w14:paraId="02A3AAE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12.3.4 总价合同的计量</w:t>
      </w:r>
    </w:p>
    <w:p w14:paraId="5BE0F77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除专用合同条款另有约定外，按</w:t>
      </w:r>
      <w:r>
        <w:rPr>
          <w:rFonts w:hint="eastAsia" w:eastAsia="仿宋_GB2312"/>
          <w:color w:val="auto"/>
          <w:kern w:val="0"/>
          <w:szCs w:val="21"/>
          <w:highlight w:val="none"/>
        </w:rPr>
        <w:t>月计量支付</w:t>
      </w:r>
      <w:r>
        <w:rPr>
          <w:rFonts w:eastAsia="仿宋_GB2312"/>
          <w:color w:val="auto"/>
          <w:kern w:val="0"/>
          <w:szCs w:val="21"/>
          <w:highlight w:val="none"/>
        </w:rPr>
        <w:t>的总价合同，按照本项约定执行：</w:t>
      </w:r>
    </w:p>
    <w:p w14:paraId="6082D1B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（1）承包人应于每月25日向监理人报送上月20日至当月19日已完成的工程量报告，并附具进度付款申请单、已完成工程量报表和有关资料。</w:t>
      </w:r>
    </w:p>
    <w:p w14:paraId="15B38A5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3CFA61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（3）监理人未在收到承包人提交的工程量报表后的7天内完成复核的，承包人提交的工程量报告中的工程量视为承包人实际完成的工程量。</w:t>
      </w:r>
    </w:p>
    <w:p w14:paraId="7023A2C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12.3.5 总价合同采用支付分解表计量支付的，可以按照第12.3.4项</w:t>
      </w:r>
      <w:r>
        <w:rPr>
          <w:rFonts w:hint="eastAsia" w:eastAsia="仿宋_GB2312"/>
          <w:color w:val="auto"/>
          <w:kern w:val="0"/>
          <w:szCs w:val="21"/>
          <w:highlight w:val="none"/>
        </w:rPr>
        <w:t>〔</w:t>
      </w:r>
      <w:r>
        <w:rPr>
          <w:rFonts w:eastAsia="仿宋_GB2312"/>
          <w:color w:val="auto"/>
          <w:kern w:val="0"/>
          <w:szCs w:val="21"/>
          <w:highlight w:val="none"/>
        </w:rPr>
        <w:t>总价合同的计量</w:t>
      </w:r>
      <w:r>
        <w:rPr>
          <w:rFonts w:hint="eastAsia" w:eastAsia="仿宋_GB2312"/>
          <w:color w:val="auto"/>
          <w:kern w:val="0"/>
          <w:szCs w:val="21"/>
          <w:highlight w:val="none"/>
        </w:rPr>
        <w:t>〕</w:t>
      </w:r>
      <w:r>
        <w:rPr>
          <w:rFonts w:eastAsia="仿宋_GB2312"/>
          <w:color w:val="auto"/>
          <w:kern w:val="0"/>
          <w:szCs w:val="21"/>
          <w:highlight w:val="none"/>
        </w:rPr>
        <w:t>约定进行计量，但合同价款按照支付分解表进行支付。</w:t>
      </w:r>
    </w:p>
    <w:p w14:paraId="2229D2F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12.3.6 其他价格形式合同的计量</w:t>
      </w:r>
    </w:p>
    <w:p w14:paraId="398F19A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合同当事人可在专用合同条款中约定其他价格形式合同的计量方式和程序。</w:t>
      </w:r>
    </w:p>
    <w:p w14:paraId="41D735C4">
      <w:pPr>
        <w:pStyle w:val="4"/>
        <w:spacing w:before="0" w:after="0" w:line="360" w:lineRule="auto"/>
        <w:ind w:firstLine="420" w:firstLineChars="200"/>
        <w:rPr>
          <w:rFonts w:eastAsia="黑体"/>
          <w:color w:val="auto"/>
          <w:sz w:val="21"/>
          <w:szCs w:val="21"/>
          <w:highlight w:val="none"/>
        </w:rPr>
      </w:pPr>
      <w:bookmarkStart w:id="417" w:name="_Toc296503101"/>
      <w:bookmarkStart w:id="418" w:name="_Toc296346602"/>
      <w:bookmarkStart w:id="419" w:name="_Toc1481"/>
      <w:bookmarkStart w:id="420" w:name="_Toc337558803"/>
      <w:r>
        <w:rPr>
          <w:rFonts w:eastAsia="黑体"/>
          <w:color w:val="auto"/>
          <w:sz w:val="21"/>
          <w:szCs w:val="21"/>
          <w:highlight w:val="none"/>
        </w:rPr>
        <w:t>12.4工程进度款支</w:t>
      </w:r>
      <w:bookmarkEnd w:id="417"/>
      <w:bookmarkEnd w:id="418"/>
      <w:r>
        <w:rPr>
          <w:rFonts w:eastAsia="黑体"/>
          <w:color w:val="auto"/>
          <w:sz w:val="21"/>
          <w:szCs w:val="21"/>
          <w:highlight w:val="none"/>
        </w:rPr>
        <w:t>付</w:t>
      </w:r>
      <w:bookmarkEnd w:id="419"/>
    </w:p>
    <w:bookmarkEnd w:id="420"/>
    <w:p w14:paraId="783678D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12.4</w:t>
      </w:r>
      <w:r>
        <w:rPr>
          <w:rFonts w:eastAsia="仿宋_GB2312"/>
          <w:color w:val="auto"/>
          <w:kern w:val="0"/>
          <w:szCs w:val="21"/>
          <w:highlight w:val="none"/>
        </w:rPr>
        <w:t>.1 付款周期</w:t>
      </w:r>
    </w:p>
    <w:p w14:paraId="5CC6CBB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除专用合同条款另有约定外，付款周期应按照第12.3.2</w:t>
      </w:r>
      <w:r>
        <w:rPr>
          <w:rFonts w:hint="eastAsia" w:eastAsia="仿宋_GB2312"/>
          <w:color w:val="auto"/>
          <w:kern w:val="0"/>
          <w:szCs w:val="21"/>
          <w:highlight w:val="none"/>
        </w:rPr>
        <w:t>项〔</w:t>
      </w:r>
      <w:r>
        <w:rPr>
          <w:rFonts w:eastAsia="仿宋_GB2312"/>
          <w:color w:val="auto"/>
          <w:kern w:val="0"/>
          <w:szCs w:val="21"/>
          <w:highlight w:val="none"/>
        </w:rPr>
        <w:t>计量周期</w:t>
      </w:r>
      <w:r>
        <w:rPr>
          <w:rFonts w:hint="eastAsia" w:eastAsia="仿宋_GB2312"/>
          <w:color w:val="auto"/>
          <w:kern w:val="0"/>
          <w:szCs w:val="21"/>
          <w:highlight w:val="none"/>
        </w:rPr>
        <w:t>〕</w:t>
      </w:r>
      <w:r>
        <w:rPr>
          <w:rFonts w:eastAsia="仿宋_GB2312"/>
          <w:color w:val="auto"/>
          <w:kern w:val="0"/>
          <w:szCs w:val="21"/>
          <w:highlight w:val="none"/>
        </w:rPr>
        <w:t>的约定与计量周期保持一致。</w:t>
      </w:r>
    </w:p>
    <w:p w14:paraId="5182E06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12.4</w:t>
      </w:r>
      <w:r>
        <w:rPr>
          <w:rFonts w:eastAsia="仿宋_GB2312"/>
          <w:color w:val="auto"/>
          <w:kern w:val="0"/>
          <w:szCs w:val="21"/>
          <w:highlight w:val="none"/>
        </w:rPr>
        <w:t>.2 进度付款申请单的编制</w:t>
      </w:r>
    </w:p>
    <w:p w14:paraId="24E7F25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除专用合同条款另有约定外，进度付款申请单应包括下列内容：</w:t>
      </w:r>
    </w:p>
    <w:p w14:paraId="7147BC8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（1）截至本次付款周期已完成工作对应的金额；</w:t>
      </w:r>
    </w:p>
    <w:p w14:paraId="6819771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（2）根据第10条</w:t>
      </w:r>
      <w:r>
        <w:rPr>
          <w:rFonts w:hint="eastAsia" w:eastAsia="仿宋_GB2312"/>
          <w:color w:val="auto"/>
          <w:kern w:val="0"/>
          <w:szCs w:val="21"/>
          <w:highlight w:val="none"/>
        </w:rPr>
        <w:t>〔</w:t>
      </w:r>
      <w:r>
        <w:rPr>
          <w:rFonts w:eastAsia="仿宋_GB2312"/>
          <w:color w:val="auto"/>
          <w:kern w:val="0"/>
          <w:szCs w:val="21"/>
          <w:highlight w:val="none"/>
        </w:rPr>
        <w:t>变更</w:t>
      </w:r>
      <w:r>
        <w:rPr>
          <w:rFonts w:hint="eastAsia" w:eastAsia="仿宋_GB2312"/>
          <w:color w:val="auto"/>
          <w:kern w:val="0"/>
          <w:szCs w:val="21"/>
          <w:highlight w:val="none"/>
        </w:rPr>
        <w:t>〕</w:t>
      </w:r>
      <w:r>
        <w:rPr>
          <w:rFonts w:eastAsia="仿宋_GB2312"/>
          <w:color w:val="auto"/>
          <w:kern w:val="0"/>
          <w:szCs w:val="21"/>
          <w:highlight w:val="none"/>
        </w:rPr>
        <w:t>应增加和扣减的变更金额；</w:t>
      </w:r>
    </w:p>
    <w:p w14:paraId="33FA8F9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（3）根据第12.2款</w:t>
      </w:r>
      <w:r>
        <w:rPr>
          <w:rFonts w:hint="eastAsia" w:eastAsia="仿宋_GB2312"/>
          <w:color w:val="auto"/>
          <w:kern w:val="0"/>
          <w:szCs w:val="21"/>
          <w:highlight w:val="none"/>
        </w:rPr>
        <w:t>〔</w:t>
      </w:r>
      <w:r>
        <w:rPr>
          <w:rFonts w:eastAsia="仿宋_GB2312"/>
          <w:color w:val="auto"/>
          <w:kern w:val="0"/>
          <w:szCs w:val="21"/>
          <w:highlight w:val="none"/>
        </w:rPr>
        <w:t>预付款</w:t>
      </w:r>
      <w:r>
        <w:rPr>
          <w:rFonts w:hint="eastAsia" w:eastAsia="仿宋_GB2312"/>
          <w:color w:val="auto"/>
          <w:kern w:val="0"/>
          <w:szCs w:val="21"/>
          <w:highlight w:val="none"/>
        </w:rPr>
        <w:t>〕</w:t>
      </w:r>
      <w:r>
        <w:rPr>
          <w:rFonts w:eastAsia="仿宋_GB2312"/>
          <w:color w:val="auto"/>
          <w:kern w:val="0"/>
          <w:szCs w:val="21"/>
          <w:highlight w:val="none"/>
        </w:rPr>
        <w:t>约定应支付的预付款和扣减的返还预付款；</w:t>
      </w:r>
    </w:p>
    <w:p w14:paraId="2E634C5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（4）根据第15.3款</w:t>
      </w:r>
      <w:r>
        <w:rPr>
          <w:rFonts w:hint="eastAsia" w:eastAsia="仿宋_GB2312"/>
          <w:color w:val="auto"/>
          <w:kern w:val="0"/>
          <w:szCs w:val="21"/>
          <w:highlight w:val="none"/>
        </w:rPr>
        <w:t>〔</w:t>
      </w:r>
      <w:r>
        <w:rPr>
          <w:rFonts w:eastAsia="仿宋_GB2312"/>
          <w:color w:val="auto"/>
          <w:kern w:val="0"/>
          <w:szCs w:val="21"/>
          <w:highlight w:val="none"/>
        </w:rPr>
        <w:t>质量保证金</w:t>
      </w:r>
      <w:r>
        <w:rPr>
          <w:rFonts w:hint="eastAsia" w:eastAsia="仿宋_GB2312"/>
          <w:color w:val="auto"/>
          <w:kern w:val="0"/>
          <w:szCs w:val="21"/>
          <w:highlight w:val="none"/>
        </w:rPr>
        <w:t>〕</w:t>
      </w:r>
      <w:r>
        <w:rPr>
          <w:rFonts w:eastAsia="仿宋_GB2312"/>
          <w:color w:val="auto"/>
          <w:kern w:val="0"/>
          <w:szCs w:val="21"/>
          <w:highlight w:val="none"/>
        </w:rPr>
        <w:t>约定应扣减的质量保证金；</w:t>
      </w:r>
    </w:p>
    <w:p w14:paraId="3274F0E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（5）根据第19条</w:t>
      </w:r>
      <w:r>
        <w:rPr>
          <w:rFonts w:hint="eastAsia" w:eastAsia="仿宋_GB2312"/>
          <w:color w:val="auto"/>
          <w:kern w:val="0"/>
          <w:szCs w:val="21"/>
          <w:highlight w:val="none"/>
        </w:rPr>
        <w:t>〔</w:t>
      </w:r>
      <w:r>
        <w:rPr>
          <w:rFonts w:eastAsia="仿宋_GB2312"/>
          <w:color w:val="auto"/>
          <w:kern w:val="0"/>
          <w:szCs w:val="21"/>
          <w:highlight w:val="none"/>
        </w:rPr>
        <w:t>索赔</w:t>
      </w:r>
      <w:r>
        <w:rPr>
          <w:rFonts w:hint="eastAsia" w:eastAsia="仿宋_GB2312"/>
          <w:color w:val="auto"/>
          <w:kern w:val="0"/>
          <w:szCs w:val="21"/>
          <w:highlight w:val="none"/>
        </w:rPr>
        <w:t>〕</w:t>
      </w:r>
      <w:r>
        <w:rPr>
          <w:rFonts w:eastAsia="仿宋_GB2312"/>
          <w:color w:val="auto"/>
          <w:kern w:val="0"/>
          <w:szCs w:val="21"/>
          <w:highlight w:val="none"/>
        </w:rPr>
        <w:t>应增加和扣减的索赔金额；</w:t>
      </w:r>
    </w:p>
    <w:p w14:paraId="4B4A064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（6）对已签发的进度款支付证书中出现错误的修正，应在本次进度付款中支付或扣除的金额；</w:t>
      </w:r>
    </w:p>
    <w:p w14:paraId="71E005D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（7）根据合同约定应增加和扣减的其他金额。</w:t>
      </w:r>
    </w:p>
    <w:p w14:paraId="3A4D1BD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12.4.3 进度付款申请单的提交</w:t>
      </w:r>
    </w:p>
    <w:p w14:paraId="3B30ED9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（1）单价合同进度付款申请单的提交</w:t>
      </w:r>
    </w:p>
    <w:p w14:paraId="5F1719A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单价合同的进度付款申请单，按照第12.3.3项</w:t>
      </w:r>
      <w:r>
        <w:rPr>
          <w:rFonts w:hint="eastAsia" w:eastAsia="仿宋_GB2312"/>
          <w:color w:val="auto"/>
          <w:kern w:val="0"/>
          <w:szCs w:val="21"/>
          <w:highlight w:val="none"/>
        </w:rPr>
        <w:t>〔</w:t>
      </w:r>
      <w:r>
        <w:rPr>
          <w:rFonts w:eastAsia="仿宋_GB2312"/>
          <w:color w:val="auto"/>
          <w:kern w:val="0"/>
          <w:szCs w:val="21"/>
          <w:highlight w:val="none"/>
        </w:rPr>
        <w:t>单价合同的计量</w:t>
      </w:r>
      <w:r>
        <w:rPr>
          <w:rFonts w:hint="eastAsia" w:eastAsia="仿宋_GB2312"/>
          <w:color w:val="auto"/>
          <w:kern w:val="0"/>
          <w:szCs w:val="21"/>
          <w:highlight w:val="none"/>
        </w:rPr>
        <w:t>〕</w:t>
      </w:r>
      <w:r>
        <w:rPr>
          <w:rFonts w:eastAsia="仿宋_GB2312"/>
          <w:color w:val="auto"/>
          <w:kern w:val="0"/>
          <w:szCs w:val="21"/>
          <w:highlight w:val="none"/>
        </w:rPr>
        <w:t>约定的时间按月向监理人提交，并附上已完成工程量报表和有关资料。单价合同中的总价项目按月进行支付分解，并汇总列入当期进度付款申请单。</w:t>
      </w:r>
    </w:p>
    <w:p w14:paraId="143F580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（2）总价合同进度付款申请单的提交</w:t>
      </w:r>
    </w:p>
    <w:p w14:paraId="5D201DB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总价合同按</w:t>
      </w:r>
      <w:r>
        <w:rPr>
          <w:rFonts w:hint="eastAsia" w:eastAsia="仿宋_GB2312"/>
          <w:color w:val="auto"/>
          <w:kern w:val="0"/>
          <w:szCs w:val="21"/>
          <w:highlight w:val="none"/>
        </w:rPr>
        <w:t>月计量支付的</w:t>
      </w:r>
      <w:r>
        <w:rPr>
          <w:rFonts w:eastAsia="仿宋_GB2312"/>
          <w:color w:val="auto"/>
          <w:kern w:val="0"/>
          <w:szCs w:val="21"/>
          <w:highlight w:val="none"/>
        </w:rPr>
        <w:t>，承包人按照第12.3.4项</w:t>
      </w:r>
      <w:r>
        <w:rPr>
          <w:rFonts w:hint="eastAsia" w:eastAsia="仿宋_GB2312"/>
          <w:color w:val="auto"/>
          <w:kern w:val="0"/>
          <w:szCs w:val="21"/>
          <w:highlight w:val="none"/>
        </w:rPr>
        <w:t>〔</w:t>
      </w:r>
      <w:r>
        <w:rPr>
          <w:rFonts w:eastAsia="仿宋_GB2312"/>
          <w:color w:val="auto"/>
          <w:kern w:val="0"/>
          <w:szCs w:val="21"/>
          <w:highlight w:val="none"/>
        </w:rPr>
        <w:t>总价合同的计量</w:t>
      </w:r>
      <w:r>
        <w:rPr>
          <w:rFonts w:hint="eastAsia" w:eastAsia="仿宋_GB2312"/>
          <w:color w:val="auto"/>
          <w:kern w:val="0"/>
          <w:szCs w:val="21"/>
          <w:highlight w:val="none"/>
        </w:rPr>
        <w:t>〕</w:t>
      </w:r>
      <w:r>
        <w:rPr>
          <w:rFonts w:eastAsia="仿宋_GB2312"/>
          <w:color w:val="auto"/>
          <w:kern w:val="0"/>
          <w:szCs w:val="21"/>
          <w:highlight w:val="none"/>
        </w:rPr>
        <w:t>约定的时间按月向监理人提交进度付款申请单，并附上已完成工程量报表和有关资料。</w:t>
      </w:r>
    </w:p>
    <w:p w14:paraId="3421D3C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总价合同按支付分解表支付的，承包人应按照第12.4.6项</w:t>
      </w:r>
      <w:r>
        <w:rPr>
          <w:rFonts w:hint="eastAsia" w:eastAsia="仿宋_GB2312"/>
          <w:color w:val="auto"/>
          <w:kern w:val="0"/>
          <w:szCs w:val="21"/>
          <w:highlight w:val="none"/>
        </w:rPr>
        <w:t>〔</w:t>
      </w:r>
      <w:r>
        <w:rPr>
          <w:rFonts w:eastAsia="仿宋_GB2312"/>
          <w:color w:val="auto"/>
          <w:kern w:val="0"/>
          <w:szCs w:val="21"/>
          <w:highlight w:val="none"/>
        </w:rPr>
        <w:t>支付分解表</w:t>
      </w:r>
      <w:r>
        <w:rPr>
          <w:rFonts w:hint="eastAsia" w:eastAsia="仿宋_GB2312"/>
          <w:color w:val="auto"/>
          <w:kern w:val="0"/>
          <w:szCs w:val="21"/>
          <w:highlight w:val="none"/>
        </w:rPr>
        <w:t>〕</w:t>
      </w:r>
      <w:r>
        <w:rPr>
          <w:rFonts w:eastAsia="仿宋_GB2312"/>
          <w:color w:val="auto"/>
          <w:kern w:val="0"/>
          <w:szCs w:val="21"/>
          <w:highlight w:val="none"/>
        </w:rPr>
        <w:t>及第12.4.2项</w:t>
      </w:r>
      <w:r>
        <w:rPr>
          <w:rFonts w:hint="eastAsia" w:eastAsia="仿宋_GB2312"/>
          <w:color w:val="auto"/>
          <w:kern w:val="0"/>
          <w:szCs w:val="21"/>
          <w:highlight w:val="none"/>
        </w:rPr>
        <w:t>〔</w:t>
      </w:r>
      <w:r>
        <w:rPr>
          <w:rFonts w:eastAsia="仿宋_GB2312"/>
          <w:color w:val="auto"/>
          <w:kern w:val="0"/>
          <w:szCs w:val="21"/>
          <w:highlight w:val="none"/>
        </w:rPr>
        <w:t>进度付款申请单的编制</w:t>
      </w:r>
      <w:r>
        <w:rPr>
          <w:rFonts w:hint="eastAsia" w:eastAsia="仿宋_GB2312"/>
          <w:color w:val="auto"/>
          <w:kern w:val="0"/>
          <w:szCs w:val="21"/>
          <w:highlight w:val="none"/>
        </w:rPr>
        <w:t>〕</w:t>
      </w:r>
      <w:r>
        <w:rPr>
          <w:rFonts w:eastAsia="仿宋_GB2312"/>
          <w:color w:val="auto"/>
          <w:kern w:val="0"/>
          <w:szCs w:val="21"/>
          <w:highlight w:val="none"/>
        </w:rPr>
        <w:t>的约定向监理人提交进度付款申请单。</w:t>
      </w:r>
    </w:p>
    <w:p w14:paraId="10C60CE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（3）其他价格形式合同的进度付款申请单的提交</w:t>
      </w:r>
    </w:p>
    <w:p w14:paraId="18EAAA3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合同当事人可在专用合同条款中约定其他价格形式合同的进度付款申请单的编制和提交程序。</w:t>
      </w:r>
    </w:p>
    <w:p w14:paraId="7D90590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12.4</w:t>
      </w:r>
      <w:r>
        <w:rPr>
          <w:rFonts w:eastAsia="仿宋_GB2312"/>
          <w:color w:val="auto"/>
          <w:kern w:val="0"/>
          <w:szCs w:val="21"/>
          <w:highlight w:val="none"/>
        </w:rPr>
        <w:t>.4 进度款审核和支付</w:t>
      </w:r>
    </w:p>
    <w:p w14:paraId="25B3DD4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color w:val="auto"/>
          <w:kern w:val="0"/>
          <w:szCs w:val="21"/>
          <w:highlight w:val="none"/>
        </w:rPr>
        <w:t>审批</w:t>
      </w:r>
      <w:r>
        <w:rPr>
          <w:rFonts w:eastAsia="仿宋_GB2312"/>
          <w:color w:val="auto"/>
          <w:kern w:val="0"/>
          <w:szCs w:val="21"/>
          <w:highlight w:val="none"/>
        </w:rPr>
        <w:t>且未提出异议的，视为已签发进度款支付证书。</w:t>
      </w:r>
    </w:p>
    <w:p w14:paraId="003C92C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的约定处理。</w:t>
      </w:r>
    </w:p>
    <w:p w14:paraId="2ED7E00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（2）除专用合同条款另有约定外，发包人应在进度款支付证书或临时进度款支付证书签发后14天内完成支付，发包人逾期支付进度款的，应按照</w:t>
      </w:r>
      <w:r>
        <w:rPr>
          <w:rFonts w:hint="eastAsia" w:eastAsia="仿宋_GB2312"/>
          <w:color w:val="auto"/>
          <w:kern w:val="0"/>
          <w:szCs w:val="21"/>
          <w:highlight w:val="none"/>
        </w:rPr>
        <w:t>全国银行间同业拆借中心公布的市场报价利率</w:t>
      </w:r>
      <w:r>
        <w:rPr>
          <w:rFonts w:eastAsia="仿宋_GB2312"/>
          <w:color w:val="auto"/>
          <w:kern w:val="0"/>
          <w:szCs w:val="21"/>
          <w:highlight w:val="none"/>
        </w:rPr>
        <w:t>支付违约金。</w:t>
      </w:r>
    </w:p>
    <w:p w14:paraId="2AB9DFB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（3）发包人签发进度款支付证书或临时进度款支付证书，不表明发包人已同意、批准或接受了承包人完成的相应部分的工作。</w:t>
      </w:r>
    </w:p>
    <w:p w14:paraId="37C8EED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12.4.5 进度付款的修正</w:t>
      </w:r>
    </w:p>
    <w:p w14:paraId="327F62C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5BFD60B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12.4.6 支付分解表</w:t>
      </w:r>
    </w:p>
    <w:p w14:paraId="2274CA1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w:t>
      </w:r>
      <w:r>
        <w:rPr>
          <w:rFonts w:hint="eastAsia" w:eastAsia="仿宋_GB2312"/>
          <w:color w:val="auto"/>
          <w:kern w:val="0"/>
          <w:szCs w:val="21"/>
          <w:highlight w:val="none"/>
        </w:rPr>
        <w:t>.</w:t>
      </w:r>
      <w:r>
        <w:rPr>
          <w:rFonts w:eastAsia="仿宋_GB2312"/>
          <w:color w:val="auto"/>
          <w:kern w:val="0"/>
          <w:szCs w:val="21"/>
          <w:highlight w:val="none"/>
        </w:rPr>
        <w:t>支付分解表的编制要求</w:t>
      </w:r>
    </w:p>
    <w:p w14:paraId="757A8EC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（1）支付分解表中所列的每期付款金额，应为第12.4.2项</w:t>
      </w:r>
      <w:r>
        <w:rPr>
          <w:rFonts w:hint="eastAsia" w:eastAsia="仿宋_GB2312"/>
          <w:color w:val="auto"/>
          <w:kern w:val="0"/>
          <w:szCs w:val="21"/>
          <w:highlight w:val="none"/>
        </w:rPr>
        <w:t>〔</w:t>
      </w:r>
      <w:r>
        <w:rPr>
          <w:rFonts w:eastAsia="仿宋_GB2312"/>
          <w:color w:val="auto"/>
          <w:kern w:val="0"/>
          <w:szCs w:val="21"/>
          <w:highlight w:val="none"/>
        </w:rPr>
        <w:t>进度付款申请单的编制</w:t>
      </w:r>
      <w:r>
        <w:rPr>
          <w:rFonts w:hint="eastAsia" w:eastAsia="仿宋_GB2312"/>
          <w:color w:val="auto"/>
          <w:kern w:val="0"/>
          <w:szCs w:val="21"/>
          <w:highlight w:val="none"/>
        </w:rPr>
        <w:t>〕</w:t>
      </w:r>
      <w:r>
        <w:rPr>
          <w:rFonts w:eastAsia="仿宋_GB2312"/>
          <w:color w:val="auto"/>
          <w:kern w:val="0"/>
          <w:szCs w:val="21"/>
          <w:highlight w:val="none"/>
        </w:rPr>
        <w:t>第（1）</w:t>
      </w:r>
      <w:r>
        <w:rPr>
          <w:rFonts w:hint="eastAsia" w:eastAsia="仿宋_GB2312"/>
          <w:color w:val="auto"/>
          <w:kern w:val="0"/>
          <w:szCs w:val="21"/>
          <w:highlight w:val="none"/>
        </w:rPr>
        <w:t>目</w:t>
      </w:r>
      <w:r>
        <w:rPr>
          <w:rFonts w:eastAsia="仿宋_GB2312"/>
          <w:color w:val="auto"/>
          <w:kern w:val="0"/>
          <w:szCs w:val="21"/>
          <w:highlight w:val="none"/>
        </w:rPr>
        <w:t>的估算金额；</w:t>
      </w:r>
    </w:p>
    <w:p w14:paraId="79C3623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（2）实际进度与施工进度计划不一致的，合同当事人可按照第4.4款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修改支付分解表；</w:t>
      </w:r>
    </w:p>
    <w:p w14:paraId="579CE68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（3）不采用支付分解表的，承包人应向发包人和监理人提交按季度编制的支付估算分解表，用于支付参考。</w:t>
      </w:r>
    </w:p>
    <w:p w14:paraId="3944823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w:t>
      </w:r>
      <w:r>
        <w:rPr>
          <w:rFonts w:hint="eastAsia" w:eastAsia="仿宋_GB2312"/>
          <w:color w:val="auto"/>
          <w:kern w:val="0"/>
          <w:szCs w:val="21"/>
          <w:highlight w:val="none"/>
        </w:rPr>
        <w:t>.</w:t>
      </w:r>
      <w:r>
        <w:rPr>
          <w:rFonts w:eastAsia="仿宋_GB2312"/>
          <w:color w:val="auto"/>
          <w:kern w:val="0"/>
          <w:szCs w:val="21"/>
          <w:highlight w:val="none"/>
        </w:rPr>
        <w:t>总价合同支付分解表的编制与审批</w:t>
      </w:r>
    </w:p>
    <w:p w14:paraId="1444422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（1）除专用合同条款另有约定外，承包人应根据第7.2款</w:t>
      </w:r>
      <w:r>
        <w:rPr>
          <w:rFonts w:hint="eastAsia" w:eastAsia="仿宋_GB2312"/>
          <w:color w:val="auto"/>
          <w:kern w:val="0"/>
          <w:szCs w:val="21"/>
          <w:highlight w:val="none"/>
        </w:rPr>
        <w:t>〔</w:t>
      </w:r>
      <w:r>
        <w:rPr>
          <w:rFonts w:eastAsia="仿宋_GB2312"/>
          <w:color w:val="auto"/>
          <w:kern w:val="0"/>
          <w:szCs w:val="21"/>
          <w:highlight w:val="none"/>
        </w:rPr>
        <w:t>施工进度计划</w:t>
      </w:r>
      <w:r>
        <w:rPr>
          <w:rFonts w:hint="eastAsia" w:eastAsia="仿宋_GB2312"/>
          <w:color w:val="auto"/>
          <w:kern w:val="0"/>
          <w:szCs w:val="21"/>
          <w:highlight w:val="none"/>
        </w:rPr>
        <w:t>〕</w:t>
      </w:r>
      <w:r>
        <w:rPr>
          <w:rFonts w:eastAsia="仿宋_GB2312"/>
          <w:color w:val="auto"/>
          <w:kern w:val="0"/>
          <w:szCs w:val="21"/>
          <w:highlight w:val="non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9AAF1F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4E12619C">
      <w:pPr>
        <w:spacing w:line="360" w:lineRule="auto"/>
        <w:ind w:firstLine="1687"/>
        <w:jc w:val="left"/>
        <w:rPr>
          <w:rFonts w:eastAsia="仿宋_GB2312"/>
          <w:color w:val="auto"/>
          <w:kern w:val="0"/>
          <w:szCs w:val="21"/>
          <w:highlight w:val="none"/>
        </w:rPr>
      </w:pPr>
      <w:r>
        <w:rPr>
          <w:rFonts w:eastAsia="仿宋_GB2312"/>
          <w:color w:val="auto"/>
          <w:kern w:val="0"/>
          <w:szCs w:val="21"/>
          <w:highlight w:val="none"/>
        </w:rPr>
        <w:t xml:space="preserve">    （3）发包人逾期未完成支付分解表</w:t>
      </w:r>
      <w:r>
        <w:rPr>
          <w:rFonts w:hint="eastAsia" w:eastAsia="仿宋_GB2312"/>
          <w:color w:val="auto"/>
          <w:kern w:val="0"/>
          <w:szCs w:val="21"/>
          <w:highlight w:val="none"/>
        </w:rPr>
        <w:t>审批</w:t>
      </w:r>
      <w:r>
        <w:rPr>
          <w:rFonts w:eastAsia="仿宋_GB2312"/>
          <w:color w:val="auto"/>
          <w:kern w:val="0"/>
          <w:szCs w:val="21"/>
          <w:highlight w:val="none"/>
        </w:rPr>
        <w:t>的，也未及时要求承包人进行修正和提供补充资料的，则承包人提交的支付分解表视为已经获得发包人批准。</w:t>
      </w:r>
    </w:p>
    <w:p w14:paraId="32376A5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w:t>
      </w:r>
      <w:r>
        <w:rPr>
          <w:rFonts w:hint="eastAsia" w:eastAsia="仿宋_GB2312"/>
          <w:color w:val="auto"/>
          <w:kern w:val="0"/>
          <w:szCs w:val="21"/>
          <w:highlight w:val="none"/>
        </w:rPr>
        <w:t>.</w:t>
      </w:r>
      <w:r>
        <w:rPr>
          <w:rFonts w:eastAsia="仿宋_GB2312"/>
          <w:color w:val="auto"/>
          <w:kern w:val="0"/>
          <w:szCs w:val="21"/>
          <w:highlight w:val="none"/>
        </w:rPr>
        <w:t>单价合同的总价项目支付分解表的编制与审批</w:t>
      </w:r>
    </w:p>
    <w:p w14:paraId="12F6C50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FF14CFA">
      <w:pPr>
        <w:pStyle w:val="4"/>
        <w:spacing w:before="0" w:after="0" w:line="360" w:lineRule="auto"/>
        <w:ind w:firstLine="420" w:firstLineChars="200"/>
        <w:rPr>
          <w:rFonts w:eastAsia="黑体"/>
          <w:color w:val="auto"/>
          <w:sz w:val="21"/>
          <w:szCs w:val="21"/>
          <w:highlight w:val="none"/>
        </w:rPr>
      </w:pPr>
      <w:bookmarkStart w:id="421" w:name="_Toc6787"/>
      <w:r>
        <w:rPr>
          <w:rFonts w:eastAsia="黑体"/>
          <w:color w:val="auto"/>
          <w:sz w:val="21"/>
          <w:szCs w:val="21"/>
          <w:highlight w:val="none"/>
        </w:rPr>
        <w:t>12.5支付账户</w:t>
      </w:r>
      <w:bookmarkEnd w:id="421"/>
    </w:p>
    <w:p w14:paraId="0722C57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发包人应将合同价款支付至合同协议书中约定的承包人账户。</w:t>
      </w:r>
    </w:p>
    <w:p w14:paraId="5BFE84B4">
      <w:pPr>
        <w:pStyle w:val="3"/>
        <w:ind w:firstLine="1680"/>
        <w:rPr>
          <w:rFonts w:ascii="Times New Roman" w:hAnsi="Times New Roman"/>
          <w:color w:val="auto"/>
          <w:sz w:val="21"/>
          <w:szCs w:val="21"/>
          <w:highlight w:val="none"/>
        </w:rPr>
      </w:pPr>
      <w:bookmarkStart w:id="422" w:name="_Toc32661"/>
      <w:bookmarkStart w:id="423" w:name="_Toc337558804"/>
      <w:bookmarkStart w:id="424" w:name="_Toc296503106"/>
      <w:bookmarkStart w:id="425" w:name="_Toc322522574"/>
      <w:bookmarkStart w:id="426" w:name="_Toc296346607"/>
      <w:r>
        <w:rPr>
          <w:rFonts w:ascii="Times New Roman" w:hAnsi="Times New Roman"/>
          <w:color w:val="auto"/>
          <w:sz w:val="21"/>
          <w:szCs w:val="21"/>
          <w:highlight w:val="none"/>
        </w:rPr>
        <w:t>13. 验收和工程试车</w:t>
      </w:r>
      <w:bookmarkEnd w:id="422"/>
    </w:p>
    <w:bookmarkEnd w:id="423"/>
    <w:bookmarkEnd w:id="424"/>
    <w:bookmarkEnd w:id="425"/>
    <w:bookmarkEnd w:id="426"/>
    <w:p w14:paraId="4E35CDBF">
      <w:pPr>
        <w:pStyle w:val="4"/>
        <w:spacing w:before="0" w:after="0" w:line="360" w:lineRule="auto"/>
        <w:ind w:firstLine="420" w:firstLineChars="200"/>
        <w:rPr>
          <w:rFonts w:eastAsia="黑体"/>
          <w:color w:val="auto"/>
          <w:sz w:val="21"/>
          <w:szCs w:val="21"/>
          <w:highlight w:val="none"/>
        </w:rPr>
      </w:pPr>
      <w:bookmarkStart w:id="427" w:name="_Toc16912"/>
      <w:bookmarkStart w:id="428" w:name="_Toc337558805"/>
      <w:bookmarkStart w:id="429" w:name="_Toc296503110"/>
      <w:bookmarkStart w:id="430" w:name="_Toc296346611"/>
      <w:r>
        <w:rPr>
          <w:rFonts w:eastAsia="黑体"/>
          <w:color w:val="auto"/>
          <w:sz w:val="21"/>
          <w:szCs w:val="21"/>
          <w:highlight w:val="none"/>
        </w:rPr>
        <w:t>13.1分部分项工程验收</w:t>
      </w:r>
      <w:bookmarkEnd w:id="427"/>
    </w:p>
    <w:bookmarkEnd w:id="428"/>
    <w:p w14:paraId="012308DC">
      <w:pPr>
        <w:spacing w:line="360" w:lineRule="auto"/>
        <w:ind w:firstLine="420" w:firstLineChars="200"/>
        <w:rPr>
          <w:rFonts w:eastAsia="仿宋_GB2312"/>
          <w:color w:val="auto"/>
          <w:szCs w:val="21"/>
          <w:highlight w:val="none"/>
        </w:rPr>
      </w:pPr>
      <w:r>
        <w:rPr>
          <w:rFonts w:eastAsia="仿宋_GB2312"/>
          <w:color w:val="auto"/>
          <w:szCs w:val="21"/>
          <w:highlight w:val="none"/>
        </w:rPr>
        <w:t>13.1.1 分部分项工程质量应符合国家有关工程施工验收规范、标准及合同约定，承包人应按照施工组织设计的要求完成分部分项工程施工。</w:t>
      </w:r>
    </w:p>
    <w:p w14:paraId="381785B0">
      <w:pPr>
        <w:spacing w:line="360" w:lineRule="auto"/>
        <w:ind w:firstLine="420" w:firstLineChars="200"/>
        <w:rPr>
          <w:rFonts w:eastAsia="仿宋_GB2312"/>
          <w:color w:val="auto"/>
          <w:szCs w:val="21"/>
          <w:highlight w:val="none"/>
        </w:rPr>
      </w:pPr>
      <w:r>
        <w:rPr>
          <w:rFonts w:eastAsia="仿宋_GB2312"/>
          <w:color w:val="auto"/>
          <w:szCs w:val="21"/>
          <w:highlight w:val="none"/>
        </w:rPr>
        <w:t>13.1.2 除专用合同条款另有约定外，分部分项工程经承包人自检合格并具备验收条件的，承包人应提前48小时通知监理人进行验收。</w:t>
      </w:r>
      <w:r>
        <w:rPr>
          <w:rFonts w:eastAsia="仿宋_GB2312"/>
          <w:color w:val="auto"/>
          <w:kern w:val="0"/>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color w:val="auto"/>
          <w:szCs w:val="21"/>
          <w:highlight w:val="none"/>
        </w:rPr>
        <w:t>分部分项工程未经验收的，不得进入下一道工序施工。</w:t>
      </w:r>
    </w:p>
    <w:p w14:paraId="79707964">
      <w:pPr>
        <w:spacing w:line="360" w:lineRule="auto"/>
        <w:ind w:firstLine="420" w:firstLineChars="200"/>
        <w:rPr>
          <w:rFonts w:eastAsia="仿宋_GB2312"/>
          <w:color w:val="auto"/>
          <w:szCs w:val="21"/>
          <w:highlight w:val="none"/>
        </w:rPr>
      </w:pPr>
      <w:r>
        <w:rPr>
          <w:rFonts w:eastAsia="仿宋_GB2312"/>
          <w:color w:val="auto"/>
          <w:szCs w:val="21"/>
          <w:highlight w:val="none"/>
        </w:rPr>
        <w:t>分部分项工程的验收资料应当作为竣工资料的组成部分。</w:t>
      </w:r>
    </w:p>
    <w:p w14:paraId="6AEDEF6E">
      <w:pPr>
        <w:pStyle w:val="4"/>
        <w:spacing w:before="0" w:after="0" w:line="360" w:lineRule="auto"/>
        <w:ind w:firstLine="420" w:firstLineChars="200"/>
        <w:rPr>
          <w:rFonts w:eastAsia="黑体"/>
          <w:color w:val="auto"/>
          <w:sz w:val="21"/>
          <w:szCs w:val="21"/>
          <w:highlight w:val="none"/>
        </w:rPr>
      </w:pPr>
      <w:bookmarkStart w:id="431" w:name="_Toc21311"/>
      <w:bookmarkStart w:id="432" w:name="_Toc337558806"/>
      <w:r>
        <w:rPr>
          <w:rFonts w:eastAsia="黑体"/>
          <w:color w:val="auto"/>
          <w:sz w:val="21"/>
          <w:szCs w:val="21"/>
          <w:highlight w:val="none"/>
        </w:rPr>
        <w:t>13.2竣工验收</w:t>
      </w:r>
      <w:bookmarkEnd w:id="431"/>
    </w:p>
    <w:bookmarkEnd w:id="429"/>
    <w:bookmarkEnd w:id="430"/>
    <w:bookmarkEnd w:id="432"/>
    <w:p w14:paraId="450743C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13.2.1竣工验收条件</w:t>
      </w:r>
    </w:p>
    <w:p w14:paraId="42BFE3A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工程具备以下条件的，承包人可以申请竣工验收：</w:t>
      </w:r>
    </w:p>
    <w:p w14:paraId="568DB75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（1）除发包人同意的甩项</w:t>
      </w:r>
      <w:r>
        <w:rPr>
          <w:rFonts w:hint="eastAsia" w:eastAsia="仿宋_GB2312"/>
          <w:color w:val="auto"/>
          <w:kern w:val="0"/>
          <w:szCs w:val="21"/>
          <w:highlight w:val="none"/>
        </w:rPr>
        <w:t>工作</w:t>
      </w:r>
      <w:r>
        <w:rPr>
          <w:rFonts w:eastAsia="仿宋_GB2312"/>
          <w:color w:val="auto"/>
          <w:kern w:val="0"/>
          <w:szCs w:val="21"/>
          <w:highlight w:val="none"/>
        </w:rPr>
        <w:t>和缺陷修补工作外，合同范围内的全部工程以及有关工作，包括合同要求的试验、试运行以及检验均已完成，并符合合同要求；</w:t>
      </w:r>
    </w:p>
    <w:p w14:paraId="15BF627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（2）已按合同约定编制了甩项</w:t>
      </w:r>
      <w:r>
        <w:rPr>
          <w:rFonts w:hint="eastAsia" w:eastAsia="仿宋_GB2312"/>
          <w:color w:val="auto"/>
          <w:kern w:val="0"/>
          <w:szCs w:val="21"/>
          <w:highlight w:val="none"/>
        </w:rPr>
        <w:t>工作</w:t>
      </w:r>
      <w:r>
        <w:rPr>
          <w:rFonts w:eastAsia="仿宋_GB2312"/>
          <w:color w:val="auto"/>
          <w:kern w:val="0"/>
          <w:szCs w:val="21"/>
          <w:highlight w:val="none"/>
        </w:rPr>
        <w:t>和缺陷修补工作清单以及相应的施工计划；</w:t>
      </w:r>
    </w:p>
    <w:p w14:paraId="6A32461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（3）已按合同约定的内容和份数备齐竣工资料。</w:t>
      </w:r>
    </w:p>
    <w:p w14:paraId="25B8347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13.2.2竣工验收程序</w:t>
      </w:r>
    </w:p>
    <w:p w14:paraId="26C20EC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除专用合同条款另有约定外，承包人申请竣工验收的，应当按照以下程序进行：</w:t>
      </w:r>
    </w:p>
    <w:p w14:paraId="7DBDB5B1">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1F0397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（2）监理人审查后认为已具备竣工验收条件的，应将竣工验收申请报告提交发包人，发包人应在收到</w:t>
      </w:r>
      <w:r>
        <w:rPr>
          <w:rFonts w:hint="eastAsia" w:eastAsia="仿宋_GB2312"/>
          <w:color w:val="auto"/>
          <w:kern w:val="0"/>
          <w:szCs w:val="21"/>
          <w:highlight w:val="none"/>
        </w:rPr>
        <w:t>经</w:t>
      </w:r>
      <w:r>
        <w:rPr>
          <w:rFonts w:eastAsia="仿宋_GB2312"/>
          <w:color w:val="auto"/>
          <w:kern w:val="0"/>
          <w:szCs w:val="21"/>
          <w:highlight w:val="none"/>
        </w:rPr>
        <w:t>监理人审核的竣工验收申请报告后28天内</w:t>
      </w:r>
      <w:r>
        <w:rPr>
          <w:rFonts w:hint="eastAsia" w:eastAsia="仿宋_GB2312"/>
          <w:color w:val="auto"/>
          <w:kern w:val="0"/>
          <w:szCs w:val="21"/>
          <w:highlight w:val="none"/>
        </w:rPr>
        <w:t>审批</w:t>
      </w:r>
      <w:r>
        <w:rPr>
          <w:rFonts w:eastAsia="仿宋_GB2312"/>
          <w:color w:val="auto"/>
          <w:kern w:val="0"/>
          <w:szCs w:val="21"/>
          <w:highlight w:val="none"/>
        </w:rPr>
        <w:t>完毕并组织监理人、承包人、设计人</w:t>
      </w:r>
      <w:r>
        <w:rPr>
          <w:rFonts w:hint="eastAsia" w:eastAsia="仿宋_GB2312"/>
          <w:color w:val="auto"/>
          <w:kern w:val="0"/>
          <w:szCs w:val="21"/>
          <w:highlight w:val="none"/>
        </w:rPr>
        <w:t>、勘察人</w:t>
      </w:r>
      <w:r>
        <w:rPr>
          <w:rFonts w:eastAsia="仿宋_GB2312"/>
          <w:color w:val="auto"/>
          <w:kern w:val="0"/>
          <w:szCs w:val="21"/>
          <w:highlight w:val="none"/>
        </w:rPr>
        <w:t>等相关单位完成竣工验收。</w:t>
      </w:r>
    </w:p>
    <w:p w14:paraId="27DA69B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（3）竣工验收合格的，发包人应在验收合格后14天内向承包人签发工程接收证书。</w:t>
      </w:r>
    </w:p>
    <w:p w14:paraId="011694A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A52B31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（5）工程未经验收或验收不合格，发包人擅自使用的，应在转移占有工程后7天内向承包人颁发工程接收证书。</w:t>
      </w:r>
    </w:p>
    <w:p w14:paraId="31ACADE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除专用合同条款另有约定外，发包人不按照本项约定组织竣工验收、颁发工程接收证书的，每逾期一天，应以签约合同价为基数，按照</w:t>
      </w:r>
      <w:r>
        <w:rPr>
          <w:rFonts w:hint="eastAsia" w:eastAsia="仿宋_GB2312"/>
          <w:color w:val="auto"/>
          <w:kern w:val="0"/>
          <w:szCs w:val="21"/>
          <w:highlight w:val="none"/>
        </w:rPr>
        <w:t>全国银行间同业拆借中心公布的市场报价利率</w:t>
      </w:r>
      <w:r>
        <w:rPr>
          <w:rFonts w:eastAsia="仿宋_GB2312"/>
          <w:color w:val="auto"/>
          <w:kern w:val="0"/>
          <w:szCs w:val="21"/>
          <w:highlight w:val="none"/>
        </w:rPr>
        <w:t>支付违约金。</w:t>
      </w:r>
    </w:p>
    <w:p w14:paraId="48985F9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13.2.3竣工日期</w:t>
      </w:r>
    </w:p>
    <w:p w14:paraId="18981A8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color w:val="auto"/>
          <w:kern w:val="0"/>
          <w:szCs w:val="21"/>
          <w:highlight w:val="none"/>
        </w:rPr>
        <w:t>竣工</w:t>
      </w:r>
      <w:r>
        <w:rPr>
          <w:rFonts w:eastAsia="仿宋_GB2312"/>
          <w:color w:val="auto"/>
          <w:kern w:val="0"/>
          <w:szCs w:val="21"/>
          <w:highlight w:val="none"/>
        </w:rPr>
        <w:t>验收</w:t>
      </w:r>
      <w:r>
        <w:rPr>
          <w:rFonts w:hint="eastAsia" w:eastAsia="仿宋_GB2312"/>
          <w:color w:val="auto"/>
          <w:kern w:val="0"/>
          <w:szCs w:val="21"/>
          <w:highlight w:val="none"/>
        </w:rPr>
        <w:t>，或完成竣工验收不予签发工程接收证书</w:t>
      </w:r>
      <w:r>
        <w:rPr>
          <w:rFonts w:eastAsia="仿宋_GB2312"/>
          <w:color w:val="auto"/>
          <w:kern w:val="0"/>
          <w:szCs w:val="21"/>
          <w:highlight w:val="none"/>
        </w:rPr>
        <w:t>的，以提交竣工验</w:t>
      </w:r>
      <w:bookmarkStart w:id="433" w:name="#go14"/>
      <w:bookmarkEnd w:id="433"/>
      <w:r>
        <w:rPr>
          <w:rFonts w:eastAsia="仿宋_GB2312"/>
          <w:color w:val="auto"/>
          <w:kern w:val="0"/>
          <w:szCs w:val="21"/>
          <w:highlight w:val="none"/>
        </w:rPr>
        <w:t>收申请报告的日期为实际竣工日期；工程未经竣工验收，发包人擅自使用的，以转移占有工程之日为实际竣工日期。</w:t>
      </w:r>
    </w:p>
    <w:p w14:paraId="1E3F158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13.2.4 拒绝接收全部或部分工程</w:t>
      </w:r>
    </w:p>
    <w:p w14:paraId="752A678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对于竣工验收不合格的工程，承包人完成整改后，</w:t>
      </w:r>
      <w:r>
        <w:rPr>
          <w:rFonts w:hint="eastAsia" w:eastAsia="仿宋_GB2312"/>
          <w:color w:val="auto"/>
          <w:kern w:val="0"/>
          <w:szCs w:val="21"/>
          <w:highlight w:val="none"/>
        </w:rPr>
        <w:t>应当</w:t>
      </w:r>
      <w:r>
        <w:rPr>
          <w:rFonts w:eastAsia="仿宋_GB2312"/>
          <w:color w:val="auto"/>
          <w:kern w:val="0"/>
          <w:szCs w:val="21"/>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6D2DE2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13.2.5 移交、接收全部与部分工程</w:t>
      </w:r>
    </w:p>
    <w:p w14:paraId="12A0F029">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除专用合同条款另有约定外，</w:t>
      </w:r>
      <w:r>
        <w:rPr>
          <w:rFonts w:eastAsia="仿宋_GB2312"/>
          <w:color w:val="auto"/>
          <w:kern w:val="0"/>
          <w:szCs w:val="21"/>
          <w:highlight w:val="none"/>
        </w:rPr>
        <w:t>合同当事人应当在颁发工程接收证书</w:t>
      </w:r>
      <w:r>
        <w:rPr>
          <w:rFonts w:hint="eastAsia" w:eastAsia="仿宋_GB2312"/>
          <w:color w:val="auto"/>
          <w:kern w:val="0"/>
          <w:szCs w:val="21"/>
          <w:highlight w:val="none"/>
        </w:rPr>
        <w:t>后7天内</w:t>
      </w:r>
      <w:r>
        <w:rPr>
          <w:rFonts w:eastAsia="仿宋_GB2312"/>
          <w:color w:val="auto"/>
          <w:kern w:val="0"/>
          <w:szCs w:val="21"/>
          <w:highlight w:val="none"/>
        </w:rPr>
        <w:t>完成工程的移交。</w:t>
      </w:r>
    </w:p>
    <w:p w14:paraId="432A09B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发包人无正当理由不接收工程的，发包人自</w:t>
      </w:r>
      <w:r>
        <w:rPr>
          <w:rFonts w:hint="eastAsia" w:eastAsia="仿宋_GB2312"/>
          <w:color w:val="auto"/>
          <w:kern w:val="0"/>
          <w:szCs w:val="21"/>
          <w:highlight w:val="none"/>
        </w:rPr>
        <w:t>颁发工程接收证书次</w:t>
      </w:r>
      <w:r>
        <w:rPr>
          <w:rFonts w:eastAsia="仿宋_GB2312"/>
          <w:color w:val="auto"/>
          <w:kern w:val="0"/>
          <w:szCs w:val="21"/>
          <w:highlight w:val="none"/>
        </w:rPr>
        <w:t>日起，承担工程照管、成品保护、保管等与工程有关的各项费用</w:t>
      </w:r>
      <w:r>
        <w:rPr>
          <w:rFonts w:hint="eastAsia" w:eastAsia="仿宋_GB2312"/>
          <w:color w:val="auto"/>
          <w:kern w:val="0"/>
          <w:szCs w:val="21"/>
          <w:highlight w:val="none"/>
        </w:rPr>
        <w:t>，合同当事人可以在专用合同条款中另行约定发包人逾期接收工程的违约责任</w:t>
      </w:r>
      <w:r>
        <w:rPr>
          <w:rFonts w:eastAsia="仿宋_GB2312"/>
          <w:color w:val="auto"/>
          <w:kern w:val="0"/>
          <w:szCs w:val="21"/>
          <w:highlight w:val="none"/>
        </w:rPr>
        <w:t>。</w:t>
      </w:r>
    </w:p>
    <w:p w14:paraId="3EC3B3D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承包人无正当理由不移交工程的，</w:t>
      </w:r>
      <w:r>
        <w:rPr>
          <w:rFonts w:hint="eastAsia" w:eastAsia="仿宋_GB2312"/>
          <w:color w:val="auto"/>
          <w:kern w:val="0"/>
          <w:szCs w:val="21"/>
          <w:highlight w:val="none"/>
        </w:rPr>
        <w:t>承包人应承担</w:t>
      </w:r>
      <w:r>
        <w:rPr>
          <w:rFonts w:eastAsia="仿宋_GB2312"/>
          <w:color w:val="auto"/>
          <w:kern w:val="0"/>
          <w:szCs w:val="21"/>
          <w:highlight w:val="none"/>
        </w:rPr>
        <w:t>工程照管、成品保护、保管等与工程有关的各项费用</w:t>
      </w:r>
      <w:r>
        <w:rPr>
          <w:rFonts w:hint="eastAsia" w:eastAsia="仿宋_GB2312"/>
          <w:color w:val="auto"/>
          <w:kern w:val="0"/>
          <w:szCs w:val="21"/>
          <w:highlight w:val="none"/>
        </w:rPr>
        <w:t>，合同当事人可以在专用合同条款中另行约定承包人无正当理由不移交工程的违约责任</w:t>
      </w:r>
      <w:r>
        <w:rPr>
          <w:rFonts w:eastAsia="仿宋_GB2312"/>
          <w:color w:val="auto"/>
          <w:kern w:val="0"/>
          <w:szCs w:val="21"/>
          <w:highlight w:val="none"/>
        </w:rPr>
        <w:t>。</w:t>
      </w:r>
    </w:p>
    <w:p w14:paraId="74D7B47E">
      <w:pPr>
        <w:pStyle w:val="4"/>
        <w:spacing w:before="0" w:after="0" w:line="360" w:lineRule="auto"/>
        <w:ind w:firstLine="420" w:firstLineChars="200"/>
        <w:rPr>
          <w:rFonts w:eastAsia="黑体"/>
          <w:color w:val="auto"/>
          <w:sz w:val="21"/>
          <w:szCs w:val="21"/>
          <w:highlight w:val="none"/>
        </w:rPr>
      </w:pPr>
      <w:bookmarkStart w:id="434" w:name="_Toc19647"/>
      <w:bookmarkStart w:id="435" w:name="_Toc296346612"/>
      <w:bookmarkStart w:id="436" w:name="_Toc337558807"/>
      <w:bookmarkStart w:id="437" w:name="_Toc296503111"/>
      <w:r>
        <w:rPr>
          <w:rFonts w:eastAsia="黑体"/>
          <w:color w:val="auto"/>
          <w:sz w:val="21"/>
          <w:szCs w:val="21"/>
          <w:highlight w:val="none"/>
        </w:rPr>
        <w:t>13.3工程试车</w:t>
      </w:r>
      <w:bookmarkEnd w:id="434"/>
    </w:p>
    <w:bookmarkEnd w:id="435"/>
    <w:bookmarkEnd w:id="436"/>
    <w:bookmarkEnd w:id="437"/>
    <w:p w14:paraId="1234411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13.3.1试车程序</w:t>
      </w:r>
    </w:p>
    <w:p w14:paraId="79B2820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工程需要试车的，除专用合同条款另有约定外，试车内容应与承包人承包范围相一致，试车费用由承包人承担。工程试车应按如下程序进行：</w:t>
      </w:r>
    </w:p>
    <w:p w14:paraId="5033ED0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w:t>
      </w:r>
    </w:p>
    <w:p w14:paraId="7318603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监理人不能按时参加试车，应在试车前24小时以书面形式向承包人提出延期要求，但延期不能超过48小时，由此导致工期延误的，工期应予以顺延。</w:t>
      </w:r>
    </w:p>
    <w:p w14:paraId="0930B6F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CE7DB3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13.3.2 试车中的责任</w:t>
      </w:r>
    </w:p>
    <w:p w14:paraId="55D1199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1CF2BB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3CDDDD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13.3.3 投料试车</w:t>
      </w:r>
    </w:p>
    <w:p w14:paraId="5BC4FF7C">
      <w:pPr>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如需进行投料试车的，</w:t>
      </w:r>
      <w:r>
        <w:rPr>
          <w:rFonts w:eastAsia="仿宋_GB2312"/>
          <w:color w:val="auto"/>
          <w:kern w:val="0"/>
          <w:szCs w:val="21"/>
          <w:highlight w:val="none"/>
        </w:rPr>
        <w:t>发包人</w:t>
      </w:r>
      <w:r>
        <w:rPr>
          <w:rFonts w:hint="eastAsia" w:eastAsia="仿宋_GB2312"/>
          <w:color w:val="auto"/>
          <w:kern w:val="0"/>
          <w:szCs w:val="21"/>
          <w:highlight w:val="none"/>
        </w:rPr>
        <w:t>应在</w:t>
      </w:r>
      <w:r>
        <w:rPr>
          <w:rFonts w:eastAsia="仿宋_GB2312"/>
          <w:color w:val="auto"/>
          <w:kern w:val="0"/>
          <w:szCs w:val="21"/>
          <w:highlight w:val="none"/>
        </w:rPr>
        <w:t>工程竣工验收后</w:t>
      </w:r>
      <w:r>
        <w:rPr>
          <w:rFonts w:hint="eastAsia" w:eastAsia="仿宋_GB2312"/>
          <w:color w:val="auto"/>
          <w:kern w:val="0"/>
          <w:szCs w:val="21"/>
          <w:highlight w:val="none"/>
        </w:rPr>
        <w:t>组织</w:t>
      </w:r>
      <w:r>
        <w:rPr>
          <w:rFonts w:eastAsia="仿宋_GB2312"/>
          <w:color w:val="auto"/>
          <w:kern w:val="0"/>
          <w:szCs w:val="21"/>
          <w:highlight w:val="none"/>
        </w:rPr>
        <w:t>投料试车</w:t>
      </w:r>
      <w:r>
        <w:rPr>
          <w:rFonts w:hint="eastAsia" w:eastAsia="仿宋_GB2312"/>
          <w:color w:val="auto"/>
          <w:kern w:val="0"/>
          <w:szCs w:val="21"/>
          <w:highlight w:val="none"/>
        </w:rPr>
        <w:t>。</w:t>
      </w:r>
      <w:r>
        <w:rPr>
          <w:rFonts w:eastAsia="仿宋_GB2312"/>
          <w:color w:val="auto"/>
          <w:kern w:val="0"/>
          <w:szCs w:val="21"/>
          <w:highlight w:val="none"/>
        </w:rPr>
        <w:t>发包人要求在工程竣工验收前进行或需要承包人配合时，应征得承包人同意</w:t>
      </w:r>
      <w:r>
        <w:rPr>
          <w:rFonts w:hint="eastAsia" w:eastAsia="仿宋_GB2312"/>
          <w:color w:val="auto"/>
          <w:kern w:val="0"/>
          <w:szCs w:val="21"/>
          <w:highlight w:val="none"/>
        </w:rPr>
        <w:t>，并在专用合同条款中约定有关事项</w:t>
      </w:r>
      <w:r>
        <w:rPr>
          <w:rFonts w:eastAsia="仿宋_GB2312"/>
          <w:color w:val="auto"/>
          <w:kern w:val="0"/>
          <w:szCs w:val="21"/>
          <w:highlight w:val="none"/>
        </w:rPr>
        <w:t>。</w:t>
      </w:r>
    </w:p>
    <w:p w14:paraId="2F8A2B96">
      <w:pPr>
        <w:spacing w:line="360" w:lineRule="auto"/>
        <w:ind w:firstLine="420" w:firstLineChars="200"/>
        <w:jc w:val="left"/>
        <w:rPr>
          <w:rFonts w:eastAsia="黑体"/>
          <w:b/>
          <w:bCs/>
          <w:color w:val="auto"/>
          <w:szCs w:val="21"/>
          <w:highlight w:val="none"/>
        </w:rPr>
      </w:pPr>
      <w:r>
        <w:rPr>
          <w:rFonts w:eastAsia="仿宋_GB2312"/>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color w:val="auto"/>
          <w:kern w:val="0"/>
          <w:szCs w:val="21"/>
          <w:highlight w:val="none"/>
        </w:rPr>
        <w:t>如</w:t>
      </w:r>
      <w:r>
        <w:rPr>
          <w:rFonts w:eastAsia="仿宋_GB2312"/>
          <w:color w:val="auto"/>
          <w:kern w:val="0"/>
          <w:szCs w:val="21"/>
          <w:highlight w:val="none"/>
        </w:rPr>
        <w:t>发包人要求承包人进行整改</w:t>
      </w:r>
      <w:r>
        <w:rPr>
          <w:rFonts w:hint="eastAsia" w:eastAsia="仿宋_GB2312"/>
          <w:color w:val="auto"/>
          <w:kern w:val="0"/>
          <w:szCs w:val="21"/>
          <w:highlight w:val="none"/>
        </w:rPr>
        <w:t>的</w:t>
      </w:r>
      <w:r>
        <w:rPr>
          <w:rFonts w:eastAsia="仿宋_GB2312"/>
          <w:color w:val="auto"/>
          <w:kern w:val="0"/>
          <w:szCs w:val="21"/>
          <w:highlight w:val="none"/>
        </w:rPr>
        <w:t>，由此产生的费用由发包人承担。</w:t>
      </w:r>
    </w:p>
    <w:p w14:paraId="62B6F6C7">
      <w:pPr>
        <w:pStyle w:val="4"/>
        <w:spacing w:before="0" w:after="0" w:line="360" w:lineRule="auto"/>
        <w:ind w:firstLine="420" w:firstLineChars="200"/>
        <w:rPr>
          <w:rFonts w:eastAsia="黑体"/>
          <w:color w:val="auto"/>
          <w:sz w:val="21"/>
          <w:szCs w:val="21"/>
          <w:highlight w:val="none"/>
        </w:rPr>
      </w:pPr>
      <w:bookmarkStart w:id="438" w:name="_Toc29767"/>
      <w:bookmarkStart w:id="439" w:name="_Toc337558808"/>
      <w:r>
        <w:rPr>
          <w:rFonts w:eastAsia="黑体"/>
          <w:color w:val="auto"/>
          <w:sz w:val="21"/>
          <w:szCs w:val="21"/>
          <w:highlight w:val="none"/>
        </w:rPr>
        <w:t>13.4提前交付单位工程的验收</w:t>
      </w:r>
      <w:bookmarkEnd w:id="438"/>
    </w:p>
    <w:bookmarkEnd w:id="439"/>
    <w:p w14:paraId="20260F9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13.4.1 发包人需要在工程竣工前使用单位工程的，或承包人提出提前交付已经竣工的单位工程且经发包人同意的，可进行单位工程验收，验收的程序按照第13.2款</w:t>
      </w:r>
      <w:r>
        <w:rPr>
          <w:rFonts w:hint="eastAsia" w:eastAsia="仿宋_GB2312"/>
          <w:color w:val="auto"/>
          <w:kern w:val="0"/>
          <w:szCs w:val="21"/>
          <w:highlight w:val="none"/>
        </w:rPr>
        <w:t>〔</w:t>
      </w:r>
      <w:r>
        <w:rPr>
          <w:rFonts w:eastAsia="仿宋_GB2312"/>
          <w:color w:val="auto"/>
          <w:kern w:val="0"/>
          <w:szCs w:val="21"/>
          <w:highlight w:val="none"/>
        </w:rPr>
        <w:t>竣工验收</w:t>
      </w:r>
      <w:r>
        <w:rPr>
          <w:rFonts w:hint="eastAsia" w:eastAsia="仿宋_GB2312"/>
          <w:color w:val="auto"/>
          <w:kern w:val="0"/>
          <w:szCs w:val="21"/>
          <w:highlight w:val="none"/>
        </w:rPr>
        <w:t>〕</w:t>
      </w:r>
      <w:r>
        <w:rPr>
          <w:rFonts w:eastAsia="仿宋_GB2312"/>
          <w:color w:val="auto"/>
          <w:kern w:val="0"/>
          <w:szCs w:val="21"/>
          <w:highlight w:val="none"/>
        </w:rPr>
        <w:t>的约定进行。</w:t>
      </w:r>
    </w:p>
    <w:p w14:paraId="6F31629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49FCD9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14:paraId="119EDD38">
      <w:pPr>
        <w:pStyle w:val="4"/>
        <w:spacing w:before="0" w:after="0" w:line="360" w:lineRule="auto"/>
        <w:ind w:firstLine="420" w:firstLineChars="200"/>
        <w:rPr>
          <w:rFonts w:eastAsia="黑体"/>
          <w:color w:val="auto"/>
          <w:sz w:val="21"/>
          <w:szCs w:val="21"/>
          <w:highlight w:val="none"/>
        </w:rPr>
      </w:pPr>
      <w:bookmarkStart w:id="440" w:name="_Toc12293"/>
      <w:r>
        <w:rPr>
          <w:rFonts w:eastAsia="黑体"/>
          <w:color w:val="auto"/>
          <w:sz w:val="21"/>
          <w:szCs w:val="21"/>
          <w:highlight w:val="none"/>
        </w:rPr>
        <w:t>13.5 施工期运行</w:t>
      </w:r>
      <w:bookmarkEnd w:id="440"/>
    </w:p>
    <w:p w14:paraId="16996C2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13.5.1 施工期运行是指合同工程尚未全部竣工，其中某项或某几项单位工程或工程设备安装已竣工，根据专用合同条款约定，需要投入施工期运行的，经发包人按第13.4款</w:t>
      </w:r>
      <w:r>
        <w:rPr>
          <w:rFonts w:hint="eastAsia" w:eastAsia="仿宋_GB2312"/>
          <w:color w:val="auto"/>
          <w:kern w:val="0"/>
          <w:szCs w:val="21"/>
          <w:highlight w:val="none"/>
        </w:rPr>
        <w:t>〔</w:t>
      </w:r>
      <w:r>
        <w:rPr>
          <w:rFonts w:eastAsia="仿宋_GB2312"/>
          <w:color w:val="auto"/>
          <w:kern w:val="0"/>
          <w:szCs w:val="21"/>
          <w:highlight w:val="none"/>
        </w:rPr>
        <w:t>提前交付单位工程的验收</w:t>
      </w:r>
      <w:r>
        <w:rPr>
          <w:rFonts w:hint="eastAsia" w:eastAsia="仿宋_GB2312"/>
          <w:color w:val="auto"/>
          <w:kern w:val="0"/>
          <w:szCs w:val="21"/>
          <w:highlight w:val="none"/>
        </w:rPr>
        <w:t>〕</w:t>
      </w:r>
      <w:r>
        <w:rPr>
          <w:rFonts w:eastAsia="仿宋_GB2312"/>
          <w:color w:val="auto"/>
          <w:kern w:val="0"/>
          <w:szCs w:val="21"/>
          <w:highlight w:val="none"/>
        </w:rPr>
        <w:t>的约定验收合格，证明能确保安全后，才能在施工期投入运行。</w:t>
      </w:r>
    </w:p>
    <w:p w14:paraId="16D6366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13.5.2 在施工期运行中发现工程或工程设备损坏或存在缺陷的，由承包人按第15.2款</w:t>
      </w:r>
      <w:r>
        <w:rPr>
          <w:rFonts w:hint="eastAsia" w:eastAsia="仿宋_GB2312"/>
          <w:color w:val="auto"/>
          <w:kern w:val="0"/>
          <w:szCs w:val="21"/>
          <w:highlight w:val="none"/>
        </w:rPr>
        <w:t>〔</w:t>
      </w:r>
      <w:r>
        <w:rPr>
          <w:rFonts w:eastAsia="仿宋_GB2312"/>
          <w:color w:val="auto"/>
          <w:kern w:val="0"/>
          <w:szCs w:val="21"/>
          <w:highlight w:val="none"/>
        </w:rPr>
        <w:t>缺陷责任期</w:t>
      </w:r>
      <w:r>
        <w:rPr>
          <w:rFonts w:hint="eastAsia" w:eastAsia="仿宋_GB2312"/>
          <w:color w:val="auto"/>
          <w:kern w:val="0"/>
          <w:szCs w:val="21"/>
          <w:highlight w:val="none"/>
        </w:rPr>
        <w:t>〕</w:t>
      </w:r>
      <w:r>
        <w:rPr>
          <w:rFonts w:eastAsia="仿宋_GB2312"/>
          <w:color w:val="auto"/>
          <w:kern w:val="0"/>
          <w:szCs w:val="21"/>
          <w:highlight w:val="none"/>
        </w:rPr>
        <w:t>约定进行修复。</w:t>
      </w:r>
    </w:p>
    <w:p w14:paraId="32F3113F">
      <w:pPr>
        <w:pStyle w:val="4"/>
        <w:spacing w:before="0" w:after="0" w:line="360" w:lineRule="auto"/>
        <w:ind w:firstLine="420" w:firstLineChars="200"/>
        <w:rPr>
          <w:rFonts w:eastAsia="黑体"/>
          <w:color w:val="auto"/>
          <w:sz w:val="21"/>
          <w:szCs w:val="21"/>
          <w:highlight w:val="none"/>
        </w:rPr>
      </w:pPr>
      <w:bookmarkStart w:id="441" w:name="_Toc296503112"/>
      <w:bookmarkStart w:id="442" w:name="_Toc296346613"/>
      <w:bookmarkStart w:id="443" w:name="_Toc23163"/>
      <w:bookmarkStart w:id="444" w:name="_Toc337558809"/>
      <w:r>
        <w:rPr>
          <w:rFonts w:eastAsia="黑体"/>
          <w:color w:val="auto"/>
          <w:sz w:val="21"/>
          <w:szCs w:val="21"/>
          <w:highlight w:val="none"/>
        </w:rPr>
        <w:t>13.6 竣工退</w:t>
      </w:r>
      <w:bookmarkEnd w:id="441"/>
      <w:bookmarkEnd w:id="442"/>
      <w:r>
        <w:rPr>
          <w:rFonts w:eastAsia="黑体"/>
          <w:color w:val="auto"/>
          <w:sz w:val="21"/>
          <w:szCs w:val="21"/>
          <w:highlight w:val="none"/>
        </w:rPr>
        <w:t>场</w:t>
      </w:r>
      <w:bookmarkEnd w:id="443"/>
    </w:p>
    <w:bookmarkEnd w:id="444"/>
    <w:p w14:paraId="31E97E5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13.6.1 竣工退场</w:t>
      </w:r>
    </w:p>
    <w:p w14:paraId="659FE0D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颁发工程接收证书后，承包人应按以下要求对施工现场进行清理：</w:t>
      </w:r>
    </w:p>
    <w:p w14:paraId="4182464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（1）施工现场内残留的垃圾已全部清除出场；</w:t>
      </w:r>
    </w:p>
    <w:p w14:paraId="3DCF741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（2）临时工程已拆除，场地已进行清理、平整或复原；</w:t>
      </w:r>
    </w:p>
    <w:p w14:paraId="5AA4EC0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（3）按合同约定应撤离的人员、承包人施工设备和剩余的材料，包括废弃的施工设备和材料，已按计划撤离施工现场；</w:t>
      </w:r>
    </w:p>
    <w:p w14:paraId="03FF63F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（4）施工现场周边及其附近道路、河道的施工堆积物，已全部清理；</w:t>
      </w:r>
    </w:p>
    <w:p w14:paraId="77AAE70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（5）施工现场其他场地清理工作已全部完成。</w:t>
      </w:r>
    </w:p>
    <w:p w14:paraId="726CD6E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施工现场的竣工退场费用</w:t>
      </w:r>
      <w:r>
        <w:rPr>
          <w:rFonts w:hint="eastAsia" w:eastAsia="仿宋_GB2312"/>
          <w:color w:val="auto"/>
          <w:kern w:val="0"/>
          <w:szCs w:val="21"/>
          <w:highlight w:val="none"/>
        </w:rPr>
        <w:t>（包括但不限于水费、电费、材料退场费用）</w:t>
      </w:r>
      <w:r>
        <w:rPr>
          <w:rFonts w:eastAsia="仿宋_GB2312"/>
          <w:color w:val="auto"/>
          <w:kern w:val="0"/>
          <w:szCs w:val="21"/>
          <w:highlight w:val="none"/>
        </w:rPr>
        <w:t>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47CFE9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13.6.2 地表还原</w:t>
      </w:r>
    </w:p>
    <w:p w14:paraId="5A40846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78246C89">
      <w:pPr>
        <w:pStyle w:val="3"/>
        <w:ind w:firstLine="1680"/>
        <w:rPr>
          <w:rFonts w:ascii="Times New Roman" w:hAnsi="Times New Roman"/>
          <w:color w:val="auto"/>
          <w:sz w:val="21"/>
          <w:szCs w:val="21"/>
          <w:highlight w:val="none"/>
        </w:rPr>
      </w:pPr>
      <w:bookmarkStart w:id="445" w:name="_Toc9209"/>
      <w:bookmarkStart w:id="446" w:name="_Toc337558810"/>
      <w:bookmarkStart w:id="447" w:name="_Toc296503113"/>
      <w:bookmarkStart w:id="448" w:name="_Toc296346614"/>
      <w:r>
        <w:rPr>
          <w:rFonts w:ascii="Times New Roman" w:hAnsi="Times New Roman"/>
          <w:color w:val="auto"/>
          <w:sz w:val="21"/>
          <w:szCs w:val="21"/>
          <w:highlight w:val="none"/>
        </w:rPr>
        <w:t>14. 竣工结算</w:t>
      </w:r>
      <w:bookmarkEnd w:id="445"/>
    </w:p>
    <w:bookmarkEnd w:id="446"/>
    <w:p w14:paraId="2864AD0C">
      <w:pPr>
        <w:pStyle w:val="4"/>
        <w:spacing w:before="0" w:after="0" w:line="360" w:lineRule="auto"/>
        <w:ind w:firstLine="420" w:firstLineChars="200"/>
        <w:rPr>
          <w:rFonts w:eastAsia="黑体"/>
          <w:color w:val="auto"/>
          <w:sz w:val="21"/>
          <w:szCs w:val="21"/>
          <w:highlight w:val="none"/>
        </w:rPr>
      </w:pPr>
      <w:bookmarkStart w:id="449" w:name="_Toc1805"/>
      <w:bookmarkStart w:id="450" w:name="_Toc337558811"/>
      <w:r>
        <w:rPr>
          <w:rFonts w:eastAsia="黑体"/>
          <w:color w:val="auto"/>
          <w:sz w:val="21"/>
          <w:szCs w:val="21"/>
          <w:highlight w:val="none"/>
        </w:rPr>
        <w:t>14.1 竣工结算申请</w:t>
      </w:r>
      <w:bookmarkEnd w:id="449"/>
    </w:p>
    <w:bookmarkEnd w:id="450"/>
    <w:p w14:paraId="394F60C7">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除专用合同条款另有约定外，</w:t>
      </w:r>
      <w:r>
        <w:rPr>
          <w:rFonts w:eastAsia="仿宋_GB2312"/>
          <w:color w:val="auto"/>
          <w:szCs w:val="21"/>
          <w:highlight w:val="none"/>
        </w:rPr>
        <w:t>承包人应在工程竣工验收合格后28天内向发包人和监理人提交竣工结算申请单，并提交完整的结算资料，</w:t>
      </w:r>
      <w:r>
        <w:rPr>
          <w:rFonts w:hint="eastAsia" w:eastAsia="仿宋_GB2312"/>
          <w:color w:val="auto"/>
          <w:szCs w:val="21"/>
          <w:highlight w:val="none"/>
        </w:rPr>
        <w:t>有关</w:t>
      </w:r>
      <w:r>
        <w:rPr>
          <w:rFonts w:eastAsia="仿宋_GB2312"/>
          <w:color w:val="auto"/>
          <w:szCs w:val="21"/>
          <w:highlight w:val="none"/>
        </w:rPr>
        <w:t>竣工结算申请单</w:t>
      </w:r>
      <w:r>
        <w:rPr>
          <w:rFonts w:hint="eastAsia" w:eastAsia="仿宋_GB2312"/>
          <w:color w:val="auto"/>
          <w:szCs w:val="21"/>
          <w:highlight w:val="none"/>
        </w:rPr>
        <w:t>的资料清单和</w:t>
      </w:r>
      <w:r>
        <w:rPr>
          <w:rFonts w:eastAsia="仿宋_GB2312"/>
          <w:color w:val="auto"/>
          <w:szCs w:val="21"/>
          <w:highlight w:val="none"/>
        </w:rPr>
        <w:t>份数</w:t>
      </w:r>
      <w:r>
        <w:rPr>
          <w:rFonts w:hint="eastAsia" w:eastAsia="仿宋_GB2312"/>
          <w:color w:val="auto"/>
          <w:szCs w:val="21"/>
          <w:highlight w:val="none"/>
        </w:rPr>
        <w:t>等要求</w:t>
      </w:r>
      <w:r>
        <w:rPr>
          <w:rFonts w:eastAsia="仿宋_GB2312"/>
          <w:color w:val="auto"/>
          <w:szCs w:val="21"/>
          <w:highlight w:val="none"/>
        </w:rPr>
        <w:t>由合同当事人在专用合同条款中约定。</w:t>
      </w:r>
    </w:p>
    <w:p w14:paraId="35408DB5">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除专用合同条款另有约定外，竣工结算申请单应包括以下内容：</w:t>
      </w:r>
    </w:p>
    <w:p w14:paraId="08892350">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（1）竣工结算合同价格；</w:t>
      </w:r>
    </w:p>
    <w:p w14:paraId="101C5D47">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（2）发包人已支付承包人的款项；</w:t>
      </w:r>
    </w:p>
    <w:p w14:paraId="2B331C86">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（3）应扣留的质量保证金</w:t>
      </w:r>
      <w:r>
        <w:rPr>
          <w:rFonts w:hint="eastAsia" w:eastAsia="仿宋_GB2312"/>
          <w:color w:val="auto"/>
          <w:szCs w:val="21"/>
          <w:highlight w:val="none"/>
        </w:rPr>
        <w:t>。已缴纳履约保证金的或提供其他工程质量担保方式的除外</w:t>
      </w:r>
      <w:r>
        <w:rPr>
          <w:rFonts w:eastAsia="仿宋_GB2312"/>
          <w:color w:val="auto"/>
          <w:szCs w:val="21"/>
          <w:highlight w:val="none"/>
        </w:rPr>
        <w:t xml:space="preserve">； </w:t>
      </w:r>
    </w:p>
    <w:p w14:paraId="62DA0F34">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（4）发包人应支付承包人的合同价款。</w:t>
      </w:r>
    </w:p>
    <w:p w14:paraId="62862584">
      <w:pPr>
        <w:pStyle w:val="4"/>
        <w:spacing w:before="0" w:after="0" w:line="360" w:lineRule="auto"/>
        <w:ind w:firstLine="420" w:firstLineChars="200"/>
        <w:rPr>
          <w:rFonts w:eastAsia="黑体"/>
          <w:color w:val="auto"/>
          <w:sz w:val="21"/>
          <w:szCs w:val="21"/>
          <w:highlight w:val="none"/>
        </w:rPr>
      </w:pPr>
      <w:bookmarkStart w:id="451" w:name="_Toc4249"/>
      <w:bookmarkStart w:id="452" w:name="_Toc337558812"/>
      <w:r>
        <w:rPr>
          <w:rFonts w:eastAsia="黑体"/>
          <w:color w:val="auto"/>
          <w:sz w:val="21"/>
          <w:szCs w:val="21"/>
          <w:highlight w:val="none"/>
        </w:rPr>
        <w:t>14.2 竣工结算审核</w:t>
      </w:r>
      <w:bookmarkEnd w:id="451"/>
    </w:p>
    <w:bookmarkEnd w:id="452"/>
    <w:p w14:paraId="4F5A1AC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（1）除专用合同条款另有约定外，监理人应在收到竣工结算申请单后14天内完成核查并报送发包人。发包人应在收到监理人提交的经审核的竣工结算申请单后14天内完成</w:t>
      </w:r>
      <w:r>
        <w:rPr>
          <w:rFonts w:hint="eastAsia" w:eastAsia="仿宋_GB2312"/>
          <w:color w:val="auto"/>
          <w:kern w:val="0"/>
          <w:szCs w:val="21"/>
          <w:highlight w:val="none"/>
        </w:rPr>
        <w:t>审批</w:t>
      </w:r>
      <w:r>
        <w:rPr>
          <w:rFonts w:eastAsia="仿宋_GB2312"/>
          <w:color w:val="auto"/>
          <w:kern w:val="0"/>
          <w:szCs w:val="21"/>
          <w:highlight w:val="none"/>
        </w:rPr>
        <w:t>，并由监理人向承包人签发经发包人签认的竣工付款证书。监理人或</w:t>
      </w:r>
      <w:r>
        <w:rPr>
          <w:rFonts w:eastAsia="仿宋_GB2312"/>
          <w:color w:val="auto"/>
          <w:szCs w:val="21"/>
          <w:highlight w:val="none"/>
        </w:rPr>
        <w:t>发包人对竣工</w:t>
      </w:r>
      <w:r>
        <w:rPr>
          <w:rFonts w:eastAsia="仿宋_GB2312"/>
          <w:color w:val="auto"/>
          <w:kern w:val="0"/>
          <w:szCs w:val="21"/>
          <w:highlight w:val="none"/>
        </w:rPr>
        <w:t>结算</w:t>
      </w:r>
      <w:r>
        <w:rPr>
          <w:rFonts w:eastAsia="仿宋_GB2312"/>
          <w:color w:val="auto"/>
          <w:szCs w:val="21"/>
          <w:highlight w:val="none"/>
        </w:rPr>
        <w:t>申请单有异议的，有权要求承包人进行修正和提供补充资料，承包人应提交修正后的竣工</w:t>
      </w:r>
      <w:r>
        <w:rPr>
          <w:rFonts w:eastAsia="仿宋_GB2312"/>
          <w:color w:val="auto"/>
          <w:kern w:val="0"/>
          <w:szCs w:val="21"/>
          <w:highlight w:val="none"/>
        </w:rPr>
        <w:t>结算</w:t>
      </w:r>
      <w:r>
        <w:rPr>
          <w:rFonts w:eastAsia="仿宋_GB2312"/>
          <w:color w:val="auto"/>
          <w:szCs w:val="21"/>
          <w:highlight w:val="none"/>
        </w:rPr>
        <w:t>申请单。</w:t>
      </w:r>
    </w:p>
    <w:p w14:paraId="4EC3599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（2）除专用合同条款另有约定外，发包人应在签发竣工付款证书后的14 天内，完成对承包人的竣工付款。发包人逾期支付的，按照</w:t>
      </w:r>
      <w:r>
        <w:rPr>
          <w:rFonts w:hint="eastAsia" w:eastAsia="仿宋_GB2312"/>
          <w:color w:val="auto"/>
          <w:kern w:val="0"/>
          <w:szCs w:val="21"/>
          <w:highlight w:val="none"/>
        </w:rPr>
        <w:t>全国银行间同业拆借中心公布的市场报价利率</w:t>
      </w:r>
      <w:r>
        <w:rPr>
          <w:rFonts w:eastAsia="仿宋_GB2312"/>
          <w:color w:val="auto"/>
          <w:kern w:val="0"/>
          <w:szCs w:val="21"/>
          <w:highlight w:val="none"/>
        </w:rPr>
        <w:t>支付违约金；逾期支付超过56天的，按照</w:t>
      </w:r>
      <w:r>
        <w:rPr>
          <w:rFonts w:hint="eastAsia" w:eastAsia="仿宋_GB2312"/>
          <w:color w:val="auto"/>
          <w:kern w:val="0"/>
          <w:szCs w:val="21"/>
          <w:highlight w:val="none"/>
        </w:rPr>
        <w:t>全国银行间同业拆借中心公布的市场报价利率</w:t>
      </w:r>
      <w:r>
        <w:rPr>
          <w:rFonts w:eastAsia="仿宋_GB2312"/>
          <w:color w:val="auto"/>
          <w:kern w:val="0"/>
          <w:szCs w:val="21"/>
          <w:highlight w:val="none"/>
        </w:rPr>
        <w:t>的两倍支付违约金。</w:t>
      </w:r>
    </w:p>
    <w:p w14:paraId="37506F9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（3）承包人对发包人签认的竣工付款证书有异议的，对于有异议部分应在收到发包人签认的竣工付款证书后7天内提出异议，并由合同当事人按照专用合同条款约定</w:t>
      </w:r>
      <w:r>
        <w:rPr>
          <w:rFonts w:hint="eastAsia" w:eastAsia="仿宋_GB2312"/>
          <w:color w:val="auto"/>
          <w:kern w:val="0"/>
          <w:szCs w:val="21"/>
          <w:highlight w:val="none"/>
        </w:rPr>
        <w:t>的方式和程序</w:t>
      </w:r>
      <w:r>
        <w:rPr>
          <w:rFonts w:eastAsia="仿宋_GB2312"/>
          <w:color w:val="auto"/>
          <w:kern w:val="0"/>
          <w:szCs w:val="21"/>
          <w:highlight w:val="none"/>
        </w:rPr>
        <w:t>进行复核，或按照第20条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约定处理。对于无异议部分，发包人应签发临时竣工付款证书，并按本款第（2）项完成付款</w:t>
      </w:r>
      <w:r>
        <w:rPr>
          <w:rFonts w:hint="eastAsia" w:eastAsia="仿宋_GB2312"/>
          <w:color w:val="auto"/>
          <w:kern w:val="0"/>
          <w:szCs w:val="21"/>
          <w:highlight w:val="none"/>
        </w:rPr>
        <w:t>。</w:t>
      </w:r>
      <w:r>
        <w:rPr>
          <w:rFonts w:eastAsia="仿宋_GB2312"/>
          <w:color w:val="auto"/>
          <w:kern w:val="0"/>
          <w:szCs w:val="21"/>
          <w:highlight w:val="none"/>
        </w:rPr>
        <w:t>承包人逾期未提出异议的，视为认可发包人的</w:t>
      </w:r>
      <w:r>
        <w:rPr>
          <w:rFonts w:hint="eastAsia" w:eastAsia="仿宋_GB2312"/>
          <w:color w:val="auto"/>
          <w:kern w:val="0"/>
          <w:szCs w:val="21"/>
          <w:highlight w:val="none"/>
        </w:rPr>
        <w:t>审批</w:t>
      </w:r>
      <w:r>
        <w:rPr>
          <w:rFonts w:eastAsia="仿宋_GB2312"/>
          <w:color w:val="auto"/>
          <w:kern w:val="0"/>
          <w:szCs w:val="21"/>
          <w:highlight w:val="none"/>
        </w:rPr>
        <w:t>结果。</w:t>
      </w:r>
    </w:p>
    <w:p w14:paraId="23D4B743">
      <w:pPr>
        <w:pStyle w:val="4"/>
        <w:spacing w:before="0" w:after="0" w:line="360" w:lineRule="auto"/>
        <w:ind w:firstLine="420" w:firstLineChars="200"/>
        <w:rPr>
          <w:rFonts w:eastAsia="黑体"/>
          <w:color w:val="auto"/>
          <w:sz w:val="21"/>
          <w:szCs w:val="21"/>
          <w:highlight w:val="none"/>
        </w:rPr>
      </w:pPr>
      <w:bookmarkStart w:id="453" w:name="_Toc18256"/>
      <w:bookmarkStart w:id="454" w:name="_Toc337558813"/>
      <w:r>
        <w:rPr>
          <w:rFonts w:eastAsia="黑体"/>
          <w:color w:val="auto"/>
          <w:sz w:val="21"/>
          <w:szCs w:val="21"/>
          <w:highlight w:val="none"/>
        </w:rPr>
        <w:t>14.3 甩项竣工协议</w:t>
      </w:r>
      <w:bookmarkEnd w:id="453"/>
    </w:p>
    <w:bookmarkEnd w:id="454"/>
    <w:p w14:paraId="328757E9">
      <w:pPr>
        <w:autoSpaceDE w:val="0"/>
        <w:autoSpaceDN w:val="0"/>
        <w:adjustRightInd w:val="0"/>
        <w:spacing w:line="360" w:lineRule="auto"/>
        <w:ind w:firstLine="411" w:firstLineChars="196"/>
        <w:jc w:val="left"/>
        <w:rPr>
          <w:rFonts w:eastAsia="仿宋_GB2312"/>
          <w:color w:val="auto"/>
          <w:kern w:val="0"/>
          <w:szCs w:val="21"/>
          <w:highlight w:val="none"/>
        </w:rPr>
      </w:pPr>
      <w:r>
        <w:rPr>
          <w:rFonts w:eastAsia="仿宋_GB2312"/>
          <w:color w:val="auto"/>
          <w:szCs w:val="21"/>
          <w:highlight w:val="none"/>
        </w:rPr>
        <w:t>发包人要求甩项竣工的，合同当事人应签订甩项竣工协议。在甩项竣工协议中应明确，合同当事人按照第14.1款</w:t>
      </w:r>
      <w:r>
        <w:rPr>
          <w:rFonts w:hint="eastAsia" w:eastAsia="仿宋_GB2312"/>
          <w:color w:val="auto"/>
          <w:szCs w:val="21"/>
          <w:highlight w:val="none"/>
        </w:rPr>
        <w:t>〔</w:t>
      </w:r>
      <w:r>
        <w:rPr>
          <w:rFonts w:eastAsia="仿宋_GB2312"/>
          <w:color w:val="auto"/>
          <w:szCs w:val="21"/>
          <w:highlight w:val="none"/>
        </w:rPr>
        <w:t>竣工</w:t>
      </w:r>
      <w:r>
        <w:rPr>
          <w:rFonts w:hint="eastAsia" w:eastAsia="仿宋_GB2312"/>
          <w:color w:val="auto"/>
          <w:szCs w:val="21"/>
          <w:highlight w:val="none"/>
        </w:rPr>
        <w:t>结算</w:t>
      </w:r>
      <w:r>
        <w:rPr>
          <w:rFonts w:eastAsia="仿宋_GB2312"/>
          <w:color w:val="auto"/>
          <w:szCs w:val="21"/>
          <w:highlight w:val="none"/>
        </w:rPr>
        <w:t>申请</w:t>
      </w:r>
      <w:r>
        <w:rPr>
          <w:rFonts w:hint="eastAsia" w:eastAsia="仿宋_GB2312"/>
          <w:color w:val="auto"/>
          <w:szCs w:val="21"/>
          <w:highlight w:val="none"/>
        </w:rPr>
        <w:t>〕</w:t>
      </w:r>
      <w:r>
        <w:rPr>
          <w:rFonts w:eastAsia="仿宋_GB2312"/>
          <w:color w:val="auto"/>
          <w:szCs w:val="21"/>
          <w:highlight w:val="none"/>
        </w:rPr>
        <w:t>及14.2款</w:t>
      </w:r>
      <w:r>
        <w:rPr>
          <w:rFonts w:hint="eastAsia" w:eastAsia="仿宋_GB2312"/>
          <w:color w:val="auto"/>
          <w:szCs w:val="21"/>
          <w:highlight w:val="none"/>
        </w:rPr>
        <w:t>〔</w:t>
      </w:r>
      <w:r>
        <w:rPr>
          <w:rFonts w:eastAsia="仿宋_GB2312"/>
          <w:color w:val="auto"/>
          <w:szCs w:val="21"/>
          <w:highlight w:val="none"/>
        </w:rPr>
        <w:t>竣工结算审核</w:t>
      </w:r>
      <w:r>
        <w:rPr>
          <w:rFonts w:hint="eastAsia" w:eastAsia="仿宋_GB2312"/>
          <w:color w:val="auto"/>
          <w:szCs w:val="21"/>
          <w:highlight w:val="none"/>
        </w:rPr>
        <w:t>〕</w:t>
      </w:r>
      <w:r>
        <w:rPr>
          <w:rFonts w:eastAsia="仿宋_GB2312"/>
          <w:color w:val="auto"/>
          <w:szCs w:val="21"/>
          <w:highlight w:val="none"/>
        </w:rPr>
        <w:t>的约定，</w:t>
      </w:r>
      <w:r>
        <w:rPr>
          <w:rFonts w:hint="eastAsia" w:eastAsia="仿宋_GB2312"/>
          <w:color w:val="auto"/>
          <w:szCs w:val="21"/>
          <w:highlight w:val="none"/>
        </w:rPr>
        <w:t>对已</w:t>
      </w:r>
      <w:r>
        <w:rPr>
          <w:rFonts w:eastAsia="仿宋_GB2312"/>
          <w:color w:val="auto"/>
          <w:szCs w:val="21"/>
          <w:highlight w:val="none"/>
        </w:rPr>
        <w:t>完合格工程</w:t>
      </w:r>
      <w:r>
        <w:rPr>
          <w:rFonts w:hint="eastAsia" w:eastAsia="仿宋_GB2312"/>
          <w:color w:val="auto"/>
          <w:szCs w:val="21"/>
          <w:highlight w:val="none"/>
        </w:rPr>
        <w:t>进行</w:t>
      </w:r>
      <w:r>
        <w:rPr>
          <w:rFonts w:eastAsia="仿宋_GB2312"/>
          <w:color w:val="auto"/>
          <w:szCs w:val="21"/>
          <w:highlight w:val="none"/>
        </w:rPr>
        <w:t>结算，并支付相应</w:t>
      </w:r>
      <w:r>
        <w:rPr>
          <w:rFonts w:hint="eastAsia" w:eastAsia="仿宋_GB2312"/>
          <w:color w:val="auto"/>
          <w:szCs w:val="21"/>
          <w:highlight w:val="none"/>
        </w:rPr>
        <w:t>合同</w:t>
      </w:r>
      <w:r>
        <w:rPr>
          <w:rFonts w:eastAsia="仿宋_GB2312"/>
          <w:color w:val="auto"/>
          <w:szCs w:val="21"/>
          <w:highlight w:val="none"/>
        </w:rPr>
        <w:t>价款。</w:t>
      </w:r>
    </w:p>
    <w:p w14:paraId="0D4465EE">
      <w:pPr>
        <w:pStyle w:val="4"/>
        <w:spacing w:before="0" w:after="0" w:line="360" w:lineRule="auto"/>
        <w:ind w:firstLine="420" w:firstLineChars="200"/>
        <w:rPr>
          <w:rFonts w:eastAsia="黑体"/>
          <w:color w:val="auto"/>
          <w:sz w:val="21"/>
          <w:szCs w:val="21"/>
          <w:highlight w:val="none"/>
        </w:rPr>
      </w:pPr>
      <w:bookmarkStart w:id="455" w:name="_Toc9739"/>
      <w:bookmarkStart w:id="456" w:name="_Toc337558814"/>
      <w:r>
        <w:rPr>
          <w:rFonts w:eastAsia="黑体"/>
          <w:color w:val="auto"/>
          <w:sz w:val="21"/>
          <w:szCs w:val="21"/>
          <w:highlight w:val="none"/>
        </w:rPr>
        <w:t>14.4 最终结清</w:t>
      </w:r>
      <w:bookmarkEnd w:id="455"/>
    </w:p>
    <w:bookmarkEnd w:id="456"/>
    <w:p w14:paraId="14071E9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14.4.1 最终结清申请单</w:t>
      </w:r>
    </w:p>
    <w:p w14:paraId="702DA3D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（1）除专用合同条款另有约定外，承包人应在缺陷责任期终止证书颁发后7天内，按专用合同条款约定的份数向发包人提交最终结清申请单，并提供相关证明材料。</w:t>
      </w:r>
    </w:p>
    <w:p w14:paraId="21F2EA76">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除专用合同条款另有约定外，</w:t>
      </w:r>
      <w:r>
        <w:rPr>
          <w:rFonts w:eastAsia="仿宋_GB2312"/>
          <w:color w:val="auto"/>
          <w:kern w:val="0"/>
          <w:szCs w:val="21"/>
          <w:highlight w:val="none"/>
        </w:rPr>
        <w:t>最终结清申请单</w:t>
      </w:r>
      <w:r>
        <w:rPr>
          <w:rFonts w:eastAsia="仿宋_GB2312"/>
          <w:color w:val="auto"/>
          <w:szCs w:val="21"/>
          <w:highlight w:val="none"/>
        </w:rPr>
        <w:t>应列明质量保证金、应扣除的质量保证金、缺陷责任期内发生的增减费用。</w:t>
      </w:r>
    </w:p>
    <w:p w14:paraId="7F1980D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（2）发包人对最终结清申请单内容有异议的，有权要求承包人进行修正和提供补充资料，承包人应向发包人提交修正后的最终结清申请单。</w:t>
      </w:r>
    </w:p>
    <w:p w14:paraId="106FA48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14.4.2 最终结清证书和支付</w:t>
      </w:r>
    </w:p>
    <w:p w14:paraId="26067C9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（1）除专用合同条款另有约定外，发包人应在收到承包人提交的最终结清申请单后14天内完成审批并向承包人颁发最终结清证书。发包人逾期未完成</w:t>
      </w:r>
      <w:r>
        <w:rPr>
          <w:rFonts w:hint="eastAsia" w:eastAsia="仿宋_GB2312"/>
          <w:color w:val="auto"/>
          <w:kern w:val="0"/>
          <w:szCs w:val="21"/>
          <w:highlight w:val="none"/>
        </w:rPr>
        <w:t>审批</w:t>
      </w:r>
      <w:r>
        <w:rPr>
          <w:rFonts w:eastAsia="仿宋_GB2312"/>
          <w:color w:val="auto"/>
          <w:kern w:val="0"/>
          <w:szCs w:val="21"/>
          <w:highlight w:val="none"/>
        </w:rPr>
        <w:t>，又未提出修改意见的，视为发包人同意承包人提交的最终结清申请单，且自发包人收到承包人提交的最终结清申请单后15天起视为已颁发最终结清证书。</w:t>
      </w:r>
    </w:p>
    <w:p w14:paraId="61E5BE1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（2）除专用合同条款另有约定外，发包人应在颁发最终结清证书后7天内完成支付。发包人逾期支付的，按照</w:t>
      </w:r>
      <w:r>
        <w:rPr>
          <w:rFonts w:hint="eastAsia" w:eastAsia="仿宋_GB2312"/>
          <w:color w:val="auto"/>
          <w:kern w:val="0"/>
          <w:szCs w:val="21"/>
          <w:highlight w:val="none"/>
        </w:rPr>
        <w:t>全国银行间同业拆借中心公布的市场报价利率</w:t>
      </w:r>
      <w:r>
        <w:rPr>
          <w:rFonts w:eastAsia="仿宋_GB2312"/>
          <w:color w:val="auto"/>
          <w:kern w:val="0"/>
          <w:szCs w:val="21"/>
          <w:highlight w:val="none"/>
        </w:rPr>
        <w:t>支付违约金；逾期支付超过56天的，按照</w:t>
      </w:r>
      <w:r>
        <w:rPr>
          <w:rFonts w:hint="eastAsia" w:eastAsia="仿宋_GB2312"/>
          <w:color w:val="auto"/>
          <w:kern w:val="0"/>
          <w:szCs w:val="21"/>
          <w:highlight w:val="none"/>
        </w:rPr>
        <w:t>全国银行间同业拆借中心公布的市场报价利率</w:t>
      </w:r>
      <w:r>
        <w:rPr>
          <w:rFonts w:eastAsia="仿宋_GB2312"/>
          <w:color w:val="auto"/>
          <w:kern w:val="0"/>
          <w:szCs w:val="21"/>
          <w:highlight w:val="none"/>
        </w:rPr>
        <w:t>的两倍支付违约金。</w:t>
      </w:r>
    </w:p>
    <w:p w14:paraId="45BB268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（3）承包人对发包人颁发的最终结清证书有异议的，按第20条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的约定办理。</w:t>
      </w:r>
    </w:p>
    <w:p w14:paraId="37C26B54">
      <w:pPr>
        <w:pStyle w:val="3"/>
        <w:ind w:firstLine="1680"/>
        <w:rPr>
          <w:rFonts w:ascii="Times New Roman" w:hAnsi="Times New Roman"/>
          <w:color w:val="auto"/>
          <w:sz w:val="21"/>
          <w:szCs w:val="21"/>
          <w:highlight w:val="none"/>
        </w:rPr>
      </w:pPr>
      <w:bookmarkStart w:id="457" w:name="_Toc19049"/>
      <w:bookmarkStart w:id="458" w:name="_Toc337558815"/>
      <w:r>
        <w:rPr>
          <w:rFonts w:ascii="Times New Roman" w:hAnsi="Times New Roman"/>
          <w:color w:val="auto"/>
          <w:sz w:val="21"/>
          <w:szCs w:val="21"/>
          <w:highlight w:val="none"/>
        </w:rPr>
        <w:t>15. 缺陷责任与保修</w:t>
      </w:r>
      <w:bookmarkEnd w:id="457"/>
    </w:p>
    <w:bookmarkEnd w:id="447"/>
    <w:bookmarkEnd w:id="448"/>
    <w:bookmarkEnd w:id="458"/>
    <w:p w14:paraId="389C3E46">
      <w:pPr>
        <w:pStyle w:val="4"/>
        <w:spacing w:before="0" w:after="0" w:line="360" w:lineRule="auto"/>
        <w:ind w:firstLine="420" w:firstLineChars="200"/>
        <w:rPr>
          <w:rFonts w:eastAsia="黑体"/>
          <w:color w:val="auto"/>
          <w:sz w:val="21"/>
          <w:szCs w:val="21"/>
          <w:highlight w:val="none"/>
        </w:rPr>
      </w:pPr>
      <w:bookmarkStart w:id="459" w:name="_Toc19"/>
      <w:bookmarkStart w:id="460" w:name="_Toc337558816"/>
      <w:bookmarkStart w:id="461" w:name="_Toc296503114"/>
      <w:bookmarkStart w:id="462" w:name="_Toc296346615"/>
      <w:r>
        <w:rPr>
          <w:rFonts w:eastAsia="黑体"/>
          <w:color w:val="auto"/>
          <w:sz w:val="21"/>
          <w:szCs w:val="21"/>
          <w:highlight w:val="none"/>
        </w:rPr>
        <w:t>15.1 工程保修的原则</w:t>
      </w:r>
      <w:bookmarkEnd w:id="459"/>
    </w:p>
    <w:bookmarkEnd w:id="460"/>
    <w:p w14:paraId="5D0DC53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在工程移交发包人后，</w:t>
      </w:r>
      <w:r>
        <w:rPr>
          <w:rFonts w:hint="eastAsia" w:eastAsia="仿宋_GB2312"/>
          <w:color w:val="auto"/>
          <w:kern w:val="0"/>
          <w:szCs w:val="21"/>
          <w:highlight w:val="none"/>
        </w:rPr>
        <w:t>承包人应履行保修义务</w:t>
      </w:r>
      <w:r>
        <w:rPr>
          <w:rFonts w:eastAsia="仿宋_GB2312"/>
          <w:color w:val="auto"/>
          <w:kern w:val="0"/>
          <w:szCs w:val="21"/>
          <w:highlight w:val="none"/>
        </w:rPr>
        <w:t>。缺陷责任期届满，承包人仍应按合同约定的工程各部位保修年限承担保修义务。</w:t>
      </w:r>
    </w:p>
    <w:p w14:paraId="7453BB40">
      <w:pPr>
        <w:pStyle w:val="4"/>
        <w:spacing w:before="0" w:after="0" w:line="360" w:lineRule="auto"/>
        <w:ind w:firstLine="420" w:firstLineChars="200"/>
        <w:rPr>
          <w:rFonts w:eastAsia="黑体"/>
          <w:color w:val="auto"/>
          <w:sz w:val="21"/>
          <w:szCs w:val="21"/>
          <w:highlight w:val="none"/>
        </w:rPr>
      </w:pPr>
      <w:bookmarkStart w:id="463" w:name="_Toc2421"/>
      <w:bookmarkStart w:id="464" w:name="_Toc337558817"/>
      <w:r>
        <w:rPr>
          <w:rFonts w:eastAsia="黑体"/>
          <w:color w:val="auto"/>
          <w:sz w:val="21"/>
          <w:szCs w:val="21"/>
          <w:highlight w:val="none"/>
        </w:rPr>
        <w:t>15.2 缺陷责任期</w:t>
      </w:r>
      <w:bookmarkEnd w:id="461"/>
      <w:bookmarkEnd w:id="462"/>
      <w:bookmarkEnd w:id="463"/>
    </w:p>
    <w:bookmarkEnd w:id="464"/>
    <w:p w14:paraId="4B43722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15.2.1 缺陷责任期</w:t>
      </w:r>
      <w:r>
        <w:rPr>
          <w:rFonts w:hint="eastAsia" w:eastAsia="仿宋_GB2312"/>
          <w:color w:val="auto"/>
          <w:kern w:val="0"/>
          <w:szCs w:val="21"/>
          <w:highlight w:val="none"/>
        </w:rPr>
        <w:t>从工程通过竣工验收之日</w:t>
      </w:r>
      <w:r>
        <w:rPr>
          <w:rFonts w:eastAsia="仿宋_GB2312"/>
          <w:color w:val="auto"/>
          <w:kern w:val="0"/>
          <w:szCs w:val="21"/>
          <w:highlight w:val="none"/>
        </w:rPr>
        <w:t>起计算，合同当事人应在专用合同条款约定缺陷责任期的具体期限，但该期限最长不超过24个月。</w:t>
      </w:r>
    </w:p>
    <w:p w14:paraId="757EE4D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单位工程先于全部工程进行验收，经验收合格并交付使用的，该单位工程缺陷责任期自单位工程验收合格之日起算。</w:t>
      </w:r>
      <w:r>
        <w:rPr>
          <w:rFonts w:hint="eastAsia" w:eastAsia="仿宋_GB2312"/>
          <w:color w:val="auto"/>
          <w:kern w:val="0"/>
          <w:szCs w:val="21"/>
          <w:highlight w:val="none"/>
        </w:rPr>
        <w:t>因承包人原因导致工程无法按合同约定期限进行竣工验收的，缺陷责任期从实际通过竣工验收之日起计算。</w:t>
      </w:r>
      <w:r>
        <w:rPr>
          <w:rFonts w:eastAsia="仿宋_GB2312"/>
          <w:color w:val="auto"/>
          <w:kern w:val="0"/>
          <w:szCs w:val="21"/>
          <w:highlight w:val="none"/>
        </w:rPr>
        <w:t>因发包人原因导致工程无法按合同约定期限进行竣工验收的，</w:t>
      </w:r>
      <w:r>
        <w:rPr>
          <w:rFonts w:hint="eastAsia" w:eastAsia="仿宋_GB2312"/>
          <w:color w:val="auto"/>
          <w:kern w:val="0"/>
          <w:szCs w:val="21"/>
          <w:highlight w:val="none"/>
        </w:rPr>
        <w:t>在承包人提交竣工验收报告90天后，工程自动进入缺陷责任期</w:t>
      </w:r>
      <w:r>
        <w:rPr>
          <w:rFonts w:eastAsia="仿宋_GB2312"/>
          <w:color w:val="auto"/>
          <w:kern w:val="0"/>
          <w:szCs w:val="21"/>
          <w:highlight w:val="none"/>
        </w:rPr>
        <w:t>；发包人未经竣工验收擅自使用工程的，缺陷责任期自工程转移占有之日起开始计算。</w:t>
      </w:r>
    </w:p>
    <w:p w14:paraId="201EA99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15.2.2</w:t>
      </w:r>
      <w:r>
        <w:rPr>
          <w:rFonts w:hint="eastAsia" w:eastAsia="仿宋_GB2312"/>
          <w:color w:val="auto"/>
          <w:kern w:val="0"/>
          <w:szCs w:val="21"/>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color w:val="auto"/>
          <w:kern w:val="0"/>
          <w:szCs w:val="21"/>
          <w:highlight w:val="none"/>
        </w:rPr>
        <w:t>发包人有权要求承</w:t>
      </w:r>
      <w:r>
        <w:rPr>
          <w:rFonts w:eastAsia="仿宋_GB2312"/>
          <w:bCs/>
          <w:color w:val="auto"/>
          <w:szCs w:val="21"/>
          <w:highlight w:val="none"/>
        </w:rPr>
        <w:t>包人延长缺陷责任期，</w:t>
      </w:r>
      <w:r>
        <w:rPr>
          <w:rFonts w:eastAsia="仿宋_GB2312"/>
          <w:color w:val="auto"/>
          <w:kern w:val="0"/>
          <w:szCs w:val="21"/>
          <w:highlight w:val="none"/>
        </w:rPr>
        <w:t>并应在原缺陷责任期届满前发出延长通知</w:t>
      </w:r>
      <w:r>
        <w:rPr>
          <w:rFonts w:hint="eastAsia" w:eastAsia="仿宋_GB2312"/>
          <w:color w:val="auto"/>
          <w:kern w:val="0"/>
          <w:szCs w:val="21"/>
          <w:highlight w:val="none"/>
        </w:rPr>
        <w:t>。</w:t>
      </w:r>
      <w:r>
        <w:rPr>
          <w:rFonts w:eastAsia="仿宋_GB2312"/>
          <w:bCs/>
          <w:color w:val="auto"/>
          <w:szCs w:val="21"/>
          <w:highlight w:val="none"/>
        </w:rPr>
        <w:t>但缺陷责任期</w:t>
      </w:r>
      <w:r>
        <w:rPr>
          <w:rFonts w:hint="eastAsia" w:eastAsia="仿宋_GB2312"/>
          <w:bCs/>
          <w:color w:val="auto"/>
          <w:szCs w:val="21"/>
          <w:highlight w:val="none"/>
        </w:rPr>
        <w:t>（含延长部分）</w:t>
      </w:r>
      <w:r>
        <w:rPr>
          <w:rFonts w:eastAsia="仿宋_GB2312"/>
          <w:bCs/>
          <w:color w:val="auto"/>
          <w:szCs w:val="21"/>
          <w:highlight w:val="none"/>
        </w:rPr>
        <w:t>最长</w:t>
      </w:r>
      <w:r>
        <w:rPr>
          <w:rFonts w:eastAsia="仿宋_GB2312"/>
          <w:color w:val="auto"/>
          <w:kern w:val="0"/>
          <w:szCs w:val="21"/>
          <w:highlight w:val="none"/>
        </w:rPr>
        <w:t>不能超过24个月。</w:t>
      </w:r>
    </w:p>
    <w:p w14:paraId="535C9511">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由他人原因造成的缺陷，发包人负责组织维修，承包人不承担费用，且发包人不得从保证金中扣除费用。</w:t>
      </w:r>
    </w:p>
    <w:p w14:paraId="21CF822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30C09E8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15.2.4</w:t>
      </w:r>
      <w:r>
        <w:rPr>
          <w:rFonts w:hint="eastAsia" w:eastAsia="仿宋_GB2312"/>
          <w:color w:val="auto"/>
          <w:kern w:val="0"/>
          <w:szCs w:val="21"/>
          <w:highlight w:val="none"/>
        </w:rPr>
        <w:t xml:space="preserve"> </w:t>
      </w:r>
      <w:r>
        <w:rPr>
          <w:rFonts w:eastAsia="仿宋_GB2312"/>
          <w:color w:val="auto"/>
          <w:kern w:val="0"/>
          <w:szCs w:val="21"/>
          <w:highlight w:val="none"/>
        </w:rPr>
        <w:t>除专用合同条款另有约定外，承包人应于缺陷责任期届满后7天内向发包人发出缺陷责任期</w:t>
      </w:r>
      <w:r>
        <w:rPr>
          <w:rFonts w:hint="eastAsia" w:eastAsia="仿宋_GB2312"/>
          <w:color w:val="auto"/>
          <w:kern w:val="0"/>
          <w:szCs w:val="21"/>
          <w:highlight w:val="none"/>
        </w:rPr>
        <w:t>届</w:t>
      </w:r>
      <w:r>
        <w:rPr>
          <w:rFonts w:eastAsia="仿宋_GB2312"/>
          <w:color w:val="auto"/>
          <w:kern w:val="0"/>
          <w:szCs w:val="21"/>
          <w:highlight w:val="none"/>
        </w:rPr>
        <w:t>满通知，发包人应在</w:t>
      </w:r>
      <w:r>
        <w:rPr>
          <w:rFonts w:hint="eastAsia" w:eastAsia="仿宋_GB2312"/>
          <w:color w:val="auto"/>
          <w:kern w:val="0"/>
          <w:szCs w:val="21"/>
          <w:highlight w:val="none"/>
        </w:rPr>
        <w:t>收</w:t>
      </w:r>
      <w:r>
        <w:rPr>
          <w:rFonts w:eastAsia="仿宋_GB2312"/>
          <w:color w:val="auto"/>
          <w:kern w:val="0"/>
          <w:szCs w:val="21"/>
          <w:highlight w:val="none"/>
        </w:rPr>
        <w:t>到缺陷责任期满通知后14天内核实承包人是否履行缺陷</w:t>
      </w:r>
      <w:r>
        <w:rPr>
          <w:rFonts w:hint="eastAsia" w:eastAsia="仿宋_GB2312"/>
          <w:color w:val="auto"/>
          <w:kern w:val="0"/>
          <w:szCs w:val="21"/>
          <w:highlight w:val="none"/>
        </w:rPr>
        <w:t>修复</w:t>
      </w:r>
      <w:r>
        <w:rPr>
          <w:rFonts w:eastAsia="仿宋_GB2312"/>
          <w:color w:val="auto"/>
          <w:kern w:val="0"/>
          <w:szCs w:val="21"/>
          <w:highlight w:val="none"/>
        </w:rPr>
        <w:t>义务，承包人未能履行缺陷</w:t>
      </w:r>
      <w:r>
        <w:rPr>
          <w:rFonts w:hint="eastAsia" w:eastAsia="仿宋_GB2312"/>
          <w:color w:val="auto"/>
          <w:kern w:val="0"/>
          <w:szCs w:val="21"/>
          <w:highlight w:val="none"/>
        </w:rPr>
        <w:t>修复</w:t>
      </w:r>
      <w:r>
        <w:rPr>
          <w:rFonts w:eastAsia="仿宋_GB2312"/>
          <w:color w:val="auto"/>
          <w:kern w:val="0"/>
          <w:szCs w:val="21"/>
          <w:highlight w:val="none"/>
        </w:rPr>
        <w:t>义务的，发包人有权扣除相应金额的维修费用。发包人应在</w:t>
      </w:r>
      <w:r>
        <w:rPr>
          <w:rFonts w:hint="eastAsia" w:eastAsia="仿宋_GB2312"/>
          <w:color w:val="auto"/>
          <w:kern w:val="0"/>
          <w:szCs w:val="21"/>
          <w:highlight w:val="none"/>
        </w:rPr>
        <w:t>收到</w:t>
      </w:r>
      <w:r>
        <w:rPr>
          <w:rFonts w:eastAsia="仿宋_GB2312"/>
          <w:color w:val="auto"/>
          <w:kern w:val="0"/>
          <w:szCs w:val="21"/>
          <w:highlight w:val="none"/>
        </w:rPr>
        <w:t>缺陷责任期</w:t>
      </w:r>
      <w:r>
        <w:rPr>
          <w:rFonts w:hint="eastAsia" w:eastAsia="仿宋_GB2312"/>
          <w:color w:val="auto"/>
          <w:kern w:val="0"/>
          <w:szCs w:val="21"/>
          <w:highlight w:val="none"/>
        </w:rPr>
        <w:t>届</w:t>
      </w:r>
      <w:r>
        <w:rPr>
          <w:rFonts w:eastAsia="仿宋_GB2312"/>
          <w:color w:val="auto"/>
          <w:kern w:val="0"/>
          <w:szCs w:val="21"/>
          <w:highlight w:val="none"/>
        </w:rPr>
        <w:t>满</w:t>
      </w:r>
      <w:r>
        <w:rPr>
          <w:rFonts w:hint="eastAsia" w:eastAsia="仿宋_GB2312"/>
          <w:color w:val="auto"/>
          <w:kern w:val="0"/>
          <w:szCs w:val="21"/>
          <w:highlight w:val="none"/>
        </w:rPr>
        <w:t>通知后</w:t>
      </w:r>
      <w:r>
        <w:rPr>
          <w:rFonts w:eastAsia="仿宋_GB2312"/>
          <w:color w:val="auto"/>
          <w:kern w:val="0"/>
          <w:szCs w:val="21"/>
          <w:highlight w:val="none"/>
        </w:rPr>
        <w:t>14天内，向承包人颁发缺陷责任期终止证</w:t>
      </w:r>
      <w:r>
        <w:rPr>
          <w:rFonts w:hint="eastAsia" w:eastAsia="仿宋_GB2312"/>
          <w:color w:val="auto"/>
          <w:kern w:val="0"/>
          <w:szCs w:val="21"/>
          <w:highlight w:val="none"/>
        </w:rPr>
        <w:t>书</w:t>
      </w:r>
      <w:r>
        <w:rPr>
          <w:rFonts w:eastAsia="仿宋_GB2312"/>
          <w:color w:val="auto"/>
          <w:kern w:val="0"/>
          <w:szCs w:val="21"/>
          <w:highlight w:val="none"/>
        </w:rPr>
        <w:t>。</w:t>
      </w:r>
    </w:p>
    <w:p w14:paraId="688EA01F">
      <w:pPr>
        <w:pStyle w:val="4"/>
        <w:spacing w:before="0" w:after="0" w:line="360" w:lineRule="auto"/>
        <w:ind w:firstLine="420" w:firstLineChars="200"/>
        <w:rPr>
          <w:rFonts w:eastAsia="黑体"/>
          <w:color w:val="auto"/>
          <w:sz w:val="21"/>
          <w:szCs w:val="21"/>
          <w:highlight w:val="none"/>
        </w:rPr>
      </w:pPr>
      <w:bookmarkStart w:id="465" w:name="_Toc30235"/>
      <w:bookmarkStart w:id="466" w:name="_Toc337558818"/>
      <w:bookmarkStart w:id="467" w:name="_Toc296346616"/>
      <w:bookmarkStart w:id="468" w:name="_Toc296503115"/>
      <w:r>
        <w:rPr>
          <w:rFonts w:eastAsia="黑体"/>
          <w:color w:val="auto"/>
          <w:sz w:val="21"/>
          <w:szCs w:val="21"/>
          <w:highlight w:val="none"/>
        </w:rPr>
        <w:t>15.3 质量保证金</w:t>
      </w:r>
      <w:bookmarkEnd w:id="465"/>
    </w:p>
    <w:bookmarkEnd w:id="466"/>
    <w:p w14:paraId="42A1A180">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经合同当事人协商一致扣留质量保证金的，应在专用合同条款中予以明确。</w:t>
      </w:r>
    </w:p>
    <w:p w14:paraId="4DBD75FA">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在工程项目竣工前，承包人已经提供履约担保的，发包人不得同时预留工程质量保证金。</w:t>
      </w:r>
    </w:p>
    <w:p w14:paraId="7863E6C9">
      <w:pPr>
        <w:autoSpaceDE w:val="0"/>
        <w:autoSpaceDN w:val="0"/>
        <w:adjustRightInd w:val="0"/>
        <w:spacing w:line="360" w:lineRule="auto"/>
        <w:ind w:firstLine="420" w:firstLineChars="200"/>
        <w:jc w:val="left"/>
        <w:rPr>
          <w:rFonts w:eastAsia="仿宋_GB2312"/>
          <w:color w:val="auto"/>
          <w:kern w:val="0"/>
          <w:szCs w:val="21"/>
          <w:highlight w:val="none"/>
        </w:rPr>
      </w:pPr>
    </w:p>
    <w:p w14:paraId="2B99AD9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15.3.1 </w:t>
      </w:r>
      <w:r>
        <w:rPr>
          <w:rFonts w:hint="eastAsia" w:eastAsia="仿宋_GB2312"/>
          <w:color w:val="auto"/>
          <w:kern w:val="0"/>
          <w:szCs w:val="21"/>
          <w:highlight w:val="none"/>
        </w:rPr>
        <w:t>承包人提供</w:t>
      </w:r>
      <w:r>
        <w:rPr>
          <w:rFonts w:eastAsia="仿宋_GB2312"/>
          <w:color w:val="auto"/>
          <w:kern w:val="0"/>
          <w:szCs w:val="21"/>
          <w:highlight w:val="none"/>
        </w:rPr>
        <w:t>质量保证金的</w:t>
      </w:r>
      <w:r>
        <w:rPr>
          <w:rFonts w:hint="eastAsia" w:eastAsia="仿宋_GB2312"/>
          <w:color w:val="auto"/>
          <w:kern w:val="0"/>
          <w:szCs w:val="21"/>
          <w:highlight w:val="none"/>
        </w:rPr>
        <w:t>方</w:t>
      </w:r>
      <w:r>
        <w:rPr>
          <w:rFonts w:eastAsia="仿宋_GB2312"/>
          <w:color w:val="auto"/>
          <w:kern w:val="0"/>
          <w:szCs w:val="21"/>
          <w:highlight w:val="none"/>
        </w:rPr>
        <w:t>式</w:t>
      </w:r>
    </w:p>
    <w:p w14:paraId="41A594BC">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承包人提供</w:t>
      </w:r>
      <w:r>
        <w:rPr>
          <w:rFonts w:eastAsia="仿宋_GB2312"/>
          <w:color w:val="auto"/>
          <w:kern w:val="0"/>
          <w:szCs w:val="21"/>
          <w:highlight w:val="none"/>
        </w:rPr>
        <w:t>质量保证金</w:t>
      </w:r>
      <w:r>
        <w:rPr>
          <w:rFonts w:hint="eastAsia" w:eastAsia="仿宋_GB2312"/>
          <w:color w:val="auto"/>
          <w:kern w:val="0"/>
          <w:szCs w:val="21"/>
          <w:highlight w:val="none"/>
        </w:rPr>
        <w:t>有</w:t>
      </w:r>
      <w:r>
        <w:rPr>
          <w:rFonts w:eastAsia="仿宋_GB2312"/>
          <w:color w:val="auto"/>
          <w:kern w:val="0"/>
          <w:szCs w:val="21"/>
          <w:highlight w:val="none"/>
        </w:rPr>
        <w:t>以下</w:t>
      </w:r>
      <w:r>
        <w:rPr>
          <w:rFonts w:hint="eastAsia" w:eastAsia="仿宋_GB2312"/>
          <w:color w:val="auto"/>
          <w:kern w:val="0"/>
          <w:szCs w:val="21"/>
          <w:highlight w:val="none"/>
        </w:rPr>
        <w:t>三种方</w:t>
      </w:r>
      <w:r>
        <w:rPr>
          <w:rFonts w:eastAsia="仿宋_GB2312"/>
          <w:color w:val="auto"/>
          <w:kern w:val="0"/>
          <w:szCs w:val="21"/>
          <w:highlight w:val="none"/>
        </w:rPr>
        <w:t>式：</w:t>
      </w:r>
    </w:p>
    <w:p w14:paraId="0847B51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（1）质量保证金保函； </w:t>
      </w:r>
    </w:p>
    <w:p w14:paraId="41FAB6BA">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w:t>
      </w:r>
      <w:r>
        <w:rPr>
          <w:rFonts w:eastAsia="仿宋_GB2312"/>
          <w:color w:val="auto"/>
          <w:kern w:val="0"/>
          <w:szCs w:val="21"/>
          <w:highlight w:val="none"/>
        </w:rPr>
        <w:t>2）相应比例的工程款；</w:t>
      </w:r>
    </w:p>
    <w:p w14:paraId="4A40DE1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（3）双方约定的其他</w:t>
      </w:r>
      <w:r>
        <w:rPr>
          <w:rFonts w:hint="eastAsia" w:eastAsia="仿宋_GB2312"/>
          <w:color w:val="auto"/>
          <w:kern w:val="0"/>
          <w:szCs w:val="21"/>
          <w:highlight w:val="none"/>
        </w:rPr>
        <w:t>方</w:t>
      </w:r>
      <w:r>
        <w:rPr>
          <w:rFonts w:eastAsia="仿宋_GB2312"/>
          <w:color w:val="auto"/>
          <w:kern w:val="0"/>
          <w:szCs w:val="21"/>
          <w:highlight w:val="none"/>
        </w:rPr>
        <w:t>式。</w:t>
      </w:r>
    </w:p>
    <w:p w14:paraId="35947D4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除专用合同条款另有约定外，质量保证金</w:t>
      </w:r>
      <w:r>
        <w:rPr>
          <w:rFonts w:hint="eastAsia" w:eastAsia="仿宋_GB2312"/>
          <w:color w:val="auto"/>
          <w:kern w:val="0"/>
          <w:szCs w:val="21"/>
          <w:highlight w:val="none"/>
        </w:rPr>
        <w:t>原则上</w:t>
      </w:r>
      <w:r>
        <w:rPr>
          <w:rFonts w:eastAsia="仿宋_GB2312"/>
          <w:color w:val="auto"/>
          <w:kern w:val="0"/>
          <w:szCs w:val="21"/>
          <w:highlight w:val="none"/>
        </w:rPr>
        <w:t>采</w:t>
      </w:r>
      <w:r>
        <w:rPr>
          <w:rFonts w:hint="eastAsia" w:eastAsia="仿宋_GB2312"/>
          <w:color w:val="auto"/>
          <w:kern w:val="0"/>
          <w:szCs w:val="21"/>
          <w:highlight w:val="none"/>
        </w:rPr>
        <w:t>用上述</w:t>
      </w:r>
      <w:r>
        <w:rPr>
          <w:rFonts w:eastAsia="仿宋_GB2312"/>
          <w:color w:val="auto"/>
          <w:kern w:val="0"/>
          <w:szCs w:val="21"/>
          <w:highlight w:val="none"/>
        </w:rPr>
        <w:t>第（1）种</w:t>
      </w:r>
      <w:r>
        <w:rPr>
          <w:rFonts w:hint="eastAsia" w:eastAsia="仿宋_GB2312"/>
          <w:color w:val="auto"/>
          <w:kern w:val="0"/>
          <w:szCs w:val="21"/>
          <w:highlight w:val="none"/>
        </w:rPr>
        <w:t>方式。</w:t>
      </w:r>
    </w:p>
    <w:p w14:paraId="1C98039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15.3.2 质量保证金的扣留</w:t>
      </w:r>
    </w:p>
    <w:p w14:paraId="0ECE5AB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质量保证金</w:t>
      </w:r>
      <w:r>
        <w:rPr>
          <w:rFonts w:hint="eastAsia" w:eastAsia="仿宋_GB2312"/>
          <w:color w:val="auto"/>
          <w:kern w:val="0"/>
          <w:szCs w:val="21"/>
          <w:highlight w:val="none"/>
        </w:rPr>
        <w:t>的</w:t>
      </w:r>
      <w:r>
        <w:rPr>
          <w:rFonts w:eastAsia="仿宋_GB2312"/>
          <w:color w:val="auto"/>
          <w:kern w:val="0"/>
          <w:szCs w:val="21"/>
          <w:highlight w:val="none"/>
        </w:rPr>
        <w:t>扣留</w:t>
      </w:r>
      <w:r>
        <w:rPr>
          <w:rFonts w:hint="eastAsia" w:eastAsia="仿宋_GB2312"/>
          <w:color w:val="auto"/>
          <w:kern w:val="0"/>
          <w:szCs w:val="21"/>
          <w:highlight w:val="none"/>
        </w:rPr>
        <w:t>有</w:t>
      </w:r>
      <w:r>
        <w:rPr>
          <w:rFonts w:eastAsia="仿宋_GB2312"/>
          <w:color w:val="auto"/>
          <w:kern w:val="0"/>
          <w:szCs w:val="21"/>
          <w:highlight w:val="none"/>
        </w:rPr>
        <w:t>以下</w:t>
      </w:r>
      <w:r>
        <w:rPr>
          <w:rFonts w:hint="eastAsia" w:eastAsia="仿宋_GB2312"/>
          <w:color w:val="auto"/>
          <w:kern w:val="0"/>
          <w:szCs w:val="21"/>
          <w:highlight w:val="none"/>
        </w:rPr>
        <w:t>三</w:t>
      </w:r>
      <w:r>
        <w:rPr>
          <w:rFonts w:eastAsia="仿宋_GB2312"/>
          <w:color w:val="auto"/>
          <w:kern w:val="0"/>
          <w:szCs w:val="21"/>
          <w:highlight w:val="none"/>
        </w:rPr>
        <w:t>种</w:t>
      </w:r>
      <w:r>
        <w:rPr>
          <w:rFonts w:hint="eastAsia" w:eastAsia="仿宋_GB2312"/>
          <w:color w:val="auto"/>
          <w:kern w:val="0"/>
          <w:szCs w:val="21"/>
          <w:highlight w:val="none"/>
        </w:rPr>
        <w:t>方式</w:t>
      </w:r>
      <w:r>
        <w:rPr>
          <w:rFonts w:eastAsia="仿宋_GB2312"/>
          <w:color w:val="auto"/>
          <w:kern w:val="0"/>
          <w:szCs w:val="21"/>
          <w:highlight w:val="none"/>
        </w:rPr>
        <w:t>：</w:t>
      </w:r>
    </w:p>
    <w:p w14:paraId="1D7A4A4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（1）在支付工程进度款时逐次扣留，在此情形下，质量保证金的计算基数不包括预付款的支付、扣回以及价格调整的金额；</w:t>
      </w:r>
    </w:p>
    <w:p w14:paraId="777FBFE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（2）工</w:t>
      </w:r>
      <w:bookmarkStart w:id="469" w:name="#go6"/>
      <w:bookmarkEnd w:id="469"/>
      <w:r>
        <w:rPr>
          <w:rFonts w:eastAsia="仿宋_GB2312"/>
          <w:color w:val="auto"/>
          <w:kern w:val="0"/>
          <w:szCs w:val="21"/>
          <w:highlight w:val="none"/>
        </w:rPr>
        <w:t>程竣工结算时一次性扣留质量保证金；</w:t>
      </w:r>
    </w:p>
    <w:p w14:paraId="7AF12F3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（3）双方约定的其他扣留方式。</w:t>
      </w:r>
    </w:p>
    <w:p w14:paraId="11AE5E5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除专用合同条款另有约定外，质量保证金</w:t>
      </w:r>
      <w:r>
        <w:rPr>
          <w:rFonts w:hint="eastAsia" w:eastAsia="仿宋_GB2312"/>
          <w:color w:val="auto"/>
          <w:kern w:val="0"/>
          <w:szCs w:val="21"/>
          <w:highlight w:val="none"/>
        </w:rPr>
        <w:t>的</w:t>
      </w:r>
      <w:r>
        <w:rPr>
          <w:rFonts w:eastAsia="仿宋_GB2312"/>
          <w:color w:val="auto"/>
          <w:kern w:val="0"/>
          <w:szCs w:val="21"/>
          <w:highlight w:val="none"/>
        </w:rPr>
        <w:t>扣留</w:t>
      </w:r>
      <w:r>
        <w:rPr>
          <w:rFonts w:hint="eastAsia" w:eastAsia="仿宋_GB2312"/>
          <w:color w:val="auto"/>
          <w:kern w:val="0"/>
          <w:szCs w:val="21"/>
          <w:highlight w:val="none"/>
        </w:rPr>
        <w:t>原则上</w:t>
      </w:r>
      <w:r>
        <w:rPr>
          <w:rFonts w:eastAsia="仿宋_GB2312"/>
          <w:color w:val="auto"/>
          <w:kern w:val="0"/>
          <w:szCs w:val="21"/>
          <w:highlight w:val="none"/>
        </w:rPr>
        <w:t>采</w:t>
      </w:r>
      <w:r>
        <w:rPr>
          <w:rFonts w:hint="eastAsia" w:eastAsia="仿宋_GB2312"/>
          <w:color w:val="auto"/>
          <w:kern w:val="0"/>
          <w:szCs w:val="21"/>
          <w:highlight w:val="none"/>
        </w:rPr>
        <w:t>用上述</w:t>
      </w:r>
      <w:r>
        <w:rPr>
          <w:rFonts w:eastAsia="仿宋_GB2312"/>
          <w:color w:val="auto"/>
          <w:kern w:val="0"/>
          <w:szCs w:val="21"/>
          <w:highlight w:val="none"/>
        </w:rPr>
        <w:t>第（1）种方式</w:t>
      </w:r>
      <w:r>
        <w:rPr>
          <w:rFonts w:hint="eastAsia" w:eastAsia="仿宋_GB2312"/>
          <w:color w:val="auto"/>
          <w:kern w:val="0"/>
          <w:szCs w:val="21"/>
          <w:highlight w:val="none"/>
        </w:rPr>
        <w:t>。</w:t>
      </w:r>
    </w:p>
    <w:p w14:paraId="6965794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w:t>
      </w:r>
      <w:bookmarkStart w:id="470" w:name="#go4"/>
      <w:bookmarkEnd w:id="470"/>
      <w:r>
        <w:rPr>
          <w:rFonts w:eastAsia="仿宋_GB2312"/>
          <w:color w:val="auto"/>
          <w:kern w:val="0"/>
          <w:szCs w:val="21"/>
          <w:highlight w:val="none"/>
        </w:rPr>
        <w:t>包人累计扣留的质量保证金不得超过</w:t>
      </w:r>
      <w:r>
        <w:rPr>
          <w:rFonts w:hint="eastAsia" w:eastAsia="仿宋_GB2312"/>
          <w:color w:val="auto"/>
          <w:kern w:val="0"/>
          <w:szCs w:val="21"/>
          <w:highlight w:val="none"/>
        </w:rPr>
        <w:t>工程价款结算总额</w:t>
      </w:r>
      <w:r>
        <w:rPr>
          <w:rFonts w:eastAsia="仿宋_GB2312"/>
          <w:color w:val="auto"/>
          <w:kern w:val="0"/>
          <w:szCs w:val="21"/>
          <w:highlight w:val="none"/>
        </w:rPr>
        <w:t>的3%</w:t>
      </w:r>
      <w:r>
        <w:rPr>
          <w:rFonts w:hint="eastAsia" w:eastAsia="仿宋_GB2312"/>
          <w:color w:val="auto"/>
          <w:kern w:val="0"/>
          <w:szCs w:val="21"/>
          <w:highlight w:val="none"/>
        </w:rPr>
        <w:t>。如</w:t>
      </w:r>
      <w:r>
        <w:rPr>
          <w:rFonts w:eastAsia="仿宋_GB2312"/>
          <w:color w:val="auto"/>
          <w:kern w:val="0"/>
          <w:szCs w:val="21"/>
          <w:highlight w:val="none"/>
        </w:rPr>
        <w:t>承包人在发包人签发竣工付款证书后28天内提交质量保证金保函，发包人应同时退还扣留的作为质量保证金的工程价款</w:t>
      </w:r>
      <w:r>
        <w:rPr>
          <w:rFonts w:hint="eastAsia" w:eastAsia="仿宋_GB2312"/>
          <w:color w:val="auto"/>
          <w:kern w:val="0"/>
          <w:szCs w:val="21"/>
          <w:highlight w:val="none"/>
        </w:rPr>
        <w:t>；保函金额不得超过工程价款结算总额的3%</w:t>
      </w:r>
      <w:r>
        <w:rPr>
          <w:rFonts w:eastAsia="仿宋_GB2312"/>
          <w:color w:val="auto"/>
          <w:kern w:val="0"/>
          <w:szCs w:val="21"/>
          <w:highlight w:val="none"/>
        </w:rPr>
        <w:t>。</w:t>
      </w:r>
    </w:p>
    <w:p w14:paraId="74EAA4E8">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发包人在退还质量保证金的同时</w:t>
      </w:r>
      <w:r>
        <w:rPr>
          <w:rFonts w:eastAsia="仿宋_GB2312"/>
          <w:color w:val="auto"/>
          <w:kern w:val="0"/>
          <w:szCs w:val="21"/>
          <w:highlight w:val="none"/>
        </w:rPr>
        <w:t>按照</w:t>
      </w:r>
      <w:r>
        <w:rPr>
          <w:rFonts w:hint="eastAsia" w:eastAsia="仿宋_GB2312"/>
          <w:color w:val="auto"/>
          <w:kern w:val="0"/>
          <w:szCs w:val="21"/>
          <w:highlight w:val="none"/>
        </w:rPr>
        <w:t>全国银行间同业拆借中心公布的市场报价利率</w:t>
      </w:r>
      <w:r>
        <w:rPr>
          <w:rFonts w:eastAsia="仿宋_GB2312"/>
          <w:color w:val="auto"/>
          <w:kern w:val="0"/>
          <w:szCs w:val="21"/>
          <w:highlight w:val="none"/>
        </w:rPr>
        <w:t>支付</w:t>
      </w:r>
      <w:r>
        <w:rPr>
          <w:rFonts w:hint="eastAsia" w:eastAsia="仿宋_GB2312"/>
          <w:color w:val="auto"/>
          <w:kern w:val="0"/>
          <w:szCs w:val="21"/>
          <w:highlight w:val="none"/>
        </w:rPr>
        <w:t>利息。</w:t>
      </w:r>
    </w:p>
    <w:p w14:paraId="68C54BB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15.3.3 </w:t>
      </w:r>
      <w:r>
        <w:rPr>
          <w:rFonts w:eastAsia="仿宋_GB2312"/>
          <w:color w:val="auto"/>
          <w:szCs w:val="21"/>
          <w:highlight w:val="none"/>
        </w:rPr>
        <w:t>质量保证金</w:t>
      </w:r>
      <w:r>
        <w:rPr>
          <w:rFonts w:eastAsia="仿宋_GB2312"/>
          <w:color w:val="auto"/>
          <w:kern w:val="0"/>
          <w:szCs w:val="21"/>
          <w:highlight w:val="none"/>
        </w:rPr>
        <w:t>的退还</w:t>
      </w:r>
    </w:p>
    <w:p w14:paraId="73F7B4C7">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缺陷责任期内，承包人认真履行合同约定的责任，到期后，承包人可向发包人申请返还保证金。</w:t>
      </w:r>
    </w:p>
    <w:p w14:paraId="00DF20B2">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AF5FD72">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发包人和承包人对保证金预留、返还以及工程维修质量、费用有争议的，按本合同第20条约定的争议和纠纷解决程序处理</w:t>
      </w:r>
      <w:r>
        <w:rPr>
          <w:rFonts w:eastAsia="仿宋_GB2312"/>
          <w:color w:val="auto"/>
          <w:kern w:val="0"/>
          <w:szCs w:val="21"/>
          <w:highlight w:val="none"/>
        </w:rPr>
        <w:t>。</w:t>
      </w:r>
    </w:p>
    <w:p w14:paraId="1A08BB69">
      <w:pPr>
        <w:pStyle w:val="4"/>
        <w:spacing w:before="0" w:after="0" w:line="360" w:lineRule="auto"/>
        <w:ind w:firstLine="420" w:firstLineChars="200"/>
        <w:rPr>
          <w:rFonts w:eastAsia="黑体"/>
          <w:color w:val="auto"/>
          <w:sz w:val="21"/>
          <w:szCs w:val="21"/>
          <w:highlight w:val="none"/>
        </w:rPr>
      </w:pPr>
      <w:bookmarkStart w:id="471" w:name="_Toc15862"/>
      <w:bookmarkStart w:id="472" w:name="_Toc337558819"/>
      <w:r>
        <w:rPr>
          <w:rFonts w:eastAsia="黑体"/>
          <w:color w:val="auto"/>
          <w:sz w:val="21"/>
          <w:szCs w:val="21"/>
          <w:highlight w:val="none"/>
        </w:rPr>
        <w:t>15.4 保修</w:t>
      </w:r>
      <w:bookmarkEnd w:id="471"/>
    </w:p>
    <w:bookmarkEnd w:id="467"/>
    <w:bookmarkEnd w:id="468"/>
    <w:bookmarkEnd w:id="472"/>
    <w:p w14:paraId="5C0A649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15.4.1保修责任</w:t>
      </w:r>
    </w:p>
    <w:p w14:paraId="15C1512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4531CFC">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发包人未经竣工验收擅自使用工程的，保修期自</w:t>
      </w:r>
      <w:r>
        <w:rPr>
          <w:rFonts w:eastAsia="仿宋_GB2312"/>
          <w:color w:val="auto"/>
          <w:kern w:val="0"/>
          <w:szCs w:val="21"/>
          <w:highlight w:val="none"/>
        </w:rPr>
        <w:t>转移占有之日起算</w:t>
      </w:r>
      <w:r>
        <w:rPr>
          <w:rFonts w:eastAsia="仿宋_GB2312"/>
          <w:color w:val="auto"/>
          <w:szCs w:val="21"/>
          <w:highlight w:val="none"/>
        </w:rPr>
        <w:t>。</w:t>
      </w:r>
    </w:p>
    <w:p w14:paraId="738BC4E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15.4.2 修复费用</w:t>
      </w:r>
    </w:p>
    <w:p w14:paraId="540D346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保修期内，修复的费用按照以下约定处理：</w:t>
      </w:r>
    </w:p>
    <w:p w14:paraId="199FF15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（1）保修期内，因承包人原因造成工程的缺陷、损坏，承包人应负责修复，并承担修复的费用以及因工程的缺陷、损坏造成的人身伤害和财产损失；</w:t>
      </w:r>
    </w:p>
    <w:p w14:paraId="27F9761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（2）保修期内，因发包人使用不当造成工程的缺陷、损坏，可以委托承包人修复，但发包人应承担修复的费用，并支付承包人合理利润；</w:t>
      </w:r>
    </w:p>
    <w:p w14:paraId="2834E72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10950BA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15.4.3 修复通知</w:t>
      </w:r>
    </w:p>
    <w:p w14:paraId="40EDC86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D2D3DF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15.4.4 未能修复</w:t>
      </w:r>
    </w:p>
    <w:p w14:paraId="4BAE982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color w:val="auto"/>
          <w:kern w:val="0"/>
          <w:szCs w:val="21"/>
          <w:highlight w:val="none"/>
        </w:rPr>
        <w:t>但修复范围超出缺陷或损坏范围的，超出范围部分的修复费用由发包人承担。</w:t>
      </w:r>
    </w:p>
    <w:p w14:paraId="040EDF6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15.4.5 承包人出入权</w:t>
      </w:r>
    </w:p>
    <w:p w14:paraId="499DAC8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0F10B77">
      <w:pPr>
        <w:pStyle w:val="3"/>
        <w:ind w:firstLine="1680"/>
        <w:rPr>
          <w:rFonts w:ascii="Times New Roman" w:hAnsi="Times New Roman"/>
          <w:color w:val="auto"/>
          <w:sz w:val="21"/>
          <w:szCs w:val="21"/>
          <w:highlight w:val="none"/>
        </w:rPr>
      </w:pPr>
      <w:bookmarkStart w:id="473" w:name="_Toc1139"/>
      <w:bookmarkStart w:id="474" w:name="_Toc337558820"/>
      <w:r>
        <w:rPr>
          <w:rFonts w:ascii="Times New Roman" w:hAnsi="Times New Roman"/>
          <w:color w:val="auto"/>
          <w:sz w:val="21"/>
          <w:szCs w:val="21"/>
          <w:highlight w:val="none"/>
        </w:rPr>
        <w:t>16. 违约</w:t>
      </w:r>
      <w:bookmarkEnd w:id="473"/>
    </w:p>
    <w:bookmarkEnd w:id="474"/>
    <w:p w14:paraId="7A51AC31">
      <w:pPr>
        <w:pStyle w:val="4"/>
        <w:spacing w:before="0" w:after="0" w:line="360" w:lineRule="auto"/>
        <w:ind w:firstLine="420" w:firstLineChars="200"/>
        <w:rPr>
          <w:rFonts w:eastAsia="黑体"/>
          <w:color w:val="auto"/>
          <w:sz w:val="21"/>
          <w:szCs w:val="21"/>
          <w:highlight w:val="none"/>
        </w:rPr>
      </w:pPr>
      <w:bookmarkStart w:id="475" w:name="_Toc296346630"/>
      <w:bookmarkStart w:id="476" w:name="_Toc296503129"/>
      <w:bookmarkStart w:id="477" w:name="_Toc16510"/>
      <w:bookmarkStart w:id="478" w:name="_Toc337558821"/>
      <w:r>
        <w:rPr>
          <w:rFonts w:eastAsia="黑体"/>
          <w:color w:val="auto"/>
          <w:sz w:val="21"/>
          <w:szCs w:val="21"/>
          <w:highlight w:val="none"/>
        </w:rPr>
        <w:t>16.1 发</w:t>
      </w:r>
      <w:bookmarkEnd w:id="475"/>
      <w:bookmarkEnd w:id="476"/>
      <w:r>
        <w:rPr>
          <w:rFonts w:eastAsia="黑体"/>
          <w:color w:val="auto"/>
          <w:sz w:val="21"/>
          <w:szCs w:val="21"/>
          <w:highlight w:val="none"/>
        </w:rPr>
        <w:t>包人违约</w:t>
      </w:r>
      <w:bookmarkEnd w:id="477"/>
    </w:p>
    <w:bookmarkEnd w:id="478"/>
    <w:p w14:paraId="2A47DD7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16.1.1 发包人违约的情形</w:t>
      </w:r>
    </w:p>
    <w:p w14:paraId="22072BD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在合同履行过程中发生的下列情形，属于发包人违约：</w:t>
      </w:r>
    </w:p>
    <w:p w14:paraId="0828BCC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（1）因发包人原因未能在计划开工日期前7天内下达开工通知的；</w:t>
      </w:r>
    </w:p>
    <w:p w14:paraId="1DDE0B1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（2）因发包人原因未能按合同约定支付合同价款的；</w:t>
      </w:r>
    </w:p>
    <w:p w14:paraId="6A5B1B3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（3）发包人违反第10.1款</w:t>
      </w:r>
      <w:r>
        <w:rPr>
          <w:rFonts w:hint="eastAsia" w:eastAsia="仿宋_GB2312"/>
          <w:color w:val="auto"/>
          <w:kern w:val="0"/>
          <w:szCs w:val="21"/>
          <w:highlight w:val="none"/>
        </w:rPr>
        <w:t>〔</w:t>
      </w:r>
      <w:r>
        <w:rPr>
          <w:rFonts w:eastAsia="仿宋_GB2312"/>
          <w:color w:val="auto"/>
          <w:kern w:val="0"/>
          <w:szCs w:val="21"/>
          <w:highlight w:val="none"/>
        </w:rPr>
        <w:t>变更的范围</w:t>
      </w:r>
      <w:r>
        <w:rPr>
          <w:rFonts w:hint="eastAsia" w:eastAsia="仿宋_GB2312"/>
          <w:color w:val="auto"/>
          <w:kern w:val="0"/>
          <w:szCs w:val="21"/>
          <w:highlight w:val="none"/>
        </w:rPr>
        <w:t>〕</w:t>
      </w:r>
      <w:r>
        <w:rPr>
          <w:rFonts w:eastAsia="仿宋_GB2312"/>
          <w:color w:val="auto"/>
          <w:kern w:val="0"/>
          <w:szCs w:val="21"/>
          <w:highlight w:val="none"/>
        </w:rPr>
        <w:t>第（2）项约定，自行实施被取消的工作或转由他人实施的；</w:t>
      </w:r>
    </w:p>
    <w:p w14:paraId="442FBB8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（4）发包人提供的材料、工程设备的规格、数量或质量不符合合同约定，或因发包人原因导致交货日期延误或交货地点变更等情况的；</w:t>
      </w:r>
    </w:p>
    <w:p w14:paraId="763962B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（5）因发包人违反合同约定造成暂停施工的；</w:t>
      </w:r>
    </w:p>
    <w:p w14:paraId="128CBCF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（6）发包人无正当理由没有在约定期限内发出复工指示，导致承包人无法复工的；</w:t>
      </w:r>
    </w:p>
    <w:p w14:paraId="3C39B89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（7）发包人明确表示或者以其行为表明不履行合同主要义务的；</w:t>
      </w:r>
    </w:p>
    <w:p w14:paraId="0D6ADAB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（8）发包人未能按照合同约定履行其他义务的。</w:t>
      </w:r>
    </w:p>
    <w:p w14:paraId="5756376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197A9A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16.1.2 发包人违约的责任</w:t>
      </w:r>
    </w:p>
    <w:p w14:paraId="5255547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2E958A4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16.1.3 因发包人违约解除合同</w:t>
      </w:r>
    </w:p>
    <w:p w14:paraId="39E5CE9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除专用合同条款另有约定外，承包人按第16.1.1项</w:t>
      </w:r>
      <w:r>
        <w:rPr>
          <w:rFonts w:hint="eastAsia" w:eastAsia="仿宋_GB2312"/>
          <w:color w:val="auto"/>
          <w:kern w:val="0"/>
          <w:szCs w:val="21"/>
          <w:highlight w:val="none"/>
        </w:rPr>
        <w:t>〔</w:t>
      </w:r>
      <w:r>
        <w:rPr>
          <w:rFonts w:eastAsia="仿宋_GB2312"/>
          <w:color w:val="auto"/>
          <w:kern w:val="0"/>
          <w:szCs w:val="21"/>
          <w:highlight w:val="none"/>
        </w:rPr>
        <w:t>发包人违约的情形</w:t>
      </w:r>
      <w:r>
        <w:rPr>
          <w:rFonts w:hint="eastAsia" w:eastAsia="仿宋_GB2312"/>
          <w:color w:val="auto"/>
          <w:kern w:val="0"/>
          <w:szCs w:val="21"/>
          <w:highlight w:val="none"/>
        </w:rPr>
        <w:t>〕</w:t>
      </w:r>
      <w:r>
        <w:rPr>
          <w:rFonts w:eastAsia="仿宋_GB2312"/>
          <w:color w:val="auto"/>
          <w:kern w:val="0"/>
          <w:szCs w:val="21"/>
          <w:highlight w:val="none"/>
        </w:rPr>
        <w:t>约定暂停施工满28天后</w:t>
      </w:r>
      <w:r>
        <w:rPr>
          <w:rFonts w:hint="eastAsia" w:eastAsia="仿宋_GB2312"/>
          <w:color w:val="auto"/>
          <w:kern w:val="0"/>
          <w:szCs w:val="21"/>
          <w:highlight w:val="none"/>
        </w:rPr>
        <w:t>，</w:t>
      </w:r>
      <w:r>
        <w:rPr>
          <w:rFonts w:eastAsia="仿宋_GB2312"/>
          <w:color w:val="auto"/>
          <w:kern w:val="0"/>
          <w:szCs w:val="21"/>
          <w:highlight w:val="none"/>
        </w:rPr>
        <w:t>发包人仍不纠正其违约行为并致使合同目的不能实现的，</w:t>
      </w:r>
      <w:r>
        <w:rPr>
          <w:rFonts w:hint="eastAsia" w:eastAsia="仿宋_GB2312"/>
          <w:color w:val="auto"/>
          <w:kern w:val="0"/>
          <w:szCs w:val="21"/>
          <w:highlight w:val="none"/>
        </w:rPr>
        <w:t>或</w:t>
      </w:r>
      <w:r>
        <w:rPr>
          <w:rFonts w:eastAsia="仿宋_GB2312"/>
          <w:color w:val="auto"/>
          <w:kern w:val="0"/>
          <w:szCs w:val="21"/>
          <w:highlight w:val="none"/>
        </w:rPr>
        <w:t>出现第16.1.1项</w:t>
      </w:r>
      <w:r>
        <w:rPr>
          <w:rFonts w:hint="eastAsia" w:eastAsia="仿宋_GB2312"/>
          <w:color w:val="auto"/>
          <w:kern w:val="0"/>
          <w:szCs w:val="21"/>
          <w:highlight w:val="none"/>
        </w:rPr>
        <w:t>〔</w:t>
      </w:r>
      <w:r>
        <w:rPr>
          <w:rFonts w:eastAsia="仿宋_GB2312"/>
          <w:color w:val="auto"/>
          <w:kern w:val="0"/>
          <w:szCs w:val="21"/>
          <w:highlight w:val="none"/>
        </w:rPr>
        <w:t>发包人违约的情形</w:t>
      </w:r>
      <w:r>
        <w:rPr>
          <w:rFonts w:hint="eastAsia" w:eastAsia="仿宋_GB2312"/>
          <w:color w:val="auto"/>
          <w:kern w:val="0"/>
          <w:szCs w:val="21"/>
          <w:highlight w:val="none"/>
        </w:rPr>
        <w:t>〕</w:t>
      </w:r>
      <w:r>
        <w:rPr>
          <w:rFonts w:eastAsia="仿宋_GB2312"/>
          <w:color w:val="auto"/>
          <w:kern w:val="0"/>
          <w:szCs w:val="21"/>
          <w:highlight w:val="none"/>
        </w:rPr>
        <w:t>第（7）目约定的违约情况，承包人有权解除合同，发包人应承担由此增加的费用，并支付承包人合理的利润。</w:t>
      </w:r>
    </w:p>
    <w:p w14:paraId="40330458">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16.1.4 因发包人违约解除合同后的付款</w:t>
      </w:r>
    </w:p>
    <w:p w14:paraId="003A722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承包人按照本款约定解除合同的，发包人应在解除合同后28天内支付下列款项，并解除履约担保：</w:t>
      </w:r>
    </w:p>
    <w:p w14:paraId="5D38D40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（1）合同解除前所完成工作的价款；</w:t>
      </w:r>
    </w:p>
    <w:p w14:paraId="682BA07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（2）承包人为工程施工订购并已付款的材料、工程设备和其他物品的价款；</w:t>
      </w:r>
    </w:p>
    <w:p w14:paraId="6CB7976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（3）承包人撤离施工现场以及遣散承包人人员的款项；</w:t>
      </w:r>
    </w:p>
    <w:p w14:paraId="5A37F74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（4）按照合同约定在合同解除前应支付的违约金；</w:t>
      </w:r>
    </w:p>
    <w:p w14:paraId="3017175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（5）按照合同约定应当支付给承包人的其他款项；</w:t>
      </w:r>
    </w:p>
    <w:p w14:paraId="00E6702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（6）按照合同约定应退还的质量保证金；</w:t>
      </w:r>
    </w:p>
    <w:p w14:paraId="2369F11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（7）因解除合同给承包人造成的损失。</w:t>
      </w:r>
    </w:p>
    <w:p w14:paraId="3254016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合同当事人未能就解除合同后的结清达成一致的，按照第20条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的约定处理。</w:t>
      </w:r>
    </w:p>
    <w:p w14:paraId="5BC6111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588B5512">
      <w:pPr>
        <w:pStyle w:val="4"/>
        <w:spacing w:before="0" w:after="0" w:line="360" w:lineRule="auto"/>
        <w:ind w:firstLine="420" w:firstLineChars="200"/>
        <w:rPr>
          <w:rFonts w:eastAsia="黑体"/>
          <w:color w:val="auto"/>
          <w:sz w:val="21"/>
          <w:szCs w:val="21"/>
          <w:highlight w:val="none"/>
        </w:rPr>
      </w:pPr>
      <w:bookmarkStart w:id="479" w:name="_Toc24770"/>
      <w:bookmarkStart w:id="480" w:name="_Toc296346632"/>
      <w:bookmarkStart w:id="481" w:name="_Toc337558822"/>
      <w:bookmarkStart w:id="482" w:name="_Toc296503131"/>
      <w:r>
        <w:rPr>
          <w:rFonts w:eastAsia="黑体"/>
          <w:color w:val="auto"/>
          <w:sz w:val="21"/>
          <w:szCs w:val="21"/>
          <w:highlight w:val="none"/>
        </w:rPr>
        <w:t>16.2 承包人违约</w:t>
      </w:r>
      <w:bookmarkEnd w:id="479"/>
    </w:p>
    <w:bookmarkEnd w:id="480"/>
    <w:bookmarkEnd w:id="481"/>
    <w:bookmarkEnd w:id="482"/>
    <w:p w14:paraId="744B794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16.2.1 承包人违约的情形</w:t>
      </w:r>
    </w:p>
    <w:p w14:paraId="0E78FF5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在合同履行过程中发生的下列情形，属于承包人违约：</w:t>
      </w:r>
    </w:p>
    <w:p w14:paraId="52E8CFB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（1）承包人违反合同约定进行转包或违法分包的；</w:t>
      </w:r>
    </w:p>
    <w:p w14:paraId="4875D69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（2）承包人违反合同约定采购和使用不合格的材料和工程设备的；</w:t>
      </w:r>
    </w:p>
    <w:p w14:paraId="6BB6CF7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（3）因承包人原因导致工程质量不符合合同要求的； </w:t>
      </w:r>
    </w:p>
    <w:p w14:paraId="5F41522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（4）承包人违反第8.9款</w:t>
      </w:r>
      <w:r>
        <w:rPr>
          <w:rFonts w:hint="eastAsia" w:eastAsia="仿宋_GB2312"/>
          <w:color w:val="auto"/>
          <w:kern w:val="0"/>
          <w:szCs w:val="21"/>
          <w:highlight w:val="none"/>
        </w:rPr>
        <w:t>〔</w:t>
      </w:r>
      <w:r>
        <w:rPr>
          <w:rFonts w:eastAsia="仿宋_GB2312"/>
          <w:color w:val="auto"/>
          <w:kern w:val="0"/>
          <w:szCs w:val="21"/>
          <w:highlight w:val="none"/>
        </w:rPr>
        <w:t>材料与设备专用</w:t>
      </w:r>
      <w:r>
        <w:rPr>
          <w:rFonts w:hint="eastAsia" w:eastAsia="仿宋_GB2312"/>
          <w:color w:val="auto"/>
          <w:kern w:val="0"/>
          <w:szCs w:val="21"/>
          <w:highlight w:val="none"/>
        </w:rPr>
        <w:t>要求〕</w:t>
      </w:r>
      <w:r>
        <w:rPr>
          <w:rFonts w:eastAsia="仿宋_GB2312"/>
          <w:color w:val="auto"/>
          <w:kern w:val="0"/>
          <w:szCs w:val="21"/>
          <w:highlight w:val="none"/>
        </w:rPr>
        <w:t>的约定，未经批准，私自将已按照合同约定进入施工现场的材料或设备撤离施工现场的；</w:t>
      </w:r>
    </w:p>
    <w:p w14:paraId="67F8B6C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（5）承包人未能按施工进度计划及时完成合同约定的工作，造成工期延误的；</w:t>
      </w:r>
    </w:p>
    <w:p w14:paraId="4B897EC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（6）承包人在保修期内，未能在合理期限对工程缺陷进行修复，或拒绝按发包人要求进行修复的；</w:t>
      </w:r>
    </w:p>
    <w:p w14:paraId="74D1B43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（7）承包人明确表示或者以其行为表明不履行合同主要义务的；</w:t>
      </w:r>
    </w:p>
    <w:p w14:paraId="2BFBA1F6">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（8）承包人未按照发包人确认的施工组织设计（施工方案）施工或擅自停工的，应按照合同专用条款约定进行处理。</w:t>
      </w:r>
    </w:p>
    <w:p w14:paraId="6F811722">
      <w:pPr>
        <w:autoSpaceDE w:val="0"/>
        <w:autoSpaceDN w:val="0"/>
        <w:adjustRightInd w:val="0"/>
        <w:spacing w:line="360" w:lineRule="auto"/>
        <w:ind w:firstLine="420" w:firstLineChars="200"/>
        <w:jc w:val="left"/>
        <w:rPr>
          <w:rFonts w:eastAsia="仿宋_GB2312"/>
          <w:color w:val="auto"/>
          <w:kern w:val="0"/>
          <w:szCs w:val="21"/>
          <w:highlight w:val="none"/>
          <w:u w:val="double"/>
        </w:rPr>
      </w:pPr>
      <w:r>
        <w:rPr>
          <w:rFonts w:eastAsia="仿宋_GB2312"/>
          <w:color w:val="auto"/>
          <w:kern w:val="0"/>
          <w:szCs w:val="21"/>
          <w:highlight w:val="none"/>
        </w:rPr>
        <w:t>（9）承包人未能按照合同约定履行其他义务的。</w:t>
      </w:r>
    </w:p>
    <w:p w14:paraId="4661591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承包人发生除本项第（7）目约定以外的其他违约情况时，监理人可向承包人发出整改通知，要求其在指定的期限内改正。</w:t>
      </w:r>
    </w:p>
    <w:p w14:paraId="1FA42E1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16.2.2 承包人违约的责任</w:t>
      </w:r>
    </w:p>
    <w:p w14:paraId="7887D9B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承包人应承担因其违约行为而增加的费用</w:t>
      </w:r>
      <w:r>
        <w:rPr>
          <w:rFonts w:hint="eastAsia" w:eastAsia="仿宋_GB2312"/>
          <w:color w:val="auto"/>
          <w:kern w:val="0"/>
          <w:szCs w:val="21"/>
          <w:highlight w:val="none"/>
        </w:rPr>
        <w:t>和（或）延误的</w:t>
      </w:r>
      <w:r>
        <w:rPr>
          <w:rFonts w:eastAsia="仿宋_GB2312"/>
          <w:color w:val="auto"/>
          <w:kern w:val="0"/>
          <w:szCs w:val="21"/>
          <w:highlight w:val="none"/>
        </w:rPr>
        <w:t>工期。此外，合同当事人可在专用合同条款中另行约定承包人违约责任的承担方式和计算方法。</w:t>
      </w:r>
    </w:p>
    <w:p w14:paraId="0EB7A99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16.2.3 因承包人违约解除合同</w:t>
      </w:r>
    </w:p>
    <w:p w14:paraId="36F16ED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除专用合同条款另有约定外，出现第16.2.1项</w:t>
      </w:r>
      <w:r>
        <w:rPr>
          <w:rFonts w:hint="eastAsia" w:eastAsia="仿宋_GB2312"/>
          <w:color w:val="auto"/>
          <w:kern w:val="0"/>
          <w:szCs w:val="21"/>
          <w:highlight w:val="none"/>
        </w:rPr>
        <w:t>〔</w:t>
      </w:r>
      <w:r>
        <w:rPr>
          <w:rFonts w:eastAsia="仿宋_GB2312"/>
          <w:color w:val="auto"/>
          <w:kern w:val="0"/>
          <w:szCs w:val="21"/>
          <w:highlight w:val="none"/>
        </w:rPr>
        <w:t>承包人违约的情形</w:t>
      </w:r>
      <w:r>
        <w:rPr>
          <w:rFonts w:hint="eastAsia" w:eastAsia="仿宋_GB2312"/>
          <w:color w:val="auto"/>
          <w:kern w:val="0"/>
          <w:szCs w:val="21"/>
          <w:highlight w:val="none"/>
        </w:rPr>
        <w:t>〕</w:t>
      </w:r>
      <w:r>
        <w:rPr>
          <w:rFonts w:eastAsia="仿宋_GB2312"/>
          <w:color w:val="auto"/>
          <w:kern w:val="0"/>
          <w:szCs w:val="21"/>
          <w:highlight w:val="non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color w:val="auto"/>
          <w:kern w:val="0"/>
          <w:szCs w:val="21"/>
          <w:highlight w:val="none"/>
        </w:rPr>
        <w:t>合同当事人应在专用合同条款约定相应费用的承担方式。</w:t>
      </w:r>
      <w:r>
        <w:rPr>
          <w:rFonts w:eastAsia="仿宋_GB2312"/>
          <w:color w:val="auto"/>
          <w:kern w:val="0"/>
          <w:szCs w:val="21"/>
          <w:highlight w:val="none"/>
        </w:rPr>
        <w:t>发包人</w:t>
      </w:r>
      <w:r>
        <w:rPr>
          <w:rFonts w:hint="eastAsia" w:eastAsia="仿宋_GB2312"/>
          <w:color w:val="auto"/>
          <w:kern w:val="0"/>
          <w:szCs w:val="21"/>
          <w:highlight w:val="none"/>
        </w:rPr>
        <w:t>继续使用的</w:t>
      </w:r>
      <w:r>
        <w:rPr>
          <w:rFonts w:eastAsia="仿宋_GB2312"/>
          <w:color w:val="auto"/>
          <w:kern w:val="0"/>
          <w:szCs w:val="21"/>
          <w:highlight w:val="none"/>
        </w:rPr>
        <w:t>行为不免除或减轻承包人应承担的违约责任。</w:t>
      </w:r>
    </w:p>
    <w:p w14:paraId="6736841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16.2.4因承包人违约解除合同后的处理</w:t>
      </w:r>
    </w:p>
    <w:p w14:paraId="3176AA4B">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因承包人原因导致合同解除的，则合同当事人应在合同解除后28天内完成</w:t>
      </w:r>
      <w:r>
        <w:rPr>
          <w:rFonts w:hint="eastAsia" w:eastAsia="仿宋_GB2312"/>
          <w:color w:val="auto"/>
          <w:kern w:val="0"/>
          <w:szCs w:val="21"/>
          <w:highlight w:val="none"/>
        </w:rPr>
        <w:t>计价</w:t>
      </w:r>
      <w:r>
        <w:rPr>
          <w:rFonts w:eastAsia="仿宋_GB2312"/>
          <w:color w:val="auto"/>
          <w:kern w:val="0"/>
          <w:szCs w:val="21"/>
          <w:highlight w:val="none"/>
        </w:rPr>
        <w:t>、付款和清算，并按以下约定执行：</w:t>
      </w:r>
    </w:p>
    <w:p w14:paraId="306FD8B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（1）合同解除后，按第4.4款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商定或确定承包人实际完成工作对应的合同价款，以及承包人已提供的材料、工程设备、施工设备和临时工程等的价值；</w:t>
      </w:r>
    </w:p>
    <w:p w14:paraId="4DD9934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（2）合同解除后，承包人应支付的违约金；</w:t>
      </w:r>
    </w:p>
    <w:p w14:paraId="2EF52BB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（3）合同解除后，因解除合同给发包人造成的损失；</w:t>
      </w:r>
    </w:p>
    <w:p w14:paraId="0E9A180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（4）合同解除后，承包人应按照发包人要求和监理人的指示完成现场的清理和撤离；</w:t>
      </w:r>
    </w:p>
    <w:p w14:paraId="48982ED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（5）发包人和承包人应在合同解除后进行清算，出具最终结清付款证书，结清全部款项。</w:t>
      </w:r>
    </w:p>
    <w:p w14:paraId="1148C7D8">
      <w:pPr>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因承包人违约解除合同的，</w:t>
      </w:r>
      <w:r>
        <w:rPr>
          <w:rFonts w:eastAsia="仿宋_GB2312"/>
          <w:color w:val="auto"/>
          <w:kern w:val="0"/>
          <w:szCs w:val="21"/>
          <w:highlight w:val="none"/>
        </w:rPr>
        <w:t>发包人有权暂停对承包人的付款，查清各项付款和已扣款项。发包人和承包人未能就合同解除后的清算和款项支付达成一致的，按照第20条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的约定处理。</w:t>
      </w:r>
    </w:p>
    <w:p w14:paraId="30275A9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16.2.5采购合同权益转让</w:t>
      </w:r>
    </w:p>
    <w:p w14:paraId="70CC659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C625E45">
      <w:pPr>
        <w:pStyle w:val="4"/>
        <w:spacing w:before="0" w:after="0" w:line="360" w:lineRule="auto"/>
        <w:ind w:firstLine="420" w:firstLineChars="200"/>
        <w:rPr>
          <w:rFonts w:eastAsia="黑体"/>
          <w:color w:val="auto"/>
          <w:sz w:val="21"/>
          <w:szCs w:val="21"/>
          <w:highlight w:val="none"/>
        </w:rPr>
      </w:pPr>
      <w:bookmarkStart w:id="483" w:name="_Toc14843"/>
      <w:r>
        <w:rPr>
          <w:rFonts w:eastAsia="黑体"/>
          <w:color w:val="auto"/>
          <w:sz w:val="21"/>
          <w:szCs w:val="21"/>
          <w:highlight w:val="none"/>
        </w:rPr>
        <w:t>16.3 第三人造成的违约</w:t>
      </w:r>
      <w:bookmarkEnd w:id="483"/>
    </w:p>
    <w:p w14:paraId="14C7663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40A839A5">
      <w:pPr>
        <w:pStyle w:val="3"/>
        <w:ind w:firstLine="1680"/>
        <w:rPr>
          <w:rFonts w:ascii="Times New Roman" w:hAnsi="Times New Roman"/>
          <w:color w:val="auto"/>
          <w:sz w:val="21"/>
          <w:szCs w:val="21"/>
          <w:highlight w:val="none"/>
        </w:rPr>
      </w:pPr>
      <w:bookmarkStart w:id="484" w:name="_Toc6836"/>
      <w:bookmarkStart w:id="485" w:name="_Toc296346617"/>
      <w:bookmarkStart w:id="486" w:name="_Toc337558823"/>
      <w:bookmarkStart w:id="487" w:name="_Toc296503116"/>
      <w:r>
        <w:rPr>
          <w:rFonts w:ascii="Times New Roman" w:hAnsi="Times New Roman"/>
          <w:color w:val="auto"/>
          <w:sz w:val="21"/>
          <w:szCs w:val="21"/>
          <w:highlight w:val="none"/>
        </w:rPr>
        <w:t>17. 不可抗力</w:t>
      </w:r>
      <w:bookmarkEnd w:id="484"/>
      <w:r>
        <w:rPr>
          <w:rFonts w:ascii="Times New Roman" w:hAnsi="Times New Roman"/>
          <w:color w:val="auto"/>
          <w:sz w:val="21"/>
          <w:szCs w:val="21"/>
          <w:highlight w:val="none"/>
        </w:rPr>
        <w:t xml:space="preserve"> </w:t>
      </w:r>
      <w:bookmarkEnd w:id="485"/>
      <w:bookmarkEnd w:id="486"/>
      <w:bookmarkEnd w:id="487"/>
    </w:p>
    <w:p w14:paraId="10B85299">
      <w:pPr>
        <w:pStyle w:val="4"/>
        <w:spacing w:before="0" w:after="0" w:line="360" w:lineRule="auto"/>
        <w:ind w:firstLine="420" w:firstLineChars="200"/>
        <w:rPr>
          <w:rFonts w:eastAsia="黑体"/>
          <w:color w:val="auto"/>
          <w:sz w:val="21"/>
          <w:szCs w:val="21"/>
          <w:highlight w:val="none"/>
        </w:rPr>
      </w:pPr>
      <w:bookmarkStart w:id="488" w:name="_Toc9227"/>
      <w:bookmarkStart w:id="489" w:name="_Toc337558824"/>
      <w:bookmarkStart w:id="490" w:name="_Toc296503117"/>
      <w:bookmarkStart w:id="491" w:name="_Toc296346618"/>
      <w:r>
        <w:rPr>
          <w:rFonts w:eastAsia="黑体"/>
          <w:color w:val="auto"/>
          <w:sz w:val="21"/>
          <w:szCs w:val="21"/>
          <w:highlight w:val="none"/>
        </w:rPr>
        <w:t>17.1 不可抗力的确认</w:t>
      </w:r>
      <w:bookmarkEnd w:id="488"/>
    </w:p>
    <w:bookmarkEnd w:id="489"/>
    <w:bookmarkEnd w:id="490"/>
    <w:bookmarkEnd w:id="491"/>
    <w:p w14:paraId="0A45816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2781899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的约定处理。发生争议时，按第20条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的约定处理。</w:t>
      </w:r>
    </w:p>
    <w:p w14:paraId="2F87F212">
      <w:pPr>
        <w:pStyle w:val="4"/>
        <w:spacing w:before="0" w:after="0" w:line="360" w:lineRule="auto"/>
        <w:ind w:firstLine="420" w:firstLineChars="200"/>
        <w:rPr>
          <w:rFonts w:eastAsia="黑体"/>
          <w:color w:val="auto"/>
          <w:sz w:val="21"/>
          <w:szCs w:val="21"/>
          <w:highlight w:val="none"/>
        </w:rPr>
      </w:pPr>
      <w:bookmarkStart w:id="492" w:name="_Toc29549"/>
      <w:bookmarkStart w:id="493" w:name="_Toc296503118"/>
      <w:bookmarkStart w:id="494" w:name="_Toc337558825"/>
      <w:bookmarkStart w:id="495" w:name="_Toc296346619"/>
      <w:r>
        <w:rPr>
          <w:rFonts w:eastAsia="黑体"/>
          <w:color w:val="auto"/>
          <w:sz w:val="21"/>
          <w:szCs w:val="21"/>
          <w:highlight w:val="none"/>
        </w:rPr>
        <w:t>17.2 不可抗力的通知</w:t>
      </w:r>
      <w:bookmarkEnd w:id="492"/>
    </w:p>
    <w:bookmarkEnd w:id="493"/>
    <w:bookmarkEnd w:id="494"/>
    <w:bookmarkEnd w:id="495"/>
    <w:p w14:paraId="0D5E6752">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合同</w:t>
      </w:r>
      <w:r>
        <w:rPr>
          <w:rFonts w:eastAsia="仿宋_GB2312"/>
          <w:color w:val="auto"/>
          <w:kern w:val="0"/>
          <w:szCs w:val="21"/>
          <w:highlight w:val="none"/>
        </w:rPr>
        <w:t>一方当事人遇到不可抗力事件，使其履行合同义务受到阻碍时，应立即通知合同另一方当事人和监理人，书面说明不可抗力和受阻碍的详细情况，并提供必要的证明。</w:t>
      </w:r>
    </w:p>
    <w:p w14:paraId="79AE72E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47AF803">
      <w:pPr>
        <w:pStyle w:val="4"/>
        <w:spacing w:before="0" w:after="0" w:line="360" w:lineRule="auto"/>
        <w:ind w:firstLine="420" w:firstLineChars="200"/>
        <w:rPr>
          <w:rFonts w:eastAsia="黑体"/>
          <w:color w:val="auto"/>
          <w:sz w:val="21"/>
          <w:szCs w:val="21"/>
          <w:highlight w:val="none"/>
        </w:rPr>
      </w:pPr>
      <w:bookmarkStart w:id="496" w:name="_Toc14656"/>
      <w:bookmarkStart w:id="497" w:name="_Toc296503119"/>
      <w:bookmarkStart w:id="498" w:name="_Toc296346620"/>
      <w:bookmarkStart w:id="499" w:name="_Toc337558826"/>
      <w:r>
        <w:rPr>
          <w:rFonts w:eastAsia="黑体"/>
          <w:color w:val="auto"/>
          <w:sz w:val="21"/>
          <w:szCs w:val="21"/>
          <w:highlight w:val="none"/>
        </w:rPr>
        <w:t>17.3 不可抗力后果的承担</w:t>
      </w:r>
      <w:bookmarkEnd w:id="496"/>
    </w:p>
    <w:bookmarkEnd w:id="497"/>
    <w:bookmarkEnd w:id="498"/>
    <w:bookmarkEnd w:id="499"/>
    <w:p w14:paraId="6C895AB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17.3.1 </w:t>
      </w:r>
      <w:r>
        <w:rPr>
          <w:rFonts w:hint="eastAsia" w:eastAsia="仿宋_GB2312"/>
          <w:color w:val="auto"/>
          <w:kern w:val="0"/>
          <w:szCs w:val="21"/>
          <w:highlight w:val="none"/>
        </w:rPr>
        <w:t>不可抗力引起的后果及造成的损失由合同当事人按照法律规定及合同约定各自承担。</w:t>
      </w:r>
      <w:r>
        <w:rPr>
          <w:rFonts w:eastAsia="仿宋_GB2312"/>
          <w:color w:val="auto"/>
          <w:kern w:val="0"/>
          <w:szCs w:val="21"/>
          <w:highlight w:val="none"/>
        </w:rPr>
        <w:t>不可抗力发生前已完</w:t>
      </w:r>
      <w:r>
        <w:rPr>
          <w:rFonts w:hint="eastAsia" w:eastAsia="仿宋_GB2312"/>
          <w:color w:val="auto"/>
          <w:kern w:val="0"/>
          <w:szCs w:val="21"/>
          <w:highlight w:val="none"/>
        </w:rPr>
        <w:t>成的</w:t>
      </w:r>
      <w:r>
        <w:rPr>
          <w:rFonts w:eastAsia="仿宋_GB2312"/>
          <w:color w:val="auto"/>
          <w:kern w:val="0"/>
          <w:szCs w:val="21"/>
          <w:highlight w:val="none"/>
        </w:rPr>
        <w:t>工程应当按照合同约定进行计量</w:t>
      </w:r>
      <w:r>
        <w:rPr>
          <w:rFonts w:hint="eastAsia" w:eastAsia="仿宋_GB2312"/>
          <w:color w:val="auto"/>
          <w:kern w:val="0"/>
          <w:szCs w:val="21"/>
          <w:highlight w:val="none"/>
        </w:rPr>
        <w:t>支付</w:t>
      </w:r>
      <w:r>
        <w:rPr>
          <w:rFonts w:eastAsia="仿宋_GB2312"/>
          <w:color w:val="auto"/>
          <w:kern w:val="0"/>
          <w:szCs w:val="21"/>
          <w:highlight w:val="none"/>
        </w:rPr>
        <w:t>。</w:t>
      </w:r>
    </w:p>
    <w:p w14:paraId="6C6AE1B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17.3.2 不可抗力导致的人员伤亡、财产损失、费用增加和（或）工期延误等后果，由合同当事人按以下原则承担：</w:t>
      </w:r>
    </w:p>
    <w:p w14:paraId="5B6240C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（1）永久工程、已运至施工现场的材料和工程设备的损坏，以及因工程损坏造成的第三人人员伤亡和财产损失由发包人承担；</w:t>
      </w:r>
    </w:p>
    <w:p w14:paraId="635B487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（2）承包人施工设备的损坏由承包人承担；</w:t>
      </w:r>
    </w:p>
    <w:p w14:paraId="3FF8C07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（3）发包人和承包人承担各自人员伤亡和财产的损失；</w:t>
      </w:r>
    </w:p>
    <w:p w14:paraId="44FCAC5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C6D2D6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（5）因不可抗力引起或将引起工期延误，发包人要求赶工的，由此增加的赶工费用由发包人承担；</w:t>
      </w:r>
    </w:p>
    <w:p w14:paraId="7374669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（6）承包人在停工期间按照发包人要求照管、清理和修复工程的费用由发包人承担。</w:t>
      </w:r>
    </w:p>
    <w:p w14:paraId="538FBCD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不可抗力发生后，合同当事人均应采取措施尽量避免和减少损失的扩大，任何一方当事人没有采取有效措施导致损失扩大的，应对扩大的损失承担责任。</w:t>
      </w:r>
    </w:p>
    <w:p w14:paraId="4C4B666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因合同一方迟延履行合同义务，在迟延履行期间遭遇不可抗力的，不免除其违约责任。</w:t>
      </w:r>
    </w:p>
    <w:p w14:paraId="03A389E2">
      <w:pPr>
        <w:pStyle w:val="4"/>
        <w:spacing w:before="0" w:after="0" w:line="360" w:lineRule="auto"/>
        <w:ind w:firstLine="420" w:firstLineChars="200"/>
        <w:rPr>
          <w:rFonts w:eastAsia="黑体"/>
          <w:color w:val="auto"/>
          <w:sz w:val="21"/>
          <w:szCs w:val="21"/>
          <w:highlight w:val="none"/>
        </w:rPr>
      </w:pPr>
      <w:bookmarkStart w:id="500" w:name="_Toc10575"/>
      <w:bookmarkStart w:id="501" w:name="_Toc337558827"/>
      <w:r>
        <w:rPr>
          <w:rFonts w:eastAsia="黑体"/>
          <w:color w:val="auto"/>
          <w:sz w:val="21"/>
          <w:szCs w:val="21"/>
          <w:highlight w:val="none"/>
        </w:rPr>
        <w:t>17.4 因不可抗力解除合同</w:t>
      </w:r>
      <w:bookmarkEnd w:id="500"/>
    </w:p>
    <w:bookmarkEnd w:id="501"/>
    <w:p w14:paraId="33ED5322">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因不可抗力导致合同无法履行连续超过84天或累计超过140天的，发包人和承包人均有权解除合同。合同解除后，由双方当事人按照第4.4款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商定或确定发包人应支付的款项，该款项包括：</w:t>
      </w:r>
    </w:p>
    <w:p w14:paraId="329B036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（1）合同解除前承包人已完成工作的价款；</w:t>
      </w:r>
    </w:p>
    <w:p w14:paraId="7FDDC41A">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（2）承包人为工程订购的并已交付给承包人，或承包人有责任接受交付的材料、工程设备和其他物品的价款；</w:t>
      </w:r>
    </w:p>
    <w:p w14:paraId="79B9232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（3）发包人要求承包人退货或解除订货合同而产生的费用，或因不能退货或解除合同而产生的损失；</w:t>
      </w:r>
    </w:p>
    <w:p w14:paraId="4E86D6B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（4）承包人撤离施工现场以及遣散承包人人员的费用；</w:t>
      </w:r>
    </w:p>
    <w:p w14:paraId="25E7862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（5）按照合同约定在合同解除前应支付给承包人的其他款项；</w:t>
      </w:r>
    </w:p>
    <w:p w14:paraId="3E11E93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（6）扣减承包人按照合同约定应向发包人支付的款项；</w:t>
      </w:r>
      <w:r>
        <w:rPr>
          <w:rFonts w:hint="eastAsia" w:eastAsia="仿宋_GB2312"/>
          <w:color w:val="auto"/>
          <w:kern w:val="0"/>
          <w:szCs w:val="21"/>
          <w:highlight w:val="none"/>
        </w:rPr>
        <w:t xml:space="preserve"> </w:t>
      </w:r>
    </w:p>
    <w:p w14:paraId="502DEB61">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（7）双方商定或确定的其他款项。</w:t>
      </w:r>
    </w:p>
    <w:p w14:paraId="0CABCBB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除专用合同条款另有约定外，合同解除后，发包人应在商定或确定上述款项后28天内完成上述款项的支付。</w:t>
      </w:r>
    </w:p>
    <w:p w14:paraId="35B41A41">
      <w:pPr>
        <w:pStyle w:val="3"/>
        <w:ind w:firstLine="1680"/>
        <w:rPr>
          <w:rFonts w:ascii="Times New Roman" w:hAnsi="Times New Roman"/>
          <w:color w:val="auto"/>
          <w:sz w:val="21"/>
          <w:szCs w:val="21"/>
          <w:highlight w:val="none"/>
        </w:rPr>
      </w:pPr>
      <w:bookmarkStart w:id="502" w:name="_Toc15424"/>
      <w:bookmarkStart w:id="503" w:name="_Toc296503120"/>
      <w:bookmarkStart w:id="504" w:name="_Toc337558828"/>
      <w:bookmarkStart w:id="505" w:name="_Toc296346621"/>
      <w:r>
        <w:rPr>
          <w:rFonts w:ascii="Times New Roman" w:hAnsi="Times New Roman"/>
          <w:color w:val="auto"/>
          <w:sz w:val="21"/>
          <w:szCs w:val="21"/>
          <w:highlight w:val="none"/>
        </w:rPr>
        <w:t>18. 保险</w:t>
      </w:r>
      <w:bookmarkEnd w:id="502"/>
    </w:p>
    <w:bookmarkEnd w:id="503"/>
    <w:bookmarkEnd w:id="504"/>
    <w:bookmarkEnd w:id="505"/>
    <w:p w14:paraId="59600E79">
      <w:pPr>
        <w:pStyle w:val="4"/>
        <w:spacing w:before="0" w:after="0" w:line="360" w:lineRule="auto"/>
        <w:ind w:firstLine="420" w:firstLineChars="200"/>
        <w:rPr>
          <w:rFonts w:eastAsia="黑体"/>
          <w:color w:val="auto"/>
          <w:sz w:val="21"/>
          <w:szCs w:val="21"/>
          <w:highlight w:val="none"/>
        </w:rPr>
      </w:pPr>
      <w:bookmarkStart w:id="506" w:name="_Toc8964"/>
      <w:bookmarkStart w:id="507" w:name="_Toc296346622"/>
      <w:bookmarkStart w:id="508" w:name="_Toc296503121"/>
      <w:bookmarkStart w:id="509" w:name="_Toc337558829"/>
      <w:r>
        <w:rPr>
          <w:rFonts w:eastAsia="黑体"/>
          <w:color w:val="auto"/>
          <w:sz w:val="21"/>
          <w:szCs w:val="21"/>
          <w:highlight w:val="none"/>
        </w:rPr>
        <w:t>18.1 工程保险</w:t>
      </w:r>
      <w:bookmarkEnd w:id="506"/>
    </w:p>
    <w:bookmarkEnd w:id="507"/>
    <w:bookmarkEnd w:id="508"/>
    <w:bookmarkEnd w:id="509"/>
    <w:p w14:paraId="5518102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14:paraId="173053A1">
      <w:pPr>
        <w:pStyle w:val="4"/>
        <w:spacing w:before="0" w:after="0" w:line="360" w:lineRule="auto"/>
        <w:ind w:firstLine="420" w:firstLineChars="200"/>
        <w:rPr>
          <w:rFonts w:eastAsia="黑体"/>
          <w:color w:val="auto"/>
          <w:sz w:val="21"/>
          <w:szCs w:val="21"/>
          <w:highlight w:val="none"/>
        </w:rPr>
      </w:pPr>
      <w:bookmarkStart w:id="510" w:name="_Toc29984"/>
      <w:bookmarkStart w:id="511" w:name="_Toc296346623"/>
      <w:bookmarkStart w:id="512" w:name="_Toc296503122"/>
      <w:bookmarkStart w:id="513" w:name="_Toc337558830"/>
      <w:r>
        <w:rPr>
          <w:rFonts w:eastAsia="黑体"/>
          <w:color w:val="auto"/>
          <w:sz w:val="21"/>
          <w:szCs w:val="21"/>
          <w:highlight w:val="none"/>
        </w:rPr>
        <w:t>18.2 工伤保险</w:t>
      </w:r>
      <w:bookmarkEnd w:id="510"/>
    </w:p>
    <w:bookmarkEnd w:id="511"/>
    <w:bookmarkEnd w:id="512"/>
    <w:bookmarkEnd w:id="513"/>
    <w:p w14:paraId="3405087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4022102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75D16820">
      <w:pPr>
        <w:pStyle w:val="4"/>
        <w:spacing w:before="0" w:after="0" w:line="360" w:lineRule="auto"/>
        <w:ind w:firstLine="420" w:firstLineChars="200"/>
        <w:rPr>
          <w:rFonts w:eastAsia="黑体"/>
          <w:color w:val="auto"/>
          <w:sz w:val="21"/>
          <w:szCs w:val="21"/>
          <w:highlight w:val="none"/>
        </w:rPr>
      </w:pPr>
      <w:bookmarkStart w:id="514" w:name="_Toc31744"/>
      <w:bookmarkStart w:id="515" w:name="_Toc296346626"/>
      <w:bookmarkStart w:id="516" w:name="_Toc296503125"/>
      <w:bookmarkStart w:id="517" w:name="_Toc337558831"/>
      <w:r>
        <w:rPr>
          <w:rFonts w:eastAsia="黑体"/>
          <w:color w:val="auto"/>
          <w:sz w:val="21"/>
          <w:szCs w:val="21"/>
          <w:highlight w:val="none"/>
        </w:rPr>
        <w:t>18.3其他保险</w:t>
      </w:r>
      <w:bookmarkEnd w:id="514"/>
    </w:p>
    <w:bookmarkEnd w:id="515"/>
    <w:bookmarkEnd w:id="516"/>
    <w:bookmarkEnd w:id="517"/>
    <w:p w14:paraId="7D947EE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44D601C5">
      <w:pPr>
        <w:spacing w:line="360" w:lineRule="auto"/>
        <w:ind w:firstLine="420" w:firstLineChars="200"/>
        <w:jc w:val="left"/>
        <w:rPr>
          <w:rFonts w:eastAsia="仿宋_GB2312"/>
          <w:color w:val="auto"/>
          <w:szCs w:val="21"/>
          <w:highlight w:val="none"/>
        </w:rPr>
      </w:pPr>
      <w:r>
        <w:rPr>
          <w:rFonts w:eastAsia="仿宋_GB2312"/>
          <w:color w:val="auto"/>
          <w:szCs w:val="21"/>
          <w:highlight w:val="none"/>
        </w:rPr>
        <w:t>除专用合同条款另有约定外，承包人应为其施工设备等办理财产保险。</w:t>
      </w:r>
    </w:p>
    <w:p w14:paraId="610EBAE8">
      <w:pPr>
        <w:pStyle w:val="4"/>
        <w:spacing w:before="0" w:after="0" w:line="360" w:lineRule="auto"/>
        <w:ind w:firstLine="420" w:firstLineChars="200"/>
        <w:rPr>
          <w:rFonts w:eastAsia="黑体"/>
          <w:color w:val="auto"/>
          <w:sz w:val="21"/>
          <w:szCs w:val="21"/>
          <w:highlight w:val="none"/>
        </w:rPr>
      </w:pPr>
      <w:bookmarkStart w:id="518" w:name="_Toc32373"/>
      <w:r>
        <w:rPr>
          <w:rFonts w:eastAsia="黑体"/>
          <w:color w:val="auto"/>
          <w:sz w:val="21"/>
          <w:szCs w:val="21"/>
          <w:highlight w:val="none"/>
        </w:rPr>
        <w:t>18.4持续保险</w:t>
      </w:r>
      <w:bookmarkEnd w:id="518"/>
    </w:p>
    <w:p w14:paraId="0D25360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合同当事人应与保险人保持联系，使保险人能够随时了解工程实施中的变动，并确保按保险合同条款要求持续保险。</w:t>
      </w:r>
    </w:p>
    <w:p w14:paraId="6796FCB7">
      <w:pPr>
        <w:pStyle w:val="4"/>
        <w:spacing w:before="0" w:after="0" w:line="360" w:lineRule="auto"/>
        <w:ind w:firstLine="420" w:firstLineChars="200"/>
        <w:rPr>
          <w:rFonts w:eastAsia="黑体"/>
          <w:color w:val="auto"/>
          <w:sz w:val="21"/>
          <w:szCs w:val="21"/>
          <w:highlight w:val="none"/>
        </w:rPr>
      </w:pPr>
      <w:bookmarkStart w:id="519" w:name="_Toc17866"/>
      <w:bookmarkStart w:id="520" w:name="_Toc296346627"/>
      <w:bookmarkStart w:id="521" w:name="_Toc296503126"/>
      <w:bookmarkStart w:id="522" w:name="_Toc337558832"/>
      <w:r>
        <w:rPr>
          <w:rFonts w:eastAsia="黑体"/>
          <w:color w:val="auto"/>
          <w:sz w:val="21"/>
          <w:szCs w:val="21"/>
          <w:highlight w:val="none"/>
        </w:rPr>
        <w:t>18.5 保险凭证</w:t>
      </w:r>
      <w:bookmarkEnd w:id="519"/>
    </w:p>
    <w:bookmarkEnd w:id="520"/>
    <w:bookmarkEnd w:id="521"/>
    <w:bookmarkEnd w:id="522"/>
    <w:p w14:paraId="2669E594">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合同当事人应及时向另一方当事人提交其已投保的各项保险的凭证和保险单复印件。</w:t>
      </w:r>
    </w:p>
    <w:p w14:paraId="47992439">
      <w:pPr>
        <w:pStyle w:val="4"/>
        <w:spacing w:before="0" w:after="0" w:line="360" w:lineRule="auto"/>
        <w:ind w:firstLine="420" w:firstLineChars="200"/>
        <w:rPr>
          <w:rFonts w:eastAsia="黑体"/>
          <w:color w:val="auto"/>
          <w:sz w:val="21"/>
          <w:szCs w:val="21"/>
          <w:highlight w:val="none"/>
        </w:rPr>
      </w:pPr>
      <w:bookmarkStart w:id="523" w:name="_Toc2016"/>
      <w:bookmarkStart w:id="524" w:name="_Toc296346628"/>
      <w:bookmarkStart w:id="525" w:name="_Toc296503127"/>
      <w:bookmarkStart w:id="526" w:name="_Toc337558833"/>
      <w:r>
        <w:rPr>
          <w:rFonts w:eastAsia="黑体"/>
          <w:color w:val="auto"/>
          <w:sz w:val="21"/>
          <w:szCs w:val="21"/>
          <w:highlight w:val="none"/>
        </w:rPr>
        <w:t>18.6 未按约定投保的补救</w:t>
      </w:r>
      <w:bookmarkEnd w:id="523"/>
    </w:p>
    <w:bookmarkEnd w:id="524"/>
    <w:bookmarkEnd w:id="525"/>
    <w:bookmarkEnd w:id="526"/>
    <w:p w14:paraId="590F872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43C0EB5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5B103779">
      <w:pPr>
        <w:pStyle w:val="4"/>
        <w:spacing w:before="0" w:after="0" w:line="360" w:lineRule="auto"/>
        <w:ind w:firstLine="420" w:firstLineChars="200"/>
        <w:rPr>
          <w:rFonts w:eastAsia="黑体"/>
          <w:color w:val="auto"/>
          <w:sz w:val="21"/>
          <w:szCs w:val="21"/>
          <w:highlight w:val="none"/>
        </w:rPr>
      </w:pPr>
      <w:bookmarkStart w:id="527" w:name="_Toc11468"/>
      <w:bookmarkStart w:id="528" w:name="_Toc337558834"/>
      <w:r>
        <w:rPr>
          <w:rFonts w:eastAsia="黑体"/>
          <w:color w:val="auto"/>
          <w:sz w:val="21"/>
          <w:szCs w:val="21"/>
          <w:highlight w:val="none"/>
        </w:rPr>
        <w:t>18.7 通知义务</w:t>
      </w:r>
      <w:bookmarkEnd w:id="527"/>
    </w:p>
    <w:bookmarkEnd w:id="528"/>
    <w:p w14:paraId="182D0DE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137A19F4">
      <w:pPr>
        <w:spacing w:line="360" w:lineRule="auto"/>
        <w:ind w:firstLine="420" w:firstLineChars="200"/>
        <w:jc w:val="left"/>
        <w:rPr>
          <w:rFonts w:eastAsia="仿宋_GB2312"/>
          <w:color w:val="auto"/>
          <w:szCs w:val="21"/>
          <w:highlight w:val="none"/>
        </w:rPr>
      </w:pPr>
      <w:r>
        <w:rPr>
          <w:rFonts w:eastAsia="仿宋_GB2312"/>
          <w:color w:val="auto"/>
          <w:szCs w:val="21"/>
          <w:highlight w:val="none"/>
        </w:rPr>
        <w:t>保险事故发生时，投保人应按照保险合同规定的条件和期限及时向保险人报告。发包人和承包人应当在知道保险事故发生后及时通知对方。</w:t>
      </w:r>
    </w:p>
    <w:p w14:paraId="4E42555F">
      <w:pPr>
        <w:pStyle w:val="3"/>
        <w:ind w:firstLine="1680"/>
        <w:rPr>
          <w:rFonts w:ascii="Times New Roman" w:hAnsi="Times New Roman"/>
          <w:color w:val="auto"/>
          <w:sz w:val="21"/>
          <w:szCs w:val="21"/>
          <w:highlight w:val="none"/>
        </w:rPr>
      </w:pPr>
      <w:bookmarkStart w:id="529" w:name="_Toc8750"/>
      <w:bookmarkStart w:id="530" w:name="_Toc337558835"/>
      <w:bookmarkStart w:id="531" w:name="_Toc296503140"/>
      <w:bookmarkStart w:id="532" w:name="_Toc296346641"/>
      <w:r>
        <w:rPr>
          <w:rFonts w:ascii="Times New Roman" w:hAnsi="Times New Roman"/>
          <w:color w:val="auto"/>
          <w:sz w:val="21"/>
          <w:szCs w:val="21"/>
          <w:highlight w:val="none"/>
        </w:rPr>
        <w:t>19. 索赔</w:t>
      </w:r>
      <w:bookmarkEnd w:id="529"/>
    </w:p>
    <w:bookmarkEnd w:id="530"/>
    <w:bookmarkEnd w:id="531"/>
    <w:bookmarkEnd w:id="532"/>
    <w:p w14:paraId="61D1EC09">
      <w:pPr>
        <w:pStyle w:val="4"/>
        <w:spacing w:before="0" w:after="0" w:line="360" w:lineRule="auto"/>
        <w:ind w:firstLine="420" w:firstLineChars="200"/>
        <w:rPr>
          <w:rFonts w:eastAsia="黑体"/>
          <w:color w:val="auto"/>
          <w:sz w:val="21"/>
          <w:szCs w:val="21"/>
          <w:highlight w:val="none"/>
        </w:rPr>
      </w:pPr>
      <w:bookmarkStart w:id="533" w:name="_Toc25733"/>
      <w:bookmarkStart w:id="534" w:name="_Toc337558836"/>
      <w:bookmarkStart w:id="535" w:name="_Toc296346642"/>
      <w:bookmarkStart w:id="536" w:name="_Toc296503141"/>
      <w:r>
        <w:rPr>
          <w:rFonts w:eastAsia="黑体"/>
          <w:color w:val="auto"/>
          <w:sz w:val="21"/>
          <w:szCs w:val="21"/>
          <w:highlight w:val="none"/>
        </w:rPr>
        <w:t>19.1承包人的索赔</w:t>
      </w:r>
      <w:bookmarkEnd w:id="533"/>
    </w:p>
    <w:bookmarkEnd w:id="534"/>
    <w:bookmarkEnd w:id="535"/>
    <w:bookmarkEnd w:id="536"/>
    <w:p w14:paraId="4D58FCE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根据合同约定，承包人认为有权得到追加付款和（或）延长工期的，应按以下程序向</w:t>
      </w:r>
      <w:r>
        <w:rPr>
          <w:rFonts w:hint="eastAsia" w:eastAsia="仿宋_GB2312"/>
          <w:color w:val="auto"/>
          <w:kern w:val="0"/>
          <w:szCs w:val="21"/>
          <w:highlight w:val="none"/>
        </w:rPr>
        <w:t>发包</w:t>
      </w:r>
      <w:r>
        <w:rPr>
          <w:rFonts w:eastAsia="仿宋_GB2312"/>
          <w:color w:val="auto"/>
          <w:kern w:val="0"/>
          <w:szCs w:val="21"/>
          <w:highlight w:val="none"/>
        </w:rPr>
        <w:t>人提出索赔：</w:t>
      </w:r>
    </w:p>
    <w:p w14:paraId="69EABF0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DB011B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16A56C7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（3）索赔事件具有持续影响的，承包人应按合理时间间隔继续递交延续索赔通知，说明持续影响的实际情况和记录，列出累计的追加付款金额和（或）工期延长天数；</w:t>
      </w:r>
    </w:p>
    <w:p w14:paraId="633E947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（4）在索赔事件影响结束后28天内，承包人应向监理人递交最终索赔报告，说明最终要求索赔的追加付款金额和（或）延长的工期，并附必要的记录和证明材料。</w:t>
      </w:r>
    </w:p>
    <w:p w14:paraId="72D1F8B5">
      <w:pPr>
        <w:pStyle w:val="4"/>
        <w:spacing w:before="0" w:after="0" w:line="360" w:lineRule="auto"/>
        <w:ind w:firstLine="420" w:firstLineChars="200"/>
        <w:rPr>
          <w:rFonts w:eastAsia="黑体"/>
          <w:color w:val="auto"/>
          <w:sz w:val="21"/>
          <w:szCs w:val="21"/>
          <w:highlight w:val="none"/>
        </w:rPr>
      </w:pPr>
      <w:bookmarkStart w:id="537" w:name="_Toc2367"/>
      <w:bookmarkStart w:id="538" w:name="_Toc337558837"/>
      <w:bookmarkStart w:id="539" w:name="_Toc296346643"/>
      <w:bookmarkStart w:id="540" w:name="_Toc296503142"/>
      <w:r>
        <w:rPr>
          <w:rFonts w:eastAsia="黑体"/>
          <w:color w:val="auto"/>
          <w:sz w:val="21"/>
          <w:szCs w:val="21"/>
          <w:highlight w:val="none"/>
        </w:rPr>
        <w:t>19.2 对承包人索赔的处理</w:t>
      </w:r>
      <w:bookmarkEnd w:id="537"/>
    </w:p>
    <w:bookmarkEnd w:id="538"/>
    <w:bookmarkEnd w:id="539"/>
    <w:bookmarkEnd w:id="540"/>
    <w:p w14:paraId="7C3F3E6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对承包人索赔的处理如下：</w:t>
      </w:r>
    </w:p>
    <w:p w14:paraId="2149B8A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（1）监理人应在收到索赔报告后14天内完成审查并报送发包人。监理人对索赔报告存在异议的，有权要求承包人提交全部原始记录副本；</w:t>
      </w:r>
    </w:p>
    <w:p w14:paraId="243CCFC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（2）发包人应在监理人收到索赔报告或有关索赔的进一步证明材料后的28天内，由监理人向承包人出具经发包人签认的索赔处理结果；</w:t>
      </w:r>
    </w:p>
    <w:p w14:paraId="4BFBF69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（3）承包人接受索赔处理结果的，索赔款项在当期进度款中进行支付；承包人不接受索赔处理结果的，按照第20条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约定处理。</w:t>
      </w:r>
    </w:p>
    <w:p w14:paraId="1C2FA48C">
      <w:pPr>
        <w:pStyle w:val="4"/>
        <w:spacing w:before="0" w:after="0" w:line="360" w:lineRule="auto"/>
        <w:ind w:firstLine="420" w:firstLineChars="200"/>
        <w:rPr>
          <w:rFonts w:eastAsia="黑体"/>
          <w:color w:val="auto"/>
          <w:sz w:val="21"/>
          <w:szCs w:val="21"/>
          <w:highlight w:val="none"/>
        </w:rPr>
      </w:pPr>
      <w:bookmarkStart w:id="541" w:name="_Toc7747"/>
      <w:bookmarkStart w:id="542" w:name="_Toc296346644"/>
      <w:bookmarkStart w:id="543" w:name="_Toc296503143"/>
      <w:bookmarkStart w:id="544" w:name="_Toc337558838"/>
      <w:r>
        <w:rPr>
          <w:rFonts w:eastAsia="黑体"/>
          <w:color w:val="auto"/>
          <w:sz w:val="21"/>
          <w:szCs w:val="21"/>
          <w:highlight w:val="none"/>
        </w:rPr>
        <w:t>19.3发包人的索赔</w:t>
      </w:r>
      <w:bookmarkEnd w:id="541"/>
    </w:p>
    <w:bookmarkEnd w:id="542"/>
    <w:bookmarkEnd w:id="543"/>
    <w:bookmarkEnd w:id="544"/>
    <w:p w14:paraId="6AC8505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根据合同约定，发包人认为有权得到赔付金额和（或）延长缺陷责任期的，监理人应向承包人发出通知并附有详细的证明。</w:t>
      </w:r>
    </w:p>
    <w:p w14:paraId="21BF36BB">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FA37A07">
      <w:pPr>
        <w:pStyle w:val="4"/>
        <w:spacing w:before="0" w:after="0" w:line="360" w:lineRule="auto"/>
        <w:ind w:firstLine="420" w:firstLineChars="200"/>
        <w:rPr>
          <w:rFonts w:eastAsia="黑体"/>
          <w:color w:val="auto"/>
          <w:sz w:val="21"/>
          <w:szCs w:val="21"/>
          <w:highlight w:val="none"/>
        </w:rPr>
      </w:pPr>
      <w:bookmarkStart w:id="545" w:name="_Toc16973"/>
      <w:bookmarkStart w:id="546" w:name="_Toc296346645"/>
      <w:bookmarkStart w:id="547" w:name="_Toc337558839"/>
      <w:bookmarkStart w:id="548" w:name="_Toc296503144"/>
      <w:r>
        <w:rPr>
          <w:rFonts w:eastAsia="黑体"/>
          <w:color w:val="auto"/>
          <w:sz w:val="21"/>
          <w:szCs w:val="21"/>
          <w:highlight w:val="none"/>
        </w:rPr>
        <w:t>19.4 对发包人索赔的处理</w:t>
      </w:r>
      <w:bookmarkEnd w:id="545"/>
    </w:p>
    <w:bookmarkEnd w:id="546"/>
    <w:bookmarkEnd w:id="547"/>
    <w:bookmarkEnd w:id="548"/>
    <w:p w14:paraId="7D8D2D1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对发包人索赔的处理如下：</w:t>
      </w:r>
    </w:p>
    <w:p w14:paraId="2C06CCCE">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（1）承包人收到发包人提交的索赔报告后，应及时审查索赔报告的内容、查验发包人证明材料；</w:t>
      </w:r>
    </w:p>
    <w:p w14:paraId="1BEBB66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3CC176C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（3）承包人接受索赔处理结果的，发包人可从应支付给承包人的合同价款中扣除赔付的金额或延长缺陷责任期；发包人不接受索赔处理结果的，按第20条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约定处理。</w:t>
      </w:r>
    </w:p>
    <w:p w14:paraId="64F625E0">
      <w:pPr>
        <w:pStyle w:val="4"/>
        <w:spacing w:before="0" w:after="0" w:line="360" w:lineRule="auto"/>
        <w:ind w:firstLine="420" w:firstLineChars="200"/>
        <w:rPr>
          <w:rFonts w:eastAsia="黑体"/>
          <w:color w:val="auto"/>
          <w:sz w:val="21"/>
          <w:szCs w:val="21"/>
          <w:highlight w:val="none"/>
        </w:rPr>
      </w:pPr>
      <w:bookmarkStart w:id="549" w:name="_Toc9950"/>
      <w:r>
        <w:rPr>
          <w:rFonts w:eastAsia="黑体"/>
          <w:color w:val="auto"/>
          <w:sz w:val="21"/>
          <w:szCs w:val="21"/>
          <w:highlight w:val="none"/>
        </w:rPr>
        <w:t>19.5 提出索赔的期限</w:t>
      </w:r>
      <w:bookmarkEnd w:id="549"/>
    </w:p>
    <w:p w14:paraId="5217F910">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（1）承包人按第14.2款</w:t>
      </w:r>
      <w:r>
        <w:rPr>
          <w:rFonts w:hint="eastAsia" w:eastAsia="仿宋_GB2312"/>
          <w:color w:val="auto"/>
          <w:kern w:val="0"/>
          <w:szCs w:val="21"/>
          <w:highlight w:val="none"/>
        </w:rPr>
        <w:t>〔</w:t>
      </w:r>
      <w:r>
        <w:rPr>
          <w:rFonts w:eastAsia="仿宋_GB2312"/>
          <w:color w:val="auto"/>
          <w:kern w:val="0"/>
          <w:szCs w:val="21"/>
          <w:highlight w:val="none"/>
        </w:rPr>
        <w:t>竣工结算审核</w:t>
      </w:r>
      <w:r>
        <w:rPr>
          <w:rFonts w:hint="eastAsia" w:eastAsia="仿宋_GB2312"/>
          <w:color w:val="auto"/>
          <w:kern w:val="0"/>
          <w:szCs w:val="21"/>
          <w:highlight w:val="none"/>
        </w:rPr>
        <w:t>〕</w:t>
      </w:r>
      <w:r>
        <w:rPr>
          <w:rFonts w:eastAsia="仿宋_GB2312"/>
          <w:color w:val="auto"/>
          <w:kern w:val="0"/>
          <w:szCs w:val="21"/>
          <w:highlight w:val="none"/>
        </w:rPr>
        <w:t>约定接收竣工付款证书后，应被视为已无权再提出在工程接收证书颁发前所发生的任何索赔。</w:t>
      </w:r>
    </w:p>
    <w:p w14:paraId="7CBAA9DC">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（2）承包人按第14.4款</w:t>
      </w:r>
      <w:r>
        <w:rPr>
          <w:rFonts w:hint="eastAsia" w:eastAsia="仿宋_GB2312"/>
          <w:color w:val="auto"/>
          <w:kern w:val="0"/>
          <w:szCs w:val="21"/>
          <w:highlight w:val="none"/>
        </w:rPr>
        <w:t>〔</w:t>
      </w:r>
      <w:r>
        <w:rPr>
          <w:rFonts w:eastAsia="仿宋_GB2312"/>
          <w:color w:val="auto"/>
          <w:kern w:val="0"/>
          <w:szCs w:val="21"/>
          <w:highlight w:val="none"/>
        </w:rPr>
        <w:t>最终结清</w:t>
      </w:r>
      <w:r>
        <w:rPr>
          <w:rFonts w:hint="eastAsia" w:eastAsia="仿宋_GB2312"/>
          <w:color w:val="auto"/>
          <w:kern w:val="0"/>
          <w:szCs w:val="21"/>
          <w:highlight w:val="none"/>
        </w:rPr>
        <w:t>〕</w:t>
      </w:r>
      <w:r>
        <w:rPr>
          <w:rFonts w:eastAsia="仿宋_GB2312"/>
          <w:color w:val="auto"/>
          <w:kern w:val="0"/>
          <w:szCs w:val="21"/>
          <w:highlight w:val="none"/>
        </w:rPr>
        <w:t>提交的最终结清申请单中，只限于提出工程接收证书颁发后发生的索赔。提出索赔的期限自接受最终结清证书时终止。</w:t>
      </w:r>
    </w:p>
    <w:p w14:paraId="20134EF7">
      <w:pPr>
        <w:pStyle w:val="3"/>
        <w:ind w:firstLine="1680"/>
        <w:rPr>
          <w:rFonts w:ascii="Times New Roman" w:hAnsi="Times New Roman"/>
          <w:color w:val="auto"/>
          <w:sz w:val="21"/>
          <w:szCs w:val="21"/>
          <w:highlight w:val="none"/>
        </w:rPr>
      </w:pPr>
      <w:bookmarkStart w:id="550" w:name="_Toc22862"/>
      <w:r>
        <w:rPr>
          <w:rFonts w:ascii="Times New Roman" w:hAnsi="Times New Roman"/>
          <w:color w:val="auto"/>
          <w:sz w:val="21"/>
          <w:szCs w:val="21"/>
          <w:highlight w:val="none"/>
        </w:rPr>
        <w:t>20</w:t>
      </w:r>
      <w:bookmarkStart w:id="551" w:name="_Toc296346647"/>
      <w:bookmarkStart w:id="552" w:name="_Toc296503146"/>
      <w:bookmarkStart w:id="553" w:name="_Toc337558840"/>
      <w:r>
        <w:rPr>
          <w:rFonts w:ascii="Times New Roman" w:hAnsi="Times New Roman"/>
          <w:color w:val="auto"/>
          <w:sz w:val="21"/>
          <w:szCs w:val="21"/>
          <w:highlight w:val="none"/>
        </w:rPr>
        <w:t>. 争议解决</w:t>
      </w:r>
      <w:bookmarkEnd w:id="550"/>
    </w:p>
    <w:bookmarkEnd w:id="551"/>
    <w:bookmarkEnd w:id="552"/>
    <w:bookmarkEnd w:id="553"/>
    <w:p w14:paraId="1FC91EE4">
      <w:pPr>
        <w:pStyle w:val="4"/>
        <w:spacing w:before="0" w:after="0" w:line="360" w:lineRule="auto"/>
        <w:ind w:firstLine="420" w:firstLineChars="200"/>
        <w:rPr>
          <w:rFonts w:eastAsia="黑体"/>
          <w:color w:val="auto"/>
          <w:sz w:val="21"/>
          <w:szCs w:val="21"/>
          <w:highlight w:val="none"/>
        </w:rPr>
      </w:pPr>
      <w:bookmarkStart w:id="554" w:name="_Toc27395"/>
      <w:bookmarkStart w:id="555" w:name="_Toc296346648"/>
      <w:bookmarkStart w:id="556" w:name="_Toc296503147"/>
      <w:bookmarkStart w:id="557" w:name="_Toc337558841"/>
      <w:r>
        <w:rPr>
          <w:rFonts w:eastAsia="黑体"/>
          <w:color w:val="auto"/>
          <w:sz w:val="21"/>
          <w:szCs w:val="21"/>
          <w:highlight w:val="none"/>
        </w:rPr>
        <w:t>20.1和解</w:t>
      </w:r>
      <w:bookmarkEnd w:id="554"/>
    </w:p>
    <w:bookmarkEnd w:id="555"/>
    <w:bookmarkEnd w:id="556"/>
    <w:bookmarkEnd w:id="557"/>
    <w:p w14:paraId="01B2DD6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合同当事人可以就争议自行和解，自行和解达成协议的经双方签字并盖章后作为合同补充文件，双方均应遵照执行。</w:t>
      </w:r>
    </w:p>
    <w:p w14:paraId="45E4AAAF">
      <w:pPr>
        <w:pStyle w:val="4"/>
        <w:keepNext w:val="0"/>
        <w:keepLines w:val="0"/>
        <w:spacing w:before="0" w:after="0" w:line="360" w:lineRule="auto"/>
        <w:ind w:firstLine="420" w:firstLineChars="200"/>
        <w:rPr>
          <w:rFonts w:eastAsia="黑体"/>
          <w:color w:val="auto"/>
          <w:sz w:val="21"/>
          <w:szCs w:val="21"/>
          <w:highlight w:val="none"/>
        </w:rPr>
      </w:pPr>
      <w:bookmarkStart w:id="558" w:name="_Toc7814"/>
      <w:r>
        <w:rPr>
          <w:rFonts w:eastAsia="黑体"/>
          <w:color w:val="auto"/>
          <w:sz w:val="21"/>
          <w:szCs w:val="21"/>
          <w:highlight w:val="none"/>
        </w:rPr>
        <w:t>20</w:t>
      </w:r>
      <w:bookmarkStart w:id="559" w:name="_Toc296503148"/>
      <w:bookmarkStart w:id="560" w:name="_Toc337558842"/>
      <w:bookmarkStart w:id="561" w:name="_Toc296346649"/>
      <w:r>
        <w:rPr>
          <w:rFonts w:eastAsia="黑体"/>
          <w:color w:val="auto"/>
          <w:sz w:val="21"/>
          <w:szCs w:val="21"/>
          <w:highlight w:val="none"/>
        </w:rPr>
        <w:t>.2调解</w:t>
      </w:r>
      <w:bookmarkEnd w:id="558"/>
    </w:p>
    <w:bookmarkEnd w:id="559"/>
    <w:bookmarkEnd w:id="560"/>
    <w:bookmarkEnd w:id="561"/>
    <w:p w14:paraId="7074D57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合同当事人可以就争议请求建设行政主管部门</w:t>
      </w:r>
      <w:r>
        <w:rPr>
          <w:rFonts w:hint="eastAsia" w:eastAsia="仿宋_GB2312"/>
          <w:color w:val="auto"/>
          <w:kern w:val="0"/>
          <w:szCs w:val="21"/>
          <w:highlight w:val="none"/>
        </w:rPr>
        <w:t>、行业协会</w:t>
      </w:r>
      <w:r>
        <w:rPr>
          <w:rFonts w:eastAsia="仿宋_GB2312"/>
          <w:color w:val="auto"/>
          <w:kern w:val="0"/>
          <w:szCs w:val="21"/>
          <w:highlight w:val="none"/>
        </w:rPr>
        <w:t>或</w:t>
      </w:r>
      <w:r>
        <w:rPr>
          <w:rFonts w:hint="eastAsia" w:eastAsia="仿宋_GB2312"/>
          <w:color w:val="auto"/>
          <w:kern w:val="0"/>
          <w:szCs w:val="21"/>
          <w:highlight w:val="none"/>
        </w:rPr>
        <w:t>其他</w:t>
      </w:r>
      <w:r>
        <w:rPr>
          <w:rFonts w:eastAsia="仿宋_GB2312"/>
          <w:color w:val="auto"/>
          <w:kern w:val="0"/>
          <w:szCs w:val="21"/>
          <w:highlight w:val="none"/>
        </w:rPr>
        <w:t>第三方进行调解，调解达成协议的，经双方签字并盖章后作为合同补充文件，双方均应遵照执行。</w:t>
      </w:r>
    </w:p>
    <w:p w14:paraId="4D2F0C0E">
      <w:pPr>
        <w:pStyle w:val="4"/>
        <w:spacing w:before="0" w:after="0" w:line="360" w:lineRule="auto"/>
        <w:ind w:firstLine="420" w:firstLineChars="200"/>
        <w:rPr>
          <w:rFonts w:eastAsia="黑体"/>
          <w:color w:val="auto"/>
          <w:sz w:val="21"/>
          <w:szCs w:val="21"/>
          <w:highlight w:val="none"/>
        </w:rPr>
      </w:pPr>
      <w:bookmarkStart w:id="562" w:name="_Toc24330"/>
      <w:bookmarkStart w:id="563" w:name="_Toc296346650"/>
      <w:bookmarkStart w:id="564" w:name="_Toc296503149"/>
      <w:bookmarkStart w:id="565" w:name="_Toc337558843"/>
      <w:r>
        <w:rPr>
          <w:rFonts w:eastAsia="黑体"/>
          <w:color w:val="auto"/>
          <w:sz w:val="21"/>
          <w:szCs w:val="21"/>
          <w:highlight w:val="none"/>
        </w:rPr>
        <w:t>20.3争议评审</w:t>
      </w:r>
      <w:bookmarkEnd w:id="562"/>
    </w:p>
    <w:bookmarkEnd w:id="563"/>
    <w:bookmarkEnd w:id="564"/>
    <w:bookmarkEnd w:id="565"/>
    <w:p w14:paraId="20EE4171">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合同当事人在专用合同条款中约定采取争议评审方式解决争议</w:t>
      </w:r>
      <w:r>
        <w:rPr>
          <w:rFonts w:hint="eastAsia" w:eastAsia="仿宋_GB2312"/>
          <w:color w:val="auto"/>
          <w:kern w:val="0"/>
          <w:szCs w:val="21"/>
          <w:highlight w:val="none"/>
        </w:rPr>
        <w:t>以及评审规则，并</w:t>
      </w:r>
      <w:r>
        <w:rPr>
          <w:rFonts w:eastAsia="仿宋_GB2312"/>
          <w:color w:val="auto"/>
          <w:kern w:val="0"/>
          <w:szCs w:val="21"/>
          <w:highlight w:val="none"/>
        </w:rPr>
        <w:t xml:space="preserve">按下列约定执行： </w:t>
      </w:r>
    </w:p>
    <w:p w14:paraId="6F51430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20.3.1 争议评审小组的确定</w:t>
      </w:r>
    </w:p>
    <w:p w14:paraId="1B8609A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002C89C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color w:val="auto"/>
          <w:kern w:val="0"/>
          <w:szCs w:val="21"/>
          <w:highlight w:val="none"/>
        </w:rPr>
        <w:t>评审</w:t>
      </w:r>
      <w:r>
        <w:rPr>
          <w:rFonts w:eastAsia="仿宋_GB2312"/>
          <w:color w:val="auto"/>
          <w:kern w:val="0"/>
          <w:szCs w:val="21"/>
          <w:highlight w:val="none"/>
        </w:rPr>
        <w:t xml:space="preserve">机构指定第三名首席争议评审员。 </w:t>
      </w:r>
    </w:p>
    <w:p w14:paraId="47AF8AA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除专用合同条款另有约定外，评审员报酬由发包人和承包人各承担一半。</w:t>
      </w:r>
    </w:p>
    <w:p w14:paraId="3466712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20.3.2 争议评审小组的决定</w:t>
      </w:r>
    </w:p>
    <w:p w14:paraId="590F902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51AF23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20.3.3 争议评审小组决定的效力</w:t>
      </w:r>
    </w:p>
    <w:p w14:paraId="35CB79C8">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争议评审小组作出的书面决定经合同当事人签字确认后，对双方具有约束力，双方应遵照执行。</w:t>
      </w:r>
    </w:p>
    <w:p w14:paraId="5A0BB7E9">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任何一方当事人不接受争议评审小组决定</w:t>
      </w:r>
      <w:r>
        <w:rPr>
          <w:rFonts w:hint="eastAsia" w:eastAsia="仿宋_GB2312"/>
          <w:color w:val="auto"/>
          <w:kern w:val="0"/>
          <w:szCs w:val="21"/>
          <w:highlight w:val="none"/>
        </w:rPr>
        <w:t>或不履行争议评审小组决定的</w:t>
      </w:r>
      <w:r>
        <w:rPr>
          <w:rFonts w:eastAsia="仿宋_GB2312"/>
          <w:color w:val="auto"/>
          <w:kern w:val="0"/>
          <w:szCs w:val="21"/>
          <w:highlight w:val="none"/>
        </w:rPr>
        <w:t>，双方可选择采用其他争议解决方式。</w:t>
      </w:r>
    </w:p>
    <w:p w14:paraId="0E9B3FB6">
      <w:pPr>
        <w:pStyle w:val="4"/>
        <w:spacing w:before="0" w:after="0" w:line="360" w:lineRule="auto"/>
        <w:ind w:firstLine="420" w:firstLineChars="200"/>
        <w:rPr>
          <w:rFonts w:eastAsia="黑体"/>
          <w:color w:val="auto"/>
          <w:sz w:val="21"/>
          <w:szCs w:val="21"/>
          <w:highlight w:val="none"/>
        </w:rPr>
      </w:pPr>
      <w:bookmarkStart w:id="566" w:name="_Toc3458"/>
      <w:bookmarkStart w:id="567" w:name="_Toc337558844"/>
      <w:bookmarkStart w:id="568" w:name="_Toc296346651"/>
      <w:bookmarkStart w:id="569" w:name="_Toc296503150"/>
      <w:r>
        <w:rPr>
          <w:rFonts w:eastAsia="黑体"/>
          <w:color w:val="auto"/>
          <w:sz w:val="21"/>
          <w:szCs w:val="21"/>
          <w:highlight w:val="none"/>
        </w:rPr>
        <w:t>20.4仲裁或诉讼</w:t>
      </w:r>
      <w:bookmarkEnd w:id="566"/>
    </w:p>
    <w:bookmarkEnd w:id="567"/>
    <w:bookmarkEnd w:id="568"/>
    <w:bookmarkEnd w:id="569"/>
    <w:p w14:paraId="74E7E95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因合同及合同有关事项产生的争议，合同当事人可以在专用合同条款中约定以下一种方式解决争议：</w:t>
      </w:r>
    </w:p>
    <w:p w14:paraId="7FEF2EE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（1）向约定的仲裁委员会申请仲裁；</w:t>
      </w:r>
    </w:p>
    <w:p w14:paraId="15E749A2">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（2）向有管辖权的人民法院起诉。</w:t>
      </w:r>
    </w:p>
    <w:p w14:paraId="65008D1D">
      <w:pPr>
        <w:pStyle w:val="4"/>
        <w:spacing w:before="0" w:after="0" w:line="360" w:lineRule="auto"/>
        <w:ind w:firstLine="420" w:firstLineChars="200"/>
        <w:rPr>
          <w:rFonts w:eastAsia="黑体"/>
          <w:color w:val="auto"/>
          <w:sz w:val="21"/>
          <w:szCs w:val="21"/>
          <w:highlight w:val="none"/>
        </w:rPr>
      </w:pPr>
      <w:bookmarkStart w:id="570" w:name="_Toc28285"/>
      <w:bookmarkStart w:id="571" w:name="_Toc296503152"/>
      <w:bookmarkStart w:id="572" w:name="_Toc296346653"/>
      <w:bookmarkStart w:id="573" w:name="_Toc337558845"/>
      <w:r>
        <w:rPr>
          <w:rFonts w:eastAsia="黑体"/>
          <w:color w:val="auto"/>
          <w:sz w:val="21"/>
          <w:szCs w:val="21"/>
          <w:highlight w:val="none"/>
        </w:rPr>
        <w:t>20.5争议解决条款效力</w:t>
      </w:r>
      <w:bookmarkEnd w:id="570"/>
    </w:p>
    <w:bookmarkEnd w:id="571"/>
    <w:bookmarkEnd w:id="572"/>
    <w:bookmarkEnd w:id="573"/>
    <w:p w14:paraId="61327364">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合同有关争议解决的条款独立存在，合同的变更、解除、终止、无效或者被撤销均不影响其效力。 </w:t>
      </w:r>
    </w:p>
    <w:p w14:paraId="6781A5B5">
      <w:pPr>
        <w:pStyle w:val="2"/>
        <w:spacing w:line="413" w:lineRule="auto"/>
        <w:ind w:firstLine="2880"/>
        <w:rPr>
          <w:rFonts w:ascii="华文中宋" w:hAnsi="华文中宋" w:eastAsia="华文中宋"/>
          <w:color w:val="auto"/>
          <w:highlight w:val="none"/>
        </w:rPr>
      </w:pPr>
      <w:bookmarkStart w:id="574" w:name="_Toc4372"/>
      <w:r>
        <w:rPr>
          <w:rFonts w:ascii="华文中宋" w:hAnsi="华文中宋" w:eastAsia="华文中宋"/>
          <w:color w:val="auto"/>
          <w:highlight w:val="none"/>
        </w:rPr>
        <w:t xml:space="preserve">第三部分 </w:t>
      </w:r>
      <w:r>
        <w:rPr>
          <w:rFonts w:hint="eastAsia" w:ascii="华文中宋" w:hAnsi="华文中宋" w:eastAsia="华文中宋"/>
          <w:color w:val="auto"/>
          <w:highlight w:val="none"/>
        </w:rPr>
        <w:t>专用合同条款</w:t>
      </w:r>
      <w:bookmarkEnd w:id="574"/>
    </w:p>
    <w:p w14:paraId="73BEFD8C">
      <w:pPr>
        <w:pStyle w:val="3"/>
        <w:ind w:firstLine="1680"/>
        <w:rPr>
          <w:rFonts w:ascii="Times New Roman" w:hAnsi="Times New Roman"/>
          <w:color w:val="auto"/>
          <w:sz w:val="21"/>
          <w:szCs w:val="21"/>
          <w:highlight w:val="none"/>
        </w:rPr>
      </w:pPr>
      <w:bookmarkStart w:id="575" w:name="_Toc30890"/>
      <w:r>
        <w:rPr>
          <w:rFonts w:ascii="Times New Roman" w:hAnsi="Times New Roman"/>
          <w:color w:val="auto"/>
          <w:sz w:val="21"/>
          <w:szCs w:val="21"/>
          <w:highlight w:val="none"/>
        </w:rPr>
        <w:t>1</w:t>
      </w:r>
      <w:bookmarkStart w:id="576" w:name="_Toc297120456"/>
      <w:bookmarkStart w:id="577" w:name="_Toc296890984"/>
      <w:bookmarkStart w:id="578" w:name="_Toc296346657"/>
      <w:bookmarkStart w:id="579" w:name="_Toc292559361"/>
      <w:bookmarkStart w:id="580" w:name="_Toc296503156"/>
      <w:bookmarkStart w:id="581" w:name="_Toc296347155"/>
      <w:bookmarkStart w:id="582" w:name="_Toc296891196"/>
      <w:bookmarkStart w:id="583" w:name="_Toc296944495"/>
      <w:bookmarkStart w:id="584" w:name="_Toc297048342"/>
      <w:bookmarkStart w:id="585" w:name="_Toc292559866"/>
      <w:r>
        <w:rPr>
          <w:rFonts w:ascii="Times New Roman" w:hAnsi="Times New Roman"/>
          <w:color w:val="auto"/>
          <w:sz w:val="21"/>
          <w:szCs w:val="21"/>
          <w:highlight w:val="none"/>
        </w:rPr>
        <w:t>. 一般约定</w:t>
      </w:r>
      <w:bookmarkEnd w:id="575"/>
    </w:p>
    <w:bookmarkEnd w:id="576"/>
    <w:bookmarkEnd w:id="577"/>
    <w:bookmarkEnd w:id="578"/>
    <w:bookmarkEnd w:id="579"/>
    <w:bookmarkEnd w:id="580"/>
    <w:bookmarkEnd w:id="581"/>
    <w:bookmarkEnd w:id="582"/>
    <w:bookmarkEnd w:id="583"/>
    <w:bookmarkEnd w:id="584"/>
    <w:bookmarkEnd w:id="585"/>
    <w:p w14:paraId="0111DA2D">
      <w:pPr>
        <w:spacing w:after="120" w:line="360" w:lineRule="auto"/>
        <w:ind w:firstLine="420" w:firstLineChars="200"/>
        <w:rPr>
          <w:rFonts w:eastAsia="黑体"/>
          <w:color w:val="auto"/>
          <w:szCs w:val="21"/>
          <w:highlight w:val="none"/>
        </w:rPr>
      </w:pPr>
      <w:r>
        <w:rPr>
          <w:rFonts w:eastAsia="黑体"/>
          <w:color w:val="auto"/>
          <w:szCs w:val="21"/>
          <w:highlight w:val="none"/>
        </w:rPr>
        <w:t>1.1 词语定义</w:t>
      </w:r>
    </w:p>
    <w:p w14:paraId="24EB9CA2">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1.1.1合同</w:t>
      </w:r>
    </w:p>
    <w:p w14:paraId="7DE4B3BD">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1.1.1.10其他合同文件包括：</w:t>
      </w:r>
      <w:r>
        <w:rPr>
          <w:rFonts w:hint="eastAsia" w:eastAsia="仿宋_GB2312"/>
          <w:color w:val="auto"/>
          <w:kern w:val="0"/>
          <w:szCs w:val="21"/>
          <w:highlight w:val="none"/>
        </w:rPr>
        <w:t>招标文件，招标文件补充说明、附件及招标答疑会会议纪要；</w:t>
      </w:r>
      <w:r>
        <w:rPr>
          <w:rFonts w:hint="eastAsia" w:eastAsia="仿宋_GB2312"/>
          <w:color w:val="auto"/>
          <w:szCs w:val="21"/>
          <w:highlight w:val="none"/>
        </w:rPr>
        <w:t xml:space="preserve">双方约定并共同签署的包括但不限于有关工程的补充协议、约谈记录、施工现场统一管理协议、和解或调解协议；双方工地代表人书面确认的对合同有实质性影响的有关工程的洽商与变更、会议纪要、签证、技术核定和设计变更等书面协议等文件 </w:t>
      </w:r>
      <w:r>
        <w:rPr>
          <w:rFonts w:eastAsia="仿宋_GB2312"/>
          <w:color w:val="auto"/>
          <w:szCs w:val="21"/>
          <w:highlight w:val="none"/>
        </w:rPr>
        <w:t>。</w:t>
      </w:r>
    </w:p>
    <w:p w14:paraId="49D04A8A">
      <w:pPr>
        <w:spacing w:line="360" w:lineRule="auto"/>
        <w:ind w:firstLine="420" w:firstLineChars="200"/>
        <w:rPr>
          <w:rFonts w:eastAsia="仿宋_GB2312"/>
          <w:color w:val="auto"/>
          <w:szCs w:val="21"/>
          <w:highlight w:val="none"/>
        </w:rPr>
      </w:pPr>
      <w:r>
        <w:rPr>
          <w:rFonts w:eastAsia="仿宋_GB2312"/>
          <w:color w:val="auto"/>
          <w:szCs w:val="21"/>
          <w:highlight w:val="none"/>
        </w:rPr>
        <w:t>1.1.2 合同当事人及其他相关方</w:t>
      </w:r>
    </w:p>
    <w:p w14:paraId="56C86F84">
      <w:pPr>
        <w:spacing w:line="360" w:lineRule="auto"/>
        <w:ind w:firstLine="420" w:firstLineChars="200"/>
        <w:rPr>
          <w:rFonts w:eastAsia="仿宋_GB2312"/>
          <w:color w:val="auto"/>
          <w:szCs w:val="21"/>
          <w:highlight w:val="none"/>
        </w:rPr>
      </w:pPr>
      <w:r>
        <w:rPr>
          <w:rFonts w:eastAsia="仿宋_GB2312"/>
          <w:color w:val="auto"/>
          <w:szCs w:val="21"/>
          <w:highlight w:val="none"/>
        </w:rPr>
        <w:t>1.1.2.4监理人：</w:t>
      </w:r>
    </w:p>
    <w:p w14:paraId="626AFD8F">
      <w:pPr>
        <w:spacing w:line="360" w:lineRule="auto"/>
        <w:ind w:firstLine="420" w:firstLineChars="200"/>
        <w:rPr>
          <w:rFonts w:eastAsia="仿宋_GB2312"/>
          <w:color w:val="auto"/>
          <w:szCs w:val="21"/>
          <w:highlight w:val="none"/>
        </w:rPr>
      </w:pPr>
      <w:r>
        <w:rPr>
          <w:rFonts w:eastAsia="仿宋_GB2312"/>
          <w:color w:val="auto"/>
          <w:szCs w:val="21"/>
          <w:highlight w:val="none"/>
        </w:rPr>
        <w:t>名    称：</w:t>
      </w:r>
      <w:r>
        <w:rPr>
          <w:rFonts w:hint="eastAsia" w:eastAsia="仿宋_GB2312"/>
          <w:color w:val="auto"/>
          <w:szCs w:val="21"/>
          <w:highlight w:val="none"/>
          <w:u w:val="single"/>
        </w:rPr>
        <w:t xml:space="preserve">                             </w:t>
      </w:r>
      <w:r>
        <w:rPr>
          <w:rFonts w:eastAsia="仿宋_GB2312"/>
          <w:color w:val="auto"/>
          <w:szCs w:val="21"/>
          <w:highlight w:val="none"/>
        </w:rPr>
        <w:t>；</w:t>
      </w:r>
    </w:p>
    <w:p w14:paraId="3D8E324A">
      <w:pPr>
        <w:spacing w:line="360" w:lineRule="auto"/>
        <w:ind w:firstLine="420" w:firstLineChars="200"/>
        <w:rPr>
          <w:rFonts w:eastAsia="仿宋_GB2312"/>
          <w:color w:val="auto"/>
          <w:szCs w:val="21"/>
          <w:highlight w:val="none"/>
        </w:rPr>
      </w:pPr>
      <w:r>
        <w:rPr>
          <w:rFonts w:eastAsia="仿宋_GB2312"/>
          <w:color w:val="auto"/>
          <w:szCs w:val="21"/>
          <w:highlight w:val="none"/>
        </w:rPr>
        <w:t>资质类别和等级：</w:t>
      </w:r>
      <w:r>
        <w:rPr>
          <w:rFonts w:hint="eastAsia" w:eastAsia="仿宋_GB2312"/>
          <w:color w:val="auto"/>
          <w:szCs w:val="21"/>
          <w:highlight w:val="none"/>
          <w:u w:val="single"/>
        </w:rPr>
        <w:t xml:space="preserve">                       </w:t>
      </w:r>
      <w:r>
        <w:rPr>
          <w:rFonts w:eastAsia="仿宋_GB2312"/>
          <w:color w:val="auto"/>
          <w:szCs w:val="21"/>
          <w:highlight w:val="none"/>
        </w:rPr>
        <w:t>；</w:t>
      </w:r>
    </w:p>
    <w:p w14:paraId="132C0479">
      <w:pPr>
        <w:spacing w:line="360" w:lineRule="auto"/>
        <w:ind w:firstLine="420" w:firstLineChars="200"/>
        <w:rPr>
          <w:rFonts w:eastAsia="仿宋_GB2312"/>
          <w:color w:val="auto"/>
          <w:szCs w:val="21"/>
          <w:highlight w:val="none"/>
        </w:rPr>
      </w:pPr>
      <w:r>
        <w:rPr>
          <w:rFonts w:eastAsia="仿宋_GB2312"/>
          <w:color w:val="auto"/>
          <w:szCs w:val="21"/>
          <w:highlight w:val="none"/>
        </w:rPr>
        <w:t>联系电话：</w:t>
      </w:r>
      <w:r>
        <w:rPr>
          <w:rFonts w:hint="eastAsia" w:eastAsia="仿宋_GB2312"/>
          <w:color w:val="auto"/>
          <w:szCs w:val="21"/>
          <w:highlight w:val="none"/>
          <w:u w:val="single"/>
        </w:rPr>
        <w:t xml:space="preserve">                             </w:t>
      </w:r>
      <w:r>
        <w:rPr>
          <w:rFonts w:eastAsia="仿宋_GB2312"/>
          <w:color w:val="auto"/>
          <w:szCs w:val="21"/>
          <w:highlight w:val="none"/>
        </w:rPr>
        <w:t>；</w:t>
      </w:r>
    </w:p>
    <w:p w14:paraId="1AB4434B">
      <w:pPr>
        <w:spacing w:line="360" w:lineRule="auto"/>
        <w:ind w:firstLine="420" w:firstLineChars="200"/>
        <w:rPr>
          <w:rFonts w:eastAsia="仿宋_GB2312"/>
          <w:color w:val="auto"/>
          <w:szCs w:val="21"/>
          <w:highlight w:val="none"/>
        </w:rPr>
      </w:pPr>
      <w:r>
        <w:rPr>
          <w:rFonts w:eastAsia="仿宋_GB2312"/>
          <w:color w:val="auto"/>
          <w:szCs w:val="21"/>
          <w:highlight w:val="none"/>
        </w:rPr>
        <w:t>电子信箱：</w:t>
      </w:r>
      <w:r>
        <w:rPr>
          <w:rFonts w:hint="eastAsia" w:eastAsia="仿宋_GB2312"/>
          <w:color w:val="auto"/>
          <w:szCs w:val="21"/>
          <w:highlight w:val="none"/>
          <w:u w:val="single"/>
        </w:rPr>
        <w:t xml:space="preserve">                             </w:t>
      </w:r>
      <w:r>
        <w:rPr>
          <w:rFonts w:eastAsia="仿宋_GB2312"/>
          <w:color w:val="auto"/>
          <w:szCs w:val="21"/>
          <w:highlight w:val="none"/>
        </w:rPr>
        <w:t>；</w:t>
      </w:r>
    </w:p>
    <w:p w14:paraId="1086439B">
      <w:pPr>
        <w:spacing w:line="360" w:lineRule="auto"/>
        <w:ind w:firstLine="420" w:firstLineChars="200"/>
        <w:rPr>
          <w:rFonts w:eastAsia="仿宋_GB2312"/>
          <w:color w:val="auto"/>
          <w:szCs w:val="21"/>
          <w:highlight w:val="none"/>
        </w:rPr>
      </w:pPr>
      <w:r>
        <w:rPr>
          <w:rFonts w:eastAsia="仿宋_GB2312"/>
          <w:color w:val="auto"/>
          <w:szCs w:val="21"/>
          <w:highlight w:val="none"/>
        </w:rPr>
        <w:t>通信地址：</w:t>
      </w:r>
      <w:r>
        <w:rPr>
          <w:rFonts w:hint="eastAsia" w:eastAsia="仿宋_GB2312"/>
          <w:color w:val="auto"/>
          <w:szCs w:val="21"/>
          <w:highlight w:val="none"/>
          <w:u w:val="single"/>
        </w:rPr>
        <w:t xml:space="preserve">    </w:t>
      </w:r>
      <w:r>
        <w:rPr>
          <w:rFonts w:hint="eastAsia" w:ascii="仿宋_GB2312" w:hAnsi="宋体"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09DC3CFF">
      <w:pPr>
        <w:spacing w:line="360" w:lineRule="auto"/>
        <w:ind w:firstLine="420" w:firstLineChars="200"/>
        <w:rPr>
          <w:rFonts w:eastAsia="仿宋_GB2312"/>
          <w:color w:val="auto"/>
          <w:szCs w:val="21"/>
          <w:highlight w:val="none"/>
        </w:rPr>
      </w:pPr>
      <w:r>
        <w:rPr>
          <w:rFonts w:eastAsia="仿宋_GB2312"/>
          <w:color w:val="auto"/>
          <w:szCs w:val="21"/>
          <w:highlight w:val="none"/>
        </w:rPr>
        <w:t>1.1.2.5 设计人：</w:t>
      </w:r>
    </w:p>
    <w:p w14:paraId="611CB224">
      <w:pPr>
        <w:spacing w:line="360" w:lineRule="auto"/>
        <w:ind w:firstLine="420" w:firstLineChars="200"/>
        <w:rPr>
          <w:rFonts w:eastAsia="仿宋_GB2312"/>
          <w:color w:val="auto"/>
          <w:szCs w:val="21"/>
          <w:highlight w:val="none"/>
        </w:rPr>
      </w:pPr>
      <w:r>
        <w:rPr>
          <w:rFonts w:eastAsia="仿宋_GB2312"/>
          <w:color w:val="auto"/>
          <w:szCs w:val="21"/>
          <w:highlight w:val="none"/>
        </w:rPr>
        <w:t>名    称：</w:t>
      </w:r>
      <w:r>
        <w:rPr>
          <w:rFonts w:hint="eastAsia" w:eastAsia="仿宋_GB2312"/>
          <w:color w:val="auto"/>
          <w:szCs w:val="21"/>
          <w:highlight w:val="none"/>
          <w:u w:val="single"/>
        </w:rPr>
        <w:t xml:space="preserve"> </w:t>
      </w:r>
      <w:r>
        <w:rPr>
          <w:rFonts w:hint="eastAsia" w:ascii="仿宋" w:hAnsi="仿宋" w:eastAsia="仿宋"/>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4EAEF10">
      <w:pPr>
        <w:spacing w:line="360" w:lineRule="auto"/>
        <w:ind w:firstLine="420" w:firstLineChars="200"/>
        <w:rPr>
          <w:rFonts w:eastAsia="仿宋_GB2312"/>
          <w:color w:val="auto"/>
          <w:szCs w:val="21"/>
          <w:highlight w:val="none"/>
        </w:rPr>
      </w:pPr>
      <w:r>
        <w:rPr>
          <w:rFonts w:eastAsia="仿宋_GB2312"/>
          <w:color w:val="auto"/>
          <w:szCs w:val="21"/>
          <w:highlight w:val="none"/>
        </w:rPr>
        <w:t>资质类别和等级：</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63E20670">
      <w:pPr>
        <w:spacing w:line="360" w:lineRule="auto"/>
        <w:ind w:firstLine="420" w:firstLineChars="200"/>
        <w:rPr>
          <w:rFonts w:eastAsia="仿宋_GB2312"/>
          <w:color w:val="auto"/>
          <w:szCs w:val="21"/>
          <w:highlight w:val="none"/>
        </w:rPr>
      </w:pPr>
      <w:r>
        <w:rPr>
          <w:rFonts w:eastAsia="仿宋_GB2312"/>
          <w:color w:val="auto"/>
          <w:szCs w:val="21"/>
          <w:highlight w:val="none"/>
        </w:rPr>
        <w:t>联系电话：</w:t>
      </w:r>
      <w:r>
        <w:rPr>
          <w:rFonts w:hint="eastAsia" w:eastAsia="仿宋_GB2312"/>
          <w:color w:val="auto"/>
          <w:szCs w:val="21"/>
          <w:highlight w:val="none"/>
          <w:u w:val="single"/>
        </w:rPr>
        <w:t xml:space="preserve">                      </w:t>
      </w:r>
      <w:r>
        <w:rPr>
          <w:rFonts w:eastAsia="仿宋_GB2312"/>
          <w:color w:val="auto"/>
          <w:szCs w:val="21"/>
          <w:highlight w:val="none"/>
          <w:u w:val="single"/>
        </w:rPr>
        <w:t></w:t>
      </w:r>
      <w:r>
        <w:rPr>
          <w:rFonts w:eastAsia="仿宋_GB2312"/>
          <w:color w:val="auto"/>
          <w:szCs w:val="21"/>
          <w:highlight w:val="none"/>
        </w:rPr>
        <w:t>；</w:t>
      </w:r>
    </w:p>
    <w:p w14:paraId="711DD76B">
      <w:pPr>
        <w:spacing w:line="360" w:lineRule="auto"/>
        <w:ind w:firstLine="420" w:firstLineChars="200"/>
        <w:rPr>
          <w:rFonts w:eastAsia="仿宋_GB2312"/>
          <w:color w:val="auto"/>
          <w:szCs w:val="21"/>
          <w:highlight w:val="none"/>
        </w:rPr>
      </w:pPr>
      <w:r>
        <w:rPr>
          <w:rFonts w:eastAsia="仿宋_GB2312"/>
          <w:color w:val="auto"/>
          <w:szCs w:val="21"/>
          <w:highlight w:val="none"/>
        </w:rPr>
        <w:t>电子信箱：</w:t>
      </w:r>
      <w:r>
        <w:rPr>
          <w:rFonts w:hint="eastAsia" w:eastAsia="仿宋_GB2312"/>
          <w:color w:val="auto"/>
          <w:szCs w:val="21"/>
          <w:highlight w:val="none"/>
          <w:u w:val="single"/>
        </w:rPr>
        <w:t xml:space="preserve">                        </w:t>
      </w:r>
      <w:r>
        <w:rPr>
          <w:rFonts w:eastAsia="仿宋_GB2312"/>
          <w:color w:val="auto"/>
          <w:szCs w:val="21"/>
          <w:highlight w:val="none"/>
          <w:u w:val="single"/>
        </w:rPr>
        <w:t></w:t>
      </w:r>
      <w:r>
        <w:rPr>
          <w:rFonts w:eastAsia="仿宋_GB2312"/>
          <w:color w:val="auto"/>
          <w:szCs w:val="21"/>
          <w:highlight w:val="none"/>
        </w:rPr>
        <w:t>；</w:t>
      </w:r>
    </w:p>
    <w:p w14:paraId="20DE10D2">
      <w:pPr>
        <w:spacing w:line="360" w:lineRule="auto"/>
        <w:ind w:firstLine="420" w:firstLineChars="200"/>
        <w:rPr>
          <w:rFonts w:eastAsia="仿宋_GB2312"/>
          <w:color w:val="auto"/>
          <w:szCs w:val="21"/>
          <w:highlight w:val="none"/>
        </w:rPr>
      </w:pPr>
      <w:r>
        <w:rPr>
          <w:rFonts w:eastAsia="仿宋_GB2312"/>
          <w:color w:val="auto"/>
          <w:szCs w:val="21"/>
          <w:highlight w:val="none"/>
        </w:rPr>
        <w:t>通信地址：</w:t>
      </w:r>
      <w:r>
        <w:rPr>
          <w:rFonts w:hint="eastAsia" w:eastAsia="仿宋_GB2312"/>
          <w:color w:val="auto"/>
          <w:szCs w:val="21"/>
          <w:highlight w:val="none"/>
          <w:u w:val="single"/>
        </w:rPr>
        <w:t xml:space="preserve">   </w:t>
      </w:r>
      <w:r>
        <w:rPr>
          <w:rFonts w:hint="eastAsia" w:ascii="仿宋" w:hAnsi="仿宋" w:eastAsia="仿宋" w:cs="仿宋"/>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0237FFF7">
      <w:pPr>
        <w:spacing w:line="360" w:lineRule="auto"/>
        <w:ind w:firstLine="420" w:firstLineChars="200"/>
        <w:rPr>
          <w:rFonts w:eastAsia="仿宋_GB2312"/>
          <w:color w:val="auto"/>
          <w:szCs w:val="21"/>
          <w:highlight w:val="none"/>
        </w:rPr>
      </w:pPr>
      <w:r>
        <w:rPr>
          <w:rFonts w:eastAsia="仿宋_GB2312"/>
          <w:color w:val="auto"/>
          <w:szCs w:val="21"/>
          <w:highlight w:val="none"/>
        </w:rPr>
        <w:t>1.1.3 工程和设备</w:t>
      </w:r>
    </w:p>
    <w:p w14:paraId="396358A2">
      <w:pPr>
        <w:spacing w:line="360" w:lineRule="auto"/>
        <w:ind w:firstLine="420" w:firstLineChars="200"/>
        <w:rPr>
          <w:rFonts w:eastAsia="仿宋_GB2312"/>
          <w:color w:val="auto"/>
          <w:szCs w:val="21"/>
          <w:highlight w:val="none"/>
        </w:rPr>
      </w:pPr>
      <w:r>
        <w:rPr>
          <w:rFonts w:eastAsia="仿宋_GB2312"/>
          <w:color w:val="auto"/>
          <w:szCs w:val="21"/>
          <w:highlight w:val="none"/>
        </w:rPr>
        <w:t>1.1.3.7 作为施工现场组成部分的其他场所包括：</w:t>
      </w:r>
      <w:r>
        <w:rPr>
          <w:rFonts w:hint="eastAsia" w:eastAsia="仿宋_GB2312"/>
          <w:color w:val="auto"/>
          <w:szCs w:val="21"/>
          <w:highlight w:val="none"/>
          <w:u w:val="single"/>
        </w:rPr>
        <w:t xml:space="preserve">                        </w:t>
      </w:r>
      <w:r>
        <w:rPr>
          <w:rFonts w:eastAsia="仿宋_GB2312"/>
          <w:color w:val="auto"/>
          <w:szCs w:val="21"/>
          <w:highlight w:val="none"/>
        </w:rPr>
        <w:t>。</w:t>
      </w:r>
    </w:p>
    <w:p w14:paraId="334C17A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1.1.3.9 永久占地包括：</w:t>
      </w:r>
      <w:r>
        <w:rPr>
          <w:rFonts w:hint="eastAsia" w:eastAsia="仿宋_GB2312"/>
          <w:color w:val="auto"/>
          <w:kern w:val="0"/>
          <w:szCs w:val="21"/>
          <w:highlight w:val="none"/>
          <w:u w:val="single"/>
        </w:rPr>
        <w:t xml:space="preserve">                                 </w:t>
      </w:r>
      <w:r>
        <w:rPr>
          <w:rFonts w:eastAsia="仿宋_GB2312"/>
          <w:color w:val="auto"/>
          <w:kern w:val="0"/>
          <w:szCs w:val="21"/>
          <w:highlight w:val="none"/>
        </w:rPr>
        <w:t>。</w:t>
      </w:r>
    </w:p>
    <w:p w14:paraId="0933E8CA">
      <w:pPr>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1.1.3.10 临时占地包括：</w:t>
      </w:r>
      <w:r>
        <w:rPr>
          <w:rFonts w:hint="eastAsia" w:eastAsia="仿宋_GB2312"/>
          <w:color w:val="auto"/>
          <w:kern w:val="0"/>
          <w:szCs w:val="21"/>
          <w:highlight w:val="none"/>
          <w:u w:val="single"/>
        </w:rPr>
        <w:t xml:space="preserve">                                </w:t>
      </w:r>
      <w:r>
        <w:rPr>
          <w:rFonts w:eastAsia="仿宋_GB2312"/>
          <w:color w:val="auto"/>
          <w:kern w:val="0"/>
          <w:szCs w:val="21"/>
          <w:highlight w:val="none"/>
        </w:rPr>
        <w:t>。</w:t>
      </w:r>
    </w:p>
    <w:p w14:paraId="27764AAD">
      <w:pPr>
        <w:spacing w:after="120" w:line="360" w:lineRule="auto"/>
        <w:ind w:firstLine="420" w:firstLineChars="200"/>
        <w:rPr>
          <w:rFonts w:eastAsia="黑体"/>
          <w:color w:val="auto"/>
          <w:szCs w:val="21"/>
          <w:highlight w:val="none"/>
        </w:rPr>
      </w:pPr>
      <w:r>
        <w:rPr>
          <w:rFonts w:eastAsia="黑体"/>
          <w:color w:val="auto"/>
          <w:szCs w:val="21"/>
          <w:highlight w:val="none"/>
        </w:rPr>
        <w:t xml:space="preserve">1.3法律 </w:t>
      </w:r>
    </w:p>
    <w:p w14:paraId="001B98A8">
      <w:pPr>
        <w:autoSpaceDE w:val="0"/>
        <w:autoSpaceDN w:val="0"/>
        <w:adjustRightInd w:val="0"/>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适用于合同的其他规范性文件：</w:t>
      </w:r>
      <w:r>
        <w:rPr>
          <w:rFonts w:hint="eastAsia" w:eastAsia="仿宋_GB2312"/>
          <w:color w:val="auto"/>
          <w:szCs w:val="21"/>
          <w:highlight w:val="non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p>
    <w:p w14:paraId="3DBC1549">
      <w:pPr>
        <w:spacing w:after="120" w:line="360" w:lineRule="auto"/>
        <w:ind w:firstLine="420" w:firstLineChars="200"/>
        <w:rPr>
          <w:rFonts w:eastAsia="黑体"/>
          <w:color w:val="auto"/>
          <w:szCs w:val="21"/>
          <w:highlight w:val="none"/>
        </w:rPr>
      </w:pPr>
      <w:r>
        <w:rPr>
          <w:rFonts w:eastAsia="黑体"/>
          <w:color w:val="auto"/>
          <w:szCs w:val="21"/>
          <w:highlight w:val="none"/>
        </w:rPr>
        <w:t>1.4 标准和规范</w:t>
      </w:r>
    </w:p>
    <w:p w14:paraId="73896A75">
      <w:pPr>
        <w:spacing w:line="360" w:lineRule="auto"/>
        <w:ind w:firstLine="420" w:firstLineChars="200"/>
        <w:rPr>
          <w:rFonts w:eastAsia="仿宋_GB2312"/>
          <w:color w:val="auto"/>
          <w:szCs w:val="21"/>
          <w:highlight w:val="none"/>
        </w:rPr>
      </w:pPr>
      <w:r>
        <w:rPr>
          <w:rFonts w:eastAsia="仿宋_GB2312"/>
          <w:color w:val="auto"/>
          <w:szCs w:val="21"/>
          <w:highlight w:val="none"/>
        </w:rPr>
        <w:t>1.4.1适用于工程的标准规范包括：</w:t>
      </w:r>
      <w:r>
        <w:rPr>
          <w:rFonts w:hint="eastAsia" w:eastAsia="仿宋_GB2312"/>
          <w:color w:val="auto"/>
          <w:szCs w:val="21"/>
          <w:highlight w:val="none"/>
          <w:u w:val="single"/>
        </w:rPr>
        <w:t xml:space="preserve">                      </w:t>
      </w:r>
      <w:r>
        <w:rPr>
          <w:rFonts w:eastAsia="仿宋_GB2312"/>
          <w:color w:val="auto"/>
          <w:szCs w:val="21"/>
          <w:highlight w:val="none"/>
        </w:rPr>
        <w:t>。</w:t>
      </w:r>
    </w:p>
    <w:p w14:paraId="79C60A07">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1.4.2 发包人提供国外标准、规范的名称：</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3D7BB4BD">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发包人提供国外标准、规范的份数：</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4DD19CC9">
      <w:pPr>
        <w:spacing w:line="360" w:lineRule="auto"/>
        <w:ind w:firstLine="420" w:firstLineChars="200"/>
        <w:rPr>
          <w:rFonts w:eastAsia="仿宋_GB2312"/>
          <w:color w:val="auto"/>
          <w:szCs w:val="21"/>
          <w:highlight w:val="none"/>
        </w:rPr>
      </w:pPr>
      <w:r>
        <w:rPr>
          <w:rFonts w:eastAsia="仿宋_GB2312"/>
          <w:color w:val="auto"/>
          <w:kern w:val="0"/>
          <w:szCs w:val="21"/>
          <w:highlight w:val="none"/>
        </w:rPr>
        <w:t>发包人提供国外标准、规范的名称：</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7D78BAF5">
      <w:pPr>
        <w:spacing w:line="360" w:lineRule="auto"/>
        <w:ind w:left="596" w:leftChars="284" w:firstLine="1687"/>
        <w:rPr>
          <w:rFonts w:eastAsia="仿宋_GB2312"/>
          <w:color w:val="auto"/>
          <w:szCs w:val="21"/>
          <w:highlight w:val="none"/>
        </w:rPr>
      </w:pPr>
      <w:r>
        <w:rPr>
          <w:rFonts w:eastAsia="仿宋_GB2312"/>
          <w:color w:val="auto"/>
          <w:szCs w:val="21"/>
          <w:highlight w:val="none"/>
        </w:rPr>
        <w:t>1.4.3发包人对工程的技术标准和功能要求的特殊要求：</w:t>
      </w:r>
    </w:p>
    <w:p w14:paraId="1BA95772">
      <w:pPr>
        <w:spacing w:line="360" w:lineRule="auto"/>
        <w:ind w:firstLine="840" w:firstLineChars="400"/>
        <w:rPr>
          <w:rFonts w:eastAsia="仿宋_GB2312"/>
          <w:color w:val="auto"/>
          <w:szCs w:val="21"/>
          <w:highlight w:val="none"/>
        </w:rPr>
      </w:pP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4A8C6F6E">
      <w:pPr>
        <w:spacing w:after="120" w:line="360" w:lineRule="auto"/>
        <w:ind w:firstLine="420" w:firstLineChars="200"/>
        <w:rPr>
          <w:rFonts w:eastAsia="黑体"/>
          <w:color w:val="auto"/>
          <w:szCs w:val="21"/>
          <w:highlight w:val="none"/>
        </w:rPr>
      </w:pPr>
      <w:r>
        <w:rPr>
          <w:rFonts w:eastAsia="黑体"/>
          <w:color w:val="auto"/>
          <w:szCs w:val="21"/>
          <w:highlight w:val="none"/>
        </w:rPr>
        <w:t>1.5 合同文件的优先顺序</w:t>
      </w:r>
    </w:p>
    <w:p w14:paraId="089B9F96">
      <w:pPr>
        <w:spacing w:line="360" w:lineRule="auto"/>
        <w:ind w:firstLine="420" w:firstLineChars="200"/>
        <w:rPr>
          <w:rFonts w:eastAsia="仿宋_GB2312"/>
          <w:color w:val="auto"/>
          <w:szCs w:val="21"/>
          <w:highlight w:val="none"/>
          <w:u w:val="single"/>
        </w:rPr>
      </w:pPr>
      <w:r>
        <w:rPr>
          <w:rFonts w:eastAsia="仿宋_GB2312"/>
          <w:color w:val="auto"/>
          <w:szCs w:val="21"/>
          <w:highlight w:val="none"/>
        </w:rPr>
        <w:t>合同文件组成及优先顺序为：</w:t>
      </w:r>
      <w:r>
        <w:rPr>
          <w:rFonts w:hint="eastAsia" w:eastAsia="仿宋_GB2312"/>
          <w:color w:val="auto"/>
          <w:szCs w:val="21"/>
          <w:highlight w:val="none"/>
          <w:u w:val="single"/>
        </w:rPr>
        <w:t xml:space="preserve">                                               </w:t>
      </w:r>
    </w:p>
    <w:p w14:paraId="5546020D">
      <w:pPr>
        <w:spacing w:line="360" w:lineRule="auto"/>
        <w:ind w:firstLine="420" w:firstLineChars="200"/>
        <w:rPr>
          <w:rFonts w:eastAsia="仿宋_GB2312"/>
          <w:color w:val="auto"/>
          <w:szCs w:val="21"/>
          <w:highlight w:val="none"/>
          <w:u w:val="single"/>
        </w:rPr>
      </w:pPr>
      <w:r>
        <w:rPr>
          <w:rFonts w:hint="eastAsia" w:eastAsia="仿宋_GB2312"/>
          <w:color w:val="auto"/>
          <w:szCs w:val="21"/>
          <w:highlight w:val="none"/>
          <w:u w:val="single"/>
        </w:rPr>
        <w:t xml:space="preserve">                                           .    </w:t>
      </w:r>
    </w:p>
    <w:p w14:paraId="79C98E47">
      <w:pPr>
        <w:spacing w:after="120" w:line="360" w:lineRule="auto"/>
        <w:ind w:firstLine="420" w:firstLineChars="200"/>
        <w:rPr>
          <w:rFonts w:eastAsia="黑体"/>
          <w:color w:val="auto"/>
          <w:szCs w:val="21"/>
          <w:highlight w:val="none"/>
        </w:rPr>
      </w:pPr>
      <w:r>
        <w:rPr>
          <w:rFonts w:eastAsia="黑体"/>
          <w:color w:val="auto"/>
          <w:szCs w:val="21"/>
          <w:highlight w:val="none"/>
        </w:rPr>
        <w:t>1.6 图纸和承包人文件</w:t>
      </w:r>
      <w:r>
        <w:rPr>
          <w:rFonts w:eastAsia="黑体"/>
          <w:color w:val="auto"/>
          <w:szCs w:val="21"/>
          <w:highlight w:val="none"/>
        </w:rPr>
        <w:tab/>
      </w:r>
    </w:p>
    <w:p w14:paraId="446426AA">
      <w:pPr>
        <w:spacing w:line="360" w:lineRule="auto"/>
        <w:ind w:firstLine="420" w:firstLineChars="200"/>
        <w:rPr>
          <w:rFonts w:eastAsia="仿宋_GB2312"/>
          <w:color w:val="auto"/>
          <w:szCs w:val="21"/>
          <w:highlight w:val="none"/>
        </w:rPr>
      </w:pPr>
      <w:r>
        <w:rPr>
          <w:rFonts w:eastAsia="仿宋_GB2312"/>
          <w:color w:val="auto"/>
          <w:szCs w:val="21"/>
          <w:highlight w:val="none"/>
        </w:rPr>
        <w:t>1.6.1 图纸的提供</w:t>
      </w:r>
    </w:p>
    <w:p w14:paraId="512C1EC0">
      <w:pPr>
        <w:spacing w:line="360" w:lineRule="auto"/>
        <w:ind w:firstLine="420" w:firstLineChars="200"/>
        <w:rPr>
          <w:rFonts w:eastAsia="仿宋_GB2312"/>
          <w:color w:val="auto"/>
          <w:szCs w:val="21"/>
          <w:highlight w:val="none"/>
        </w:rPr>
      </w:pPr>
      <w:r>
        <w:rPr>
          <w:rFonts w:eastAsia="仿宋_GB2312"/>
          <w:color w:val="auto"/>
          <w:szCs w:val="21"/>
          <w:highlight w:val="none"/>
        </w:rPr>
        <w:t>发包人向承包人提供图纸的期限：</w:t>
      </w:r>
      <w:r>
        <w:rPr>
          <w:rFonts w:hint="eastAsia" w:eastAsia="仿宋_GB2312"/>
          <w:color w:val="auto"/>
          <w:szCs w:val="21"/>
          <w:highlight w:val="none"/>
          <w:u w:val="single"/>
        </w:rPr>
        <w:t xml:space="preserve">                       </w:t>
      </w:r>
      <w:r>
        <w:rPr>
          <w:rFonts w:eastAsia="仿宋_GB2312"/>
          <w:color w:val="auto"/>
          <w:szCs w:val="21"/>
          <w:highlight w:val="none"/>
        </w:rPr>
        <w:t>；</w:t>
      </w:r>
    </w:p>
    <w:p w14:paraId="24A4812C">
      <w:pPr>
        <w:spacing w:line="360" w:lineRule="auto"/>
        <w:ind w:firstLine="420" w:firstLineChars="200"/>
        <w:rPr>
          <w:rFonts w:eastAsia="仿宋_GB2312"/>
          <w:color w:val="auto"/>
          <w:szCs w:val="21"/>
          <w:highlight w:val="none"/>
          <w:u w:val="single"/>
        </w:rPr>
      </w:pPr>
      <w:r>
        <w:rPr>
          <w:rFonts w:eastAsia="仿宋_GB2312"/>
          <w:color w:val="auto"/>
          <w:szCs w:val="21"/>
          <w:highlight w:val="none"/>
        </w:rPr>
        <w:t>发包人向承包人提供图纸的数量：</w:t>
      </w:r>
      <w:r>
        <w:rPr>
          <w:rFonts w:hint="eastAsia" w:eastAsia="仿宋_GB2312"/>
          <w:color w:val="auto"/>
          <w:szCs w:val="21"/>
          <w:highlight w:val="none"/>
          <w:u w:val="single"/>
        </w:rPr>
        <w:t xml:space="preserve">                       </w:t>
      </w:r>
      <w:r>
        <w:rPr>
          <w:rFonts w:eastAsia="仿宋_GB2312"/>
          <w:color w:val="auto"/>
          <w:szCs w:val="21"/>
          <w:highlight w:val="none"/>
          <w:u w:val="single"/>
        </w:rPr>
        <w:t>；</w:t>
      </w:r>
    </w:p>
    <w:p w14:paraId="55FC2B28">
      <w:pPr>
        <w:spacing w:line="360" w:lineRule="auto"/>
        <w:ind w:firstLine="420" w:firstLineChars="200"/>
        <w:rPr>
          <w:rFonts w:eastAsia="仿宋_GB2312"/>
          <w:color w:val="auto"/>
          <w:szCs w:val="21"/>
          <w:highlight w:val="none"/>
        </w:rPr>
      </w:pPr>
      <w:r>
        <w:rPr>
          <w:rFonts w:eastAsia="仿宋_GB2312"/>
          <w:color w:val="auto"/>
          <w:szCs w:val="21"/>
          <w:highlight w:val="none"/>
        </w:rPr>
        <w:t>发包人向承包人提供图纸的内容：</w:t>
      </w:r>
      <w:r>
        <w:rPr>
          <w:rFonts w:hint="eastAsia" w:eastAsia="仿宋_GB2312"/>
          <w:color w:val="auto"/>
          <w:szCs w:val="21"/>
          <w:highlight w:val="none"/>
          <w:u w:val="single"/>
        </w:rPr>
        <w:t xml:space="preserve">                       </w:t>
      </w:r>
      <w:r>
        <w:rPr>
          <w:rFonts w:eastAsia="仿宋_GB2312"/>
          <w:color w:val="auto"/>
          <w:szCs w:val="21"/>
          <w:highlight w:val="none"/>
          <w:u w:val="single"/>
        </w:rPr>
        <w:t>。</w:t>
      </w:r>
    </w:p>
    <w:p w14:paraId="461083E2">
      <w:pPr>
        <w:spacing w:line="360" w:lineRule="auto"/>
        <w:ind w:firstLine="420" w:firstLineChars="200"/>
        <w:rPr>
          <w:rFonts w:eastAsia="仿宋_GB2312"/>
          <w:color w:val="auto"/>
          <w:szCs w:val="21"/>
          <w:highlight w:val="none"/>
        </w:rPr>
      </w:pPr>
      <w:r>
        <w:rPr>
          <w:rFonts w:eastAsia="仿宋_GB2312"/>
          <w:color w:val="auto"/>
          <w:szCs w:val="21"/>
          <w:highlight w:val="none"/>
        </w:rPr>
        <w:t>1.6.4 承包人文件</w:t>
      </w:r>
    </w:p>
    <w:p w14:paraId="02A05397">
      <w:pPr>
        <w:spacing w:line="360" w:lineRule="auto"/>
        <w:ind w:firstLine="420" w:firstLineChars="200"/>
        <w:jc w:val="left"/>
        <w:rPr>
          <w:rFonts w:eastAsia="仿宋_GB2312"/>
          <w:color w:val="auto"/>
          <w:szCs w:val="21"/>
          <w:highlight w:val="none"/>
        </w:rPr>
      </w:pPr>
      <w:r>
        <w:rPr>
          <w:rFonts w:eastAsia="仿宋_GB2312"/>
          <w:color w:val="auto"/>
          <w:szCs w:val="21"/>
          <w:highlight w:val="none"/>
        </w:rPr>
        <w:t>需要由承包人提供的文件，包括</w:t>
      </w:r>
      <w:r>
        <w:rPr>
          <w:rFonts w:hint="eastAsia" w:eastAsia="仿宋_GB2312"/>
          <w:color w:val="auto"/>
          <w:szCs w:val="21"/>
          <w:highlight w:val="none"/>
        </w:rPr>
        <w:t>但不限于</w:t>
      </w:r>
      <w:r>
        <w:rPr>
          <w:rFonts w:eastAsia="仿宋_GB2312"/>
          <w:color w:val="auto"/>
          <w:szCs w:val="21"/>
          <w:highlight w:val="none"/>
        </w:rPr>
        <w:t>：</w:t>
      </w:r>
      <w:r>
        <w:rPr>
          <w:rFonts w:hint="eastAsia" w:eastAsia="仿宋_GB2312"/>
          <w:color w:val="auto"/>
          <w:szCs w:val="21"/>
          <w:highlight w:val="none"/>
          <w:u w:val="single"/>
        </w:rPr>
        <w:t xml:space="preserve">               </w:t>
      </w:r>
      <w:r>
        <w:rPr>
          <w:rFonts w:eastAsia="仿宋_GB2312"/>
          <w:color w:val="auto"/>
          <w:szCs w:val="21"/>
          <w:highlight w:val="none"/>
        </w:rPr>
        <w:t>；</w:t>
      </w:r>
    </w:p>
    <w:p w14:paraId="5BB37D34">
      <w:pPr>
        <w:spacing w:line="360" w:lineRule="auto"/>
        <w:ind w:firstLine="420" w:firstLineChars="200"/>
        <w:rPr>
          <w:rFonts w:eastAsia="仿宋_GB2312"/>
          <w:color w:val="auto"/>
          <w:szCs w:val="21"/>
          <w:highlight w:val="none"/>
        </w:rPr>
      </w:pPr>
      <w:r>
        <w:rPr>
          <w:rFonts w:eastAsia="仿宋_GB2312"/>
          <w:color w:val="auto"/>
          <w:szCs w:val="21"/>
          <w:highlight w:val="none"/>
        </w:rPr>
        <w:t>承包人提供的文件的期限为：</w:t>
      </w:r>
      <w:r>
        <w:rPr>
          <w:rFonts w:hint="eastAsia" w:eastAsia="仿宋_GB2312"/>
          <w:color w:val="auto"/>
          <w:szCs w:val="21"/>
          <w:highlight w:val="non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w:t>
      </w:r>
    </w:p>
    <w:p w14:paraId="0FD71A53">
      <w:pPr>
        <w:spacing w:line="360" w:lineRule="auto"/>
        <w:ind w:firstLine="420" w:firstLineChars="200"/>
        <w:rPr>
          <w:rFonts w:eastAsia="仿宋_GB2312"/>
          <w:color w:val="auto"/>
          <w:szCs w:val="21"/>
          <w:highlight w:val="none"/>
        </w:rPr>
      </w:pPr>
      <w:r>
        <w:rPr>
          <w:rFonts w:eastAsia="仿宋_GB2312"/>
          <w:color w:val="auto"/>
          <w:szCs w:val="21"/>
          <w:highlight w:val="none"/>
        </w:rPr>
        <w:t>承包人提供的文件的数量为：</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4A1991E2">
      <w:pPr>
        <w:spacing w:line="360" w:lineRule="auto"/>
        <w:ind w:firstLine="420" w:firstLineChars="200"/>
        <w:rPr>
          <w:rFonts w:eastAsia="仿宋_GB2312"/>
          <w:color w:val="auto"/>
          <w:szCs w:val="21"/>
          <w:highlight w:val="none"/>
        </w:rPr>
      </w:pPr>
      <w:r>
        <w:rPr>
          <w:rFonts w:eastAsia="仿宋_GB2312"/>
          <w:color w:val="auto"/>
          <w:szCs w:val="21"/>
          <w:highlight w:val="none"/>
        </w:rPr>
        <w:t>承包人提供的文件的形式为：</w:t>
      </w:r>
      <w:r>
        <w:rPr>
          <w:rFonts w:hint="eastAsia" w:eastAsia="仿宋_GB2312"/>
          <w:color w:val="auto"/>
          <w:szCs w:val="21"/>
          <w:highlight w:val="none"/>
          <w:u w:val="single"/>
        </w:rPr>
        <w:t xml:space="preserve">               </w:t>
      </w:r>
      <w:r>
        <w:rPr>
          <w:rFonts w:eastAsia="仿宋_GB2312"/>
          <w:color w:val="auto"/>
          <w:szCs w:val="21"/>
          <w:highlight w:val="none"/>
        </w:rPr>
        <w:t>；</w:t>
      </w:r>
    </w:p>
    <w:p w14:paraId="51FE59A0">
      <w:pPr>
        <w:spacing w:line="360" w:lineRule="auto"/>
        <w:ind w:firstLine="420" w:firstLineChars="200"/>
        <w:rPr>
          <w:rFonts w:eastAsia="仿宋_GB2312"/>
          <w:color w:val="auto"/>
          <w:szCs w:val="21"/>
          <w:highlight w:val="none"/>
        </w:rPr>
      </w:pPr>
      <w:r>
        <w:rPr>
          <w:rFonts w:eastAsia="仿宋_GB2312"/>
          <w:color w:val="auto"/>
          <w:szCs w:val="21"/>
          <w:highlight w:val="none"/>
        </w:rPr>
        <w:t>发包人</w:t>
      </w:r>
      <w:r>
        <w:rPr>
          <w:rFonts w:hint="eastAsia" w:eastAsia="仿宋_GB2312"/>
          <w:color w:val="auto"/>
          <w:szCs w:val="21"/>
          <w:highlight w:val="none"/>
        </w:rPr>
        <w:t>审批</w:t>
      </w:r>
      <w:r>
        <w:rPr>
          <w:rFonts w:eastAsia="仿宋_GB2312"/>
          <w:color w:val="auto"/>
          <w:szCs w:val="21"/>
          <w:highlight w:val="none"/>
        </w:rPr>
        <w:t>承包人文件的期限：</w:t>
      </w:r>
      <w:r>
        <w:rPr>
          <w:rFonts w:hint="eastAsia" w:eastAsia="仿宋_GB2312"/>
          <w:color w:val="auto"/>
          <w:szCs w:val="21"/>
          <w:highlight w:val="non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25C136C1">
      <w:pPr>
        <w:spacing w:line="360" w:lineRule="auto"/>
        <w:ind w:firstLine="420" w:firstLineChars="200"/>
        <w:rPr>
          <w:rFonts w:eastAsia="仿宋_GB2312"/>
          <w:color w:val="auto"/>
          <w:szCs w:val="21"/>
          <w:highlight w:val="none"/>
        </w:rPr>
      </w:pPr>
      <w:r>
        <w:rPr>
          <w:rFonts w:eastAsia="仿宋_GB2312"/>
          <w:color w:val="auto"/>
          <w:szCs w:val="21"/>
          <w:highlight w:val="none"/>
        </w:rPr>
        <w:t>1.6.5 现场图纸准备</w:t>
      </w:r>
    </w:p>
    <w:p w14:paraId="005E459C">
      <w:pPr>
        <w:spacing w:line="360" w:lineRule="auto"/>
        <w:ind w:firstLine="420" w:firstLineChars="200"/>
        <w:rPr>
          <w:rFonts w:eastAsia="仿宋_GB2312"/>
          <w:color w:val="auto"/>
          <w:szCs w:val="21"/>
          <w:highlight w:val="none"/>
        </w:rPr>
      </w:pPr>
      <w:r>
        <w:rPr>
          <w:rFonts w:eastAsia="仿宋_GB2312"/>
          <w:color w:val="auto"/>
          <w:szCs w:val="21"/>
          <w:highlight w:val="none"/>
        </w:rPr>
        <w:t>关于现场图纸准备的约定：</w:t>
      </w:r>
      <w:r>
        <w:rPr>
          <w:rFonts w:hint="eastAsia" w:eastAsia="仿宋_GB2312"/>
          <w:color w:val="auto"/>
          <w:szCs w:val="21"/>
          <w:highlight w:val="none"/>
          <w:u w:val="single"/>
        </w:rPr>
        <w:t xml:space="preserve">                            </w:t>
      </w:r>
      <w:r>
        <w:rPr>
          <w:rFonts w:eastAsia="仿宋_GB2312"/>
          <w:color w:val="auto"/>
          <w:szCs w:val="21"/>
          <w:highlight w:val="none"/>
        </w:rPr>
        <w:t>。</w:t>
      </w:r>
    </w:p>
    <w:p w14:paraId="3BA12DB1">
      <w:pPr>
        <w:spacing w:after="120" w:line="360" w:lineRule="auto"/>
        <w:ind w:firstLine="420" w:firstLineChars="200"/>
        <w:rPr>
          <w:rFonts w:eastAsia="黑体"/>
          <w:color w:val="auto"/>
          <w:szCs w:val="21"/>
          <w:highlight w:val="none"/>
        </w:rPr>
      </w:pPr>
      <w:r>
        <w:rPr>
          <w:rFonts w:eastAsia="黑体"/>
          <w:color w:val="auto"/>
          <w:szCs w:val="21"/>
          <w:highlight w:val="none"/>
        </w:rPr>
        <w:t>1.7 联络</w:t>
      </w:r>
    </w:p>
    <w:p w14:paraId="3162A5BC">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1.7.1发包人和承包人应当在</w:t>
      </w:r>
      <w:r>
        <w:rPr>
          <w:rFonts w:hint="eastAsia" w:eastAsia="仿宋_GB2312"/>
          <w:color w:val="auto"/>
          <w:kern w:val="0"/>
          <w:szCs w:val="21"/>
          <w:highlight w:val="non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rPr>
        <w:t>内将与合同有关的通知、批准、证明、证书、指示、指令、要求、请求、同意、意见、确定和决定等书面函件送达对方当事人</w:t>
      </w:r>
      <w:r>
        <w:rPr>
          <w:rFonts w:hint="eastAsia" w:eastAsia="仿宋_GB2312"/>
          <w:color w:val="auto"/>
          <w:kern w:val="0"/>
          <w:szCs w:val="21"/>
          <w:highlight w:val="none"/>
        </w:rPr>
        <w:t>。</w:t>
      </w:r>
    </w:p>
    <w:p w14:paraId="307CFBA2">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1.7.2 发包人接收文件的地点：</w:t>
      </w:r>
      <w:r>
        <w:rPr>
          <w:rFonts w:hint="eastAsia" w:eastAsia="仿宋_GB2312"/>
          <w:color w:val="auto"/>
          <w:kern w:val="0"/>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kern w:val="0"/>
          <w:szCs w:val="21"/>
          <w:highlight w:val="none"/>
        </w:rPr>
        <w:t>；</w:t>
      </w:r>
    </w:p>
    <w:p w14:paraId="45CE43A1">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发包人指定的接收人为：</w:t>
      </w:r>
      <w:r>
        <w:rPr>
          <w:rFonts w:hint="eastAsia" w:eastAsia="仿宋_GB2312"/>
          <w:color w:val="auto"/>
          <w:szCs w:val="21"/>
          <w:highlight w:val="none"/>
          <w:u w:val="single"/>
        </w:rPr>
        <w:t xml:space="preserve">                   </w:t>
      </w:r>
      <w:r>
        <w:rPr>
          <w:rFonts w:eastAsia="仿宋_GB2312"/>
          <w:color w:val="auto"/>
          <w:kern w:val="0"/>
          <w:szCs w:val="21"/>
          <w:highlight w:val="none"/>
        </w:rPr>
        <w:t>。</w:t>
      </w:r>
    </w:p>
    <w:p w14:paraId="15053FCC">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承包人接收文件的地点：</w:t>
      </w:r>
      <w:r>
        <w:rPr>
          <w:rFonts w:hint="eastAsia" w:eastAsia="仿宋_GB2312"/>
          <w:color w:val="auto"/>
          <w:szCs w:val="21"/>
          <w:highlight w:val="none"/>
          <w:u w:val="single"/>
        </w:rPr>
        <w:t xml:space="preserve">                       </w:t>
      </w:r>
      <w:r>
        <w:rPr>
          <w:rFonts w:eastAsia="仿宋_GB2312"/>
          <w:color w:val="auto"/>
          <w:kern w:val="0"/>
          <w:szCs w:val="21"/>
          <w:highlight w:val="none"/>
        </w:rPr>
        <w:t>；</w:t>
      </w:r>
    </w:p>
    <w:p w14:paraId="056D3374">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承包人指定的接收人为：</w:t>
      </w:r>
      <w:r>
        <w:rPr>
          <w:rFonts w:hint="eastAsia" w:eastAsia="仿宋_GB2312"/>
          <w:color w:val="auto"/>
          <w:szCs w:val="21"/>
          <w:highlight w:val="none"/>
          <w:u w:val="single"/>
        </w:rPr>
        <w:t xml:space="preserve">                       </w:t>
      </w:r>
      <w:r>
        <w:rPr>
          <w:rFonts w:eastAsia="仿宋_GB2312"/>
          <w:color w:val="auto"/>
          <w:kern w:val="0"/>
          <w:szCs w:val="21"/>
          <w:highlight w:val="none"/>
        </w:rPr>
        <w:t>。</w:t>
      </w:r>
    </w:p>
    <w:p w14:paraId="495BA169">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监理人接收文件的地点：</w:t>
      </w:r>
      <w:r>
        <w:rPr>
          <w:rFonts w:hint="eastAsia" w:eastAsia="仿宋_GB2312"/>
          <w:color w:val="auto"/>
          <w:szCs w:val="21"/>
          <w:highlight w:val="none"/>
          <w:u w:val="single"/>
        </w:rPr>
        <w:t xml:space="preserve">                         </w:t>
      </w:r>
      <w:r>
        <w:rPr>
          <w:rFonts w:eastAsia="仿宋_GB2312"/>
          <w:color w:val="auto"/>
          <w:kern w:val="0"/>
          <w:szCs w:val="21"/>
          <w:highlight w:val="none"/>
        </w:rPr>
        <w:t>；</w:t>
      </w:r>
    </w:p>
    <w:p w14:paraId="5B4C22CB">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监理人指定的接收人为：</w:t>
      </w:r>
      <w:r>
        <w:rPr>
          <w:rFonts w:hint="eastAsia" w:eastAsia="仿宋_GB2312"/>
          <w:color w:val="auto"/>
          <w:szCs w:val="21"/>
          <w:highlight w:val="none"/>
          <w:u w:val="single"/>
        </w:rPr>
        <w:t xml:space="preserve">                            </w:t>
      </w:r>
      <w:r>
        <w:rPr>
          <w:rFonts w:eastAsia="仿宋_GB2312"/>
          <w:color w:val="auto"/>
          <w:kern w:val="0"/>
          <w:szCs w:val="21"/>
          <w:highlight w:val="none"/>
        </w:rPr>
        <w:t>。</w:t>
      </w:r>
    </w:p>
    <w:p w14:paraId="12DFA3EF">
      <w:pPr>
        <w:spacing w:after="120" w:line="360" w:lineRule="auto"/>
        <w:ind w:firstLine="420" w:firstLineChars="200"/>
        <w:rPr>
          <w:rFonts w:eastAsia="黑体"/>
          <w:color w:val="auto"/>
          <w:szCs w:val="21"/>
          <w:highlight w:val="none"/>
        </w:rPr>
      </w:pPr>
      <w:r>
        <w:rPr>
          <w:rFonts w:eastAsia="黑体"/>
          <w:color w:val="auto"/>
          <w:szCs w:val="21"/>
          <w:highlight w:val="none"/>
        </w:rPr>
        <w:t>1.10 交通运输</w:t>
      </w:r>
    </w:p>
    <w:p w14:paraId="28A0C7AA">
      <w:pPr>
        <w:spacing w:line="360" w:lineRule="auto"/>
        <w:ind w:firstLine="420" w:firstLineChars="200"/>
        <w:rPr>
          <w:rFonts w:eastAsia="仿宋_GB2312"/>
          <w:color w:val="auto"/>
          <w:szCs w:val="21"/>
          <w:highlight w:val="none"/>
        </w:rPr>
      </w:pPr>
      <w:r>
        <w:rPr>
          <w:rFonts w:eastAsia="仿宋_GB2312"/>
          <w:color w:val="auto"/>
          <w:szCs w:val="21"/>
          <w:highlight w:val="none"/>
        </w:rPr>
        <w:t>1</w:t>
      </w:r>
      <w:bookmarkStart w:id="586" w:name="_Toc304295521"/>
      <w:bookmarkStart w:id="587" w:name="_Toc318581155"/>
      <w:bookmarkStart w:id="588" w:name="_Toc300934943"/>
      <w:bookmarkStart w:id="589" w:name="_Toc312677986"/>
      <w:bookmarkStart w:id="590" w:name="_Toc303539100"/>
      <w:r>
        <w:rPr>
          <w:rFonts w:eastAsia="仿宋_GB2312"/>
          <w:color w:val="auto"/>
          <w:szCs w:val="21"/>
          <w:highlight w:val="none"/>
        </w:rPr>
        <w:t>.10.1 出入现场的权利</w:t>
      </w:r>
    </w:p>
    <w:p w14:paraId="3B18954E">
      <w:pPr>
        <w:spacing w:line="360" w:lineRule="auto"/>
        <w:ind w:firstLine="420" w:firstLineChars="200"/>
        <w:rPr>
          <w:rFonts w:eastAsia="仿宋_GB2312"/>
          <w:color w:val="auto"/>
          <w:szCs w:val="21"/>
          <w:highlight w:val="none"/>
        </w:rPr>
      </w:pPr>
      <w:r>
        <w:rPr>
          <w:rFonts w:eastAsia="仿宋_GB2312"/>
          <w:color w:val="auto"/>
          <w:szCs w:val="21"/>
          <w:highlight w:val="none"/>
        </w:rPr>
        <w:t>关于出入现场的权利的约定：</w:t>
      </w:r>
      <w:r>
        <w:rPr>
          <w:rFonts w:hint="eastAsia" w:eastAsia="仿宋_GB2312"/>
          <w:color w:val="auto"/>
          <w:szCs w:val="21"/>
          <w:highlight w:val="none"/>
          <w:u w:val="single"/>
        </w:rPr>
        <w:t xml:space="preserve">                         </w:t>
      </w:r>
      <w:r>
        <w:rPr>
          <w:rFonts w:eastAsia="仿宋_GB2312"/>
          <w:color w:val="auto"/>
          <w:szCs w:val="21"/>
          <w:highlight w:val="none"/>
        </w:rPr>
        <w:t>。</w:t>
      </w:r>
    </w:p>
    <w:bookmarkEnd w:id="586"/>
    <w:bookmarkEnd w:id="587"/>
    <w:bookmarkEnd w:id="588"/>
    <w:bookmarkEnd w:id="589"/>
    <w:bookmarkEnd w:id="590"/>
    <w:p w14:paraId="3924B54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w:t>
      </w:r>
      <w:bookmarkStart w:id="591" w:name="_Toc303539101"/>
      <w:bookmarkStart w:id="592" w:name="_Toc318581156"/>
      <w:bookmarkStart w:id="593" w:name="_Toc304295522"/>
      <w:bookmarkStart w:id="594" w:name="_Toc300934944"/>
      <w:bookmarkStart w:id="595" w:name="_Toc312677987"/>
      <w:r>
        <w:rPr>
          <w:rFonts w:eastAsia="仿宋_GB2312"/>
          <w:color w:val="auto"/>
          <w:szCs w:val="21"/>
          <w:highlight w:val="none"/>
        </w:rPr>
        <w:t>.10.3 场内交通</w:t>
      </w:r>
    </w:p>
    <w:p w14:paraId="504BBD8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关于场外交通和场内交通的边界的约定：</w:t>
      </w:r>
      <w:r>
        <w:rPr>
          <w:rFonts w:hint="eastAsia" w:eastAsia="仿宋_GB2312"/>
          <w:color w:val="auto"/>
          <w:kern w:val="0"/>
          <w:szCs w:val="21"/>
          <w:highlight w:val="non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04B4037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关于发包人向承包人免费提供满足工程施工需要的场内道路和交通设施的约定：</w:t>
      </w:r>
      <w:r>
        <w:rPr>
          <w:rFonts w:hint="eastAsia" w:eastAsia="仿宋_GB2312"/>
          <w:color w:val="auto"/>
          <w:szCs w:val="21"/>
          <w:highlight w:val="none"/>
          <w:u w:val="single"/>
        </w:rPr>
        <w:t xml:space="preserve">           </w:t>
      </w:r>
      <w:r>
        <w:rPr>
          <w:rFonts w:eastAsia="仿宋_GB2312"/>
          <w:color w:val="auto"/>
          <w:szCs w:val="21"/>
          <w:highlight w:val="none"/>
        </w:rPr>
        <w:t>。</w:t>
      </w:r>
      <w:bookmarkEnd w:id="591"/>
      <w:bookmarkEnd w:id="592"/>
      <w:bookmarkEnd w:id="593"/>
      <w:bookmarkEnd w:id="594"/>
      <w:bookmarkEnd w:id="595"/>
      <w:r>
        <w:rPr>
          <w:rFonts w:eastAsia="仿宋_GB2312"/>
          <w:color w:val="auto"/>
          <w:szCs w:val="21"/>
          <w:highlight w:val="none"/>
        </w:rPr>
        <w:t xml:space="preserve">  </w:t>
      </w:r>
      <w:bookmarkStart w:id="596" w:name="_Toc318581157"/>
    </w:p>
    <w:p w14:paraId="08F506D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1.10.4超大件和超重件的运输</w:t>
      </w:r>
    </w:p>
    <w:p w14:paraId="3B14BC4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运输超大件或超重件所需的道路和桥梁临时加固改造费用和其他有关费用由</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承担。</w:t>
      </w:r>
    </w:p>
    <w:bookmarkEnd w:id="596"/>
    <w:p w14:paraId="2586C209">
      <w:pPr>
        <w:spacing w:after="120" w:line="360" w:lineRule="auto"/>
        <w:ind w:firstLine="420" w:firstLineChars="200"/>
        <w:rPr>
          <w:rFonts w:eastAsia="黑体"/>
          <w:color w:val="auto"/>
          <w:szCs w:val="21"/>
          <w:highlight w:val="none"/>
        </w:rPr>
      </w:pPr>
      <w:r>
        <w:rPr>
          <w:rFonts w:eastAsia="黑体"/>
          <w:color w:val="auto"/>
          <w:szCs w:val="21"/>
          <w:highlight w:val="none"/>
        </w:rPr>
        <w:t>1.11 知识产权</w:t>
      </w:r>
    </w:p>
    <w:p w14:paraId="3DCEA47E">
      <w:pPr>
        <w:spacing w:line="360" w:lineRule="auto"/>
        <w:ind w:firstLine="420" w:firstLineChars="200"/>
        <w:rPr>
          <w:rFonts w:eastAsia="仿宋_GB2312"/>
          <w:color w:val="auto"/>
          <w:szCs w:val="21"/>
          <w:highlight w:val="none"/>
        </w:rPr>
      </w:pPr>
      <w:r>
        <w:rPr>
          <w:rFonts w:eastAsia="仿宋_GB2312"/>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3B894BB7">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关于发包人提供的上述文件的使用限制的要求：</w:t>
      </w:r>
      <w:r>
        <w:rPr>
          <w:rFonts w:hint="eastAsia" w:eastAsia="仿宋_GB2312"/>
          <w:color w:val="auto"/>
          <w:szCs w:val="21"/>
          <w:highlight w:val="none"/>
          <w:u w:val="single"/>
        </w:rPr>
        <w:t xml:space="preserve">          </w:t>
      </w:r>
      <w:r>
        <w:rPr>
          <w:rFonts w:eastAsia="仿宋_GB2312"/>
          <w:color w:val="auto"/>
          <w:szCs w:val="21"/>
          <w:highlight w:val="none"/>
        </w:rPr>
        <w:t>。</w:t>
      </w:r>
    </w:p>
    <w:p w14:paraId="1D2A926F">
      <w:pPr>
        <w:spacing w:line="360" w:lineRule="auto"/>
        <w:ind w:left="596" w:leftChars="284" w:firstLine="1687"/>
        <w:rPr>
          <w:rFonts w:eastAsia="仿宋_GB2312"/>
          <w:color w:val="auto"/>
          <w:szCs w:val="21"/>
          <w:highlight w:val="none"/>
        </w:rPr>
      </w:pPr>
      <w:r>
        <w:rPr>
          <w:rFonts w:eastAsia="仿宋_GB2312"/>
          <w:color w:val="auto"/>
          <w:szCs w:val="21"/>
          <w:highlight w:val="none"/>
        </w:rPr>
        <w:t>1.11.2 关于承包人为实施工程所编制文件的著作权的归属：</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p>
    <w:p w14:paraId="054075D5">
      <w:pPr>
        <w:spacing w:line="360" w:lineRule="auto"/>
        <w:ind w:firstLine="630" w:firstLineChars="300"/>
        <w:rPr>
          <w:rFonts w:eastAsia="仿宋_GB2312"/>
          <w:color w:val="auto"/>
          <w:szCs w:val="21"/>
          <w:highlight w:val="none"/>
        </w:rPr>
      </w:pP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14F52720">
      <w:pPr>
        <w:spacing w:line="360" w:lineRule="auto"/>
        <w:ind w:firstLine="420" w:firstLineChars="200"/>
        <w:rPr>
          <w:rFonts w:eastAsia="仿宋_GB2312"/>
          <w:color w:val="auto"/>
          <w:szCs w:val="21"/>
          <w:highlight w:val="none"/>
        </w:rPr>
      </w:pPr>
      <w:r>
        <w:rPr>
          <w:rFonts w:eastAsia="仿宋_GB2312"/>
          <w:color w:val="auto"/>
          <w:szCs w:val="21"/>
          <w:highlight w:val="none"/>
        </w:rPr>
        <w:t>关于承包人提供的上述文件的使用限制的要求：</w:t>
      </w:r>
      <w:r>
        <w:rPr>
          <w:rFonts w:hint="eastAsia" w:eastAsia="仿宋_GB2312"/>
          <w:color w:val="auto"/>
          <w:szCs w:val="21"/>
          <w:highlight w:val="non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1BEAB9B0">
      <w:pPr>
        <w:spacing w:line="360" w:lineRule="auto"/>
        <w:ind w:firstLine="420" w:firstLineChars="200"/>
        <w:rPr>
          <w:rFonts w:eastAsia="仿宋_GB2312"/>
          <w:color w:val="auto"/>
          <w:kern w:val="0"/>
          <w:szCs w:val="21"/>
          <w:highlight w:val="none"/>
        </w:rPr>
      </w:pPr>
      <w:r>
        <w:rPr>
          <w:rFonts w:eastAsia="仿宋_GB2312"/>
          <w:color w:val="auto"/>
          <w:szCs w:val="21"/>
          <w:highlight w:val="none"/>
        </w:rPr>
        <w:t>1.11.4 承包人在施工过程中所采用的专利、专有技术、技术秘密的使用费的承担方式：</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kern w:val="0"/>
          <w:szCs w:val="21"/>
          <w:highlight w:val="none"/>
        </w:rPr>
        <w:t>。</w:t>
      </w:r>
    </w:p>
    <w:p w14:paraId="16E25E38">
      <w:pPr>
        <w:spacing w:after="120" w:line="360" w:lineRule="auto"/>
        <w:ind w:firstLine="420" w:firstLineChars="200"/>
        <w:rPr>
          <w:rFonts w:eastAsia="黑体"/>
          <w:color w:val="auto"/>
          <w:szCs w:val="21"/>
          <w:highlight w:val="none"/>
        </w:rPr>
      </w:pPr>
      <w:r>
        <w:rPr>
          <w:rFonts w:eastAsia="黑体"/>
          <w:color w:val="auto"/>
          <w:szCs w:val="21"/>
          <w:highlight w:val="none"/>
        </w:rPr>
        <w:t>1.13工程量清单错误的修正</w:t>
      </w:r>
    </w:p>
    <w:p w14:paraId="0545568D">
      <w:pPr>
        <w:spacing w:line="360" w:lineRule="auto"/>
        <w:ind w:firstLine="420" w:firstLineChars="200"/>
        <w:rPr>
          <w:rFonts w:eastAsia="仿宋_GB2312"/>
          <w:color w:val="auto"/>
          <w:szCs w:val="21"/>
          <w:highlight w:val="none"/>
        </w:rPr>
      </w:pPr>
      <w:r>
        <w:rPr>
          <w:rFonts w:hint="eastAsia" w:eastAsia="仿宋_GB2312"/>
          <w:color w:val="auto"/>
          <w:szCs w:val="21"/>
          <w:highlight w:val="none"/>
        </w:rPr>
        <w:t>出现工程量清单错误时，是否调整合同价格：</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kern w:val="0"/>
          <w:szCs w:val="21"/>
          <w:highlight w:val="none"/>
        </w:rPr>
        <w:t>。</w:t>
      </w:r>
    </w:p>
    <w:p w14:paraId="50160848">
      <w:pPr>
        <w:spacing w:line="360" w:lineRule="auto"/>
        <w:ind w:firstLine="420" w:firstLineChars="200"/>
        <w:rPr>
          <w:rFonts w:eastAsia="仿宋_GB2312"/>
          <w:color w:val="auto"/>
          <w:szCs w:val="21"/>
          <w:highlight w:val="none"/>
          <w:u w:val="single"/>
        </w:rPr>
      </w:pPr>
      <w:r>
        <w:rPr>
          <w:rFonts w:eastAsia="仿宋_GB2312"/>
          <w:color w:val="auto"/>
          <w:szCs w:val="21"/>
          <w:highlight w:val="none"/>
        </w:rPr>
        <w:t>允许调整合同价格的工程量偏差范围：</w:t>
      </w:r>
      <w:r>
        <w:rPr>
          <w:rFonts w:hint="eastAsia" w:eastAsia="仿宋_GB2312"/>
          <w:color w:val="auto"/>
          <w:szCs w:val="21"/>
          <w:highlight w:val="none"/>
        </w:rPr>
        <w:t xml:space="preserve"> </w:t>
      </w:r>
      <w:r>
        <w:rPr>
          <w:rFonts w:hint="eastAsia" w:eastAsia="仿宋_GB2312"/>
          <w:color w:val="auto"/>
          <w:szCs w:val="21"/>
          <w:highlight w:val="none"/>
          <w:u w:val="single"/>
        </w:rPr>
        <w:t xml:space="preserve">        。</w:t>
      </w:r>
    </w:p>
    <w:p w14:paraId="7848A0AC">
      <w:pPr>
        <w:pStyle w:val="3"/>
        <w:ind w:firstLine="1680"/>
        <w:rPr>
          <w:rFonts w:ascii="Times New Roman" w:hAnsi="Times New Roman"/>
          <w:color w:val="auto"/>
          <w:sz w:val="21"/>
          <w:szCs w:val="21"/>
          <w:highlight w:val="none"/>
        </w:rPr>
      </w:pPr>
      <w:bookmarkStart w:id="597" w:name="_Toc13320"/>
      <w:r>
        <w:rPr>
          <w:rFonts w:ascii="Times New Roman" w:hAnsi="Times New Roman"/>
          <w:color w:val="auto"/>
          <w:sz w:val="21"/>
          <w:szCs w:val="21"/>
          <w:highlight w:val="none"/>
        </w:rPr>
        <w:t>2</w:t>
      </w:r>
      <w:bookmarkStart w:id="598" w:name="_Toc292559362"/>
      <w:bookmarkStart w:id="599" w:name="_Toc296891197"/>
      <w:bookmarkStart w:id="600" w:name="_Toc292559867"/>
      <w:bookmarkStart w:id="601" w:name="_Toc297048343"/>
      <w:bookmarkStart w:id="602" w:name="_Toc296890985"/>
      <w:bookmarkStart w:id="603" w:name="_Toc296347156"/>
      <w:bookmarkStart w:id="604" w:name="_Toc297120457"/>
      <w:bookmarkStart w:id="605" w:name="_Toc296346658"/>
      <w:bookmarkStart w:id="606" w:name="_Toc296944496"/>
      <w:bookmarkStart w:id="607" w:name="_Toc296503157"/>
      <w:r>
        <w:rPr>
          <w:rFonts w:ascii="Times New Roman" w:hAnsi="Times New Roman"/>
          <w:color w:val="auto"/>
          <w:sz w:val="21"/>
          <w:szCs w:val="21"/>
          <w:highlight w:val="none"/>
        </w:rPr>
        <w:t>. 发包人</w:t>
      </w:r>
      <w:bookmarkEnd w:id="597"/>
    </w:p>
    <w:bookmarkEnd w:id="598"/>
    <w:bookmarkEnd w:id="599"/>
    <w:bookmarkEnd w:id="600"/>
    <w:bookmarkEnd w:id="601"/>
    <w:bookmarkEnd w:id="602"/>
    <w:bookmarkEnd w:id="603"/>
    <w:bookmarkEnd w:id="604"/>
    <w:bookmarkEnd w:id="605"/>
    <w:bookmarkEnd w:id="606"/>
    <w:bookmarkEnd w:id="607"/>
    <w:p w14:paraId="1548E39E">
      <w:pPr>
        <w:spacing w:after="120" w:line="360" w:lineRule="auto"/>
        <w:ind w:firstLine="420" w:firstLineChars="200"/>
        <w:rPr>
          <w:rFonts w:eastAsia="黑体"/>
          <w:color w:val="auto"/>
          <w:szCs w:val="21"/>
          <w:highlight w:val="none"/>
        </w:rPr>
      </w:pPr>
      <w:r>
        <w:rPr>
          <w:rFonts w:eastAsia="黑体"/>
          <w:color w:val="auto"/>
          <w:szCs w:val="21"/>
          <w:highlight w:val="none"/>
        </w:rPr>
        <w:t>2.2 发包人代表</w:t>
      </w:r>
    </w:p>
    <w:p w14:paraId="2850E510">
      <w:pPr>
        <w:spacing w:line="360" w:lineRule="auto"/>
        <w:ind w:firstLine="420" w:firstLineChars="200"/>
        <w:rPr>
          <w:rFonts w:eastAsia="仿宋_GB2312"/>
          <w:color w:val="auto"/>
          <w:szCs w:val="21"/>
          <w:highlight w:val="none"/>
        </w:rPr>
      </w:pPr>
      <w:r>
        <w:rPr>
          <w:rFonts w:eastAsia="仿宋_GB2312"/>
          <w:color w:val="auto"/>
          <w:szCs w:val="21"/>
          <w:highlight w:val="none"/>
        </w:rPr>
        <w:t>发包人代表：</w:t>
      </w:r>
    </w:p>
    <w:p w14:paraId="42706749">
      <w:pPr>
        <w:spacing w:line="360" w:lineRule="auto"/>
        <w:ind w:firstLine="420" w:firstLineChars="20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姓    名：</w:t>
      </w:r>
      <w:r>
        <w:rPr>
          <w:rFonts w:hint="eastAsia" w:ascii="Times New Roman" w:hAnsi="Times New Roman" w:eastAsia="仿宋_GB2312"/>
          <w:color w:val="auto"/>
          <w:szCs w:val="21"/>
          <w:highlight w:val="none"/>
          <w:u w:val="single"/>
        </w:rPr>
        <w:t xml:space="preserve">             </w:t>
      </w:r>
      <w:r>
        <w:rPr>
          <w:rFonts w:ascii="Times New Roman" w:hAnsi="Times New Roman" w:eastAsia="仿宋_GB2312"/>
          <w:color w:val="auto"/>
          <w:szCs w:val="21"/>
          <w:highlight w:val="none"/>
        </w:rPr>
        <w:t>；</w:t>
      </w:r>
    </w:p>
    <w:p w14:paraId="6D373881">
      <w:pPr>
        <w:spacing w:line="360" w:lineRule="auto"/>
        <w:ind w:firstLine="420" w:firstLineChars="20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身份证号：</w:t>
      </w:r>
      <w:r>
        <w:rPr>
          <w:rFonts w:hint="eastAsia" w:ascii="Times New Roman" w:hAnsi="Times New Roman" w:eastAsia="仿宋_GB2312"/>
          <w:color w:val="auto"/>
          <w:szCs w:val="21"/>
          <w:highlight w:val="none"/>
          <w:u w:val="single"/>
        </w:rPr>
        <w:t xml:space="preserve">                </w:t>
      </w:r>
      <w:r>
        <w:rPr>
          <w:rFonts w:ascii="Times New Roman" w:hAnsi="Times New Roman" w:eastAsia="仿宋_GB2312"/>
          <w:color w:val="auto"/>
          <w:szCs w:val="21"/>
          <w:highlight w:val="none"/>
          <w:u w:val="single"/>
        </w:rPr>
        <w:t xml:space="preserve"> </w:t>
      </w:r>
      <w:r>
        <w:rPr>
          <w:rFonts w:hint="eastAsia" w:ascii="Times New Roman" w:hAnsi="Times New Roman" w:eastAsia="仿宋_GB2312"/>
          <w:color w:val="auto"/>
          <w:szCs w:val="21"/>
          <w:highlight w:val="none"/>
          <w:u w:val="single"/>
        </w:rPr>
        <w:t xml:space="preserve"> </w:t>
      </w:r>
      <w:r>
        <w:rPr>
          <w:rFonts w:ascii="Times New Roman" w:hAnsi="Times New Roman" w:eastAsia="仿宋_GB2312"/>
          <w:color w:val="auto"/>
          <w:szCs w:val="21"/>
          <w:highlight w:val="none"/>
        </w:rPr>
        <w:t>；</w:t>
      </w:r>
    </w:p>
    <w:p w14:paraId="7A7F96A9">
      <w:pPr>
        <w:spacing w:line="360" w:lineRule="auto"/>
        <w:ind w:firstLine="420" w:firstLineChars="20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职    务：</w:t>
      </w:r>
      <w:r>
        <w:rPr>
          <w:rFonts w:hint="eastAsia" w:ascii="Times New Roman" w:hAnsi="Times New Roman" w:eastAsia="仿宋_GB2312"/>
          <w:color w:val="auto"/>
          <w:szCs w:val="21"/>
          <w:highlight w:val="none"/>
          <w:u w:val="single"/>
        </w:rPr>
        <w:t xml:space="preserve">          </w:t>
      </w:r>
      <w:r>
        <w:rPr>
          <w:rFonts w:ascii="Times New Roman" w:hAnsi="Times New Roman" w:eastAsia="仿宋_GB2312"/>
          <w:color w:val="auto"/>
          <w:szCs w:val="21"/>
          <w:highlight w:val="none"/>
        </w:rPr>
        <w:t>；</w:t>
      </w:r>
    </w:p>
    <w:p w14:paraId="0BC3BD85">
      <w:pPr>
        <w:spacing w:line="360" w:lineRule="auto"/>
        <w:ind w:firstLine="420" w:firstLineChars="20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联系电话：</w:t>
      </w:r>
      <w:r>
        <w:rPr>
          <w:rFonts w:hint="eastAsia" w:ascii="Times New Roman" w:hAnsi="Times New Roman" w:eastAsia="仿宋_GB2312"/>
          <w:color w:val="auto"/>
          <w:szCs w:val="21"/>
          <w:highlight w:val="none"/>
          <w:u w:val="single"/>
        </w:rPr>
        <w:t xml:space="preserve"> </w:t>
      </w:r>
      <w:r>
        <w:rPr>
          <w:rFonts w:ascii="Times New Roman" w:hAnsi="Times New Roman" w:eastAsia="仿宋_GB2312"/>
          <w:color w:val="auto"/>
          <w:szCs w:val="21"/>
          <w:highlight w:val="none"/>
          <w:u w:val="single"/>
        </w:rPr>
        <w:t xml:space="preserve"> </w:t>
      </w:r>
      <w:r>
        <w:rPr>
          <w:rFonts w:hint="eastAsia" w:ascii="Times New Roman" w:hAnsi="Times New Roman" w:eastAsia="仿宋_GB2312"/>
          <w:color w:val="auto"/>
          <w:szCs w:val="21"/>
          <w:highlight w:val="none"/>
          <w:u w:val="single"/>
        </w:rPr>
        <w:t xml:space="preserve">      </w:t>
      </w:r>
      <w:r>
        <w:rPr>
          <w:rFonts w:ascii="Times New Roman" w:hAnsi="Times New Roman" w:eastAsia="仿宋_GB2312"/>
          <w:color w:val="auto"/>
          <w:szCs w:val="21"/>
          <w:highlight w:val="none"/>
        </w:rPr>
        <w:t>；</w:t>
      </w:r>
    </w:p>
    <w:p w14:paraId="6F4A4EFC">
      <w:pPr>
        <w:spacing w:line="360" w:lineRule="auto"/>
        <w:ind w:firstLine="420" w:firstLineChars="20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电子信箱：</w:t>
      </w:r>
      <w:r>
        <w:rPr>
          <w:rFonts w:hint="eastAsia" w:ascii="Times New Roman" w:hAnsi="Times New Roman" w:eastAsia="仿宋_GB2312"/>
          <w:color w:val="auto"/>
          <w:szCs w:val="21"/>
          <w:highlight w:val="none"/>
          <w:u w:val="single"/>
        </w:rPr>
        <w:t xml:space="preserve">                      </w:t>
      </w:r>
      <w:r>
        <w:rPr>
          <w:rFonts w:ascii="Times New Roman" w:hAnsi="Times New Roman" w:eastAsia="仿宋_GB2312"/>
          <w:color w:val="auto"/>
          <w:szCs w:val="21"/>
          <w:highlight w:val="none"/>
        </w:rPr>
        <w:t>；</w:t>
      </w:r>
    </w:p>
    <w:p w14:paraId="10C5182E">
      <w:pPr>
        <w:spacing w:line="360" w:lineRule="auto"/>
        <w:ind w:firstLine="420" w:firstLineChars="20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通信地址：</w:t>
      </w:r>
      <w:r>
        <w:rPr>
          <w:rFonts w:hint="eastAsia" w:ascii="Times New Roman" w:hAnsi="Times New Roman" w:eastAsia="仿宋_GB2312"/>
          <w:color w:val="auto"/>
          <w:szCs w:val="21"/>
          <w:highlight w:val="none"/>
          <w:u w:val="single"/>
        </w:rPr>
        <w:t xml:space="preserve">                    </w:t>
      </w:r>
      <w:r>
        <w:rPr>
          <w:rFonts w:ascii="Times New Roman" w:hAnsi="Times New Roman" w:eastAsia="仿宋_GB2312"/>
          <w:color w:val="auto"/>
          <w:szCs w:val="21"/>
          <w:highlight w:val="none"/>
          <w:u w:val="single"/>
        </w:rPr>
        <w:t xml:space="preserve"> </w:t>
      </w:r>
      <w:r>
        <w:rPr>
          <w:rFonts w:hint="eastAsia" w:ascii="Times New Roman" w:hAnsi="Times New Roman" w:eastAsia="仿宋_GB2312"/>
          <w:color w:val="auto"/>
          <w:szCs w:val="21"/>
          <w:highlight w:val="none"/>
          <w:u w:val="single"/>
        </w:rPr>
        <w:t xml:space="preserve"> </w:t>
      </w:r>
      <w:r>
        <w:rPr>
          <w:rFonts w:ascii="Times New Roman" w:hAnsi="Times New Roman" w:eastAsia="仿宋_GB2312"/>
          <w:color w:val="auto"/>
          <w:szCs w:val="21"/>
          <w:highlight w:val="none"/>
        </w:rPr>
        <w:t>。</w:t>
      </w:r>
    </w:p>
    <w:p w14:paraId="743D4F49">
      <w:pPr>
        <w:spacing w:line="360" w:lineRule="auto"/>
        <w:ind w:firstLine="420" w:firstLineChars="200"/>
        <w:rPr>
          <w:rFonts w:eastAsia="仿宋_GB2312"/>
          <w:b/>
          <w:color w:val="auto"/>
          <w:szCs w:val="21"/>
          <w:highlight w:val="none"/>
        </w:rPr>
      </w:pPr>
      <w:r>
        <w:rPr>
          <w:rFonts w:eastAsia="仿宋_GB2312"/>
          <w:color w:val="auto"/>
          <w:szCs w:val="21"/>
          <w:highlight w:val="none"/>
        </w:rPr>
        <w:t>发包人对发包人代表的授权范围如下：</w:t>
      </w:r>
      <w:r>
        <w:rPr>
          <w:rFonts w:hint="eastAsia" w:eastAsia="仿宋_GB2312"/>
          <w:color w:val="auto"/>
          <w:szCs w:val="21"/>
          <w:highlight w:val="none"/>
          <w:u w:val="single"/>
        </w:rPr>
        <w:t xml:space="preserve">               </w:t>
      </w:r>
      <w:r>
        <w:rPr>
          <w:rFonts w:eastAsia="仿宋_GB2312"/>
          <w:color w:val="auto"/>
          <w:szCs w:val="21"/>
          <w:highlight w:val="none"/>
        </w:rPr>
        <w:t>。</w:t>
      </w:r>
    </w:p>
    <w:p w14:paraId="6F1794A9">
      <w:pPr>
        <w:spacing w:after="120" w:line="360" w:lineRule="auto"/>
        <w:ind w:firstLine="420" w:firstLineChars="200"/>
        <w:rPr>
          <w:rFonts w:eastAsia="黑体"/>
          <w:color w:val="auto"/>
          <w:szCs w:val="21"/>
          <w:highlight w:val="none"/>
        </w:rPr>
      </w:pPr>
      <w:r>
        <w:rPr>
          <w:rFonts w:eastAsia="黑体"/>
          <w:color w:val="auto"/>
          <w:szCs w:val="21"/>
          <w:highlight w:val="none"/>
        </w:rPr>
        <w:t>2.4 施工现场、施工条件和基础资料的提供</w:t>
      </w:r>
    </w:p>
    <w:p w14:paraId="76AEFC05">
      <w:pPr>
        <w:spacing w:line="360" w:lineRule="auto"/>
        <w:ind w:firstLine="420" w:firstLineChars="200"/>
        <w:rPr>
          <w:rFonts w:eastAsia="仿宋_GB2312"/>
          <w:color w:val="auto"/>
          <w:szCs w:val="21"/>
          <w:highlight w:val="none"/>
        </w:rPr>
      </w:pPr>
      <w:r>
        <w:rPr>
          <w:rFonts w:eastAsia="仿宋_GB2312"/>
          <w:color w:val="auto"/>
          <w:szCs w:val="21"/>
          <w:highlight w:val="none"/>
        </w:rPr>
        <w:t>2.4.1 提供施工现场</w:t>
      </w:r>
    </w:p>
    <w:p w14:paraId="320749EC">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关于发包人移交施工现场的期限要求：</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CABB12F">
      <w:pPr>
        <w:spacing w:line="360" w:lineRule="auto"/>
        <w:ind w:firstLine="420" w:firstLineChars="200"/>
        <w:rPr>
          <w:rFonts w:eastAsia="仿宋_GB2312"/>
          <w:color w:val="auto"/>
          <w:szCs w:val="21"/>
          <w:highlight w:val="none"/>
        </w:rPr>
      </w:pPr>
      <w:r>
        <w:rPr>
          <w:rFonts w:eastAsia="仿宋_GB2312"/>
          <w:color w:val="auto"/>
          <w:szCs w:val="21"/>
          <w:highlight w:val="none"/>
        </w:rPr>
        <w:t>2.4.2 提供施工条件</w:t>
      </w:r>
    </w:p>
    <w:p w14:paraId="41B938BB">
      <w:pPr>
        <w:spacing w:line="360" w:lineRule="auto"/>
        <w:ind w:firstLine="420" w:firstLineChars="200"/>
        <w:rPr>
          <w:rFonts w:eastAsia="仿宋_GB2312"/>
          <w:color w:val="auto"/>
          <w:szCs w:val="21"/>
          <w:highlight w:val="none"/>
          <w:u w:val="single"/>
        </w:rPr>
      </w:pPr>
      <w:r>
        <w:rPr>
          <w:rFonts w:eastAsia="仿宋_GB2312"/>
          <w:color w:val="auto"/>
          <w:szCs w:val="21"/>
          <w:highlight w:val="none"/>
        </w:rPr>
        <w:t>关于发包人应负责提供施工</w:t>
      </w:r>
      <w:r>
        <w:rPr>
          <w:rFonts w:hint="eastAsia" w:eastAsia="仿宋_GB2312"/>
          <w:color w:val="auto"/>
          <w:szCs w:val="21"/>
          <w:highlight w:val="none"/>
        </w:rPr>
        <w:t>所需要的条件，</w:t>
      </w:r>
      <w:r>
        <w:rPr>
          <w:rFonts w:eastAsia="仿宋_GB2312"/>
          <w:color w:val="auto"/>
          <w:szCs w:val="21"/>
          <w:highlight w:val="none"/>
        </w:rPr>
        <w:t>包括：</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79C243E8">
      <w:pPr>
        <w:spacing w:after="120" w:line="360" w:lineRule="auto"/>
        <w:ind w:firstLine="420" w:firstLineChars="200"/>
        <w:rPr>
          <w:rFonts w:eastAsia="黑体"/>
          <w:color w:val="auto"/>
          <w:szCs w:val="21"/>
          <w:highlight w:val="none"/>
        </w:rPr>
      </w:pPr>
      <w:r>
        <w:rPr>
          <w:rFonts w:eastAsia="黑体"/>
          <w:color w:val="auto"/>
          <w:szCs w:val="21"/>
          <w:highlight w:val="none"/>
        </w:rPr>
        <w:t>2.5 资金来源证明及支付担保</w:t>
      </w:r>
    </w:p>
    <w:p w14:paraId="2CB423A7">
      <w:pPr>
        <w:spacing w:line="360" w:lineRule="auto"/>
        <w:ind w:firstLine="420" w:firstLineChars="200"/>
        <w:rPr>
          <w:rFonts w:eastAsia="仿宋_GB2312"/>
          <w:color w:val="auto"/>
          <w:szCs w:val="21"/>
          <w:highlight w:val="none"/>
        </w:rPr>
      </w:pPr>
      <w:r>
        <w:rPr>
          <w:rFonts w:eastAsia="仿宋_GB2312"/>
          <w:color w:val="auto"/>
          <w:szCs w:val="21"/>
          <w:highlight w:val="none"/>
        </w:rPr>
        <w:t>发包人提供资金来源证明的期限要求：</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15C887A0">
      <w:pPr>
        <w:spacing w:line="360" w:lineRule="auto"/>
        <w:ind w:firstLine="420" w:firstLineChars="200"/>
        <w:rPr>
          <w:rFonts w:eastAsia="仿宋_GB2312"/>
          <w:color w:val="auto"/>
          <w:szCs w:val="21"/>
          <w:highlight w:val="none"/>
        </w:rPr>
      </w:pPr>
      <w:r>
        <w:rPr>
          <w:rFonts w:eastAsia="仿宋_GB2312"/>
          <w:color w:val="auto"/>
          <w:szCs w:val="21"/>
          <w:highlight w:val="none"/>
        </w:rPr>
        <w:t>发包人是否提供支付担保：</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4907C351">
      <w:pPr>
        <w:spacing w:line="360" w:lineRule="auto"/>
        <w:ind w:firstLine="420" w:firstLineChars="200"/>
        <w:rPr>
          <w:rFonts w:eastAsia="仿宋_GB2312"/>
          <w:color w:val="auto"/>
          <w:szCs w:val="21"/>
          <w:highlight w:val="none"/>
          <w:u w:val="single"/>
        </w:rPr>
      </w:pPr>
      <w:r>
        <w:rPr>
          <w:rFonts w:eastAsia="仿宋_GB2312"/>
          <w:color w:val="auto"/>
          <w:szCs w:val="21"/>
          <w:highlight w:val="none"/>
        </w:rPr>
        <w:t>发包人提供支付担保的形式：</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49DCCB20">
      <w:pPr>
        <w:pStyle w:val="3"/>
        <w:ind w:firstLine="1680"/>
        <w:rPr>
          <w:rFonts w:ascii="Times New Roman" w:hAnsi="Times New Roman"/>
          <w:color w:val="auto"/>
          <w:sz w:val="21"/>
          <w:szCs w:val="21"/>
          <w:highlight w:val="none"/>
        </w:rPr>
      </w:pPr>
      <w:bookmarkStart w:id="608" w:name="_Toc19196"/>
      <w:r>
        <w:rPr>
          <w:rFonts w:ascii="Times New Roman" w:hAnsi="Times New Roman"/>
          <w:color w:val="auto"/>
          <w:sz w:val="21"/>
          <w:szCs w:val="21"/>
          <w:highlight w:val="none"/>
        </w:rPr>
        <w:t>3</w:t>
      </w:r>
      <w:bookmarkStart w:id="609" w:name="_Toc296890986"/>
      <w:bookmarkStart w:id="610" w:name="_Toc297120458"/>
      <w:bookmarkStart w:id="611" w:name="_Toc296346659"/>
      <w:bookmarkStart w:id="612" w:name="_Toc296503158"/>
      <w:bookmarkStart w:id="613" w:name="_Toc292559363"/>
      <w:bookmarkStart w:id="614" w:name="_Toc296944497"/>
      <w:bookmarkStart w:id="615" w:name="_Toc296891198"/>
      <w:bookmarkStart w:id="616" w:name="_Toc297048344"/>
      <w:bookmarkStart w:id="617" w:name="_Toc292559868"/>
      <w:bookmarkStart w:id="618" w:name="_Toc296347157"/>
      <w:r>
        <w:rPr>
          <w:rFonts w:ascii="Times New Roman" w:hAnsi="Times New Roman"/>
          <w:color w:val="auto"/>
          <w:sz w:val="21"/>
          <w:szCs w:val="21"/>
          <w:highlight w:val="none"/>
        </w:rPr>
        <w:t>. 承包人</w:t>
      </w:r>
      <w:bookmarkEnd w:id="608"/>
    </w:p>
    <w:bookmarkEnd w:id="609"/>
    <w:bookmarkEnd w:id="610"/>
    <w:bookmarkEnd w:id="611"/>
    <w:bookmarkEnd w:id="612"/>
    <w:bookmarkEnd w:id="613"/>
    <w:bookmarkEnd w:id="614"/>
    <w:bookmarkEnd w:id="615"/>
    <w:bookmarkEnd w:id="616"/>
    <w:bookmarkEnd w:id="617"/>
    <w:bookmarkEnd w:id="618"/>
    <w:p w14:paraId="36695627">
      <w:pPr>
        <w:spacing w:after="120" w:line="360" w:lineRule="auto"/>
        <w:ind w:firstLine="420" w:firstLineChars="200"/>
        <w:rPr>
          <w:rFonts w:eastAsia="黑体"/>
          <w:color w:val="auto"/>
          <w:szCs w:val="21"/>
          <w:highlight w:val="none"/>
        </w:rPr>
      </w:pPr>
      <w:r>
        <w:rPr>
          <w:rFonts w:eastAsia="黑体"/>
          <w:color w:val="auto"/>
          <w:szCs w:val="21"/>
          <w:highlight w:val="none"/>
        </w:rPr>
        <w:t>3.1 承包人的一般义务</w:t>
      </w:r>
    </w:p>
    <w:p w14:paraId="021AF39C">
      <w:pPr>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w:t>
      </w:r>
      <w:r>
        <w:rPr>
          <w:rFonts w:hint="eastAsia" w:eastAsia="仿宋_GB2312"/>
          <w:color w:val="auto"/>
          <w:kern w:val="0"/>
          <w:szCs w:val="21"/>
          <w:highlight w:val="none"/>
        </w:rPr>
        <w:t>9</w:t>
      </w:r>
      <w:r>
        <w:rPr>
          <w:rFonts w:eastAsia="仿宋_GB2312"/>
          <w:color w:val="auto"/>
          <w:kern w:val="0"/>
          <w:szCs w:val="21"/>
          <w:highlight w:val="none"/>
        </w:rPr>
        <w:t>）</w:t>
      </w:r>
      <w:r>
        <w:rPr>
          <w:rFonts w:eastAsia="仿宋_GB2312"/>
          <w:color w:val="auto"/>
          <w:szCs w:val="21"/>
          <w:highlight w:val="none"/>
        </w:rPr>
        <w:t>承包人提交的竣工资料的内容：</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F00483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承包人需要提交的竣工资料套数：</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8DE5333">
      <w:pPr>
        <w:spacing w:line="360" w:lineRule="auto"/>
        <w:ind w:left="638" w:leftChars="304" w:firstLine="1687"/>
        <w:jc w:val="left"/>
        <w:rPr>
          <w:rFonts w:eastAsia="仿宋_GB2312"/>
          <w:color w:val="auto"/>
          <w:szCs w:val="21"/>
          <w:highlight w:val="none"/>
        </w:rPr>
      </w:pPr>
      <w:r>
        <w:rPr>
          <w:rFonts w:eastAsia="仿宋_GB2312"/>
          <w:color w:val="auto"/>
          <w:szCs w:val="21"/>
          <w:highlight w:val="none"/>
        </w:rPr>
        <w:t>承包人提交的竣工资料的费用承担：</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742A9C5F">
      <w:pPr>
        <w:spacing w:line="360" w:lineRule="auto"/>
        <w:ind w:left="638" w:leftChars="304" w:firstLine="1687"/>
        <w:jc w:val="left"/>
        <w:rPr>
          <w:rFonts w:eastAsia="仿宋_GB2312"/>
          <w:color w:val="auto"/>
          <w:szCs w:val="21"/>
          <w:highlight w:val="none"/>
        </w:rPr>
      </w:pPr>
      <w:r>
        <w:rPr>
          <w:rFonts w:eastAsia="仿宋_GB2312"/>
          <w:color w:val="auto"/>
          <w:szCs w:val="21"/>
          <w:highlight w:val="none"/>
        </w:rPr>
        <w:t>承包人提交的竣工资料移交时间：</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1BDE857">
      <w:pPr>
        <w:spacing w:line="360" w:lineRule="auto"/>
        <w:ind w:firstLine="420" w:firstLineChars="200"/>
        <w:jc w:val="left"/>
        <w:rPr>
          <w:rFonts w:eastAsia="仿宋_GB2312"/>
          <w:color w:val="auto"/>
          <w:szCs w:val="21"/>
          <w:highlight w:val="none"/>
        </w:rPr>
      </w:pPr>
      <w:r>
        <w:rPr>
          <w:rFonts w:eastAsia="仿宋_GB2312"/>
          <w:color w:val="auto"/>
          <w:szCs w:val="21"/>
          <w:highlight w:val="none"/>
        </w:rPr>
        <w:t>承包人提交的竣工资料形式要求：</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D8726F4">
      <w:pPr>
        <w:numPr>
          <w:ilvl w:val="0"/>
          <w:numId w:val="33"/>
        </w:num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承包人应履行的其他义务：</w:t>
      </w:r>
    </w:p>
    <w:p w14:paraId="14EE0DD9">
      <w:pPr>
        <w:spacing w:line="360" w:lineRule="auto"/>
        <w:ind w:firstLine="420" w:firstLineChars="200"/>
        <w:jc w:val="left"/>
        <w:rPr>
          <w:rFonts w:eastAsia="仿宋_GB2312"/>
          <w:color w:val="auto"/>
          <w:szCs w:val="21"/>
          <w:highlight w:val="none"/>
        </w:rPr>
      </w:pPr>
      <w:r>
        <w:rPr>
          <w:rFonts w:eastAsia="仿宋_GB2312"/>
          <w:color w:val="auto"/>
          <w:szCs w:val="21"/>
          <w:highlight w:val="none"/>
        </w:rPr>
        <w:t>①需由设计资质等级和业务范围允许的承包人完成的设计文件提交时间：若发包人提供图纸的设计深度无法满足实际施工的需求，则承包人应就此与发包人进行沟通、澄清，并按照发包人要求对图纸进行深化设计。所有为完成本工程施工需要的深化设计图纸，承包人均须提交给发包人审批，并在获得发包人书面认可后方能按图施工，发包人对于承包人完成的深化设计图纸的认可、审批不会减轻或者免除承包人在本合同项下应承担的义务和责任。承包人负责完成的设计文件的内容及标准必须符合规范要求以及国家和工程所在地有关政府部门的设计规范和标准，并通过有关审批部门的审批。与此相关的费用已包含在合同价款内，发包人无需另行支付。</w:t>
      </w:r>
    </w:p>
    <w:p w14:paraId="0B9601F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②应提供计划、报表的名称及完成时间：承包人应按照发包人</w:t>
      </w:r>
      <w:r>
        <w:rPr>
          <w:rFonts w:hint="eastAsia" w:eastAsia="仿宋_GB2312"/>
          <w:color w:val="auto"/>
          <w:szCs w:val="21"/>
          <w:highlight w:val="none"/>
        </w:rPr>
        <w:t>或者监理的</w:t>
      </w:r>
      <w:r>
        <w:rPr>
          <w:rFonts w:eastAsia="仿宋_GB2312"/>
          <w:color w:val="auto"/>
          <w:szCs w:val="21"/>
          <w:highlight w:val="none"/>
        </w:rPr>
        <w:t>要求提交施工组织设计、施工进度计划</w:t>
      </w:r>
      <w:r>
        <w:rPr>
          <w:rFonts w:hint="eastAsia" w:eastAsia="仿宋_GB2312"/>
          <w:color w:val="auto"/>
          <w:szCs w:val="21"/>
          <w:highlight w:val="none"/>
        </w:rPr>
        <w:t>等资料。</w:t>
      </w:r>
    </w:p>
    <w:p w14:paraId="14D558AA">
      <w:pPr>
        <w:spacing w:line="360" w:lineRule="auto"/>
        <w:ind w:firstLine="420" w:firstLineChars="200"/>
        <w:jc w:val="left"/>
        <w:rPr>
          <w:rFonts w:eastAsia="仿宋_GB2312"/>
          <w:color w:val="auto"/>
          <w:szCs w:val="21"/>
          <w:highlight w:val="none"/>
        </w:rPr>
      </w:pPr>
      <w:r>
        <w:rPr>
          <w:rFonts w:eastAsia="仿宋_GB2312"/>
          <w:color w:val="auto"/>
          <w:szCs w:val="21"/>
          <w:highlight w:val="none"/>
        </w:rPr>
        <w:t>③承担施工安全保卫工作及非夜间施工照明的责任和要求：承包人负责在工程施工、竣工及保修的整个过程中施工现场全部人员的安全。除因发包人</w:t>
      </w:r>
      <w:r>
        <w:rPr>
          <w:rFonts w:hint="eastAsia" w:eastAsia="仿宋_GB2312"/>
          <w:color w:val="auto"/>
          <w:szCs w:val="21"/>
          <w:highlight w:val="none"/>
        </w:rPr>
        <w:t>及</w:t>
      </w:r>
      <w:r>
        <w:rPr>
          <w:rFonts w:eastAsia="仿宋_GB2312"/>
          <w:color w:val="auto"/>
          <w:szCs w:val="21"/>
          <w:highlight w:val="none"/>
        </w:rPr>
        <w:t>其员工的过失</w:t>
      </w:r>
      <w:r>
        <w:rPr>
          <w:rFonts w:hint="eastAsia" w:eastAsia="仿宋_GB2312"/>
          <w:color w:val="auto"/>
          <w:szCs w:val="21"/>
          <w:highlight w:val="none"/>
        </w:rPr>
        <w:t>行为</w:t>
      </w:r>
      <w:r>
        <w:rPr>
          <w:rFonts w:eastAsia="仿宋_GB2312"/>
          <w:color w:val="auto"/>
          <w:szCs w:val="21"/>
          <w:highlight w:val="none"/>
        </w:rPr>
        <w:t>而造成的伤亡外，发包人不承担承包人</w:t>
      </w:r>
      <w:r>
        <w:rPr>
          <w:rFonts w:hint="eastAsia" w:eastAsia="仿宋_GB2312"/>
          <w:color w:val="auto"/>
          <w:szCs w:val="21"/>
          <w:highlight w:val="none"/>
        </w:rPr>
        <w:t>及</w:t>
      </w:r>
      <w:r>
        <w:rPr>
          <w:rFonts w:eastAsia="仿宋_GB2312"/>
          <w:color w:val="auto"/>
          <w:szCs w:val="21"/>
          <w:highlight w:val="none"/>
        </w:rPr>
        <w:t>其分包单位聘用的工人或其他人员的伤亡赔偿或补偿责任。承包人负责在需要的时间和地点，根据有关部门的要求，提供和维护所有灯光、护板、栅栏、警告信号及警卫，以及对工程进行保护或为公众提供安全和方便。与此相关的费用已包含在合同价款内，发包人无需另行支付。</w:t>
      </w:r>
    </w:p>
    <w:p w14:paraId="57B72AA1">
      <w:pPr>
        <w:spacing w:line="360" w:lineRule="auto"/>
        <w:ind w:firstLine="420" w:firstLineChars="200"/>
        <w:jc w:val="left"/>
        <w:rPr>
          <w:rFonts w:eastAsia="仿宋_GB2312"/>
          <w:color w:val="auto"/>
          <w:szCs w:val="21"/>
          <w:highlight w:val="none"/>
        </w:rPr>
      </w:pPr>
      <w:r>
        <w:rPr>
          <w:rFonts w:eastAsia="仿宋_GB2312"/>
          <w:color w:val="auto"/>
          <w:szCs w:val="21"/>
          <w:highlight w:val="none"/>
        </w:rPr>
        <w:t>④向发包人提供的办公和生活房屋及设施的要求：承包人免费提供满足建设单位和监理公司人员正常办公、管理需要的办公室及宿舍共</w:t>
      </w:r>
      <w:r>
        <w:rPr>
          <w:rFonts w:hint="eastAsia" w:eastAsia="仿宋_GB2312"/>
          <w:color w:val="auto"/>
          <w:szCs w:val="21"/>
          <w:highlight w:val="none"/>
        </w:rPr>
        <w:t>【1】</w:t>
      </w:r>
      <w:r>
        <w:rPr>
          <w:rFonts w:eastAsia="仿宋_GB2312"/>
          <w:color w:val="auto"/>
          <w:szCs w:val="21"/>
          <w:highlight w:val="none"/>
        </w:rPr>
        <w:t xml:space="preserve"> 间（每间不小于</w:t>
      </w:r>
      <w:r>
        <w:rPr>
          <w:rFonts w:hint="eastAsia" w:eastAsia="仿宋_GB2312"/>
          <w:color w:val="auto"/>
          <w:szCs w:val="21"/>
          <w:highlight w:val="none"/>
        </w:rPr>
        <w:t>【20】</w:t>
      </w:r>
      <w:r>
        <w:rPr>
          <w:rFonts w:eastAsia="仿宋_GB2312"/>
          <w:color w:val="auto"/>
          <w:szCs w:val="21"/>
          <w:highlight w:val="none"/>
        </w:rPr>
        <w:t>平方米），每间办公用房配备</w:t>
      </w:r>
      <w:r>
        <w:rPr>
          <w:rFonts w:hint="eastAsia" w:eastAsia="仿宋_GB2312"/>
          <w:color w:val="auto"/>
          <w:szCs w:val="21"/>
          <w:highlight w:val="none"/>
        </w:rPr>
        <w:t>必要的</w:t>
      </w:r>
      <w:r>
        <w:rPr>
          <w:rFonts w:eastAsia="仿宋_GB2312"/>
          <w:color w:val="auto"/>
          <w:szCs w:val="21"/>
          <w:highlight w:val="none"/>
        </w:rPr>
        <w:t>办公桌椅，并安装办公、生活用水、电及空调设施，承担水电费用。与此相关的费用已包含在合同价款内，发包人无需另行支付。</w:t>
      </w:r>
    </w:p>
    <w:p w14:paraId="28EB3729">
      <w:pPr>
        <w:spacing w:line="360" w:lineRule="auto"/>
        <w:ind w:firstLine="420" w:firstLineChars="200"/>
        <w:jc w:val="left"/>
        <w:rPr>
          <w:rFonts w:eastAsia="仿宋_GB2312"/>
          <w:color w:val="auto"/>
          <w:szCs w:val="21"/>
          <w:highlight w:val="none"/>
        </w:rPr>
      </w:pPr>
      <w:r>
        <w:rPr>
          <w:rFonts w:eastAsia="仿宋_GB2312"/>
          <w:color w:val="auto"/>
          <w:szCs w:val="21"/>
          <w:highlight w:val="none"/>
        </w:rPr>
        <w:t>⑤需承包人办理的有关施工场地交通、环卫和施工噪声管理等手续：承包人应遵守政府有关主管部门对施工场地交通、施工噪音以及环境保护和安全生产等的管理规定，按规定办理有关手续。承包人应采取一切合理措施，保护现场内外的环境，并限制由其施工作业引起的污染、噪音以及其他对公众财产造成的损害和妨碍的后果；承包人应采取适当的措施对施工现场周围的居民和公众进行安抚并在必要时支付补偿金，以避免正常情况下产生的不可避免的施工噪音、震动、光线、气体散发、地面排水及排污等扰民因素导致的民扰对工程进展造成影响。承包人应</w:t>
      </w:r>
      <w:r>
        <w:rPr>
          <w:rFonts w:hint="eastAsia" w:eastAsia="仿宋_GB2312"/>
          <w:color w:val="auto"/>
          <w:szCs w:val="21"/>
          <w:highlight w:val="none"/>
        </w:rPr>
        <w:t>确保</w:t>
      </w:r>
      <w:r>
        <w:rPr>
          <w:rFonts w:eastAsia="仿宋_GB2312"/>
          <w:color w:val="auto"/>
          <w:szCs w:val="21"/>
          <w:highlight w:val="none"/>
        </w:rPr>
        <w:t>发包人不会承担任何与施工扰民或民扰有关的费用，且不会遭受任何与施工扰民或民扰有关的费用和延长工期的索赔。与此相关的费用已包含在合同价款内，发包人无需另行支付。</w:t>
      </w:r>
    </w:p>
    <w:p w14:paraId="62AFDD1C">
      <w:pPr>
        <w:spacing w:line="360" w:lineRule="auto"/>
        <w:ind w:firstLine="420" w:firstLineChars="200"/>
        <w:rPr>
          <w:color w:val="auto"/>
          <w:szCs w:val="21"/>
          <w:highlight w:val="none"/>
        </w:rPr>
      </w:pPr>
      <w:r>
        <w:rPr>
          <w:rFonts w:eastAsia="仿宋_GB2312"/>
          <w:color w:val="auto"/>
          <w:szCs w:val="21"/>
          <w:highlight w:val="none"/>
        </w:rPr>
        <w:t>⑥已完工程成品保护的特殊要求及费用承担：承包人负责对自身范围内已完工程成品进行保护，并对各专业分包工程已完工程成品承担管理责任。承包人应提供发包人认为必要的和适当的临时保护以减轻对已完工程造成破坏的风险。承包人负责对已移交给发包人（或承包人）的由发包人自行发包的独立工程成品进行保护。与此相关的费用已包含在合同价款内，发包人无需另行支付。</w:t>
      </w:r>
    </w:p>
    <w:p w14:paraId="0FC2646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⑦施工场地周围地下管线和邻近建筑物、构筑物（含文物保护建筑）、古树名木的保护要求及费用承担：承包人在整个施工期间应采取得当的保护措施，并确保各种（包括现场周边）地下永久管线和临近建筑物、构筑物、古树名木等的安全，承包人应承担防护不力的责任及给发包人造成的经济损失。与此相关的费用包含在合同价款中，发包人无需另行支付。</w:t>
      </w:r>
    </w:p>
    <w:p w14:paraId="2F916B4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⑧施工场地清洁卫生的要求：因工程施工产生的建筑、生活等垃圾由承包人运出场外并根据当地政府许可的方式进行处理，发包人不承担任何与此相关的责任与费用。对于发包人验收合格的工程，经发包人同意，承包人应及时清理全部设备、剩余材料、垃圾和各种临时工程，并保持该部分现场和工程清洁整齐，达到发包人满意的状态，若承包人不能及时清理相关设备、剩余材料、垃圾和各种临时工程，发包人可予以出售或另行处理。发包人有权从此类收益中扣留足够的款额，以支付出售或处理及整理现场所发生的费用支出。此类收益的所有余额归还承包人，若出售所得不足以补偿发包人的支出，则发包人有权从工程款中直接扣除超出部分的款项；以上承包人应完成工作的相关费用包含在合同价款中，发包人无需另行支付。</w:t>
      </w:r>
    </w:p>
    <w:p w14:paraId="78CC4ED0">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承包人要保证施工场地清洁符合环境卫生管理的有关规定，符合文明施工的要求。职工临时宿舍及卫生设施应符合治安、消防、卫生等要求，保持文明清洁。交工前清理现场除达到规定的要求外，还应做到场地经过彻底清扫，整洁卫生，门窗明净，无灰尘；承包人承担因自身原因违反有关规定造成的损失和罚款。</w:t>
      </w:r>
    </w:p>
    <w:p w14:paraId="50F8763A">
      <w:pPr>
        <w:spacing w:after="120" w:line="360" w:lineRule="auto"/>
        <w:ind w:firstLine="420" w:firstLineChars="200"/>
        <w:rPr>
          <w:rFonts w:eastAsia="仿宋_GB2312"/>
          <w:color w:val="auto"/>
          <w:szCs w:val="21"/>
          <w:highlight w:val="none"/>
        </w:rPr>
      </w:pPr>
      <w:r>
        <w:rPr>
          <w:rFonts w:eastAsia="仿宋_GB2312"/>
          <w:color w:val="auto"/>
          <w:szCs w:val="21"/>
          <w:highlight w:val="none"/>
        </w:rPr>
        <w:t>⑨如因政府原因造成工程暂停施工的，承包人在恢复施工后应主动加强施工力量，尽量减少应停工造成的损失。</w:t>
      </w:r>
    </w:p>
    <w:p w14:paraId="66DC61DD">
      <w:pPr>
        <w:spacing w:line="360" w:lineRule="auto"/>
        <w:ind w:left="638" w:leftChars="304" w:firstLine="1687"/>
        <w:jc w:val="left"/>
        <w:rPr>
          <w:rFonts w:eastAsia="仿宋_GB2312"/>
          <w:color w:val="auto"/>
          <w:szCs w:val="21"/>
          <w:highlight w:val="none"/>
        </w:rPr>
      </w:pPr>
      <w:r>
        <w:rPr>
          <w:rFonts w:hint="eastAsia" w:eastAsia="仿宋_GB2312"/>
          <w:color w:val="auto"/>
          <w:szCs w:val="21"/>
          <w:highlight w:val="none"/>
        </w:rPr>
        <w:t>⑩</w:t>
      </w:r>
      <w:r>
        <w:rPr>
          <w:rFonts w:eastAsia="仿宋_GB2312"/>
          <w:color w:val="auto"/>
          <w:szCs w:val="21"/>
          <w:highlight w:val="none"/>
        </w:rPr>
        <w:t>双方约定承包人应做的其他工作：</w:t>
      </w:r>
    </w:p>
    <w:p w14:paraId="2FA35079">
      <w:pPr>
        <w:spacing w:line="360" w:lineRule="auto"/>
        <w:ind w:firstLine="420" w:firstLineChars="200"/>
        <w:jc w:val="left"/>
        <w:rPr>
          <w:rFonts w:eastAsia="仿宋_GB2312"/>
          <w:color w:val="auto"/>
          <w:szCs w:val="21"/>
          <w:highlight w:val="none"/>
        </w:rPr>
      </w:pPr>
      <w:r>
        <w:rPr>
          <w:rFonts w:eastAsia="仿宋_GB2312"/>
          <w:color w:val="auto"/>
          <w:szCs w:val="21"/>
          <w:highlight w:val="none"/>
        </w:rPr>
        <w:t>A、承包人应按照合同约定期限，合同未作特别约定时，应在签订合同后及时按照政府等相关部门的要求，负责办理本合同项下工程所需的有关施工的交通、施工噪音、环境保护、安全文明施工、夜间施工许可证等各种报批、许可等文件。</w:t>
      </w:r>
    </w:p>
    <w:p w14:paraId="27530F1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B、承包人应在开工前对施工图纸认真核查，积极配合发包人组织的施工图纸交底及会审工作，若发现图纸上存在不符合施工常规、惯例或规范之处，以及存在错、漏、碰、缺等问题的，应在</w:t>
      </w:r>
      <w:r>
        <w:rPr>
          <w:rFonts w:hint="eastAsia" w:eastAsia="仿宋_GB2312"/>
          <w:color w:val="auto"/>
          <w:szCs w:val="21"/>
          <w:highlight w:val="none"/>
        </w:rPr>
        <w:t>会审后</w:t>
      </w:r>
      <w:r>
        <w:rPr>
          <w:rFonts w:eastAsia="仿宋_GB2312"/>
          <w:color w:val="auto"/>
          <w:szCs w:val="21"/>
          <w:highlight w:val="none"/>
        </w:rPr>
        <w:t>7日内以书面方式报发包人、监理</w:t>
      </w:r>
      <w:r>
        <w:rPr>
          <w:rFonts w:hint="eastAsia" w:eastAsia="仿宋_GB2312"/>
          <w:color w:val="auto"/>
          <w:szCs w:val="21"/>
          <w:highlight w:val="none"/>
        </w:rPr>
        <w:t>人</w:t>
      </w:r>
      <w:r>
        <w:rPr>
          <w:rFonts w:eastAsia="仿宋_GB2312"/>
          <w:color w:val="auto"/>
          <w:szCs w:val="21"/>
          <w:highlight w:val="none"/>
        </w:rPr>
        <w:t>。对承包人已发现或应能发现的任何错误、冲突等相关问题，如因承包人未及时报告发包人、监理</w:t>
      </w:r>
      <w:r>
        <w:rPr>
          <w:rFonts w:hint="eastAsia" w:eastAsia="仿宋_GB2312"/>
          <w:color w:val="auto"/>
          <w:szCs w:val="21"/>
          <w:highlight w:val="none"/>
        </w:rPr>
        <w:t>人</w:t>
      </w:r>
      <w:r>
        <w:rPr>
          <w:rFonts w:eastAsia="仿宋_GB2312"/>
          <w:color w:val="auto"/>
          <w:szCs w:val="21"/>
          <w:highlight w:val="none"/>
        </w:rPr>
        <w:t>而造成工程造价增加或工期延误的，相应后果由承包人承担，且工期不予延长。</w:t>
      </w:r>
    </w:p>
    <w:p w14:paraId="3876DD17">
      <w:pPr>
        <w:spacing w:line="360" w:lineRule="auto"/>
        <w:ind w:firstLine="420" w:firstLineChars="200"/>
        <w:jc w:val="left"/>
        <w:rPr>
          <w:rFonts w:eastAsia="仿宋_GB2312"/>
          <w:color w:val="auto"/>
          <w:szCs w:val="21"/>
          <w:highlight w:val="none"/>
        </w:rPr>
      </w:pPr>
      <w:r>
        <w:rPr>
          <w:rFonts w:eastAsia="仿宋_GB2312"/>
          <w:color w:val="auto"/>
          <w:szCs w:val="21"/>
          <w:highlight w:val="none"/>
        </w:rPr>
        <w:t>C、承包人应按合同约定以及发包人、监理</w:t>
      </w:r>
      <w:r>
        <w:rPr>
          <w:rFonts w:hint="eastAsia" w:eastAsia="仿宋_GB2312"/>
          <w:color w:val="auto"/>
          <w:szCs w:val="21"/>
          <w:highlight w:val="none"/>
        </w:rPr>
        <w:t>人</w:t>
      </w:r>
      <w:r>
        <w:rPr>
          <w:rFonts w:eastAsia="仿宋_GB2312"/>
          <w:color w:val="auto"/>
          <w:szCs w:val="21"/>
          <w:highlight w:val="none"/>
        </w:rPr>
        <w:t>做出的指示，实施、完成全部工程。</w:t>
      </w:r>
    </w:p>
    <w:p w14:paraId="430C9F3C">
      <w:pPr>
        <w:spacing w:line="360" w:lineRule="auto"/>
        <w:ind w:firstLine="420" w:firstLineChars="200"/>
        <w:jc w:val="left"/>
        <w:rPr>
          <w:rFonts w:eastAsia="仿宋_GB2312"/>
          <w:color w:val="auto"/>
          <w:szCs w:val="21"/>
          <w:highlight w:val="none"/>
        </w:rPr>
      </w:pPr>
      <w:bookmarkStart w:id="619" w:name="_Toc353294659"/>
      <w:r>
        <w:rPr>
          <w:rFonts w:eastAsia="仿宋_GB2312"/>
          <w:color w:val="auto"/>
          <w:szCs w:val="21"/>
          <w:highlight w:val="none"/>
        </w:rPr>
        <w:t>D、</w:t>
      </w:r>
      <w:bookmarkEnd w:id="619"/>
      <w:r>
        <w:rPr>
          <w:rFonts w:eastAsia="仿宋_GB2312"/>
          <w:color w:val="auto"/>
          <w:szCs w:val="21"/>
          <w:highlight w:val="none"/>
        </w:rPr>
        <w:t>承包人应负责提供为完成合同工作所需的一切劳务、材料、施工设备、工程设备和其他物品，合同约定由发包人提供的除外。</w:t>
      </w:r>
    </w:p>
    <w:p w14:paraId="56459F81">
      <w:pPr>
        <w:spacing w:line="360" w:lineRule="auto"/>
        <w:ind w:firstLine="420" w:firstLineChars="200"/>
        <w:jc w:val="left"/>
        <w:rPr>
          <w:color w:val="auto"/>
          <w:szCs w:val="21"/>
          <w:highlight w:val="none"/>
        </w:rPr>
      </w:pPr>
      <w:r>
        <w:rPr>
          <w:rFonts w:eastAsia="仿宋_GB2312"/>
          <w:color w:val="auto"/>
          <w:szCs w:val="21"/>
          <w:highlight w:val="none"/>
        </w:rPr>
        <w:t>E、施工人员劳动保障：承包人应严格遵守有关工人工资标准、劳动时间、劳动保护、身心健康、预防传染病和施工现场安全生产的法律、法规、规章和规定等，按政府或有关管理机构的规定为本合同项下雇佣的员工办理任何必要的证件、许可和注册，并保障发包人免于因承包人未能遵守相关法律、法规、规章和规定等可能造成的任何处罚、索赔、损失和损害等。</w:t>
      </w:r>
      <w:r>
        <w:rPr>
          <w:rFonts w:hint="eastAsia" w:eastAsia="仿宋_GB2312"/>
          <w:color w:val="auto"/>
          <w:szCs w:val="21"/>
          <w:highlight w:val="none"/>
        </w:rPr>
        <w:t>若发包人为此项内容造成的索赔、处罚、损失等，发包人有权在应付承包人的工程款中直接予以扣回</w:t>
      </w:r>
      <w:r>
        <w:rPr>
          <w:rFonts w:hint="eastAsia"/>
          <w:color w:val="auto"/>
          <w:szCs w:val="21"/>
          <w:highlight w:val="none"/>
        </w:rPr>
        <w:t>。</w:t>
      </w:r>
    </w:p>
    <w:p w14:paraId="4805087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F、施工现场安全责任：承包人应对施工区域内在施工期间的各项安全责任负责，因施工发生的任何安全事故均由承包人自行负责，发包人不承担任何责任。承包人应按照《</w:t>
      </w:r>
      <w:r>
        <w:rPr>
          <w:rFonts w:hint="eastAsia" w:eastAsia="仿宋_GB2312"/>
          <w:color w:val="auto"/>
          <w:szCs w:val="21"/>
          <w:highlight w:val="none"/>
        </w:rPr>
        <w:t>中华人民共和国</w:t>
      </w:r>
      <w:r>
        <w:rPr>
          <w:rFonts w:eastAsia="仿宋_GB2312"/>
          <w:color w:val="auto"/>
          <w:szCs w:val="21"/>
          <w:highlight w:val="none"/>
        </w:rPr>
        <w:t>安全生产法》、《建设工程安全生产管理条例》等规范要求，对施工人员进行入场教育和安全培训，设置专门的安全管理机构，制定相关安全计划并督导实施，承包人项目经理为现场第一安全责任人，对施工安全负全部责任。</w:t>
      </w:r>
      <w:r>
        <w:rPr>
          <w:rFonts w:hint="eastAsia" w:eastAsia="仿宋_GB2312"/>
          <w:color w:val="auto"/>
          <w:szCs w:val="21"/>
          <w:highlight w:val="none"/>
        </w:rPr>
        <w:t>若发包人因安全事故支付赔偿金或者补偿金的，发包人有权在应付承包人工程款中直接予以扣回</w:t>
      </w:r>
      <w:r>
        <w:rPr>
          <w:rFonts w:eastAsia="仿宋_GB2312"/>
          <w:color w:val="auto"/>
          <w:szCs w:val="21"/>
          <w:highlight w:val="none"/>
        </w:rPr>
        <w:t>。</w:t>
      </w:r>
    </w:p>
    <w:p w14:paraId="042330C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G、总包管理配合义务：承包人作为本工程的承包人，应负责本合同内全部工程直至整体工程（专业分包工程和发包人自行发包的独立工程等）竣工验收期间的施工进度、计划、质量、现场、安全、文明的管理与协调等全部工作。承包人应为分包人（含专业分包商）、供应商（含专项供应商）及独立工程施工单位等其他本工程有关单位或人员（本目中称为“其他单位”）提供管理、协调、配合、照管和服务义务。</w:t>
      </w:r>
      <w:r>
        <w:rPr>
          <w:rFonts w:hint="eastAsia" w:eastAsia="仿宋_GB2312"/>
          <w:color w:val="auto"/>
          <w:szCs w:val="21"/>
          <w:highlight w:val="none"/>
        </w:rPr>
        <w:t>总包配合费已经包含在本合同价款中，发包人无须另行向承包人支付。</w:t>
      </w:r>
    </w:p>
    <w:p w14:paraId="5511F5F6">
      <w:pPr>
        <w:spacing w:line="360" w:lineRule="auto"/>
        <w:ind w:firstLine="420" w:firstLineChars="200"/>
        <w:jc w:val="left"/>
        <w:rPr>
          <w:rFonts w:eastAsia="仿宋_GB2312"/>
          <w:color w:val="auto"/>
          <w:szCs w:val="21"/>
          <w:highlight w:val="none"/>
        </w:rPr>
      </w:pPr>
      <w:r>
        <w:rPr>
          <w:rFonts w:eastAsia="仿宋_GB2312"/>
          <w:color w:val="auto"/>
          <w:szCs w:val="21"/>
          <w:highlight w:val="none"/>
        </w:rPr>
        <w:t>H、各专业分包</w:t>
      </w:r>
      <w:r>
        <w:rPr>
          <w:rFonts w:hint="eastAsia" w:eastAsia="仿宋_GB2312"/>
          <w:color w:val="auto"/>
          <w:szCs w:val="21"/>
          <w:highlight w:val="none"/>
        </w:rPr>
        <w:t>人</w:t>
      </w:r>
      <w:r>
        <w:rPr>
          <w:rFonts w:eastAsia="仿宋_GB2312"/>
          <w:color w:val="auto"/>
          <w:szCs w:val="21"/>
          <w:highlight w:val="none"/>
        </w:rPr>
        <w:t>施工产生的建筑垃圾、临建区域的生活垃圾由承包人负责统一处理，费用全部由承包人承担，分包</w:t>
      </w:r>
      <w:r>
        <w:rPr>
          <w:rFonts w:hint="eastAsia" w:eastAsia="仿宋_GB2312"/>
          <w:color w:val="auto"/>
          <w:szCs w:val="21"/>
          <w:highlight w:val="none"/>
        </w:rPr>
        <w:t>人</w:t>
      </w:r>
      <w:r>
        <w:rPr>
          <w:rFonts w:eastAsia="仿宋_GB2312"/>
          <w:color w:val="auto"/>
          <w:szCs w:val="21"/>
          <w:highlight w:val="none"/>
        </w:rPr>
        <w:t>须在承包人的管理下将垃圾运至现场指定地点。</w:t>
      </w:r>
    </w:p>
    <w:p w14:paraId="2D15D1C2">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I、负责参加各类施工协调、交通配合例会，按时向工程师提供开竣工报告、隐蔽工程验收报告、质量自检记录、交工验收报告以及工程事故报告（如果发生）等资料；做好施工现场的交通管理工作。承包人负责向工程师随时提供工程事故报告(如发生)。</w:t>
      </w:r>
    </w:p>
    <w:p w14:paraId="391CCED4">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J、在合同要求范围内的施工、竣工和保修均应不使下述各方面遭受不必要的干扰：影响公众便利或对公用道路、便道的使用和他人财产的占用，以及对交通和邻近设施的干扰。</w:t>
      </w:r>
    </w:p>
    <w:p w14:paraId="21375C35">
      <w:pPr>
        <w:spacing w:after="120" w:line="360" w:lineRule="auto"/>
        <w:ind w:firstLine="420" w:firstLineChars="200"/>
        <w:rPr>
          <w:rFonts w:eastAsia="黑体"/>
          <w:color w:val="auto"/>
          <w:szCs w:val="21"/>
          <w:highlight w:val="none"/>
        </w:rPr>
      </w:pPr>
      <w:r>
        <w:rPr>
          <w:rFonts w:eastAsia="黑体"/>
          <w:color w:val="auto"/>
          <w:szCs w:val="21"/>
          <w:highlight w:val="none"/>
        </w:rPr>
        <w:t>3.2 项目经理</w:t>
      </w:r>
    </w:p>
    <w:p w14:paraId="63D911C7">
      <w:pPr>
        <w:spacing w:line="360" w:lineRule="auto"/>
        <w:ind w:firstLine="420" w:firstLineChars="200"/>
        <w:rPr>
          <w:rFonts w:eastAsia="仿宋_GB2312"/>
          <w:color w:val="auto"/>
          <w:szCs w:val="21"/>
          <w:highlight w:val="none"/>
        </w:rPr>
      </w:pPr>
      <w:r>
        <w:rPr>
          <w:rFonts w:eastAsia="仿宋_GB2312"/>
          <w:color w:val="auto"/>
          <w:kern w:val="0"/>
          <w:szCs w:val="21"/>
          <w:highlight w:val="none"/>
        </w:rPr>
        <w:t xml:space="preserve">3.2.1 </w:t>
      </w:r>
      <w:r>
        <w:rPr>
          <w:rFonts w:eastAsia="仿宋_GB2312"/>
          <w:color w:val="auto"/>
          <w:szCs w:val="21"/>
          <w:highlight w:val="none"/>
        </w:rPr>
        <w:t>项目经理：</w:t>
      </w:r>
    </w:p>
    <w:p w14:paraId="198BE5CC">
      <w:pPr>
        <w:spacing w:line="360" w:lineRule="auto"/>
        <w:ind w:firstLine="420" w:firstLineChars="200"/>
        <w:rPr>
          <w:rFonts w:eastAsia="仿宋_GB2312"/>
          <w:color w:val="auto"/>
          <w:szCs w:val="21"/>
          <w:highlight w:val="none"/>
        </w:rPr>
      </w:pPr>
      <w:r>
        <w:rPr>
          <w:rFonts w:eastAsia="仿宋_GB2312"/>
          <w:color w:val="auto"/>
          <w:szCs w:val="21"/>
          <w:highlight w:val="none"/>
        </w:rPr>
        <w:t>姓    名：</w:t>
      </w:r>
      <w:r>
        <w:rPr>
          <w:rFonts w:hint="eastAsia" w:eastAsia="仿宋_GB2312"/>
          <w:color w:val="auto"/>
          <w:szCs w:val="21"/>
          <w:highlight w:val="none"/>
          <w:u w:val="single"/>
        </w:rPr>
        <w:t xml:space="preserve">                                      </w:t>
      </w:r>
      <w:r>
        <w:rPr>
          <w:rFonts w:eastAsia="仿宋_GB2312"/>
          <w:color w:val="auto"/>
          <w:szCs w:val="21"/>
          <w:highlight w:val="none"/>
        </w:rPr>
        <w:t>；</w:t>
      </w:r>
    </w:p>
    <w:p w14:paraId="26FB892B">
      <w:pPr>
        <w:spacing w:line="360" w:lineRule="auto"/>
        <w:ind w:firstLine="420" w:firstLineChars="200"/>
        <w:rPr>
          <w:rFonts w:eastAsia="仿宋_GB2312"/>
          <w:color w:val="auto"/>
          <w:szCs w:val="21"/>
          <w:highlight w:val="none"/>
        </w:rPr>
      </w:pPr>
      <w:r>
        <w:rPr>
          <w:rFonts w:eastAsia="仿宋_GB2312"/>
          <w:color w:val="auto"/>
          <w:szCs w:val="21"/>
          <w:highlight w:val="none"/>
        </w:rPr>
        <w:t>身份证号：</w:t>
      </w:r>
      <w:r>
        <w:rPr>
          <w:rFonts w:hint="eastAsia" w:eastAsia="仿宋_GB2312"/>
          <w:color w:val="auto"/>
          <w:szCs w:val="21"/>
          <w:highlight w:val="none"/>
          <w:u w:val="single"/>
        </w:rPr>
        <w:t xml:space="preserve">                                      </w:t>
      </w:r>
      <w:r>
        <w:rPr>
          <w:rFonts w:eastAsia="仿宋_GB2312"/>
          <w:color w:val="auto"/>
          <w:szCs w:val="21"/>
          <w:highlight w:val="none"/>
        </w:rPr>
        <w:t>；</w:t>
      </w:r>
    </w:p>
    <w:p w14:paraId="1ACA0A18">
      <w:pPr>
        <w:spacing w:line="360" w:lineRule="auto"/>
        <w:ind w:firstLine="420" w:firstLineChars="200"/>
        <w:rPr>
          <w:rFonts w:eastAsia="仿宋_GB2312"/>
          <w:color w:val="auto"/>
          <w:szCs w:val="21"/>
          <w:highlight w:val="none"/>
        </w:rPr>
      </w:pPr>
      <w:r>
        <w:rPr>
          <w:rFonts w:eastAsia="仿宋_GB2312"/>
          <w:color w:val="auto"/>
          <w:szCs w:val="21"/>
          <w:highlight w:val="none"/>
        </w:rPr>
        <w:t>建造师执业资格等级：</w:t>
      </w:r>
      <w:r>
        <w:rPr>
          <w:rFonts w:hint="eastAsia" w:eastAsia="仿宋_GB2312"/>
          <w:color w:val="auto"/>
          <w:szCs w:val="21"/>
          <w:highlight w:val="none"/>
          <w:u w:val="single"/>
        </w:rPr>
        <w:t xml:space="preserve">                            </w:t>
      </w:r>
      <w:r>
        <w:rPr>
          <w:rFonts w:eastAsia="仿宋_GB2312"/>
          <w:color w:val="auto"/>
          <w:szCs w:val="21"/>
          <w:highlight w:val="none"/>
        </w:rPr>
        <w:t>；</w:t>
      </w:r>
    </w:p>
    <w:p w14:paraId="53F1FB88">
      <w:pPr>
        <w:spacing w:line="360" w:lineRule="auto"/>
        <w:ind w:firstLine="420" w:firstLineChars="200"/>
        <w:rPr>
          <w:rFonts w:eastAsia="仿宋_GB2312"/>
          <w:color w:val="auto"/>
          <w:szCs w:val="21"/>
          <w:highlight w:val="none"/>
        </w:rPr>
      </w:pPr>
      <w:r>
        <w:rPr>
          <w:rFonts w:eastAsia="仿宋_GB2312"/>
          <w:color w:val="auto"/>
          <w:szCs w:val="21"/>
          <w:highlight w:val="none"/>
        </w:rPr>
        <w:t>建造师注册证书号：</w:t>
      </w:r>
      <w:r>
        <w:rPr>
          <w:rFonts w:hint="eastAsia" w:eastAsia="仿宋_GB2312"/>
          <w:color w:val="auto"/>
          <w:szCs w:val="21"/>
          <w:highlight w:val="none"/>
          <w:u w:val="single"/>
        </w:rPr>
        <w:t xml:space="preserve">                            </w:t>
      </w:r>
      <w:r>
        <w:rPr>
          <w:rFonts w:eastAsia="仿宋_GB2312"/>
          <w:color w:val="auto"/>
          <w:szCs w:val="21"/>
          <w:highlight w:val="none"/>
        </w:rPr>
        <w:t>；</w:t>
      </w:r>
    </w:p>
    <w:p w14:paraId="054B6ED2">
      <w:pPr>
        <w:spacing w:line="360" w:lineRule="auto"/>
        <w:ind w:firstLine="420" w:firstLineChars="200"/>
        <w:rPr>
          <w:rFonts w:eastAsia="仿宋_GB2312"/>
          <w:color w:val="auto"/>
          <w:szCs w:val="21"/>
          <w:highlight w:val="none"/>
        </w:rPr>
      </w:pPr>
      <w:r>
        <w:rPr>
          <w:rFonts w:eastAsia="仿宋_GB2312"/>
          <w:color w:val="auto"/>
          <w:szCs w:val="21"/>
          <w:highlight w:val="none"/>
        </w:rPr>
        <w:t>建造师执业印章号：</w:t>
      </w:r>
      <w:r>
        <w:rPr>
          <w:rFonts w:hint="eastAsia" w:eastAsia="仿宋_GB2312"/>
          <w:color w:val="auto"/>
          <w:szCs w:val="21"/>
          <w:highlight w:val="none"/>
          <w:u w:val="single"/>
        </w:rPr>
        <w:t xml:space="preserve">                              </w:t>
      </w:r>
      <w:r>
        <w:rPr>
          <w:rFonts w:eastAsia="仿宋_GB2312"/>
          <w:color w:val="auto"/>
          <w:szCs w:val="21"/>
          <w:highlight w:val="none"/>
        </w:rPr>
        <w:t>；</w:t>
      </w:r>
    </w:p>
    <w:p w14:paraId="39E71CAC">
      <w:pPr>
        <w:spacing w:line="360" w:lineRule="auto"/>
        <w:ind w:firstLine="420" w:firstLineChars="200"/>
        <w:rPr>
          <w:rFonts w:eastAsia="仿宋_GB2312"/>
          <w:color w:val="auto"/>
          <w:szCs w:val="21"/>
          <w:highlight w:val="none"/>
        </w:rPr>
      </w:pPr>
      <w:r>
        <w:rPr>
          <w:rFonts w:eastAsia="仿宋_GB2312"/>
          <w:color w:val="auto"/>
          <w:szCs w:val="21"/>
          <w:highlight w:val="none"/>
        </w:rPr>
        <w:t>安全生产考核合格证书号：</w:t>
      </w:r>
      <w:r>
        <w:rPr>
          <w:rFonts w:hint="eastAsia" w:eastAsia="仿宋_GB2312"/>
          <w:color w:val="auto"/>
          <w:szCs w:val="21"/>
          <w:highlight w:val="none"/>
          <w:u w:val="single"/>
        </w:rPr>
        <w:t xml:space="preserve">                       </w:t>
      </w:r>
      <w:r>
        <w:rPr>
          <w:rFonts w:eastAsia="仿宋_GB2312"/>
          <w:color w:val="auto"/>
          <w:szCs w:val="21"/>
          <w:highlight w:val="none"/>
        </w:rPr>
        <w:t>；</w:t>
      </w:r>
    </w:p>
    <w:p w14:paraId="7243B6AB">
      <w:pPr>
        <w:spacing w:line="360" w:lineRule="auto"/>
        <w:ind w:firstLine="420" w:firstLineChars="200"/>
        <w:rPr>
          <w:rFonts w:eastAsia="仿宋_GB2312"/>
          <w:color w:val="auto"/>
          <w:szCs w:val="21"/>
          <w:highlight w:val="none"/>
        </w:rPr>
      </w:pPr>
      <w:r>
        <w:rPr>
          <w:rFonts w:eastAsia="仿宋_GB2312"/>
          <w:color w:val="auto"/>
          <w:szCs w:val="21"/>
          <w:highlight w:val="none"/>
        </w:rPr>
        <w:t>联系电话：</w:t>
      </w:r>
      <w:r>
        <w:rPr>
          <w:rFonts w:hint="eastAsia" w:eastAsia="仿宋_GB2312"/>
          <w:color w:val="auto"/>
          <w:szCs w:val="21"/>
          <w:highlight w:val="none"/>
          <w:u w:val="single"/>
        </w:rPr>
        <w:t xml:space="preserve">                 </w:t>
      </w:r>
      <w:r>
        <w:rPr>
          <w:rFonts w:eastAsia="仿宋_GB2312"/>
          <w:color w:val="auto"/>
          <w:szCs w:val="21"/>
          <w:highlight w:val="none"/>
        </w:rPr>
        <w:t>；</w:t>
      </w:r>
    </w:p>
    <w:p w14:paraId="2AC3A333">
      <w:pPr>
        <w:spacing w:line="360" w:lineRule="auto"/>
        <w:ind w:firstLine="420" w:firstLineChars="200"/>
        <w:rPr>
          <w:rFonts w:eastAsia="仿宋_GB2312"/>
          <w:color w:val="auto"/>
          <w:szCs w:val="21"/>
          <w:highlight w:val="none"/>
        </w:rPr>
      </w:pPr>
      <w:r>
        <w:rPr>
          <w:rFonts w:eastAsia="仿宋_GB2312"/>
          <w:color w:val="auto"/>
          <w:szCs w:val="21"/>
          <w:highlight w:val="none"/>
        </w:rPr>
        <w:t>电子信箱：</w:t>
      </w:r>
      <w:r>
        <w:rPr>
          <w:rFonts w:hint="eastAsia" w:eastAsia="仿宋_GB2312"/>
          <w:color w:val="auto"/>
          <w:szCs w:val="21"/>
          <w:highlight w:val="none"/>
          <w:u w:val="single"/>
        </w:rPr>
        <w:t xml:space="preserve">                 </w:t>
      </w:r>
      <w:r>
        <w:rPr>
          <w:rFonts w:eastAsia="仿宋_GB2312"/>
          <w:color w:val="auto"/>
          <w:szCs w:val="21"/>
          <w:highlight w:val="none"/>
        </w:rPr>
        <w:t>；</w:t>
      </w:r>
    </w:p>
    <w:p w14:paraId="2E58B6B7">
      <w:pPr>
        <w:spacing w:line="360" w:lineRule="auto"/>
        <w:ind w:firstLine="420" w:firstLineChars="200"/>
        <w:rPr>
          <w:rFonts w:eastAsia="仿宋_GB2312"/>
          <w:color w:val="auto"/>
          <w:szCs w:val="21"/>
          <w:highlight w:val="none"/>
        </w:rPr>
      </w:pPr>
      <w:r>
        <w:rPr>
          <w:rFonts w:eastAsia="仿宋_GB2312"/>
          <w:color w:val="auto"/>
          <w:szCs w:val="21"/>
          <w:highlight w:val="none"/>
        </w:rPr>
        <w:t>通信地址：</w:t>
      </w:r>
      <w:r>
        <w:rPr>
          <w:rFonts w:hint="eastAsia" w:eastAsia="仿宋_GB2312"/>
          <w:color w:val="auto"/>
          <w:szCs w:val="21"/>
          <w:highlight w:val="none"/>
          <w:u w:val="single"/>
        </w:rPr>
        <w:t xml:space="preserve">                     </w:t>
      </w:r>
      <w:r>
        <w:rPr>
          <w:rFonts w:eastAsia="仿宋_GB2312"/>
          <w:color w:val="auto"/>
          <w:szCs w:val="21"/>
          <w:highlight w:val="none"/>
        </w:rPr>
        <w:t>；</w:t>
      </w:r>
    </w:p>
    <w:p w14:paraId="1C66667F">
      <w:pPr>
        <w:spacing w:line="360" w:lineRule="auto"/>
        <w:ind w:firstLine="420" w:firstLineChars="200"/>
        <w:rPr>
          <w:rFonts w:eastAsia="仿宋_GB2312"/>
          <w:color w:val="auto"/>
          <w:szCs w:val="21"/>
          <w:highlight w:val="none"/>
        </w:rPr>
      </w:pPr>
      <w:r>
        <w:rPr>
          <w:rFonts w:eastAsia="仿宋_GB2312"/>
          <w:color w:val="auto"/>
          <w:szCs w:val="21"/>
          <w:highlight w:val="none"/>
        </w:rPr>
        <w:t>承包人对项目经理的授权范围如下：</w:t>
      </w:r>
      <w:r>
        <w:rPr>
          <w:rFonts w:hint="eastAsia" w:eastAsia="仿宋_GB2312"/>
          <w:color w:val="auto"/>
          <w:szCs w:val="21"/>
          <w:highlight w:val="none"/>
          <w:u w:val="single"/>
        </w:rPr>
        <w:t xml:space="preserve">                 </w:t>
      </w:r>
      <w:r>
        <w:rPr>
          <w:rFonts w:eastAsia="仿宋_GB2312"/>
          <w:color w:val="auto"/>
          <w:szCs w:val="21"/>
          <w:highlight w:val="none"/>
        </w:rPr>
        <w:t>。</w:t>
      </w:r>
    </w:p>
    <w:p w14:paraId="1F76CBB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关于项目经理每月在施工现场的时间要求：</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ascii="宋体" w:hAnsi="宋体"/>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2B71DA16">
      <w:pPr>
        <w:spacing w:line="360" w:lineRule="auto"/>
        <w:ind w:firstLine="420" w:firstLineChars="200"/>
        <w:rPr>
          <w:rFonts w:eastAsia="仿宋_GB2312"/>
          <w:color w:val="auto"/>
          <w:kern w:val="0"/>
          <w:szCs w:val="21"/>
          <w:highlight w:val="none"/>
        </w:rPr>
      </w:pPr>
      <w:r>
        <w:rPr>
          <w:rFonts w:eastAsia="仿宋_GB2312"/>
          <w:color w:val="auto"/>
          <w:kern w:val="0"/>
          <w:szCs w:val="21"/>
          <w:highlight w:val="none"/>
        </w:rPr>
        <w:t>承包人未提交劳动合同，以及没有为项目经理缴纳社会保险证明的违约责任：</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49C85715">
      <w:pPr>
        <w:spacing w:line="360" w:lineRule="auto"/>
        <w:ind w:firstLine="420" w:firstLineChars="200"/>
        <w:jc w:val="left"/>
        <w:rPr>
          <w:rFonts w:eastAsia="仿宋_GB2312"/>
          <w:color w:val="auto"/>
          <w:szCs w:val="21"/>
          <w:highlight w:val="none"/>
          <w:u w:val="single"/>
        </w:rPr>
      </w:pPr>
      <w:r>
        <w:rPr>
          <w:rFonts w:eastAsia="仿宋_GB2312"/>
          <w:color w:val="auto"/>
          <w:kern w:val="0"/>
          <w:szCs w:val="21"/>
          <w:highlight w:val="none"/>
        </w:rPr>
        <w:t>项目经理未经批准，擅自离开施工现场的违约责任：</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25C19959">
      <w:pPr>
        <w:spacing w:line="360" w:lineRule="auto"/>
        <w:ind w:firstLine="420" w:firstLineChars="200"/>
        <w:rPr>
          <w:rFonts w:eastAsia="仿宋_GB2312"/>
          <w:color w:val="auto"/>
          <w:szCs w:val="21"/>
          <w:highlight w:val="none"/>
        </w:rPr>
      </w:pPr>
      <w:r>
        <w:rPr>
          <w:rFonts w:eastAsia="仿宋_GB2312"/>
          <w:color w:val="auto"/>
          <w:szCs w:val="21"/>
          <w:highlight w:val="none"/>
        </w:rPr>
        <w:t>3.2.3 承包人擅自更换项目经理的违约责任：</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F24A135">
      <w:pPr>
        <w:spacing w:line="360" w:lineRule="auto"/>
        <w:ind w:firstLine="1687"/>
        <w:rPr>
          <w:rFonts w:eastAsia="仿宋_GB2312"/>
          <w:color w:val="auto"/>
          <w:szCs w:val="21"/>
          <w:highlight w:val="none"/>
        </w:rPr>
      </w:pPr>
      <w:r>
        <w:rPr>
          <w:rFonts w:eastAsia="仿宋_GB2312"/>
          <w:color w:val="auto"/>
          <w:szCs w:val="21"/>
          <w:highlight w:val="none"/>
        </w:rPr>
        <w:t xml:space="preserve">    3.2.4 承包人无正当理由拒绝更换项目经理的违约责任：</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0B4938BC">
      <w:pPr>
        <w:spacing w:after="120" w:line="360" w:lineRule="auto"/>
        <w:ind w:firstLine="420" w:firstLineChars="200"/>
        <w:rPr>
          <w:rFonts w:eastAsia="黑体"/>
          <w:color w:val="auto"/>
          <w:szCs w:val="21"/>
          <w:highlight w:val="none"/>
        </w:rPr>
      </w:pPr>
      <w:r>
        <w:rPr>
          <w:rFonts w:eastAsia="黑体"/>
          <w:color w:val="auto"/>
          <w:szCs w:val="21"/>
          <w:highlight w:val="none"/>
        </w:rPr>
        <w:t>3.3 承包人人员</w:t>
      </w:r>
    </w:p>
    <w:p w14:paraId="13124CE8">
      <w:pPr>
        <w:spacing w:line="360" w:lineRule="auto"/>
        <w:ind w:firstLine="420" w:firstLineChars="200"/>
        <w:rPr>
          <w:rFonts w:eastAsia="仿宋_GB2312"/>
          <w:color w:val="auto"/>
          <w:szCs w:val="21"/>
          <w:highlight w:val="none"/>
        </w:rPr>
      </w:pPr>
      <w:r>
        <w:rPr>
          <w:rFonts w:eastAsia="仿宋_GB2312"/>
          <w:color w:val="auto"/>
          <w:szCs w:val="21"/>
          <w:highlight w:val="none"/>
        </w:rPr>
        <w:t>3.3.1 承包人提交项目管理机构及施工现场管理人员安排报告的期限：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401D1422">
      <w:pPr>
        <w:spacing w:line="360" w:lineRule="auto"/>
        <w:ind w:firstLine="420" w:firstLineChars="200"/>
        <w:rPr>
          <w:rFonts w:eastAsia="仿宋_GB2312"/>
          <w:color w:val="auto"/>
          <w:szCs w:val="21"/>
          <w:highlight w:val="none"/>
        </w:rPr>
      </w:pPr>
      <w:r>
        <w:rPr>
          <w:rFonts w:eastAsia="仿宋_GB2312"/>
          <w:color w:val="auto"/>
          <w:szCs w:val="21"/>
          <w:highlight w:val="none"/>
        </w:rPr>
        <w:t>3.3.3 承包人无正当理由拒绝撤换主要施工管理人员的违约责任：</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369A2A81">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 xml:space="preserve">3.3.4 承包人主要施工管理人员离开施工现场的批准要求：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35D5BA6">
      <w:pPr>
        <w:spacing w:line="360" w:lineRule="auto"/>
        <w:ind w:firstLine="420" w:firstLineChars="200"/>
        <w:rPr>
          <w:rFonts w:eastAsia="仿宋_GB2312"/>
          <w:color w:val="auto"/>
          <w:szCs w:val="21"/>
          <w:highlight w:val="none"/>
        </w:rPr>
      </w:pPr>
      <w:r>
        <w:rPr>
          <w:rFonts w:eastAsia="仿宋_GB2312"/>
          <w:color w:val="auto"/>
          <w:szCs w:val="21"/>
          <w:highlight w:val="none"/>
        </w:rPr>
        <w:t>3.3.5承包人擅自更换主要施工管理人员的违约责任：</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3F91BF67">
      <w:pPr>
        <w:spacing w:line="360" w:lineRule="auto"/>
        <w:ind w:firstLine="420" w:firstLineChars="200"/>
        <w:rPr>
          <w:rFonts w:eastAsia="仿宋_GB2312"/>
          <w:color w:val="auto"/>
          <w:szCs w:val="21"/>
          <w:highlight w:val="none"/>
        </w:rPr>
      </w:pPr>
      <w:r>
        <w:rPr>
          <w:rFonts w:eastAsia="仿宋_GB2312"/>
          <w:color w:val="auto"/>
          <w:szCs w:val="21"/>
          <w:highlight w:val="none"/>
        </w:rPr>
        <w:t xml:space="preserve">承包人主要施工管理人员擅自离开施工现场的违约责任：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568B2ED">
      <w:pPr>
        <w:spacing w:after="120" w:line="360" w:lineRule="auto"/>
        <w:ind w:firstLine="420" w:firstLineChars="200"/>
        <w:rPr>
          <w:rFonts w:eastAsia="黑体"/>
          <w:color w:val="auto"/>
          <w:szCs w:val="21"/>
          <w:highlight w:val="none"/>
        </w:rPr>
      </w:pPr>
      <w:r>
        <w:rPr>
          <w:rFonts w:eastAsia="黑体"/>
          <w:color w:val="auto"/>
          <w:szCs w:val="21"/>
          <w:highlight w:val="none"/>
        </w:rPr>
        <w:t>3</w:t>
      </w:r>
      <w:bookmarkStart w:id="620" w:name="_Toc296346660"/>
      <w:bookmarkStart w:id="621" w:name="_Toc297216151"/>
      <w:bookmarkStart w:id="622" w:name="_Toc296890987"/>
      <w:bookmarkStart w:id="623" w:name="_Toc303539102"/>
      <w:bookmarkStart w:id="624" w:name="_Toc304295523"/>
      <w:bookmarkStart w:id="625" w:name="_Toc312677988"/>
      <w:bookmarkStart w:id="626" w:name="_Toc300934945"/>
      <w:bookmarkStart w:id="627" w:name="_Toc296347158"/>
      <w:bookmarkStart w:id="628" w:name="_Toc296503159"/>
      <w:bookmarkStart w:id="629" w:name="_Toc296891199"/>
      <w:bookmarkStart w:id="630" w:name="_Toc292559364"/>
      <w:bookmarkStart w:id="631" w:name="_Toc297048345"/>
      <w:bookmarkStart w:id="632" w:name="_Toc296944498"/>
      <w:bookmarkStart w:id="633" w:name="_Toc297123492"/>
      <w:bookmarkStart w:id="634" w:name="_Toc292559869"/>
      <w:bookmarkStart w:id="635" w:name="_Toc297120459"/>
      <w:r>
        <w:rPr>
          <w:rFonts w:eastAsia="黑体"/>
          <w:color w:val="auto"/>
          <w:szCs w:val="21"/>
          <w:highlight w:val="none"/>
        </w:rPr>
        <w:t>.5 分包</w:t>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2CA50624">
      <w:pPr>
        <w:spacing w:line="360" w:lineRule="auto"/>
        <w:ind w:firstLine="420" w:firstLineChars="200"/>
        <w:rPr>
          <w:rFonts w:eastAsia="仿宋_GB2312"/>
          <w:color w:val="auto"/>
          <w:szCs w:val="21"/>
          <w:highlight w:val="none"/>
        </w:rPr>
      </w:pPr>
      <w:r>
        <w:rPr>
          <w:rFonts w:eastAsia="仿宋_GB2312"/>
          <w:color w:val="auto"/>
          <w:szCs w:val="21"/>
          <w:highlight w:val="none"/>
        </w:rPr>
        <w:t>3</w:t>
      </w:r>
      <w:bookmarkStart w:id="636" w:name="_Toc300934946"/>
      <w:bookmarkStart w:id="637" w:name="_Toc296944499"/>
      <w:bookmarkStart w:id="638" w:name="_Toc297048346"/>
      <w:bookmarkStart w:id="639" w:name="_Toc297216152"/>
      <w:bookmarkStart w:id="640" w:name="_Toc304295524"/>
      <w:bookmarkStart w:id="641" w:name="_Toc297123493"/>
      <w:bookmarkStart w:id="642" w:name="_Toc296503160"/>
      <w:bookmarkStart w:id="643" w:name="_Toc312677989"/>
      <w:bookmarkStart w:id="644" w:name="_Toc296890988"/>
      <w:bookmarkStart w:id="645" w:name="_Toc318581158"/>
      <w:bookmarkStart w:id="646" w:name="_Toc297120460"/>
      <w:bookmarkStart w:id="647" w:name="_Toc296891200"/>
      <w:bookmarkStart w:id="648" w:name="_Toc292559870"/>
      <w:bookmarkStart w:id="649" w:name="_Toc296347159"/>
      <w:bookmarkStart w:id="650" w:name="_Toc296346661"/>
      <w:bookmarkStart w:id="651" w:name="_Toc292559365"/>
      <w:bookmarkStart w:id="652" w:name="_Toc303539103"/>
      <w:r>
        <w:rPr>
          <w:rFonts w:eastAsia="仿宋_GB2312"/>
          <w:color w:val="auto"/>
          <w:szCs w:val="21"/>
          <w:highlight w:val="none"/>
        </w:rPr>
        <w:t>.5.1 分包的一般约定</w:t>
      </w:r>
    </w:p>
    <w:p w14:paraId="51E956F6">
      <w:pPr>
        <w:spacing w:line="360" w:lineRule="auto"/>
        <w:ind w:firstLine="420" w:firstLineChars="200"/>
        <w:jc w:val="left"/>
        <w:rPr>
          <w:rFonts w:eastAsia="仿宋_GB2312"/>
          <w:color w:val="auto"/>
          <w:szCs w:val="21"/>
          <w:highlight w:val="none"/>
        </w:rPr>
      </w:pPr>
      <w:r>
        <w:rPr>
          <w:rFonts w:eastAsia="仿宋_GB2312"/>
          <w:color w:val="auto"/>
          <w:szCs w:val="21"/>
          <w:highlight w:val="none"/>
        </w:rPr>
        <w:t>禁止分包的工程包括：</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7FBA0AE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主体结构、关键性工作的范围：</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Start w:id="653" w:name="_Toc318581159"/>
      <w:bookmarkStart w:id="654" w:name="_Toc312677990"/>
    </w:p>
    <w:bookmarkEnd w:id="653"/>
    <w:bookmarkEnd w:id="654"/>
    <w:p w14:paraId="1F425E6C">
      <w:pPr>
        <w:spacing w:after="120" w:line="360" w:lineRule="auto"/>
        <w:ind w:firstLine="420" w:firstLineChars="200"/>
        <w:rPr>
          <w:rFonts w:eastAsia="黑体"/>
          <w:color w:val="auto"/>
          <w:szCs w:val="21"/>
          <w:highlight w:val="none"/>
        </w:rPr>
      </w:pPr>
      <w:r>
        <w:rPr>
          <w:rFonts w:eastAsia="黑体"/>
          <w:color w:val="auto"/>
          <w:szCs w:val="21"/>
          <w:highlight w:val="none"/>
        </w:rPr>
        <w:t>3.6 工程照管与成品、半成品保护</w:t>
      </w:r>
    </w:p>
    <w:p w14:paraId="502D28C7">
      <w:pPr>
        <w:spacing w:before="120" w:after="120" w:line="360" w:lineRule="auto"/>
        <w:ind w:left="15" w:leftChars="7" w:firstLine="405" w:firstLineChars="193"/>
        <w:rPr>
          <w:rFonts w:eastAsia="仿宋_GB2312"/>
          <w:color w:val="auto"/>
          <w:kern w:val="0"/>
          <w:szCs w:val="21"/>
          <w:highlight w:val="none"/>
          <w:u w:val="single"/>
        </w:rPr>
      </w:pPr>
      <w:r>
        <w:rPr>
          <w:rFonts w:eastAsia="仿宋_GB2312"/>
          <w:color w:val="auto"/>
          <w:kern w:val="0"/>
          <w:szCs w:val="21"/>
          <w:highlight w:val="none"/>
        </w:rPr>
        <w:t>承包人负责照管工程及工程相关的材料、工程设备的起始时间：</w:t>
      </w:r>
      <w:r>
        <w:rPr>
          <w:rFonts w:eastAsia="仿宋_GB2312"/>
          <w:color w:val="auto"/>
          <w:kern w:val="0"/>
          <w:szCs w:val="21"/>
          <w:highlight w:val="none"/>
          <w:u w:val="single"/>
        </w:rPr>
        <w:t xml:space="preserve">     </w:t>
      </w:r>
      <w:r>
        <w:rPr>
          <w:rFonts w:eastAsia="仿宋_GB2312"/>
          <w:color w:val="auto"/>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6F82486F">
      <w:pPr>
        <w:spacing w:after="120" w:line="360" w:lineRule="auto"/>
        <w:ind w:firstLine="420" w:firstLineChars="200"/>
        <w:rPr>
          <w:rFonts w:eastAsia="黑体"/>
          <w:color w:val="auto"/>
          <w:szCs w:val="21"/>
          <w:highlight w:val="none"/>
        </w:rPr>
      </w:pPr>
      <w:r>
        <w:rPr>
          <w:rFonts w:eastAsia="黑体"/>
          <w:color w:val="auto"/>
          <w:szCs w:val="21"/>
          <w:highlight w:val="none"/>
        </w:rPr>
        <w:t>3.7 履约担保</w:t>
      </w:r>
    </w:p>
    <w:p w14:paraId="7421CAF9">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承包人是否提供履约担保：</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4F74AE0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承包人提供履约担保的形式</w:t>
      </w:r>
      <w:r>
        <w:rPr>
          <w:rFonts w:hint="eastAsia" w:eastAsia="仿宋_GB2312"/>
          <w:color w:val="auto"/>
          <w:szCs w:val="21"/>
          <w:highlight w:val="none"/>
        </w:rPr>
        <w:t>、金额及期限的</w:t>
      </w:r>
      <w:r>
        <w:rPr>
          <w:rFonts w:eastAsia="仿宋_GB2312"/>
          <w:color w:val="auto"/>
          <w:szCs w:val="21"/>
          <w:highlight w:val="none"/>
        </w:rPr>
        <w:t>：</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4A449729">
      <w:pPr>
        <w:pStyle w:val="3"/>
        <w:ind w:firstLine="1680"/>
        <w:rPr>
          <w:rFonts w:ascii="Times New Roman" w:hAnsi="Times New Roman"/>
          <w:color w:val="auto"/>
          <w:sz w:val="21"/>
          <w:szCs w:val="21"/>
          <w:highlight w:val="none"/>
        </w:rPr>
      </w:pPr>
      <w:bookmarkStart w:id="655" w:name="_Toc3242"/>
      <w:r>
        <w:rPr>
          <w:rFonts w:ascii="Times New Roman" w:hAnsi="Times New Roman"/>
          <w:color w:val="auto"/>
          <w:sz w:val="21"/>
          <w:szCs w:val="21"/>
          <w:highlight w:val="none"/>
        </w:rPr>
        <w:t>4</w:t>
      </w:r>
      <w:bookmarkStart w:id="656" w:name="_Toc292559366"/>
      <w:bookmarkStart w:id="657" w:name="_Toc292559871"/>
      <w:bookmarkStart w:id="658" w:name="_Toc267251413"/>
      <w:bookmarkStart w:id="659" w:name="_Toc296890990"/>
      <w:bookmarkStart w:id="660" w:name="_Toc296503162"/>
      <w:bookmarkStart w:id="661" w:name="_Toc296891202"/>
      <w:bookmarkStart w:id="662" w:name="_Toc296944501"/>
      <w:bookmarkStart w:id="663" w:name="_Toc296347161"/>
      <w:bookmarkStart w:id="664" w:name="_Toc297120462"/>
      <w:bookmarkStart w:id="665" w:name="_Toc296346663"/>
      <w:bookmarkStart w:id="666" w:name="_Toc297048348"/>
      <w:r>
        <w:rPr>
          <w:rFonts w:ascii="Times New Roman" w:hAnsi="Times New Roman"/>
          <w:color w:val="auto"/>
          <w:sz w:val="21"/>
          <w:szCs w:val="21"/>
          <w:highlight w:val="none"/>
        </w:rPr>
        <w:t>. 监</w:t>
      </w:r>
      <w:bookmarkEnd w:id="656"/>
      <w:bookmarkEnd w:id="657"/>
      <w:bookmarkEnd w:id="658"/>
      <w:bookmarkEnd w:id="659"/>
      <w:bookmarkEnd w:id="660"/>
      <w:bookmarkEnd w:id="661"/>
      <w:bookmarkEnd w:id="662"/>
      <w:bookmarkEnd w:id="663"/>
      <w:bookmarkEnd w:id="664"/>
      <w:bookmarkEnd w:id="665"/>
      <w:bookmarkEnd w:id="666"/>
      <w:r>
        <w:rPr>
          <w:rFonts w:ascii="Times New Roman" w:hAnsi="Times New Roman"/>
          <w:color w:val="auto"/>
          <w:sz w:val="21"/>
          <w:szCs w:val="21"/>
          <w:highlight w:val="none"/>
        </w:rPr>
        <w:t>理人</w:t>
      </w:r>
      <w:bookmarkEnd w:id="655"/>
    </w:p>
    <w:p w14:paraId="4467D337">
      <w:pPr>
        <w:spacing w:after="120" w:line="360" w:lineRule="auto"/>
        <w:ind w:firstLine="420" w:firstLineChars="200"/>
        <w:rPr>
          <w:rFonts w:eastAsia="黑体"/>
          <w:color w:val="auto"/>
          <w:szCs w:val="21"/>
          <w:highlight w:val="none"/>
        </w:rPr>
      </w:pPr>
      <w:r>
        <w:rPr>
          <w:rFonts w:eastAsia="黑体"/>
          <w:color w:val="auto"/>
          <w:szCs w:val="21"/>
          <w:highlight w:val="none"/>
        </w:rPr>
        <w:t>4.1监理人的一般规定</w:t>
      </w:r>
    </w:p>
    <w:p w14:paraId="5E1EBE3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关于监理人的监理内容：</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C7450FE">
      <w:pPr>
        <w:pStyle w:val="17"/>
        <w:spacing w:line="360" w:lineRule="auto"/>
        <w:ind w:firstLine="1687"/>
        <w:rPr>
          <w:rFonts w:eastAsia="仿宋_GB2312"/>
          <w:color w:val="auto"/>
          <w:szCs w:val="21"/>
          <w:highlight w:val="none"/>
        </w:rPr>
      </w:pPr>
      <w:r>
        <w:rPr>
          <w:rFonts w:eastAsia="仿宋_GB2312"/>
          <w:color w:val="auto"/>
          <w:szCs w:val="21"/>
          <w:highlight w:val="none"/>
        </w:rPr>
        <w:t>关于监理人的监理权限：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 xml:space="preserve">。 </w:t>
      </w:r>
    </w:p>
    <w:p w14:paraId="75541AA1">
      <w:pPr>
        <w:spacing w:line="360" w:lineRule="auto"/>
        <w:ind w:firstLine="1687"/>
        <w:rPr>
          <w:rFonts w:eastAsia="仿宋_GB2312"/>
          <w:color w:val="auto"/>
          <w:szCs w:val="21"/>
          <w:highlight w:val="none"/>
        </w:rPr>
      </w:pPr>
      <w:r>
        <w:rPr>
          <w:rFonts w:eastAsia="仿宋_GB2312"/>
          <w:color w:val="auto"/>
          <w:szCs w:val="21"/>
          <w:highlight w:val="none"/>
        </w:rPr>
        <w:t>关于监理人在施工现场的办公场所、生活场所的提供和费用承担的约定：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368E8415">
      <w:pPr>
        <w:spacing w:after="120" w:line="360" w:lineRule="auto"/>
        <w:ind w:firstLine="420" w:firstLineChars="200"/>
        <w:rPr>
          <w:rFonts w:eastAsia="黑体"/>
          <w:color w:val="auto"/>
          <w:szCs w:val="21"/>
          <w:highlight w:val="none"/>
        </w:rPr>
      </w:pPr>
      <w:r>
        <w:rPr>
          <w:rFonts w:eastAsia="黑体"/>
          <w:color w:val="auto"/>
          <w:szCs w:val="21"/>
          <w:highlight w:val="none"/>
        </w:rPr>
        <w:t>4.2 监理人员</w:t>
      </w:r>
    </w:p>
    <w:p w14:paraId="146DDB32">
      <w:pPr>
        <w:spacing w:line="360" w:lineRule="auto"/>
        <w:ind w:firstLine="420" w:firstLineChars="200"/>
        <w:rPr>
          <w:rFonts w:eastAsia="仿宋_GB2312"/>
          <w:color w:val="auto"/>
          <w:szCs w:val="21"/>
          <w:highlight w:val="none"/>
        </w:rPr>
      </w:pPr>
      <w:r>
        <w:rPr>
          <w:rFonts w:eastAsia="仿宋_GB2312"/>
          <w:color w:val="auto"/>
          <w:szCs w:val="21"/>
          <w:highlight w:val="none"/>
        </w:rPr>
        <w:t>总监理工程师：</w:t>
      </w:r>
    </w:p>
    <w:p w14:paraId="557EBE2B">
      <w:pPr>
        <w:spacing w:line="360" w:lineRule="auto"/>
        <w:ind w:firstLine="420" w:firstLineChars="200"/>
        <w:rPr>
          <w:rFonts w:eastAsia="仿宋_GB2312"/>
          <w:color w:val="auto"/>
          <w:szCs w:val="21"/>
          <w:highlight w:val="none"/>
        </w:rPr>
      </w:pPr>
      <w:r>
        <w:rPr>
          <w:rFonts w:eastAsia="仿宋_GB2312"/>
          <w:color w:val="auto"/>
          <w:szCs w:val="21"/>
          <w:highlight w:val="none"/>
        </w:rPr>
        <w:t>姓    名：</w:t>
      </w:r>
      <w:r>
        <w:rPr>
          <w:rFonts w:hint="eastAsia" w:eastAsia="仿宋_GB2312"/>
          <w:color w:val="auto"/>
          <w:szCs w:val="21"/>
          <w:highlight w:val="none"/>
          <w:u w:val="single"/>
        </w:rPr>
        <w:t xml:space="preserve">                     </w:t>
      </w:r>
      <w:r>
        <w:rPr>
          <w:rFonts w:eastAsia="仿宋_GB2312"/>
          <w:color w:val="auto"/>
          <w:szCs w:val="21"/>
          <w:highlight w:val="none"/>
        </w:rPr>
        <w:t>；</w:t>
      </w:r>
    </w:p>
    <w:p w14:paraId="7A524984">
      <w:pPr>
        <w:spacing w:line="360" w:lineRule="auto"/>
        <w:ind w:firstLine="420" w:firstLineChars="200"/>
        <w:rPr>
          <w:rFonts w:eastAsia="仿宋_GB2312"/>
          <w:color w:val="auto"/>
          <w:szCs w:val="21"/>
          <w:highlight w:val="none"/>
        </w:rPr>
      </w:pPr>
      <w:r>
        <w:rPr>
          <w:rFonts w:eastAsia="仿宋_GB2312"/>
          <w:color w:val="auto"/>
          <w:szCs w:val="21"/>
          <w:highlight w:val="none"/>
        </w:rPr>
        <w:t>职    务：</w:t>
      </w:r>
      <w:r>
        <w:rPr>
          <w:rFonts w:hint="eastAsia" w:eastAsia="仿宋_GB2312"/>
          <w:color w:val="auto"/>
          <w:szCs w:val="21"/>
          <w:highlight w:val="none"/>
          <w:u w:val="single"/>
        </w:rPr>
        <w:t xml:space="preserve">                       </w:t>
      </w:r>
      <w:r>
        <w:rPr>
          <w:rFonts w:eastAsia="仿宋_GB2312"/>
          <w:color w:val="auto"/>
          <w:szCs w:val="21"/>
          <w:highlight w:val="none"/>
        </w:rPr>
        <w:t>；</w:t>
      </w:r>
    </w:p>
    <w:p w14:paraId="41DB3B3F">
      <w:pPr>
        <w:spacing w:line="360" w:lineRule="auto"/>
        <w:ind w:firstLine="420" w:firstLineChars="200"/>
        <w:rPr>
          <w:rFonts w:eastAsia="仿宋_GB2312"/>
          <w:color w:val="auto"/>
          <w:szCs w:val="21"/>
          <w:highlight w:val="none"/>
        </w:rPr>
      </w:pPr>
      <w:r>
        <w:rPr>
          <w:rFonts w:eastAsia="仿宋_GB2312"/>
          <w:color w:val="auto"/>
          <w:szCs w:val="21"/>
          <w:highlight w:val="none"/>
        </w:rPr>
        <w:t>监理工程师执业资格证书号：</w:t>
      </w:r>
      <w:r>
        <w:rPr>
          <w:rFonts w:hint="eastAsia" w:eastAsia="仿宋_GB2312"/>
          <w:color w:val="auto"/>
          <w:szCs w:val="21"/>
          <w:highlight w:val="none"/>
          <w:u w:val="single"/>
        </w:rPr>
        <w:t xml:space="preserve">            </w:t>
      </w:r>
      <w:r>
        <w:rPr>
          <w:rFonts w:eastAsia="仿宋_GB2312"/>
          <w:color w:val="auto"/>
          <w:szCs w:val="21"/>
          <w:highlight w:val="none"/>
        </w:rPr>
        <w:t>；</w:t>
      </w:r>
    </w:p>
    <w:p w14:paraId="127CC81D">
      <w:pPr>
        <w:spacing w:line="360" w:lineRule="auto"/>
        <w:ind w:firstLine="420" w:firstLineChars="200"/>
        <w:rPr>
          <w:rFonts w:eastAsia="仿宋_GB2312"/>
          <w:color w:val="auto"/>
          <w:szCs w:val="21"/>
          <w:highlight w:val="none"/>
        </w:rPr>
      </w:pPr>
      <w:r>
        <w:rPr>
          <w:rFonts w:eastAsia="仿宋_GB2312"/>
          <w:color w:val="auto"/>
          <w:szCs w:val="21"/>
          <w:highlight w:val="none"/>
        </w:rPr>
        <w:t>联系电话：</w:t>
      </w:r>
      <w:r>
        <w:rPr>
          <w:rFonts w:hint="eastAsia" w:eastAsia="仿宋_GB2312"/>
          <w:color w:val="auto"/>
          <w:szCs w:val="21"/>
          <w:highlight w:val="none"/>
          <w:u w:val="single"/>
        </w:rPr>
        <w:t xml:space="preserve">                     </w:t>
      </w:r>
      <w:r>
        <w:rPr>
          <w:rFonts w:eastAsia="仿宋_GB2312"/>
          <w:color w:val="auto"/>
          <w:szCs w:val="21"/>
          <w:highlight w:val="none"/>
        </w:rPr>
        <w:t>；</w:t>
      </w:r>
    </w:p>
    <w:p w14:paraId="5815CD69">
      <w:pPr>
        <w:spacing w:line="360" w:lineRule="auto"/>
        <w:ind w:firstLine="420" w:firstLineChars="200"/>
        <w:rPr>
          <w:rFonts w:eastAsia="仿宋_GB2312"/>
          <w:color w:val="auto"/>
          <w:szCs w:val="21"/>
          <w:highlight w:val="none"/>
        </w:rPr>
      </w:pPr>
      <w:r>
        <w:rPr>
          <w:rFonts w:eastAsia="仿宋_GB2312"/>
          <w:color w:val="auto"/>
          <w:szCs w:val="21"/>
          <w:highlight w:val="none"/>
        </w:rPr>
        <w:t>电子信箱：</w:t>
      </w:r>
      <w:r>
        <w:rPr>
          <w:rFonts w:hint="eastAsia" w:eastAsia="仿宋_GB2312"/>
          <w:color w:val="auto"/>
          <w:szCs w:val="21"/>
          <w:highlight w:val="none"/>
          <w:u w:val="single"/>
        </w:rPr>
        <w:t xml:space="preserve">                        </w:t>
      </w:r>
      <w:r>
        <w:rPr>
          <w:rFonts w:eastAsia="仿宋_GB2312"/>
          <w:color w:val="auto"/>
          <w:szCs w:val="21"/>
          <w:highlight w:val="none"/>
        </w:rPr>
        <w:t>；</w:t>
      </w:r>
    </w:p>
    <w:p w14:paraId="57761CEB">
      <w:pPr>
        <w:spacing w:line="360" w:lineRule="auto"/>
        <w:ind w:firstLine="420" w:firstLineChars="200"/>
        <w:rPr>
          <w:rFonts w:eastAsia="仿宋_GB2312"/>
          <w:color w:val="auto"/>
          <w:szCs w:val="21"/>
          <w:highlight w:val="none"/>
        </w:rPr>
      </w:pPr>
      <w:r>
        <w:rPr>
          <w:rFonts w:eastAsia="仿宋_GB2312"/>
          <w:color w:val="auto"/>
          <w:szCs w:val="21"/>
          <w:highlight w:val="none"/>
        </w:rPr>
        <w:t>通信地址：</w:t>
      </w:r>
      <w:r>
        <w:rPr>
          <w:rFonts w:hint="eastAsia" w:eastAsia="仿宋_GB2312"/>
          <w:color w:val="auto"/>
          <w:szCs w:val="21"/>
          <w:highlight w:val="none"/>
          <w:u w:val="single"/>
        </w:rPr>
        <w:t xml:space="preserve">                             </w:t>
      </w:r>
      <w:r>
        <w:rPr>
          <w:rFonts w:eastAsia="仿宋_GB2312"/>
          <w:color w:val="auto"/>
          <w:szCs w:val="21"/>
          <w:highlight w:val="none"/>
        </w:rPr>
        <w:t>；</w:t>
      </w:r>
    </w:p>
    <w:p w14:paraId="69405329">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关于监理人的其他约定：</w:t>
      </w:r>
      <w:r>
        <w:rPr>
          <w:rFonts w:hint="eastAsia" w:eastAsia="仿宋_GB2312"/>
          <w:color w:val="auto"/>
          <w:szCs w:val="21"/>
          <w:highlight w:val="none"/>
          <w:u w:val="single"/>
        </w:rPr>
        <w:t xml:space="preserve">                      </w:t>
      </w:r>
      <w:r>
        <w:rPr>
          <w:rFonts w:eastAsia="仿宋_GB2312"/>
          <w:color w:val="auto"/>
          <w:szCs w:val="21"/>
          <w:highlight w:val="none"/>
        </w:rPr>
        <w:t>。</w:t>
      </w:r>
    </w:p>
    <w:p w14:paraId="63C34C65">
      <w:pPr>
        <w:spacing w:after="120" w:line="360" w:lineRule="auto"/>
        <w:ind w:firstLine="420" w:firstLineChars="200"/>
        <w:rPr>
          <w:rFonts w:eastAsia="黑体"/>
          <w:color w:val="auto"/>
          <w:szCs w:val="21"/>
          <w:highlight w:val="none"/>
        </w:rPr>
      </w:pPr>
      <w:r>
        <w:rPr>
          <w:rFonts w:eastAsia="黑体"/>
          <w:color w:val="auto"/>
          <w:szCs w:val="21"/>
          <w:highlight w:val="none"/>
        </w:rPr>
        <w:t>4.4 商定或确定</w:t>
      </w:r>
    </w:p>
    <w:p w14:paraId="5656AC3C">
      <w:pPr>
        <w:spacing w:line="360" w:lineRule="auto"/>
        <w:ind w:firstLine="420" w:firstLineChars="200"/>
        <w:rPr>
          <w:rFonts w:eastAsia="仿宋_GB2312"/>
          <w:color w:val="auto"/>
          <w:szCs w:val="21"/>
          <w:highlight w:val="none"/>
        </w:rPr>
      </w:pPr>
      <w:bookmarkStart w:id="667" w:name="_Toc267251418"/>
      <w:r>
        <w:rPr>
          <w:rFonts w:eastAsia="仿宋_GB2312"/>
          <w:color w:val="auto"/>
          <w:szCs w:val="21"/>
          <w:highlight w:val="none"/>
        </w:rPr>
        <w:t>在发包人和承包人不能通过协商达成一致意见时，发包人授权监理人对以下事项进行确定：</w:t>
      </w:r>
    </w:p>
    <w:p w14:paraId="561A691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4E3D80E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886DB96">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8A2CFC6">
      <w:pPr>
        <w:pStyle w:val="3"/>
        <w:ind w:firstLine="1680"/>
        <w:rPr>
          <w:rFonts w:ascii="Times New Roman" w:hAnsi="Times New Roman"/>
          <w:color w:val="auto"/>
          <w:sz w:val="21"/>
          <w:szCs w:val="21"/>
          <w:highlight w:val="none"/>
        </w:rPr>
      </w:pPr>
      <w:bookmarkStart w:id="668" w:name="_Toc20208"/>
      <w:r>
        <w:rPr>
          <w:rFonts w:ascii="Times New Roman" w:hAnsi="Times New Roman"/>
          <w:color w:val="auto"/>
          <w:sz w:val="21"/>
          <w:szCs w:val="21"/>
          <w:highlight w:val="none"/>
        </w:rPr>
        <w:t>5</w:t>
      </w:r>
      <w:bookmarkEnd w:id="667"/>
      <w:bookmarkStart w:id="669" w:name="_Toc296944502"/>
      <w:bookmarkStart w:id="670" w:name="_Toc297120463"/>
      <w:bookmarkStart w:id="671" w:name="_Toc296503163"/>
      <w:bookmarkStart w:id="672" w:name="_Toc296891203"/>
      <w:bookmarkStart w:id="673" w:name="_Toc297048349"/>
      <w:bookmarkStart w:id="674" w:name="_Toc296346664"/>
      <w:bookmarkStart w:id="675" w:name="_Toc292559367"/>
      <w:bookmarkStart w:id="676" w:name="_Toc296347162"/>
      <w:bookmarkStart w:id="677" w:name="_Toc296890991"/>
      <w:bookmarkStart w:id="678" w:name="_Toc292559872"/>
      <w:r>
        <w:rPr>
          <w:rFonts w:ascii="Times New Roman" w:hAnsi="Times New Roman"/>
          <w:color w:val="auto"/>
          <w:sz w:val="21"/>
          <w:szCs w:val="21"/>
          <w:highlight w:val="none"/>
        </w:rPr>
        <w:t>. 工程质量</w:t>
      </w:r>
      <w:bookmarkEnd w:id="668"/>
    </w:p>
    <w:p w14:paraId="7909C74D">
      <w:pPr>
        <w:spacing w:after="120" w:line="360" w:lineRule="auto"/>
        <w:ind w:firstLine="420" w:firstLineChars="200"/>
        <w:rPr>
          <w:rFonts w:eastAsia="黑体"/>
          <w:color w:val="auto"/>
          <w:szCs w:val="21"/>
          <w:highlight w:val="none"/>
        </w:rPr>
      </w:pPr>
      <w:r>
        <w:rPr>
          <w:rFonts w:eastAsia="黑体"/>
          <w:color w:val="auto"/>
          <w:szCs w:val="21"/>
          <w:highlight w:val="none"/>
        </w:rPr>
        <w:t>5.1 质量要求</w:t>
      </w:r>
    </w:p>
    <w:p w14:paraId="072FD627">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5</w:t>
      </w:r>
      <w:bookmarkStart w:id="679" w:name="_Toc300934949"/>
      <w:bookmarkStart w:id="680" w:name="_Toc318581164"/>
      <w:bookmarkStart w:id="681" w:name="_Toc312677997"/>
      <w:bookmarkStart w:id="682" w:name="_Toc297123496"/>
      <w:bookmarkStart w:id="683" w:name="_Toc297216155"/>
      <w:bookmarkStart w:id="684" w:name="_Toc303539106"/>
      <w:bookmarkStart w:id="685" w:name="_Toc304295527"/>
      <w:r>
        <w:rPr>
          <w:rFonts w:eastAsia="仿宋_GB2312"/>
          <w:color w:val="auto"/>
          <w:szCs w:val="21"/>
          <w:highlight w:val="none"/>
        </w:rPr>
        <w:t>.1.1 特殊质量标准和要求：</w:t>
      </w:r>
      <w:r>
        <w:rPr>
          <w:rFonts w:hint="eastAsia" w:eastAsia="仿宋_GB2312"/>
          <w:color w:val="auto"/>
          <w:szCs w:val="21"/>
          <w:highlight w:val="none"/>
          <w:u w:val="single"/>
        </w:rPr>
        <w:t xml:space="preserve">                          </w:t>
      </w:r>
      <w:r>
        <w:rPr>
          <w:rFonts w:eastAsia="仿宋_GB2312"/>
          <w:color w:val="auto"/>
          <w:szCs w:val="21"/>
          <w:highlight w:val="none"/>
          <w:u w:val="single"/>
        </w:rPr>
        <w:t>。</w:t>
      </w:r>
    </w:p>
    <w:p w14:paraId="51374F56">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关于工程奖项的约定：</w:t>
      </w:r>
      <w:r>
        <w:rPr>
          <w:rFonts w:hint="eastAsia" w:eastAsia="仿宋_GB2312"/>
          <w:color w:val="auto"/>
          <w:szCs w:val="21"/>
          <w:highlight w:val="none"/>
          <w:u w:val="single"/>
        </w:rPr>
        <w:t xml:space="preserve">                              </w:t>
      </w:r>
      <w:r>
        <w:rPr>
          <w:rFonts w:eastAsia="仿宋_GB2312"/>
          <w:color w:val="auto"/>
          <w:szCs w:val="21"/>
          <w:highlight w:val="none"/>
          <w:u w:val="single"/>
        </w:rPr>
        <w:t>。</w:t>
      </w:r>
    </w:p>
    <w:p w14:paraId="51EB86C9">
      <w:pPr>
        <w:spacing w:after="120" w:line="360" w:lineRule="auto"/>
        <w:ind w:firstLine="420" w:firstLineChars="200"/>
        <w:rPr>
          <w:rFonts w:eastAsia="黑体"/>
          <w:color w:val="auto"/>
          <w:szCs w:val="21"/>
          <w:highlight w:val="none"/>
        </w:rPr>
      </w:pPr>
      <w:r>
        <w:rPr>
          <w:rFonts w:eastAsia="黑体"/>
          <w:color w:val="auto"/>
          <w:szCs w:val="21"/>
          <w:highlight w:val="none"/>
        </w:rPr>
        <w:t>5.3 隐蔽工程检查</w:t>
      </w:r>
    </w:p>
    <w:p w14:paraId="539EA01D">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5.3.2承包人提前通知监理人隐蔽工程检查的期限的约定：</w:t>
      </w:r>
      <w:r>
        <w:rPr>
          <w:rFonts w:eastAsia="仿宋_GB2312"/>
          <w:color w:val="auto"/>
          <w:szCs w:val="21"/>
          <w:highlight w:val="none"/>
          <w:u w:val="single"/>
        </w:rPr>
        <w:t xml:space="preserve">    </w:t>
      </w:r>
    </w:p>
    <w:p w14:paraId="0771633D">
      <w:pPr>
        <w:spacing w:line="360" w:lineRule="auto"/>
        <w:ind w:firstLine="1687"/>
        <w:jc w:val="left"/>
        <w:rPr>
          <w:rFonts w:eastAsia="仿宋_GB2312"/>
          <w:color w:val="auto"/>
          <w:szCs w:val="21"/>
          <w:highlight w:val="none"/>
        </w:rPr>
      </w:pP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3F8C17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监理人不能按时进行检查时，应提前</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小时提交书面延期要求。</w:t>
      </w:r>
    </w:p>
    <w:p w14:paraId="19222BA7">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关于延期最长不得超过：</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小时。</w:t>
      </w:r>
    </w:p>
    <w:p w14:paraId="4EF15519">
      <w:pPr>
        <w:pStyle w:val="3"/>
        <w:ind w:firstLine="1680"/>
        <w:rPr>
          <w:rFonts w:ascii="Times New Roman" w:hAnsi="Times New Roman"/>
          <w:color w:val="auto"/>
          <w:sz w:val="21"/>
          <w:szCs w:val="21"/>
          <w:highlight w:val="none"/>
        </w:rPr>
      </w:pPr>
      <w:bookmarkStart w:id="686" w:name="_Toc24920"/>
      <w:r>
        <w:rPr>
          <w:rFonts w:ascii="Times New Roman" w:hAnsi="Times New Roman"/>
          <w:color w:val="auto"/>
          <w:sz w:val="21"/>
          <w:szCs w:val="21"/>
          <w:highlight w:val="none"/>
        </w:rPr>
        <w:t>6. 安全文明施工与环境保护</w:t>
      </w:r>
      <w:bookmarkEnd w:id="686"/>
    </w:p>
    <w:p w14:paraId="1B5A7919">
      <w:pPr>
        <w:spacing w:after="120" w:line="360" w:lineRule="auto"/>
        <w:ind w:firstLine="420" w:firstLineChars="200"/>
        <w:rPr>
          <w:rFonts w:eastAsia="黑体"/>
          <w:color w:val="auto"/>
          <w:szCs w:val="21"/>
          <w:highlight w:val="none"/>
        </w:rPr>
      </w:pPr>
      <w:r>
        <w:rPr>
          <w:rFonts w:eastAsia="黑体"/>
          <w:color w:val="auto"/>
          <w:szCs w:val="21"/>
          <w:highlight w:val="none"/>
        </w:rPr>
        <w:t>6.1安全文明施工</w:t>
      </w:r>
    </w:p>
    <w:p w14:paraId="78E485D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6.1.1 项目安全生产的达标目标及相应事项的约定：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71EEF65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6.1.4 关于治安保卫的特别约定：</w:t>
      </w:r>
      <w:r>
        <w:rPr>
          <w:rFonts w:eastAsia="仿宋_GB2312"/>
          <w:color w:val="auto"/>
          <w:szCs w:val="21"/>
          <w:highlight w:val="none"/>
          <w:u w:val="single"/>
        </w:rPr>
        <w:t xml:space="preserve">       </w:t>
      </w:r>
      <w:r>
        <w:rPr>
          <w:rFonts w:eastAsia="仿宋_GB2312"/>
          <w:color w:val="auto"/>
          <w:szCs w:val="21"/>
          <w:highlight w:val="none"/>
        </w:rPr>
        <w:t>。</w:t>
      </w:r>
    </w:p>
    <w:p w14:paraId="776E8B2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关于编制施工场地治安管理计划的约定：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66DC4B20">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6.1.5 文明施工</w:t>
      </w:r>
    </w:p>
    <w:p w14:paraId="2C3AF83F">
      <w:pPr>
        <w:spacing w:line="360" w:lineRule="auto"/>
        <w:ind w:firstLine="420" w:firstLineChars="200"/>
        <w:jc w:val="left"/>
        <w:rPr>
          <w:rFonts w:eastAsia="仿宋_GB2312"/>
          <w:color w:val="auto"/>
          <w:szCs w:val="21"/>
          <w:highlight w:val="none"/>
          <w:u w:val="single"/>
        </w:rPr>
      </w:pPr>
      <w:r>
        <w:rPr>
          <w:rFonts w:hint="eastAsia" w:eastAsia="仿宋_GB2312"/>
          <w:color w:val="auto"/>
          <w:szCs w:val="21"/>
          <w:highlight w:val="none"/>
        </w:rPr>
        <w:t>合同当事人对文明施工的要求：</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p>
    <w:p w14:paraId="6D5258C2">
      <w:pPr>
        <w:spacing w:line="360" w:lineRule="auto"/>
        <w:ind w:firstLine="1687"/>
        <w:jc w:val="left"/>
        <w:rPr>
          <w:rFonts w:eastAsia="仿宋_GB2312"/>
          <w:color w:val="auto"/>
          <w:szCs w:val="21"/>
          <w:highlight w:val="none"/>
        </w:rPr>
      </w:pPr>
      <w:r>
        <w:rPr>
          <w:rFonts w:hint="eastAsia" w:eastAsia="仿宋_GB2312"/>
          <w:color w:val="auto"/>
          <w:szCs w:val="21"/>
          <w:highlight w:val="none"/>
          <w:u w:val="single"/>
        </w:rPr>
        <w:t xml:space="preserve">                                     </w:t>
      </w:r>
      <w:r>
        <w:rPr>
          <w:rFonts w:hint="eastAsia" w:eastAsia="仿宋_GB2312"/>
          <w:color w:val="auto"/>
          <w:szCs w:val="21"/>
          <w:highlight w:val="none"/>
        </w:rPr>
        <w:t>。</w:t>
      </w:r>
    </w:p>
    <w:p w14:paraId="0B23FC7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6.1.6 关于安全文明施工费支付比例和支付期限的约定：</w:t>
      </w:r>
      <w:r>
        <w:rPr>
          <w:rFonts w:eastAsia="仿宋_GB2312"/>
          <w:color w:val="auto"/>
          <w:szCs w:val="21"/>
          <w:highlight w:val="none"/>
          <w:u w:val="single"/>
        </w:rPr>
        <w:t xml:space="preserve">     </w:t>
      </w:r>
    </w:p>
    <w:p w14:paraId="7E985F87">
      <w:pPr>
        <w:spacing w:line="360" w:lineRule="auto"/>
        <w:ind w:firstLine="1687"/>
        <w:jc w:val="left"/>
        <w:rPr>
          <w:rFonts w:eastAsia="仿宋_GB2312"/>
          <w:color w:val="auto"/>
          <w:szCs w:val="21"/>
          <w:highlight w:val="none"/>
        </w:rPr>
      </w:pP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3695AE23">
      <w:pPr>
        <w:spacing w:line="413" w:lineRule="auto"/>
        <w:ind w:firstLine="420" w:firstLineChars="200"/>
        <w:rPr>
          <w:rFonts w:eastAsia="仿宋_GB2312"/>
          <w:color w:val="auto"/>
          <w:szCs w:val="21"/>
          <w:highlight w:val="none"/>
        </w:rPr>
      </w:pPr>
      <w:r>
        <w:rPr>
          <w:rFonts w:hint="eastAsia" w:eastAsia="仿宋_GB2312"/>
          <w:color w:val="auto"/>
          <w:szCs w:val="21"/>
          <w:highlight w:val="none"/>
        </w:rPr>
        <w:t>6.1.9 安全生产责任</w:t>
      </w:r>
    </w:p>
    <w:p w14:paraId="2746445E">
      <w:pPr>
        <w:spacing w:line="360" w:lineRule="auto"/>
        <w:ind w:firstLine="1687"/>
        <w:jc w:val="left"/>
        <w:rPr>
          <w:rFonts w:eastAsia="仿宋_GB2312"/>
          <w:color w:val="auto"/>
          <w:szCs w:val="21"/>
          <w:highlight w:val="none"/>
        </w:rPr>
      </w:pPr>
      <w:r>
        <w:rPr>
          <w:rFonts w:hint="eastAsia" w:eastAsia="仿宋_GB2312"/>
          <w:color w:val="auto"/>
          <w:szCs w:val="21"/>
          <w:highlight w:val="none"/>
        </w:rPr>
        <w:t>关于发包人和承包人安全生产责任的约定：承包人为现场安全生产责任人，承包人因在施工场地内及其毗邻地带所产生的安全生产隐患或事故，造成发包人、监理人以及第三者人员伤亡和财产损失，由承包人负责赔偿。</w:t>
      </w:r>
    </w:p>
    <w:bookmarkEnd w:id="679"/>
    <w:bookmarkEnd w:id="680"/>
    <w:bookmarkEnd w:id="681"/>
    <w:bookmarkEnd w:id="682"/>
    <w:bookmarkEnd w:id="683"/>
    <w:bookmarkEnd w:id="684"/>
    <w:bookmarkEnd w:id="685"/>
    <w:p w14:paraId="4DB980D8">
      <w:pPr>
        <w:pStyle w:val="3"/>
        <w:ind w:firstLine="1680"/>
        <w:rPr>
          <w:rFonts w:ascii="Times New Roman" w:hAnsi="Times New Roman"/>
          <w:color w:val="auto"/>
          <w:sz w:val="21"/>
          <w:szCs w:val="21"/>
          <w:highlight w:val="none"/>
        </w:rPr>
      </w:pPr>
      <w:bookmarkStart w:id="687" w:name="_Toc4323"/>
      <w:r>
        <w:rPr>
          <w:rFonts w:ascii="Times New Roman" w:hAnsi="Times New Roman"/>
          <w:color w:val="auto"/>
          <w:sz w:val="21"/>
          <w:szCs w:val="21"/>
          <w:highlight w:val="none"/>
        </w:rPr>
        <w:t>7. 工期和进度</w:t>
      </w:r>
      <w:bookmarkEnd w:id="687"/>
    </w:p>
    <w:p w14:paraId="6090CF3C">
      <w:pPr>
        <w:spacing w:after="120" w:line="360" w:lineRule="auto"/>
        <w:ind w:firstLine="420" w:firstLineChars="200"/>
        <w:rPr>
          <w:rFonts w:eastAsia="黑体"/>
          <w:color w:val="auto"/>
          <w:szCs w:val="21"/>
          <w:highlight w:val="none"/>
        </w:rPr>
      </w:pPr>
      <w:r>
        <w:rPr>
          <w:rFonts w:eastAsia="黑体"/>
          <w:color w:val="auto"/>
          <w:szCs w:val="21"/>
          <w:highlight w:val="none"/>
        </w:rPr>
        <w:t>7.1 施工组织设计</w:t>
      </w:r>
    </w:p>
    <w:p w14:paraId="2E6B18CC">
      <w:pPr>
        <w:autoSpaceDE w:val="0"/>
        <w:autoSpaceDN w:val="0"/>
        <w:adjustRightInd w:val="0"/>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7.1.</w:t>
      </w:r>
      <w:r>
        <w:rPr>
          <w:rFonts w:hint="eastAsia" w:eastAsia="仿宋_GB2312"/>
          <w:color w:val="auto"/>
          <w:szCs w:val="21"/>
          <w:highlight w:val="none"/>
        </w:rPr>
        <w:t>1 合</w:t>
      </w:r>
      <w:r>
        <w:rPr>
          <w:rFonts w:hint="eastAsia" w:eastAsia="仿宋_GB2312"/>
          <w:color w:val="auto"/>
          <w:kern w:val="0"/>
          <w:szCs w:val="21"/>
          <w:highlight w:val="none"/>
        </w:rPr>
        <w:t>同当事人约定的</w:t>
      </w:r>
      <w:r>
        <w:rPr>
          <w:rFonts w:eastAsia="仿宋_GB2312"/>
          <w:color w:val="auto"/>
          <w:kern w:val="0"/>
          <w:szCs w:val="21"/>
          <w:highlight w:val="none"/>
        </w:rPr>
        <w:t>施工组织设计</w:t>
      </w:r>
      <w:r>
        <w:rPr>
          <w:rFonts w:hint="eastAsia" w:eastAsia="仿宋_GB2312"/>
          <w:color w:val="auto"/>
          <w:kern w:val="0"/>
          <w:szCs w:val="21"/>
          <w:highlight w:val="none"/>
        </w:rPr>
        <w:t>应包括的其他内容</w:t>
      </w:r>
      <w:r>
        <w:rPr>
          <w:rFonts w:eastAsia="仿宋_GB2312"/>
          <w:color w:val="auto"/>
          <w:kern w:val="0"/>
          <w:szCs w:val="21"/>
          <w:highlight w:val="none"/>
        </w:rPr>
        <w:t>：</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p>
    <w:p w14:paraId="5DA32871">
      <w:pPr>
        <w:autoSpaceDE w:val="0"/>
        <w:autoSpaceDN w:val="0"/>
        <w:adjustRightInd w:val="0"/>
        <w:spacing w:line="360" w:lineRule="auto"/>
        <w:ind w:firstLine="1687"/>
        <w:jc w:val="left"/>
        <w:rPr>
          <w:rFonts w:eastAsia="仿宋_GB2312"/>
          <w:color w:val="auto"/>
          <w:kern w:val="0"/>
          <w:szCs w:val="21"/>
          <w:highlight w:val="none"/>
        </w:rPr>
      </w:pP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7536B30">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 xml:space="preserve">7.1.2 </w:t>
      </w:r>
      <w:r>
        <w:rPr>
          <w:rFonts w:eastAsia="仿宋_GB2312"/>
          <w:color w:val="auto"/>
          <w:kern w:val="0"/>
          <w:szCs w:val="21"/>
          <w:highlight w:val="none"/>
        </w:rPr>
        <w:t>施工组织设计的提交和修改</w:t>
      </w:r>
    </w:p>
    <w:p w14:paraId="3643FF1C">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承包人提交详细施工组织设计的期限的约定：</w:t>
      </w:r>
      <w:r>
        <w:rPr>
          <w:rFonts w:hint="eastAsia" w:eastAsia="仿宋_GB2312"/>
          <w:color w:val="auto"/>
          <w:kern w:val="0"/>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699E938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发包人和监理人在收到</w:t>
      </w:r>
      <w:r>
        <w:rPr>
          <w:rFonts w:hint="eastAsia" w:eastAsia="仿宋_GB2312"/>
          <w:color w:val="auto"/>
          <w:szCs w:val="21"/>
          <w:highlight w:val="none"/>
        </w:rPr>
        <w:t>详细的施工组织设计</w:t>
      </w:r>
      <w:r>
        <w:rPr>
          <w:rFonts w:eastAsia="仿宋_GB2312"/>
          <w:color w:val="auto"/>
          <w:szCs w:val="21"/>
          <w:highlight w:val="none"/>
        </w:rPr>
        <w:t>后确认或提出修改意见的期限：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38DE73A">
      <w:pPr>
        <w:spacing w:after="120" w:line="360" w:lineRule="auto"/>
        <w:ind w:firstLine="420" w:firstLineChars="200"/>
        <w:rPr>
          <w:rFonts w:eastAsia="黑体"/>
          <w:color w:val="auto"/>
          <w:szCs w:val="21"/>
          <w:highlight w:val="none"/>
        </w:rPr>
      </w:pPr>
      <w:r>
        <w:rPr>
          <w:rFonts w:eastAsia="黑体"/>
          <w:color w:val="auto"/>
          <w:szCs w:val="21"/>
          <w:highlight w:val="none"/>
        </w:rPr>
        <w:t>7</w:t>
      </w:r>
      <w:bookmarkStart w:id="688" w:name="_Toc297123514"/>
      <w:bookmarkStart w:id="689" w:name="_Toc304295541"/>
      <w:bookmarkStart w:id="690" w:name="_Toc312677479"/>
      <w:bookmarkStart w:id="691" w:name="_Toc303539123"/>
      <w:bookmarkStart w:id="692" w:name="_Toc300934966"/>
      <w:bookmarkStart w:id="693" w:name="_Toc297216173"/>
      <w:bookmarkStart w:id="694" w:name="_Toc312678005"/>
      <w:r>
        <w:rPr>
          <w:rFonts w:eastAsia="黑体"/>
          <w:color w:val="auto"/>
          <w:szCs w:val="21"/>
          <w:highlight w:val="none"/>
        </w:rPr>
        <w:t>.2 施工进度计划</w:t>
      </w:r>
    </w:p>
    <w:p w14:paraId="75EC5F5A">
      <w:pPr>
        <w:spacing w:line="360" w:lineRule="auto"/>
        <w:ind w:firstLine="420" w:firstLineChars="200"/>
        <w:jc w:val="left"/>
        <w:rPr>
          <w:rFonts w:eastAsia="仿宋_GB2312"/>
          <w:color w:val="auto"/>
          <w:szCs w:val="21"/>
          <w:highlight w:val="none"/>
        </w:rPr>
      </w:pPr>
      <w:r>
        <w:rPr>
          <w:rFonts w:eastAsia="仿宋_GB2312"/>
          <w:color w:val="auto"/>
          <w:szCs w:val="21"/>
          <w:highlight w:val="none"/>
        </w:rPr>
        <w:t>7.2.2 施工进度计划的修订</w:t>
      </w:r>
    </w:p>
    <w:p w14:paraId="0813043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发包人和监理人在收到修订的施工进度计划后确认或提出修改意见的期限：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C96A4CD">
      <w:pPr>
        <w:spacing w:after="120" w:line="360" w:lineRule="auto"/>
        <w:ind w:firstLine="420" w:firstLineChars="200"/>
        <w:rPr>
          <w:rFonts w:eastAsia="黑体"/>
          <w:color w:val="auto"/>
          <w:szCs w:val="21"/>
          <w:highlight w:val="none"/>
        </w:rPr>
      </w:pPr>
      <w:r>
        <w:rPr>
          <w:rFonts w:eastAsia="黑体"/>
          <w:color w:val="auto"/>
          <w:szCs w:val="21"/>
          <w:highlight w:val="none"/>
        </w:rPr>
        <w:t>7.3 开工</w:t>
      </w:r>
    </w:p>
    <w:p w14:paraId="1A3D23FE">
      <w:pPr>
        <w:spacing w:line="360" w:lineRule="auto"/>
        <w:ind w:firstLine="420" w:firstLineChars="200"/>
        <w:jc w:val="left"/>
        <w:rPr>
          <w:rFonts w:eastAsia="仿宋_GB2312"/>
          <w:color w:val="auto"/>
          <w:szCs w:val="21"/>
          <w:highlight w:val="none"/>
        </w:rPr>
      </w:pPr>
      <w:r>
        <w:rPr>
          <w:rFonts w:eastAsia="仿宋_GB2312"/>
          <w:color w:val="auto"/>
          <w:szCs w:val="21"/>
          <w:highlight w:val="none"/>
        </w:rPr>
        <w:t>7.3.1 开工准备</w:t>
      </w:r>
    </w:p>
    <w:p w14:paraId="369A80BF">
      <w:pPr>
        <w:spacing w:line="360" w:lineRule="auto"/>
        <w:ind w:firstLine="1687"/>
        <w:jc w:val="left"/>
        <w:rPr>
          <w:rFonts w:eastAsia="仿宋_GB2312"/>
          <w:color w:val="auto"/>
          <w:szCs w:val="21"/>
          <w:highlight w:val="none"/>
          <w:u w:val="single"/>
        </w:rPr>
      </w:pPr>
      <w:r>
        <w:rPr>
          <w:rFonts w:eastAsia="仿宋_GB2312"/>
          <w:color w:val="auto"/>
          <w:szCs w:val="21"/>
          <w:highlight w:val="none"/>
        </w:rPr>
        <w:t>关于承包人提交</w:t>
      </w:r>
      <w:r>
        <w:rPr>
          <w:rFonts w:eastAsia="仿宋_GB2312"/>
          <w:color w:val="auto"/>
          <w:kern w:val="0"/>
          <w:szCs w:val="21"/>
          <w:highlight w:val="none"/>
        </w:rPr>
        <w:t>工程开工报审表的期限：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6049DF1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关于发包人应完成的其他开工准备工作及期限：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CFFC4E1">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关于承包人应完成的其他开工准备工作及期限：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4B30B19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7.3.2开工通知</w:t>
      </w:r>
    </w:p>
    <w:p w14:paraId="261912F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因发包人原因造成监理人未能在计划开工日期之日起</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天内发出开工通知的，承包人有权提出价格调整要求，或者解除合同。</w:t>
      </w:r>
    </w:p>
    <w:bookmarkEnd w:id="688"/>
    <w:bookmarkEnd w:id="689"/>
    <w:bookmarkEnd w:id="690"/>
    <w:bookmarkEnd w:id="691"/>
    <w:bookmarkEnd w:id="692"/>
    <w:bookmarkEnd w:id="693"/>
    <w:bookmarkEnd w:id="694"/>
    <w:p w14:paraId="2AF98146">
      <w:pPr>
        <w:spacing w:after="120" w:line="360" w:lineRule="auto"/>
        <w:ind w:firstLine="420" w:firstLineChars="200"/>
        <w:rPr>
          <w:rFonts w:eastAsia="黑体"/>
          <w:color w:val="auto"/>
          <w:szCs w:val="21"/>
          <w:highlight w:val="none"/>
        </w:rPr>
      </w:pPr>
      <w:r>
        <w:rPr>
          <w:rFonts w:eastAsia="黑体"/>
          <w:color w:val="auto"/>
          <w:szCs w:val="21"/>
          <w:highlight w:val="none"/>
        </w:rPr>
        <w:t>7</w:t>
      </w:r>
      <w:bookmarkStart w:id="695" w:name="_Toc303539125"/>
      <w:bookmarkStart w:id="696" w:name="_Toc312678010"/>
      <w:bookmarkStart w:id="697" w:name="_Toc312677484"/>
      <w:bookmarkStart w:id="698" w:name="_Toc304295546"/>
      <w:bookmarkStart w:id="699" w:name="_Toc297123516"/>
      <w:bookmarkStart w:id="700" w:name="_Toc300934968"/>
      <w:bookmarkStart w:id="701" w:name="_Toc297216175"/>
      <w:r>
        <w:rPr>
          <w:rFonts w:eastAsia="黑体"/>
          <w:color w:val="auto"/>
          <w:szCs w:val="21"/>
          <w:highlight w:val="none"/>
        </w:rPr>
        <w:t>.5 工期延误</w:t>
      </w:r>
    </w:p>
    <w:bookmarkEnd w:id="695"/>
    <w:bookmarkEnd w:id="696"/>
    <w:bookmarkEnd w:id="697"/>
    <w:bookmarkEnd w:id="698"/>
    <w:bookmarkEnd w:id="699"/>
    <w:bookmarkEnd w:id="700"/>
    <w:bookmarkEnd w:id="701"/>
    <w:p w14:paraId="40E1115A">
      <w:pPr>
        <w:spacing w:line="360" w:lineRule="auto"/>
        <w:ind w:firstLine="420" w:firstLineChars="200"/>
        <w:jc w:val="left"/>
        <w:rPr>
          <w:rFonts w:eastAsia="仿宋_GB2312"/>
          <w:color w:val="auto"/>
          <w:szCs w:val="21"/>
          <w:highlight w:val="none"/>
        </w:rPr>
      </w:pPr>
      <w:r>
        <w:rPr>
          <w:rFonts w:eastAsia="仿宋_GB2312"/>
          <w:color w:val="auto"/>
          <w:szCs w:val="21"/>
          <w:highlight w:val="none"/>
        </w:rPr>
        <w:t>7.5.1 因发包人原因导致工期延误</w:t>
      </w:r>
    </w:p>
    <w:p w14:paraId="15638902">
      <w:pPr>
        <w:spacing w:line="360" w:lineRule="auto"/>
        <w:ind w:firstLine="420" w:firstLineChars="200"/>
        <w:jc w:val="left"/>
        <w:rPr>
          <w:rFonts w:ascii="宋体" w:hAnsi="宋体"/>
          <w:color w:val="auto"/>
          <w:szCs w:val="21"/>
          <w:highlight w:val="none"/>
        </w:rPr>
      </w:pPr>
      <w:r>
        <w:rPr>
          <w:rFonts w:eastAsia="仿宋_GB2312"/>
          <w:color w:val="auto"/>
          <w:szCs w:val="21"/>
          <w:highlight w:val="none"/>
        </w:rPr>
        <w:t>（7）因发包人原因导致工期延误的其他情形：协调处理施工场地周围地下管线和邻近建筑物、构筑物（含文物保护建筑）、古树名木的保护工作等。</w:t>
      </w:r>
    </w:p>
    <w:p w14:paraId="268BC701">
      <w:pPr>
        <w:spacing w:line="360" w:lineRule="auto"/>
        <w:ind w:firstLine="840" w:firstLineChars="400"/>
        <w:jc w:val="left"/>
        <w:rPr>
          <w:rFonts w:eastAsia="仿宋_GB2312"/>
          <w:color w:val="auto"/>
          <w:szCs w:val="21"/>
          <w:highlight w:val="none"/>
          <w:u w:val="single"/>
        </w:rPr>
      </w:pPr>
      <w:r>
        <w:rPr>
          <w:rFonts w:hint="eastAsia" w:eastAsia="仿宋_GB2312"/>
          <w:color w:val="auto"/>
          <w:szCs w:val="21"/>
          <w:highlight w:val="none"/>
          <w:u w:val="single"/>
        </w:rPr>
        <w:t xml:space="preserve">                                                </w:t>
      </w:r>
    </w:p>
    <w:p w14:paraId="5B5E2A75">
      <w:pPr>
        <w:spacing w:line="360" w:lineRule="auto"/>
        <w:ind w:firstLine="1687"/>
        <w:jc w:val="left"/>
        <w:rPr>
          <w:rFonts w:eastAsia="仿宋_GB2312"/>
          <w:color w:val="auto"/>
          <w:szCs w:val="21"/>
          <w:highlight w:val="none"/>
        </w:rPr>
      </w:pP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468FB414">
      <w:pPr>
        <w:widowControl/>
        <w:spacing w:line="360" w:lineRule="auto"/>
        <w:ind w:firstLine="420" w:firstLineChars="200"/>
        <w:jc w:val="left"/>
        <w:rPr>
          <w:rFonts w:eastAsia="仿宋_GB2312"/>
          <w:color w:val="auto"/>
          <w:szCs w:val="21"/>
          <w:highlight w:val="none"/>
        </w:rPr>
      </w:pPr>
      <w:r>
        <w:rPr>
          <w:rFonts w:eastAsia="仿宋_GB2312"/>
          <w:color w:val="auto"/>
          <w:szCs w:val="21"/>
          <w:highlight w:val="none"/>
        </w:rPr>
        <w:t>7</w:t>
      </w:r>
      <w:bookmarkStart w:id="702" w:name="_Toc312678012"/>
      <w:bookmarkStart w:id="703" w:name="_Toc318581169"/>
      <w:bookmarkStart w:id="704" w:name="_Toc312677486"/>
      <w:bookmarkStart w:id="705" w:name="_Toc297216177"/>
      <w:bookmarkStart w:id="706" w:name="_Toc304295548"/>
      <w:bookmarkStart w:id="707" w:name="_Toc303539127"/>
      <w:bookmarkStart w:id="708" w:name="_Toc300934970"/>
      <w:bookmarkStart w:id="709" w:name="_Toc297123518"/>
      <w:r>
        <w:rPr>
          <w:rFonts w:eastAsia="仿宋_GB2312"/>
          <w:color w:val="auto"/>
          <w:szCs w:val="21"/>
          <w:highlight w:val="none"/>
        </w:rPr>
        <w:t>.5.2 因承包人原因导致工期延误</w:t>
      </w:r>
    </w:p>
    <w:bookmarkEnd w:id="702"/>
    <w:bookmarkEnd w:id="703"/>
    <w:bookmarkEnd w:id="704"/>
    <w:p w14:paraId="11FC3A7C">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因</w:t>
      </w:r>
      <w:bookmarkStart w:id="710" w:name="_Toc312677487"/>
      <w:bookmarkStart w:id="711" w:name="_Toc312678013"/>
      <w:bookmarkStart w:id="712" w:name="_Toc318581170"/>
      <w:r>
        <w:rPr>
          <w:rFonts w:eastAsia="仿宋_GB2312"/>
          <w:color w:val="auto"/>
          <w:szCs w:val="21"/>
          <w:highlight w:val="none"/>
        </w:rPr>
        <w:t>承包人原因造成工期延误，逾期竣工违约金的计算方法为：</w:t>
      </w:r>
    </w:p>
    <w:p w14:paraId="145C6B03">
      <w:pPr>
        <w:spacing w:line="360" w:lineRule="auto"/>
        <w:ind w:firstLine="1687"/>
        <w:jc w:val="left"/>
        <w:rPr>
          <w:rFonts w:eastAsia="仿宋_GB2312"/>
          <w:color w:val="auto"/>
          <w:szCs w:val="21"/>
          <w:highlight w:val="none"/>
        </w:rPr>
      </w:pP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bookmarkEnd w:id="705"/>
      <w:bookmarkEnd w:id="706"/>
      <w:bookmarkEnd w:id="707"/>
      <w:bookmarkEnd w:id="708"/>
      <w:bookmarkEnd w:id="709"/>
      <w:bookmarkEnd w:id="710"/>
      <w:bookmarkEnd w:id="711"/>
    </w:p>
    <w:bookmarkEnd w:id="712"/>
    <w:p w14:paraId="3881FBE7">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因承包人原因造成工期延误，逾</w:t>
      </w:r>
      <w:bookmarkStart w:id="713" w:name="_Toc312678014"/>
      <w:bookmarkStart w:id="714" w:name="_Toc318581171"/>
      <w:r>
        <w:rPr>
          <w:rFonts w:eastAsia="仿宋_GB2312"/>
          <w:color w:val="auto"/>
          <w:szCs w:val="21"/>
          <w:highlight w:val="none"/>
        </w:rPr>
        <w:t>期竣工违约金的上限：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bookmarkEnd w:id="713"/>
    <w:bookmarkEnd w:id="714"/>
    <w:p w14:paraId="6DA98E07">
      <w:pPr>
        <w:spacing w:after="120" w:line="360" w:lineRule="auto"/>
        <w:ind w:firstLine="420" w:firstLineChars="200"/>
        <w:rPr>
          <w:rFonts w:eastAsia="黑体"/>
          <w:color w:val="auto"/>
          <w:szCs w:val="21"/>
          <w:highlight w:val="none"/>
        </w:rPr>
      </w:pPr>
      <w:r>
        <w:rPr>
          <w:rFonts w:eastAsia="黑体"/>
          <w:color w:val="auto"/>
          <w:szCs w:val="21"/>
          <w:highlight w:val="none"/>
        </w:rPr>
        <w:t>7</w:t>
      </w:r>
      <w:bookmarkStart w:id="715" w:name="_Toc297216178"/>
      <w:bookmarkStart w:id="716" w:name="_Toc312678015"/>
      <w:bookmarkStart w:id="717" w:name="_Toc297123519"/>
      <w:bookmarkStart w:id="718" w:name="_Toc303539128"/>
      <w:bookmarkStart w:id="719" w:name="_Toc304295549"/>
      <w:bookmarkStart w:id="720" w:name="_Toc300934971"/>
      <w:r>
        <w:rPr>
          <w:rFonts w:eastAsia="黑体"/>
          <w:color w:val="auto"/>
          <w:szCs w:val="21"/>
          <w:highlight w:val="none"/>
        </w:rPr>
        <w:t>.6 不</w:t>
      </w:r>
      <w:bookmarkEnd w:id="715"/>
      <w:bookmarkEnd w:id="716"/>
      <w:bookmarkEnd w:id="717"/>
      <w:bookmarkEnd w:id="718"/>
      <w:bookmarkEnd w:id="719"/>
      <w:bookmarkEnd w:id="720"/>
      <w:r>
        <w:rPr>
          <w:rFonts w:eastAsia="黑体"/>
          <w:color w:val="auto"/>
          <w:szCs w:val="21"/>
          <w:highlight w:val="none"/>
        </w:rPr>
        <w:t>利物质条件</w:t>
      </w:r>
    </w:p>
    <w:p w14:paraId="1CBA9CD4">
      <w:pPr>
        <w:spacing w:line="360" w:lineRule="auto"/>
        <w:ind w:firstLine="420" w:firstLineChars="200"/>
        <w:jc w:val="left"/>
        <w:rPr>
          <w:rFonts w:eastAsia="仿宋_GB2312"/>
          <w:color w:val="auto"/>
          <w:szCs w:val="21"/>
          <w:highlight w:val="none"/>
        </w:rPr>
      </w:pPr>
      <w:bookmarkStart w:id="721" w:name="_Toc312678016"/>
      <w:bookmarkStart w:id="722" w:name="_Toc297216179"/>
      <w:bookmarkStart w:id="723" w:name="_Toc297123520"/>
      <w:bookmarkStart w:id="724" w:name="_Toc304295550"/>
      <w:bookmarkStart w:id="725" w:name="_Toc300934972"/>
      <w:bookmarkStart w:id="726" w:name="_Toc303539129"/>
      <w:bookmarkStart w:id="727" w:name="_Toc318581172"/>
      <w:r>
        <w:rPr>
          <w:rFonts w:eastAsia="仿宋_GB2312"/>
          <w:color w:val="auto"/>
          <w:szCs w:val="21"/>
          <w:highlight w:val="none"/>
        </w:rPr>
        <w:t>不利物质条件的其他情形和有关约定：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   </w:t>
      </w:r>
      <w:r>
        <w:rPr>
          <w:rFonts w:eastAsia="仿宋_GB2312"/>
          <w:color w:val="auto"/>
          <w:szCs w:val="21"/>
          <w:highlight w:val="none"/>
          <w:u w:val="single"/>
        </w:rPr>
        <w:t xml:space="preserve"> </w:t>
      </w:r>
      <w:r>
        <w:rPr>
          <w:rFonts w:eastAsia="仿宋_GB2312"/>
          <w:color w:val="auto"/>
          <w:szCs w:val="21"/>
          <w:highlight w:val="none"/>
        </w:rPr>
        <w:t>。</w:t>
      </w:r>
    </w:p>
    <w:bookmarkEnd w:id="721"/>
    <w:bookmarkEnd w:id="722"/>
    <w:bookmarkEnd w:id="723"/>
    <w:bookmarkEnd w:id="724"/>
    <w:bookmarkEnd w:id="725"/>
    <w:bookmarkEnd w:id="726"/>
    <w:bookmarkEnd w:id="727"/>
    <w:p w14:paraId="3E1F3547">
      <w:pPr>
        <w:spacing w:after="120" w:line="360" w:lineRule="auto"/>
        <w:ind w:firstLine="420" w:firstLineChars="200"/>
        <w:rPr>
          <w:rFonts w:eastAsia="黑体"/>
          <w:color w:val="auto"/>
          <w:szCs w:val="21"/>
          <w:highlight w:val="none"/>
        </w:rPr>
      </w:pPr>
      <w:r>
        <w:rPr>
          <w:rFonts w:eastAsia="黑体"/>
          <w:color w:val="auto"/>
          <w:szCs w:val="21"/>
          <w:highlight w:val="none"/>
        </w:rPr>
        <w:t>7</w:t>
      </w:r>
      <w:bookmarkStart w:id="728" w:name="_Toc300934973"/>
      <w:bookmarkStart w:id="729" w:name="_Toc304295551"/>
      <w:bookmarkStart w:id="730" w:name="_Toc312678017"/>
      <w:bookmarkStart w:id="731" w:name="_Toc297216180"/>
      <w:bookmarkStart w:id="732" w:name="_Toc297123521"/>
      <w:bookmarkStart w:id="733" w:name="_Toc303539130"/>
      <w:r>
        <w:rPr>
          <w:rFonts w:eastAsia="黑体"/>
          <w:color w:val="auto"/>
          <w:szCs w:val="21"/>
          <w:highlight w:val="none"/>
        </w:rPr>
        <w:t>.7异常恶劣的气候条件</w:t>
      </w:r>
    </w:p>
    <w:bookmarkEnd w:id="728"/>
    <w:bookmarkEnd w:id="729"/>
    <w:bookmarkEnd w:id="730"/>
    <w:bookmarkEnd w:id="731"/>
    <w:bookmarkEnd w:id="732"/>
    <w:bookmarkEnd w:id="733"/>
    <w:p w14:paraId="4E4BAA7A">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发包人和承包人同意以下情形视为异常恶劣的气候条件：</w:t>
      </w:r>
    </w:p>
    <w:p w14:paraId="47D7E150">
      <w:pPr>
        <w:numPr>
          <w:ilvl w:val="0"/>
          <w:numId w:val="34"/>
        </w:num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3FEB8F7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（2）</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4AEC3E3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（3）</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641BD0B2">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备注：上述异常恶劣的气候条件应以工程所在地气象部门的气象预报或检测报告为准。</w:t>
      </w:r>
    </w:p>
    <w:p w14:paraId="1A221B27">
      <w:pPr>
        <w:spacing w:after="120" w:line="360" w:lineRule="auto"/>
        <w:ind w:firstLine="420" w:firstLineChars="200"/>
        <w:rPr>
          <w:rFonts w:eastAsia="黑体"/>
          <w:color w:val="auto"/>
          <w:szCs w:val="21"/>
          <w:highlight w:val="none"/>
        </w:rPr>
      </w:pPr>
      <w:r>
        <w:rPr>
          <w:rFonts w:eastAsia="黑体"/>
          <w:color w:val="auto"/>
          <w:szCs w:val="21"/>
          <w:highlight w:val="none"/>
        </w:rPr>
        <w:t>7.9 提前竣工的奖励</w:t>
      </w:r>
    </w:p>
    <w:p w14:paraId="29785C85">
      <w:pPr>
        <w:spacing w:line="360" w:lineRule="auto"/>
        <w:ind w:firstLine="420" w:firstLineChars="200"/>
        <w:jc w:val="left"/>
        <w:rPr>
          <w:rFonts w:eastAsia="仿宋_GB2312"/>
          <w:color w:val="auto"/>
          <w:szCs w:val="21"/>
          <w:highlight w:val="none"/>
        </w:rPr>
      </w:pPr>
      <w:r>
        <w:rPr>
          <w:rFonts w:eastAsia="仿宋_GB2312"/>
          <w:color w:val="auto"/>
          <w:szCs w:val="21"/>
          <w:highlight w:val="none"/>
        </w:rPr>
        <w:t>7.9.2提前竣工的奖励：</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9821A62">
      <w:pPr>
        <w:pStyle w:val="3"/>
        <w:ind w:firstLine="1680"/>
        <w:rPr>
          <w:rFonts w:ascii="Times New Roman" w:hAnsi="Times New Roman"/>
          <w:color w:val="auto"/>
          <w:sz w:val="21"/>
          <w:szCs w:val="21"/>
          <w:highlight w:val="none"/>
        </w:rPr>
      </w:pPr>
      <w:bookmarkStart w:id="734" w:name="_Toc13997"/>
      <w:r>
        <w:rPr>
          <w:rFonts w:ascii="Times New Roman" w:hAnsi="Times New Roman"/>
          <w:color w:val="auto"/>
          <w:sz w:val="21"/>
          <w:szCs w:val="21"/>
          <w:highlight w:val="none"/>
        </w:rPr>
        <w:t>8. 材料与设备</w:t>
      </w:r>
      <w:bookmarkEnd w:id="734"/>
    </w:p>
    <w:bookmarkEnd w:id="669"/>
    <w:bookmarkEnd w:id="670"/>
    <w:bookmarkEnd w:id="671"/>
    <w:bookmarkEnd w:id="672"/>
    <w:bookmarkEnd w:id="673"/>
    <w:bookmarkEnd w:id="674"/>
    <w:bookmarkEnd w:id="675"/>
    <w:bookmarkEnd w:id="676"/>
    <w:bookmarkEnd w:id="677"/>
    <w:bookmarkEnd w:id="678"/>
    <w:p w14:paraId="5F3AE0B1">
      <w:pPr>
        <w:spacing w:after="120" w:line="360" w:lineRule="auto"/>
        <w:ind w:firstLine="420" w:firstLineChars="200"/>
        <w:rPr>
          <w:rFonts w:eastAsia="黑体"/>
          <w:color w:val="auto"/>
          <w:szCs w:val="21"/>
          <w:highlight w:val="none"/>
        </w:rPr>
      </w:pPr>
      <w:r>
        <w:rPr>
          <w:rFonts w:eastAsia="黑体"/>
          <w:color w:val="auto"/>
          <w:szCs w:val="21"/>
          <w:highlight w:val="none"/>
        </w:rPr>
        <w:t>8</w:t>
      </w:r>
      <w:bookmarkStart w:id="735" w:name="_Toc296891207"/>
      <w:bookmarkStart w:id="736" w:name="_Toc304295556"/>
      <w:bookmarkStart w:id="737" w:name="_Toc292559877"/>
      <w:bookmarkStart w:id="738" w:name="_Toc303539136"/>
      <w:bookmarkStart w:id="739" w:name="_Toc297120467"/>
      <w:bookmarkStart w:id="740" w:name="_Toc297048353"/>
      <w:bookmarkStart w:id="741" w:name="_Toc280868654"/>
      <w:bookmarkStart w:id="742" w:name="_Toc312678019"/>
      <w:bookmarkStart w:id="743" w:name="_Toc296503167"/>
      <w:bookmarkStart w:id="744" w:name="_Toc297123527"/>
      <w:bookmarkStart w:id="745" w:name="_Toc296944506"/>
      <w:bookmarkStart w:id="746" w:name="_Toc312677493"/>
      <w:bookmarkStart w:id="747" w:name="_Toc296346668"/>
      <w:bookmarkStart w:id="748" w:name="_Toc300934979"/>
      <w:bookmarkStart w:id="749" w:name="_Toc296890995"/>
      <w:bookmarkStart w:id="750" w:name="_Toc297216186"/>
      <w:bookmarkStart w:id="751" w:name="_Toc296347166"/>
      <w:bookmarkStart w:id="752" w:name="_Toc292559372"/>
      <w:bookmarkStart w:id="753" w:name="_Toc267251424"/>
      <w:bookmarkStart w:id="754" w:name="_Toc280868655"/>
      <w:bookmarkStart w:id="755" w:name="_Toc280868656"/>
      <w:r>
        <w:rPr>
          <w:rFonts w:eastAsia="黑体"/>
          <w:color w:val="auto"/>
          <w:szCs w:val="21"/>
          <w:highlight w:val="none"/>
        </w:rPr>
        <w:t>.4材料与工程设备的保管与使用</w:t>
      </w:r>
    </w:p>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70CABDE4">
      <w:pPr>
        <w:spacing w:line="360" w:lineRule="auto"/>
        <w:ind w:firstLine="420" w:firstLineChars="200"/>
        <w:jc w:val="left"/>
        <w:rPr>
          <w:rFonts w:eastAsia="仿宋_GB2312"/>
          <w:color w:val="auto"/>
          <w:szCs w:val="21"/>
          <w:highlight w:val="none"/>
        </w:rPr>
      </w:pPr>
      <w:r>
        <w:rPr>
          <w:rFonts w:eastAsia="仿宋_GB2312"/>
          <w:color w:val="auto"/>
          <w:szCs w:val="21"/>
          <w:highlight w:val="none"/>
        </w:rPr>
        <w:t>8</w:t>
      </w:r>
      <w:bookmarkStart w:id="756" w:name="_Toc292559878"/>
      <w:bookmarkStart w:id="757" w:name="_Toc292559373"/>
      <w:bookmarkStart w:id="758" w:name="_Toc297123528"/>
      <w:bookmarkStart w:id="759" w:name="_Toc296891208"/>
      <w:bookmarkStart w:id="760" w:name="_Toc296503168"/>
      <w:bookmarkStart w:id="761" w:name="_Toc312677494"/>
      <w:bookmarkStart w:id="762" w:name="_Toc304295557"/>
      <w:bookmarkStart w:id="763" w:name="_Toc297216187"/>
      <w:bookmarkStart w:id="764" w:name="_Toc318581173"/>
      <w:bookmarkStart w:id="765" w:name="_Toc296346669"/>
      <w:bookmarkStart w:id="766" w:name="_Toc296347167"/>
      <w:bookmarkStart w:id="767" w:name="_Toc297120468"/>
      <w:bookmarkStart w:id="768" w:name="_Toc303539137"/>
      <w:bookmarkStart w:id="769" w:name="_Toc312678020"/>
      <w:bookmarkStart w:id="770" w:name="_Toc296890996"/>
      <w:bookmarkStart w:id="771" w:name="_Toc297048354"/>
      <w:bookmarkStart w:id="772" w:name="_Toc296944507"/>
      <w:bookmarkStart w:id="773" w:name="_Toc300934980"/>
      <w:r>
        <w:rPr>
          <w:rFonts w:eastAsia="仿宋_GB2312"/>
          <w:color w:val="auto"/>
          <w:szCs w:val="21"/>
          <w:highlight w:val="none"/>
        </w:rPr>
        <w:t>.4.1发包人供应的材料设备的保管费用的承担：</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bookmarkEnd w:id="756"/>
      <w:bookmarkEnd w:id="757"/>
    </w:p>
    <w:p w14:paraId="2CE3BAA2">
      <w:pPr>
        <w:spacing w:after="120" w:line="360" w:lineRule="auto"/>
        <w:ind w:firstLine="420" w:firstLineChars="200"/>
        <w:rPr>
          <w:rFonts w:eastAsia="黑体"/>
          <w:color w:val="auto"/>
          <w:szCs w:val="21"/>
          <w:highlight w:val="none"/>
        </w:rPr>
      </w:pPr>
      <w:r>
        <w:rPr>
          <w:rFonts w:eastAsia="黑体"/>
          <w:color w:val="auto"/>
          <w:szCs w:val="21"/>
          <w:highlight w:val="none"/>
        </w:rPr>
        <w:t>8.6 样品</w:t>
      </w:r>
    </w:p>
    <w:p w14:paraId="377B946C">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8.6.1</w:t>
      </w:r>
      <w:r>
        <w:rPr>
          <w:rFonts w:eastAsia="仿宋_GB2312"/>
          <w:color w:val="auto"/>
          <w:kern w:val="0"/>
          <w:szCs w:val="21"/>
          <w:highlight w:val="none"/>
        </w:rPr>
        <w:tab/>
      </w:r>
      <w:r>
        <w:rPr>
          <w:rFonts w:eastAsia="仿宋_GB2312"/>
          <w:color w:val="auto"/>
          <w:kern w:val="0"/>
          <w:szCs w:val="21"/>
          <w:highlight w:val="none"/>
        </w:rPr>
        <w:t>样品的报送</w:t>
      </w:r>
      <w:r>
        <w:rPr>
          <w:rFonts w:hint="eastAsia" w:eastAsia="仿宋_GB2312"/>
          <w:color w:val="auto"/>
          <w:kern w:val="0"/>
          <w:szCs w:val="21"/>
          <w:highlight w:val="none"/>
        </w:rPr>
        <w:t>与封存</w:t>
      </w:r>
    </w:p>
    <w:p w14:paraId="1AF9B639">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需要承包人报送样品的材料或工程设备，样品的种类、名称、规格、数量要求：</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78D06B04">
      <w:pPr>
        <w:spacing w:after="120" w:line="360" w:lineRule="auto"/>
        <w:ind w:firstLine="420" w:firstLineChars="200"/>
        <w:rPr>
          <w:rFonts w:eastAsia="黑体"/>
          <w:color w:val="auto"/>
          <w:szCs w:val="21"/>
          <w:highlight w:val="none"/>
        </w:rPr>
      </w:pPr>
      <w:r>
        <w:rPr>
          <w:rFonts w:eastAsia="黑体"/>
          <w:color w:val="auto"/>
          <w:szCs w:val="21"/>
          <w:highlight w:val="none"/>
        </w:rPr>
        <w:t>8.8 施工设备和临时设施</w:t>
      </w:r>
    </w:p>
    <w:p w14:paraId="6EA66F23">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8.8.1 承包人提供的施工设备和临时设施</w:t>
      </w:r>
    </w:p>
    <w:p w14:paraId="02028722">
      <w:pPr>
        <w:autoSpaceDE w:val="0"/>
        <w:autoSpaceDN w:val="0"/>
        <w:adjustRightInd w:val="0"/>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关于修建临时设施费用承担的约定：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14:paraId="3606C8BE">
      <w:pPr>
        <w:pStyle w:val="3"/>
        <w:ind w:firstLine="1680"/>
        <w:rPr>
          <w:rFonts w:ascii="Times New Roman" w:hAnsi="Times New Roman"/>
          <w:color w:val="auto"/>
          <w:sz w:val="21"/>
          <w:szCs w:val="21"/>
          <w:highlight w:val="none"/>
        </w:rPr>
      </w:pPr>
      <w:bookmarkStart w:id="774" w:name="_Toc11780"/>
      <w:r>
        <w:rPr>
          <w:rFonts w:ascii="Times New Roman" w:hAnsi="Times New Roman"/>
          <w:color w:val="auto"/>
          <w:sz w:val="21"/>
          <w:szCs w:val="21"/>
          <w:highlight w:val="none"/>
        </w:rPr>
        <w:t>9</w:t>
      </w:r>
      <w:bookmarkEnd w:id="753"/>
      <w:bookmarkEnd w:id="754"/>
      <w:bookmarkEnd w:id="755"/>
      <w:bookmarkStart w:id="775" w:name="_Toc297216192"/>
      <w:bookmarkStart w:id="776" w:name="_Toc303539139"/>
      <w:bookmarkStart w:id="777" w:name="_Toc312678021"/>
      <w:bookmarkStart w:id="778" w:name="_Toc312677495"/>
      <w:bookmarkStart w:id="779" w:name="_Toc304295559"/>
      <w:bookmarkStart w:id="780" w:name="_Toc297123533"/>
      <w:bookmarkStart w:id="781" w:name="_Toc300934982"/>
      <w:bookmarkStart w:id="782" w:name="_Toc296347172"/>
      <w:bookmarkStart w:id="783" w:name="_Toc292559378"/>
      <w:bookmarkStart w:id="784" w:name="_Toc267251427"/>
      <w:bookmarkStart w:id="785" w:name="_Toc267251428"/>
      <w:bookmarkStart w:id="786" w:name="_Toc296503173"/>
      <w:bookmarkStart w:id="787" w:name="_Toc296891001"/>
      <w:bookmarkStart w:id="788" w:name="_Toc292559883"/>
      <w:bookmarkStart w:id="789" w:name="_Toc297048359"/>
      <w:bookmarkStart w:id="790" w:name="_Toc296346674"/>
      <w:bookmarkStart w:id="791" w:name="_Toc297120473"/>
      <w:bookmarkStart w:id="792" w:name="_Toc296944512"/>
      <w:bookmarkStart w:id="793" w:name="_Toc296891213"/>
      <w:r>
        <w:rPr>
          <w:rFonts w:ascii="Times New Roman" w:hAnsi="Times New Roman"/>
          <w:color w:val="auto"/>
          <w:sz w:val="21"/>
          <w:szCs w:val="21"/>
          <w:highlight w:val="none"/>
        </w:rPr>
        <w:t>. 试验与检验</w:t>
      </w:r>
      <w:bookmarkEnd w:id="774"/>
    </w:p>
    <w:bookmarkEnd w:id="775"/>
    <w:bookmarkEnd w:id="776"/>
    <w:bookmarkEnd w:id="777"/>
    <w:bookmarkEnd w:id="778"/>
    <w:bookmarkEnd w:id="779"/>
    <w:bookmarkEnd w:id="780"/>
    <w:bookmarkEnd w:id="781"/>
    <w:p w14:paraId="3D4FED01">
      <w:pPr>
        <w:spacing w:after="120" w:line="360" w:lineRule="auto"/>
        <w:ind w:firstLine="420" w:firstLineChars="200"/>
        <w:rPr>
          <w:rFonts w:eastAsia="黑体"/>
          <w:color w:val="auto"/>
          <w:szCs w:val="21"/>
          <w:highlight w:val="none"/>
        </w:rPr>
      </w:pPr>
      <w:r>
        <w:rPr>
          <w:rFonts w:eastAsia="黑体"/>
          <w:color w:val="auto"/>
          <w:szCs w:val="21"/>
          <w:highlight w:val="none"/>
        </w:rPr>
        <w:t>9</w:t>
      </w:r>
      <w:bookmarkStart w:id="794" w:name="_Toc303539140"/>
      <w:bookmarkStart w:id="795" w:name="_Toc312677496"/>
      <w:bookmarkStart w:id="796" w:name="_Toc304295560"/>
      <w:bookmarkStart w:id="797" w:name="_Toc300934983"/>
      <w:bookmarkStart w:id="798" w:name="_Toc312678022"/>
      <w:bookmarkStart w:id="799" w:name="_Toc297216193"/>
      <w:bookmarkStart w:id="800" w:name="_Toc297123534"/>
      <w:r>
        <w:rPr>
          <w:rFonts w:eastAsia="黑体"/>
          <w:color w:val="auto"/>
          <w:szCs w:val="21"/>
          <w:highlight w:val="none"/>
        </w:rPr>
        <w:t>.1试验设备与试验人员</w:t>
      </w:r>
    </w:p>
    <w:bookmarkEnd w:id="794"/>
    <w:bookmarkEnd w:id="795"/>
    <w:bookmarkEnd w:id="796"/>
    <w:bookmarkEnd w:id="797"/>
    <w:bookmarkEnd w:id="798"/>
    <w:bookmarkEnd w:id="799"/>
    <w:bookmarkEnd w:id="800"/>
    <w:p w14:paraId="3E4410E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9</w:t>
      </w:r>
      <w:bookmarkStart w:id="801" w:name="_Toc300934984"/>
      <w:bookmarkStart w:id="802" w:name="_Toc304295561"/>
      <w:bookmarkStart w:id="803" w:name="_Toc312678023"/>
      <w:bookmarkStart w:id="804" w:name="_Toc297123535"/>
      <w:bookmarkStart w:id="805" w:name="_Toc312677497"/>
      <w:bookmarkStart w:id="806" w:name="_Toc297216194"/>
      <w:bookmarkStart w:id="807" w:name="_Toc303539141"/>
      <w:bookmarkStart w:id="808" w:name="_Toc318581174"/>
      <w:r>
        <w:rPr>
          <w:rFonts w:eastAsia="仿宋_GB2312"/>
          <w:color w:val="auto"/>
          <w:szCs w:val="21"/>
          <w:highlight w:val="none"/>
        </w:rPr>
        <w:t>.1.2 试验设备</w:t>
      </w:r>
    </w:p>
    <w:p w14:paraId="54489FE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施工现场需要配置的试验场所：</w:t>
      </w:r>
      <w:bookmarkEnd w:id="801"/>
      <w:bookmarkEnd w:id="802"/>
      <w:bookmarkEnd w:id="803"/>
      <w:bookmarkEnd w:id="804"/>
      <w:bookmarkEnd w:id="805"/>
      <w:bookmarkEnd w:id="806"/>
      <w:bookmarkEnd w:id="807"/>
      <w:bookmarkStart w:id="809" w:name="_Toc297123536"/>
      <w:bookmarkStart w:id="810" w:name="_Toc297216195"/>
      <w:bookmarkStart w:id="811" w:name="_Toc304295562"/>
      <w:bookmarkStart w:id="812" w:name="_Toc312678024"/>
      <w:bookmarkStart w:id="813" w:name="_Toc303539142"/>
      <w:bookmarkStart w:id="814" w:name="_Toc312677498"/>
      <w:bookmarkStart w:id="815" w:name="_Toc300934985"/>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r>
        <w:rPr>
          <w:rFonts w:hint="eastAsia" w:eastAsia="仿宋_GB2312"/>
          <w:color w:val="auto"/>
          <w:szCs w:val="21"/>
          <w:highlight w:val="none"/>
        </w:rPr>
        <w:t xml:space="preserve"> </w:t>
      </w:r>
    </w:p>
    <w:p w14:paraId="012BD0D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施工现场需要配备的试验设备：</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8F7931D">
      <w:pPr>
        <w:spacing w:line="360" w:lineRule="auto"/>
        <w:ind w:firstLine="420" w:firstLineChars="200"/>
        <w:jc w:val="left"/>
        <w:rPr>
          <w:rFonts w:eastAsia="仿宋_GB2312"/>
          <w:color w:val="auto"/>
          <w:szCs w:val="21"/>
          <w:highlight w:val="none"/>
        </w:rPr>
      </w:pPr>
      <w:r>
        <w:rPr>
          <w:rFonts w:eastAsia="仿宋_GB2312"/>
          <w:color w:val="auto"/>
          <w:szCs w:val="21"/>
          <w:highlight w:val="none"/>
        </w:rPr>
        <w:t>施工现场需要具备的其他试验条件：</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1CD36C32">
      <w:pPr>
        <w:spacing w:after="120" w:line="360" w:lineRule="auto"/>
        <w:ind w:firstLine="420" w:firstLineChars="200"/>
        <w:rPr>
          <w:rFonts w:eastAsia="黑体"/>
          <w:color w:val="auto"/>
          <w:szCs w:val="21"/>
          <w:highlight w:val="none"/>
        </w:rPr>
      </w:pPr>
      <w:r>
        <w:rPr>
          <w:rFonts w:eastAsia="黑体"/>
          <w:color w:val="auto"/>
          <w:szCs w:val="21"/>
          <w:highlight w:val="none"/>
        </w:rPr>
        <w:t>9.4 现场工艺试验</w:t>
      </w:r>
      <w:r>
        <w:rPr>
          <w:rFonts w:hint="eastAsia" w:eastAsia="黑体"/>
          <w:color w:val="auto"/>
          <w:szCs w:val="21"/>
          <w:highlight w:val="none"/>
        </w:rPr>
        <w:t xml:space="preserve"> </w:t>
      </w:r>
    </w:p>
    <w:p w14:paraId="75EA8307">
      <w:pPr>
        <w:spacing w:line="360" w:lineRule="auto"/>
        <w:ind w:firstLine="420" w:firstLineChars="200"/>
        <w:jc w:val="left"/>
        <w:rPr>
          <w:rFonts w:eastAsia="仿宋_GB2312"/>
          <w:color w:val="auto"/>
          <w:szCs w:val="21"/>
          <w:highlight w:val="none"/>
        </w:rPr>
      </w:pPr>
      <w:r>
        <w:rPr>
          <w:rFonts w:eastAsia="仿宋_GB2312"/>
          <w:color w:val="auto"/>
          <w:szCs w:val="21"/>
          <w:highlight w:val="none"/>
        </w:rPr>
        <w:t>现场工艺试验的有关约定：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bookmarkEnd w:id="808"/>
    <w:bookmarkEnd w:id="809"/>
    <w:bookmarkEnd w:id="810"/>
    <w:bookmarkEnd w:id="811"/>
    <w:bookmarkEnd w:id="812"/>
    <w:bookmarkEnd w:id="813"/>
    <w:bookmarkEnd w:id="814"/>
    <w:bookmarkEnd w:id="815"/>
    <w:p w14:paraId="40B1A954">
      <w:pPr>
        <w:pStyle w:val="3"/>
        <w:ind w:firstLine="1680"/>
        <w:rPr>
          <w:rFonts w:ascii="Times New Roman" w:hAnsi="Times New Roman"/>
          <w:color w:val="auto"/>
          <w:sz w:val="21"/>
          <w:szCs w:val="21"/>
          <w:highlight w:val="none"/>
        </w:rPr>
      </w:pPr>
      <w:bookmarkStart w:id="816" w:name="_Toc15373"/>
      <w:r>
        <w:rPr>
          <w:rFonts w:ascii="Times New Roman" w:hAnsi="Times New Roman"/>
          <w:color w:val="auto"/>
          <w:sz w:val="21"/>
          <w:szCs w:val="21"/>
          <w:highlight w:val="none"/>
        </w:rPr>
        <w:t>1</w:t>
      </w:r>
      <w:bookmarkEnd w:id="782"/>
      <w:bookmarkEnd w:id="783"/>
      <w:bookmarkEnd w:id="784"/>
      <w:bookmarkEnd w:id="785"/>
      <w:bookmarkEnd w:id="786"/>
      <w:bookmarkEnd w:id="787"/>
      <w:bookmarkEnd w:id="788"/>
      <w:bookmarkEnd w:id="789"/>
      <w:bookmarkEnd w:id="790"/>
      <w:bookmarkEnd w:id="791"/>
      <w:bookmarkEnd w:id="792"/>
      <w:bookmarkEnd w:id="793"/>
      <w:bookmarkStart w:id="817" w:name="_Toc297048379"/>
      <w:bookmarkStart w:id="818" w:name="_Toc297216199"/>
      <w:bookmarkStart w:id="819" w:name="_Toc300934989"/>
      <w:bookmarkStart w:id="820" w:name="_Toc296891021"/>
      <w:bookmarkStart w:id="821" w:name="_Toc292559903"/>
      <w:bookmarkStart w:id="822" w:name="_Toc296346694"/>
      <w:bookmarkStart w:id="823" w:name="_Toc292559398"/>
      <w:bookmarkStart w:id="824" w:name="_Toc296503193"/>
      <w:bookmarkStart w:id="825" w:name="_Toc296347192"/>
      <w:bookmarkStart w:id="826" w:name="_Toc297123540"/>
      <w:bookmarkStart w:id="827" w:name="_Toc303539146"/>
      <w:bookmarkStart w:id="828" w:name="_Toc297120493"/>
      <w:bookmarkStart w:id="829" w:name="_Toc296944532"/>
      <w:bookmarkStart w:id="830" w:name="_Toc296891233"/>
      <w:bookmarkStart w:id="831" w:name="_Toc304295566"/>
      <w:bookmarkStart w:id="832" w:name="_Toc312678025"/>
      <w:bookmarkStart w:id="833" w:name="_Toc312677499"/>
      <w:bookmarkStart w:id="834" w:name="_Toc267251433"/>
      <w:bookmarkStart w:id="835" w:name="_Toc267251440"/>
      <w:bookmarkStart w:id="836" w:name="_Toc267251441"/>
      <w:bookmarkStart w:id="837" w:name="_Toc267251437"/>
      <w:bookmarkStart w:id="838" w:name="_Toc267251435"/>
      <w:bookmarkStart w:id="839" w:name="_Toc267251439"/>
      <w:bookmarkStart w:id="840" w:name="_Toc267251442"/>
      <w:r>
        <w:rPr>
          <w:rFonts w:ascii="Times New Roman" w:hAnsi="Times New Roman"/>
          <w:color w:val="auto"/>
          <w:sz w:val="21"/>
          <w:szCs w:val="21"/>
          <w:highlight w:val="none"/>
        </w:rPr>
        <w:t>0. 变更</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bookmarkEnd w:id="832"/>
    <w:bookmarkEnd w:id="833"/>
    <w:p w14:paraId="7AB9CE75">
      <w:pPr>
        <w:spacing w:after="120" w:line="360" w:lineRule="auto"/>
        <w:ind w:firstLine="420" w:firstLineChars="200"/>
        <w:rPr>
          <w:rFonts w:eastAsia="黑体"/>
          <w:color w:val="auto"/>
          <w:szCs w:val="21"/>
          <w:highlight w:val="none"/>
        </w:rPr>
      </w:pPr>
      <w:r>
        <w:rPr>
          <w:rFonts w:eastAsia="黑体"/>
          <w:color w:val="auto"/>
          <w:szCs w:val="21"/>
          <w:highlight w:val="none"/>
        </w:rPr>
        <w:t>1</w:t>
      </w:r>
      <w:bookmarkStart w:id="841" w:name="_Toc312677500"/>
      <w:bookmarkStart w:id="842" w:name="_Toc292559904"/>
      <w:bookmarkStart w:id="843" w:name="_Toc304295567"/>
      <w:bookmarkStart w:id="844" w:name="_Toc303539147"/>
      <w:bookmarkStart w:id="845" w:name="_Toc296347193"/>
      <w:bookmarkStart w:id="846" w:name="_Toc297120494"/>
      <w:bookmarkStart w:id="847" w:name="_Toc292559399"/>
      <w:bookmarkStart w:id="848" w:name="_Toc296346695"/>
      <w:bookmarkStart w:id="849" w:name="_Toc300934990"/>
      <w:bookmarkStart w:id="850" w:name="_Toc296891234"/>
      <w:bookmarkStart w:id="851" w:name="_Toc296891022"/>
      <w:bookmarkStart w:id="852" w:name="_Toc296944533"/>
      <w:bookmarkStart w:id="853" w:name="_Toc297216200"/>
      <w:bookmarkStart w:id="854" w:name="_Toc296503194"/>
      <w:bookmarkStart w:id="855" w:name="_Toc297123541"/>
      <w:bookmarkStart w:id="856" w:name="_Toc312678026"/>
      <w:bookmarkStart w:id="857" w:name="_Toc297048380"/>
      <w:r>
        <w:rPr>
          <w:rFonts w:eastAsia="黑体"/>
          <w:color w:val="auto"/>
          <w:szCs w:val="21"/>
          <w:highlight w:val="none"/>
        </w:rPr>
        <w:t>0.1变更的范围</w:t>
      </w:r>
    </w:p>
    <w:p w14:paraId="453261A1">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关于变更的范围的约定：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38D83288">
      <w:pPr>
        <w:spacing w:after="120" w:line="360" w:lineRule="auto"/>
        <w:ind w:firstLine="420" w:firstLineChars="200"/>
        <w:rPr>
          <w:rFonts w:eastAsia="黑体"/>
          <w:color w:val="auto"/>
          <w:szCs w:val="21"/>
          <w:highlight w:val="none"/>
        </w:rPr>
      </w:pPr>
      <w:r>
        <w:rPr>
          <w:rFonts w:eastAsia="黑体"/>
          <w:color w:val="auto"/>
          <w:szCs w:val="21"/>
          <w:highlight w:val="none"/>
        </w:rPr>
        <w:t>10.4 变更</w:t>
      </w:r>
      <w:r>
        <w:rPr>
          <w:rFonts w:hint="eastAsia" w:eastAsia="黑体"/>
          <w:color w:val="auto"/>
          <w:szCs w:val="21"/>
          <w:highlight w:val="none"/>
        </w:rPr>
        <w:t>计价</w:t>
      </w:r>
    </w:p>
    <w:p w14:paraId="59176B77">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10.4.1 变更计价原则</w:t>
      </w:r>
    </w:p>
    <w:p w14:paraId="728288D2">
      <w:pPr>
        <w:pStyle w:val="17"/>
        <w:spacing w:line="500" w:lineRule="exact"/>
        <w:ind w:firstLine="1687"/>
        <w:rPr>
          <w:rFonts w:eastAsia="仿宋_GB2312"/>
          <w:color w:val="auto"/>
          <w:szCs w:val="21"/>
          <w:highlight w:val="none"/>
          <w:u w:val="single"/>
        </w:rPr>
      </w:pPr>
      <w:r>
        <w:rPr>
          <w:rFonts w:eastAsia="仿宋_GB2312"/>
          <w:color w:val="auto"/>
          <w:szCs w:val="21"/>
          <w:highlight w:val="none"/>
        </w:rPr>
        <w:t>关于变更</w:t>
      </w:r>
      <w:r>
        <w:rPr>
          <w:rFonts w:hint="eastAsia" w:eastAsia="仿宋_GB2312"/>
          <w:color w:val="auto"/>
          <w:szCs w:val="21"/>
          <w:highlight w:val="none"/>
        </w:rPr>
        <w:t>计价</w:t>
      </w:r>
      <w:r>
        <w:rPr>
          <w:rFonts w:eastAsia="仿宋_GB2312"/>
          <w:color w:val="auto"/>
          <w:szCs w:val="21"/>
          <w:highlight w:val="none"/>
        </w:rPr>
        <w:t>的约定:</w:t>
      </w:r>
      <w:r>
        <w:rPr>
          <w:rFonts w:hint="eastAsia" w:eastAsia="仿宋_GB2312"/>
          <w:color w:val="auto"/>
          <w:szCs w:val="21"/>
          <w:highlight w:val="none"/>
          <w:u w:val="single"/>
        </w:rPr>
        <w:t xml:space="preserve">                                 </w:t>
      </w:r>
    </w:p>
    <w:p w14:paraId="14C7E344">
      <w:pPr>
        <w:pStyle w:val="17"/>
        <w:spacing w:line="500" w:lineRule="exact"/>
        <w:ind w:firstLine="1687"/>
        <w:rPr>
          <w:rFonts w:eastAsia="仿宋_GB2312"/>
          <w:color w:val="auto"/>
          <w:szCs w:val="21"/>
          <w:highlight w:val="none"/>
          <w:u w:val="single"/>
        </w:rPr>
      </w:pPr>
      <w:r>
        <w:rPr>
          <w:rFonts w:hint="eastAsia" w:eastAsia="仿宋_GB2312"/>
          <w:color w:val="auto"/>
          <w:szCs w:val="21"/>
          <w:highlight w:val="none"/>
          <w:u w:val="single"/>
        </w:rPr>
        <w:t xml:space="preserve">                                                    </w:t>
      </w:r>
    </w:p>
    <w:p w14:paraId="53666EA9">
      <w:pPr>
        <w:spacing w:after="120" w:line="360" w:lineRule="auto"/>
        <w:ind w:firstLine="420" w:firstLineChars="200"/>
        <w:rPr>
          <w:rFonts w:eastAsia="黑体"/>
          <w:color w:val="auto"/>
          <w:szCs w:val="21"/>
          <w:highlight w:val="none"/>
        </w:rPr>
      </w:pPr>
      <w:r>
        <w:rPr>
          <w:rFonts w:eastAsia="黑体"/>
          <w:color w:val="auto"/>
          <w:szCs w:val="21"/>
          <w:highlight w:val="none"/>
        </w:rPr>
        <w:t>1</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Start w:id="858" w:name="_Toc300934993"/>
      <w:bookmarkStart w:id="859" w:name="_Toc296944536"/>
      <w:bookmarkStart w:id="860" w:name="_Toc292559402"/>
      <w:bookmarkStart w:id="861" w:name="_Toc296347196"/>
      <w:bookmarkStart w:id="862" w:name="_Toc297123544"/>
      <w:bookmarkStart w:id="863" w:name="_Toc297120497"/>
      <w:bookmarkStart w:id="864" w:name="_Toc303539150"/>
      <w:bookmarkStart w:id="865" w:name="_Toc296891237"/>
      <w:bookmarkStart w:id="866" w:name="_Toc296503197"/>
      <w:bookmarkStart w:id="867" w:name="_Toc297216203"/>
      <w:bookmarkStart w:id="868" w:name="_Toc292559907"/>
      <w:bookmarkStart w:id="869" w:name="_Toc296346698"/>
      <w:bookmarkStart w:id="870" w:name="_Toc297048383"/>
      <w:bookmarkStart w:id="871" w:name="_Toc296891025"/>
      <w:bookmarkStart w:id="872" w:name="_Toc312678029"/>
      <w:bookmarkStart w:id="873" w:name="_Toc304295570"/>
      <w:bookmarkStart w:id="874" w:name="_Toc312677503"/>
      <w:r>
        <w:rPr>
          <w:rFonts w:eastAsia="黑体"/>
          <w:color w:val="auto"/>
          <w:szCs w:val="21"/>
          <w:highlight w:val="none"/>
        </w:rPr>
        <w:t>0.5承</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Start w:id="875" w:name="_Toc296346704"/>
      <w:bookmarkStart w:id="876" w:name="_Toc297048389"/>
      <w:bookmarkStart w:id="877" w:name="_Toc296347202"/>
      <w:bookmarkStart w:id="878" w:name="_Toc292559408"/>
      <w:bookmarkStart w:id="879" w:name="_Toc296891031"/>
      <w:bookmarkStart w:id="880" w:name="_Toc296503203"/>
      <w:bookmarkStart w:id="881" w:name="_Toc297216204"/>
      <w:bookmarkStart w:id="882" w:name="_Toc297120503"/>
      <w:bookmarkStart w:id="883" w:name="_Toc296944542"/>
      <w:bookmarkStart w:id="884" w:name="_Toc296891243"/>
      <w:bookmarkStart w:id="885" w:name="_Toc297123545"/>
      <w:bookmarkStart w:id="886" w:name="_Toc300934994"/>
      <w:bookmarkStart w:id="887" w:name="_Toc303539151"/>
      <w:bookmarkStart w:id="888" w:name="_Toc292559913"/>
      <w:r>
        <w:rPr>
          <w:rFonts w:eastAsia="黑体"/>
          <w:color w:val="auto"/>
          <w:szCs w:val="21"/>
          <w:highlight w:val="none"/>
        </w:rPr>
        <w:t>包人的合理化建议</w:t>
      </w:r>
    </w:p>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14:paraId="1BB023C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监理人审查承包人合理化建议的期限：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4F58A59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发包人审批承包人合理化建议的期限：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16D46838">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承</w:t>
      </w:r>
      <w:bookmarkStart w:id="889" w:name="_Toc292559409"/>
      <w:bookmarkStart w:id="890" w:name="_Toc296346705"/>
      <w:bookmarkStart w:id="891" w:name="_Toc296503204"/>
      <w:bookmarkStart w:id="892" w:name="_Toc312678030"/>
      <w:bookmarkStart w:id="893" w:name="_Toc297120504"/>
      <w:bookmarkStart w:id="894" w:name="_Toc292559914"/>
      <w:bookmarkStart w:id="895" w:name="_Toc304295571"/>
      <w:bookmarkStart w:id="896" w:name="_Toc297216205"/>
      <w:bookmarkStart w:id="897" w:name="_Toc312677504"/>
      <w:bookmarkStart w:id="898" w:name="_Toc303539152"/>
      <w:bookmarkStart w:id="899" w:name="_Toc300934995"/>
      <w:bookmarkStart w:id="900" w:name="_Toc318581175"/>
      <w:bookmarkStart w:id="901" w:name="_Toc297123546"/>
      <w:bookmarkStart w:id="902" w:name="_Toc296944543"/>
      <w:bookmarkStart w:id="903" w:name="_Toc296891032"/>
      <w:bookmarkStart w:id="904" w:name="_Toc296347203"/>
      <w:bookmarkStart w:id="905" w:name="_Toc297048390"/>
      <w:bookmarkStart w:id="906" w:name="_Toc296891244"/>
      <w:r>
        <w:rPr>
          <w:rFonts w:eastAsia="仿宋_GB2312"/>
          <w:color w:val="auto"/>
          <w:szCs w:val="21"/>
          <w:highlight w:val="none"/>
        </w:rPr>
        <w:t>包人提出的合理化建议降低了合同价格或者提高了工程经济效益的奖励的方法和金额为：</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14:paraId="6DAEFD30">
      <w:pPr>
        <w:spacing w:after="120" w:line="360" w:lineRule="auto"/>
        <w:ind w:firstLine="420" w:firstLineChars="200"/>
        <w:rPr>
          <w:rFonts w:eastAsia="黑体"/>
          <w:color w:val="auto"/>
          <w:szCs w:val="21"/>
          <w:highlight w:val="none"/>
        </w:rPr>
      </w:pPr>
      <w:r>
        <w:rPr>
          <w:rFonts w:eastAsia="黑体"/>
          <w:color w:val="auto"/>
          <w:szCs w:val="21"/>
          <w:highlight w:val="none"/>
        </w:rPr>
        <w:t>1</w:t>
      </w:r>
      <w:bookmarkStart w:id="907" w:name="_Toc296891027"/>
      <w:bookmarkStart w:id="908" w:name="_Toc300934997"/>
      <w:bookmarkStart w:id="909" w:name="_Toc297123548"/>
      <w:bookmarkStart w:id="910" w:name="_Toc312678033"/>
      <w:bookmarkStart w:id="911" w:name="_Toc303539154"/>
      <w:bookmarkStart w:id="912" w:name="_Toc292559404"/>
      <w:bookmarkStart w:id="913" w:name="_Toc292559909"/>
      <w:bookmarkStart w:id="914" w:name="_Toc312677507"/>
      <w:bookmarkStart w:id="915" w:name="_Toc297048385"/>
      <w:bookmarkStart w:id="916" w:name="_Toc296346700"/>
      <w:bookmarkStart w:id="917" w:name="_Toc297216207"/>
      <w:bookmarkStart w:id="918" w:name="_Toc304295574"/>
      <w:bookmarkStart w:id="919" w:name="_Toc296944538"/>
      <w:bookmarkStart w:id="920" w:name="_Toc296503199"/>
      <w:bookmarkStart w:id="921" w:name="_Toc296891239"/>
      <w:bookmarkStart w:id="922" w:name="_Toc297120499"/>
      <w:bookmarkStart w:id="923" w:name="_Toc296347198"/>
      <w:r>
        <w:rPr>
          <w:rFonts w:eastAsia="黑体"/>
          <w:color w:val="auto"/>
          <w:szCs w:val="21"/>
          <w:highlight w:val="none"/>
        </w:rPr>
        <w:t xml:space="preserve">0.7 </w:t>
      </w:r>
      <w:r>
        <w:rPr>
          <w:rFonts w:hint="eastAsia" w:eastAsia="黑体"/>
          <w:color w:val="auto"/>
          <w:szCs w:val="21"/>
          <w:highlight w:val="none"/>
        </w:rPr>
        <w:t>暂估价</w:t>
      </w:r>
    </w:p>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14:paraId="6D341A43">
      <w:pPr>
        <w:spacing w:line="360" w:lineRule="auto"/>
        <w:ind w:firstLine="420" w:firstLineChars="200"/>
        <w:jc w:val="left"/>
        <w:rPr>
          <w:rFonts w:eastAsia="仿宋_GB2312"/>
          <w:color w:val="auto"/>
          <w:szCs w:val="21"/>
          <w:highlight w:val="none"/>
        </w:rPr>
      </w:pPr>
      <w:bookmarkStart w:id="924" w:name="_Toc318581176"/>
      <w:bookmarkStart w:id="925" w:name="_Toc312678034"/>
      <w:bookmarkStart w:id="926" w:name="_Toc312677508"/>
      <w:r>
        <w:rPr>
          <w:rFonts w:hint="eastAsia" w:eastAsia="仿宋_GB2312"/>
          <w:color w:val="auto"/>
          <w:kern w:val="0"/>
          <w:szCs w:val="21"/>
          <w:highlight w:val="none"/>
        </w:rPr>
        <w:t>暂估价</w:t>
      </w:r>
      <w:r>
        <w:rPr>
          <w:rFonts w:eastAsia="仿宋_GB2312"/>
          <w:color w:val="auto"/>
          <w:kern w:val="0"/>
          <w:szCs w:val="21"/>
          <w:highlight w:val="none"/>
        </w:rPr>
        <w:t>材料和工程设备的明细详见附件</w:t>
      </w:r>
      <w:r>
        <w:rPr>
          <w:rFonts w:hint="eastAsia" w:eastAsia="仿宋_GB2312"/>
          <w:color w:val="auto"/>
          <w:kern w:val="0"/>
          <w:szCs w:val="21"/>
          <w:highlight w:val="none"/>
        </w:rPr>
        <w:t>11：《</w:t>
      </w:r>
      <w:r>
        <w:rPr>
          <w:rFonts w:hint="eastAsia" w:eastAsia="仿宋_GB2312"/>
          <w:color w:val="auto"/>
          <w:szCs w:val="21"/>
          <w:highlight w:val="none"/>
        </w:rPr>
        <w:t>暂估价</w:t>
      </w:r>
      <w:r>
        <w:rPr>
          <w:rFonts w:eastAsia="仿宋_GB2312"/>
          <w:color w:val="auto"/>
          <w:szCs w:val="21"/>
          <w:highlight w:val="none"/>
        </w:rPr>
        <w:t>一览表</w:t>
      </w:r>
      <w:r>
        <w:rPr>
          <w:rFonts w:hint="eastAsia" w:eastAsia="仿宋_GB2312"/>
          <w:color w:val="auto"/>
          <w:szCs w:val="21"/>
          <w:highlight w:val="none"/>
        </w:rPr>
        <w:t>》</w:t>
      </w:r>
      <w:r>
        <w:rPr>
          <w:rFonts w:hint="eastAsia" w:eastAsia="仿宋_GB2312"/>
          <w:color w:val="auto"/>
          <w:kern w:val="0"/>
          <w:szCs w:val="21"/>
          <w:highlight w:val="none"/>
        </w:rPr>
        <w:t>。</w:t>
      </w:r>
    </w:p>
    <w:bookmarkEnd w:id="924"/>
    <w:bookmarkEnd w:id="925"/>
    <w:bookmarkEnd w:id="926"/>
    <w:p w14:paraId="02E0780D">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w:t>
      </w:r>
      <w:bookmarkStart w:id="927" w:name="_Toc312678035"/>
      <w:bookmarkStart w:id="928" w:name="_Toc318581177"/>
      <w:bookmarkStart w:id="929" w:name="_Toc312677509"/>
      <w:r>
        <w:rPr>
          <w:rFonts w:eastAsia="仿宋_GB2312"/>
          <w:color w:val="auto"/>
          <w:szCs w:val="21"/>
          <w:highlight w:val="none"/>
        </w:rPr>
        <w:t>0.7.1 依法必须招标的</w:t>
      </w:r>
      <w:r>
        <w:rPr>
          <w:rFonts w:hint="eastAsia" w:eastAsia="仿宋_GB2312"/>
          <w:color w:val="auto"/>
          <w:szCs w:val="21"/>
          <w:highlight w:val="none"/>
        </w:rPr>
        <w:t>暂估价</w:t>
      </w:r>
      <w:r>
        <w:rPr>
          <w:rFonts w:eastAsia="仿宋_GB2312"/>
          <w:color w:val="auto"/>
          <w:szCs w:val="21"/>
          <w:highlight w:val="none"/>
        </w:rPr>
        <w:t>项目</w:t>
      </w:r>
    </w:p>
    <w:bookmarkEnd w:id="927"/>
    <w:bookmarkEnd w:id="928"/>
    <w:bookmarkEnd w:id="929"/>
    <w:p w14:paraId="786A3A0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对于依法必须招标的</w:t>
      </w:r>
      <w:r>
        <w:rPr>
          <w:rFonts w:hint="eastAsia" w:eastAsia="仿宋_GB2312"/>
          <w:color w:val="auto"/>
          <w:szCs w:val="21"/>
          <w:highlight w:val="none"/>
        </w:rPr>
        <w:t>暂估价</w:t>
      </w:r>
      <w:r>
        <w:rPr>
          <w:rFonts w:eastAsia="仿宋_GB2312"/>
          <w:color w:val="auto"/>
          <w:szCs w:val="21"/>
          <w:highlight w:val="none"/>
        </w:rPr>
        <w:t>项目的确认和批准采取第</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种方式确定。</w:t>
      </w:r>
    </w:p>
    <w:p w14:paraId="1E40037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10.7.2 不属于依法必须招标的</w:t>
      </w:r>
      <w:r>
        <w:rPr>
          <w:rFonts w:hint="eastAsia" w:eastAsia="仿宋_GB2312"/>
          <w:color w:val="auto"/>
          <w:szCs w:val="21"/>
          <w:highlight w:val="none"/>
        </w:rPr>
        <w:t>暂估价</w:t>
      </w:r>
      <w:r>
        <w:rPr>
          <w:rFonts w:eastAsia="仿宋_GB2312"/>
          <w:color w:val="auto"/>
          <w:szCs w:val="21"/>
          <w:highlight w:val="none"/>
        </w:rPr>
        <w:t>项目</w:t>
      </w:r>
    </w:p>
    <w:p w14:paraId="18D0F71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对于不属于依法必须招标的</w:t>
      </w:r>
      <w:r>
        <w:rPr>
          <w:rFonts w:hint="eastAsia" w:eastAsia="仿宋_GB2312"/>
          <w:color w:val="auto"/>
          <w:szCs w:val="21"/>
          <w:highlight w:val="none"/>
        </w:rPr>
        <w:t>暂估价</w:t>
      </w:r>
      <w:r>
        <w:rPr>
          <w:rFonts w:eastAsia="仿宋_GB2312"/>
          <w:color w:val="auto"/>
          <w:szCs w:val="21"/>
          <w:highlight w:val="none"/>
        </w:rPr>
        <w:t>项目的确认和批准采取第</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 xml:space="preserve"> 种方式确定。</w:t>
      </w:r>
    </w:p>
    <w:p w14:paraId="23A51769">
      <w:pPr>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第3种方式：</w:t>
      </w:r>
      <w:r>
        <w:rPr>
          <w:rFonts w:eastAsia="仿宋_GB2312"/>
          <w:color w:val="auto"/>
          <w:kern w:val="0"/>
          <w:szCs w:val="21"/>
          <w:highlight w:val="none"/>
        </w:rPr>
        <w:t>承包人直接实施的</w:t>
      </w:r>
      <w:r>
        <w:rPr>
          <w:rFonts w:hint="eastAsia" w:eastAsia="仿宋_GB2312"/>
          <w:color w:val="auto"/>
          <w:kern w:val="0"/>
          <w:szCs w:val="21"/>
          <w:highlight w:val="none"/>
        </w:rPr>
        <w:t>暂估价</w:t>
      </w:r>
      <w:r>
        <w:rPr>
          <w:rFonts w:eastAsia="仿宋_GB2312"/>
          <w:color w:val="auto"/>
          <w:kern w:val="0"/>
          <w:szCs w:val="21"/>
          <w:highlight w:val="none"/>
        </w:rPr>
        <w:t>项目</w:t>
      </w:r>
    </w:p>
    <w:p w14:paraId="0F7FE50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承包人直接实施的</w:t>
      </w:r>
      <w:r>
        <w:rPr>
          <w:rFonts w:hint="eastAsia" w:eastAsia="仿宋_GB2312"/>
          <w:color w:val="auto"/>
          <w:szCs w:val="21"/>
          <w:highlight w:val="none"/>
        </w:rPr>
        <w:t>暂估价</w:t>
      </w:r>
      <w:r>
        <w:rPr>
          <w:rFonts w:eastAsia="仿宋_GB2312"/>
          <w:color w:val="auto"/>
          <w:szCs w:val="21"/>
          <w:highlight w:val="none"/>
        </w:rPr>
        <w:t>项目的约定：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3880D9E9">
      <w:pPr>
        <w:spacing w:after="120" w:line="360" w:lineRule="auto"/>
        <w:ind w:firstLine="420" w:firstLineChars="200"/>
        <w:rPr>
          <w:rFonts w:eastAsia="黑体"/>
          <w:color w:val="auto"/>
          <w:szCs w:val="21"/>
          <w:highlight w:val="none"/>
        </w:rPr>
      </w:pPr>
      <w:r>
        <w:rPr>
          <w:rFonts w:eastAsia="黑体"/>
          <w:color w:val="auto"/>
          <w:szCs w:val="21"/>
          <w:highlight w:val="none"/>
        </w:rPr>
        <w:t>10.8 暂列金额</w:t>
      </w:r>
    </w:p>
    <w:p w14:paraId="4234A03A">
      <w:pPr>
        <w:autoSpaceDE w:val="0"/>
        <w:autoSpaceDN w:val="0"/>
        <w:adjustRightInd w:val="0"/>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合同当事人关于暂列金额使用的约定：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hint="eastAsia" w:eastAsia="仿宋_GB2312"/>
          <w:color w:val="auto"/>
          <w:kern w:val="0"/>
          <w:szCs w:val="21"/>
          <w:highlight w:val="none"/>
        </w:rPr>
        <w:t>。</w:t>
      </w:r>
    </w:p>
    <w:p w14:paraId="77F3B014">
      <w:pPr>
        <w:pStyle w:val="3"/>
        <w:ind w:firstLine="1680"/>
        <w:rPr>
          <w:rFonts w:ascii="Times New Roman" w:hAnsi="Times New Roman"/>
          <w:color w:val="auto"/>
          <w:sz w:val="21"/>
          <w:szCs w:val="21"/>
          <w:highlight w:val="none"/>
        </w:rPr>
      </w:pPr>
      <w:bookmarkStart w:id="930" w:name="_Toc27445"/>
      <w:r>
        <w:rPr>
          <w:rFonts w:ascii="Times New Roman" w:hAnsi="Times New Roman"/>
          <w:color w:val="auto"/>
          <w:sz w:val="21"/>
          <w:szCs w:val="21"/>
          <w:highlight w:val="none"/>
        </w:rPr>
        <w:t>11. 价格调整</w:t>
      </w:r>
      <w:bookmarkEnd w:id="930"/>
    </w:p>
    <w:p w14:paraId="5AB6D564">
      <w:pPr>
        <w:spacing w:after="120" w:line="360" w:lineRule="auto"/>
        <w:ind w:firstLine="420" w:firstLineChars="200"/>
        <w:rPr>
          <w:rFonts w:eastAsia="黑体"/>
          <w:color w:val="auto"/>
          <w:szCs w:val="21"/>
          <w:highlight w:val="none"/>
        </w:rPr>
      </w:pPr>
      <w:bookmarkStart w:id="931" w:name="_Toc296347200"/>
      <w:bookmarkStart w:id="932" w:name="_Toc303539157"/>
      <w:bookmarkStart w:id="933" w:name="_Toc296891241"/>
      <w:bookmarkStart w:id="934" w:name="_Toc292559406"/>
      <w:bookmarkStart w:id="935" w:name="_Toc297216209"/>
      <w:bookmarkStart w:id="936" w:name="_Toc297048387"/>
      <w:bookmarkStart w:id="937" w:name="_Toc297120501"/>
      <w:bookmarkStart w:id="938" w:name="_Toc296944540"/>
      <w:bookmarkStart w:id="939" w:name="_Toc300935000"/>
      <w:bookmarkStart w:id="940" w:name="_Toc296503201"/>
      <w:bookmarkStart w:id="941" w:name="_Toc292559911"/>
      <w:bookmarkStart w:id="942" w:name="_Toc296346702"/>
      <w:bookmarkStart w:id="943" w:name="_Toc304295577"/>
      <w:bookmarkStart w:id="944" w:name="_Toc297123550"/>
      <w:bookmarkStart w:id="945" w:name="_Toc296891029"/>
      <w:bookmarkStart w:id="946" w:name="_Toc312678039"/>
      <w:r>
        <w:rPr>
          <w:rFonts w:eastAsia="黑体"/>
          <w:color w:val="auto"/>
          <w:szCs w:val="21"/>
          <w:highlight w:val="none"/>
        </w:rPr>
        <w:t>11.1 市场价格波动引起的调整</w:t>
      </w:r>
    </w:p>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14:paraId="33254D59">
      <w:pPr>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市场价格波动是否调整合同价格的约定：</w:t>
      </w:r>
      <w:r>
        <w:rPr>
          <w:rFonts w:eastAsia="仿宋_GB2312"/>
          <w:color w:val="auto"/>
          <w:szCs w:val="21"/>
          <w:highlight w:val="none"/>
          <w:u w:val="single"/>
        </w:rPr>
        <w:t xml:space="preserve">            </w:t>
      </w:r>
      <w:r>
        <w:rPr>
          <w:rFonts w:eastAsia="仿宋_GB2312"/>
          <w:color w:val="auto"/>
          <w:szCs w:val="21"/>
          <w:highlight w:val="none"/>
        </w:rPr>
        <w:t>。</w:t>
      </w:r>
    </w:p>
    <w:p w14:paraId="3915180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因市场价格波动调整合同价格，采用以下第</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种方式对合同价格进行调整：</w:t>
      </w:r>
    </w:p>
    <w:p w14:paraId="79470C45">
      <w:pPr>
        <w:spacing w:line="360" w:lineRule="auto"/>
        <w:ind w:firstLine="420" w:firstLineChars="200"/>
        <w:jc w:val="left"/>
        <w:rPr>
          <w:rFonts w:eastAsia="仿宋_GB2312"/>
          <w:color w:val="auto"/>
          <w:szCs w:val="21"/>
          <w:highlight w:val="none"/>
        </w:rPr>
      </w:pPr>
      <w:r>
        <w:rPr>
          <w:rFonts w:eastAsia="仿宋_GB2312"/>
          <w:color w:val="auto"/>
          <w:szCs w:val="21"/>
          <w:highlight w:val="none"/>
        </w:rPr>
        <w:t>第1种方式：采用价格指数</w:t>
      </w:r>
      <w:r>
        <w:rPr>
          <w:rFonts w:hint="eastAsia" w:eastAsia="仿宋_GB2312"/>
          <w:color w:val="auto"/>
          <w:szCs w:val="21"/>
          <w:highlight w:val="none"/>
        </w:rPr>
        <w:t>进行价格</w:t>
      </w:r>
      <w:r>
        <w:rPr>
          <w:rFonts w:eastAsia="仿宋_GB2312"/>
          <w:color w:val="auto"/>
          <w:szCs w:val="21"/>
          <w:highlight w:val="none"/>
        </w:rPr>
        <w:t>调整。</w:t>
      </w:r>
    </w:p>
    <w:p w14:paraId="35AEA376">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关于各可调因子、定值和变值权重，以及基本价格指数及其来源的约定：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 xml:space="preserve">；  </w:t>
      </w:r>
    </w:p>
    <w:p w14:paraId="07C1AB0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第2种方式：采用造价信息</w:t>
      </w:r>
      <w:r>
        <w:rPr>
          <w:rFonts w:hint="eastAsia" w:eastAsia="仿宋_GB2312"/>
          <w:color w:val="auto"/>
          <w:szCs w:val="21"/>
          <w:highlight w:val="none"/>
        </w:rPr>
        <w:t>进行价格</w:t>
      </w:r>
      <w:r>
        <w:rPr>
          <w:rFonts w:eastAsia="仿宋_GB2312"/>
          <w:color w:val="auto"/>
          <w:szCs w:val="21"/>
          <w:highlight w:val="none"/>
        </w:rPr>
        <w:t>调整。</w:t>
      </w:r>
    </w:p>
    <w:p w14:paraId="2BCAF81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（2）关于基准价格的约定：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49D892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专用合同条款</w:t>
      </w:r>
      <w:r>
        <w:rPr>
          <w:rFonts w:hint="eastAsia" w:ascii="宋体" w:hAnsi="宋体" w:cs="宋体"/>
          <w:color w:val="auto"/>
          <w:szCs w:val="21"/>
          <w:highlight w:val="none"/>
        </w:rPr>
        <w:t>①</w:t>
      </w:r>
      <w:r>
        <w:rPr>
          <w:rFonts w:eastAsia="仿宋_GB2312"/>
          <w:color w:val="auto"/>
          <w:szCs w:val="21"/>
          <w:highlight w:val="none"/>
        </w:rPr>
        <w:t>承包人在已标价工程量清单或预算书中载明的材料单价低于基准价格的：专用合同条款合同履行期间材料单价涨幅以基准价格为基础超过</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%时，或材料单价跌幅以已标价工程量清单或预算书中载明材料单价为基础超过</w:t>
      </w:r>
      <w:r>
        <w:rPr>
          <w:rFonts w:hint="eastAsia" w:eastAsia="仿宋_GB2312"/>
          <w:color w:val="auto"/>
          <w:szCs w:val="21"/>
          <w:highlight w:val="none"/>
          <w:u w:val="single"/>
        </w:rPr>
        <w:t xml:space="preserve">   </w:t>
      </w:r>
      <w:r>
        <w:rPr>
          <w:rFonts w:eastAsia="仿宋_GB2312"/>
          <w:color w:val="auto"/>
          <w:szCs w:val="21"/>
          <w:highlight w:val="none"/>
        </w:rPr>
        <w:t>%时，其超过部分据实调整。</w:t>
      </w:r>
    </w:p>
    <w:p w14:paraId="4AA3EA2C">
      <w:pPr>
        <w:spacing w:line="360" w:lineRule="auto"/>
        <w:ind w:firstLine="420" w:firstLineChars="200"/>
        <w:jc w:val="left"/>
        <w:rPr>
          <w:rFonts w:eastAsia="仿宋_GB2312"/>
          <w:color w:val="auto"/>
          <w:szCs w:val="21"/>
          <w:highlight w:val="none"/>
        </w:rPr>
      </w:pPr>
      <w:r>
        <w:rPr>
          <w:rFonts w:hint="eastAsia" w:ascii="宋体" w:hAnsi="宋体" w:cs="宋体"/>
          <w:color w:val="auto"/>
          <w:szCs w:val="21"/>
          <w:highlight w:val="none"/>
        </w:rPr>
        <w:t>②</w:t>
      </w:r>
      <w:r>
        <w:rPr>
          <w:rFonts w:eastAsia="仿宋_GB2312"/>
          <w:color w:val="auto"/>
          <w:szCs w:val="21"/>
          <w:highlight w:val="none"/>
        </w:rPr>
        <w:t>承包人在已标价工程量清单或预算书中载明的材料单价高于基准价格的：专用合同条款合同履行期间材料单价跌幅以基准价格为基础超过</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%时，材料单价涨幅以已标价工程量清单或预算书中载明材料单价为基础超过</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%时，其超过部分据实调整。</w:t>
      </w:r>
    </w:p>
    <w:p w14:paraId="0D5B72A1">
      <w:pPr>
        <w:spacing w:line="360" w:lineRule="auto"/>
        <w:ind w:firstLine="1687"/>
        <w:jc w:val="left"/>
        <w:rPr>
          <w:rFonts w:eastAsia="仿宋_GB2312"/>
          <w:color w:val="auto"/>
          <w:szCs w:val="21"/>
          <w:highlight w:val="none"/>
        </w:rPr>
      </w:pPr>
      <w:r>
        <w:rPr>
          <w:rFonts w:hint="eastAsia" w:ascii="宋体" w:hAnsi="宋体" w:cs="宋体"/>
          <w:color w:val="auto"/>
          <w:szCs w:val="21"/>
          <w:highlight w:val="none"/>
        </w:rPr>
        <w:t>③</w:t>
      </w:r>
      <w:r>
        <w:rPr>
          <w:rFonts w:eastAsia="仿宋_GB2312"/>
          <w:color w:val="auto"/>
          <w:szCs w:val="21"/>
          <w:highlight w:val="none"/>
        </w:rPr>
        <w:t>承包人在已标价工程量清单或预算书中载明的材料单价等于基准单价的：专用合同条款合同履行期间材料单价涨跌幅以基准单价为基础超过±</w:t>
      </w:r>
      <w:r>
        <w:rPr>
          <w:rFonts w:eastAsia="仿宋_GB2312"/>
          <w:color w:val="auto"/>
          <w:szCs w:val="21"/>
          <w:highlight w:val="none"/>
          <w:u w:val="single"/>
        </w:rPr>
        <w:t xml:space="preserve"> </w:t>
      </w:r>
      <w:r>
        <w:rPr>
          <w:rFonts w:hint="eastAsia" w:eastAsia="仿宋_GB2312"/>
          <w:color w:val="auto"/>
          <w:szCs w:val="21"/>
          <w:highlight w:val="none"/>
          <w:u w:val="single"/>
        </w:rPr>
        <w:t>5</w:t>
      </w:r>
      <w:r>
        <w:rPr>
          <w:rFonts w:eastAsia="仿宋_GB2312"/>
          <w:color w:val="auto"/>
          <w:szCs w:val="21"/>
          <w:highlight w:val="none"/>
          <w:u w:val="single"/>
        </w:rPr>
        <w:t xml:space="preserve"> </w:t>
      </w:r>
      <w:r>
        <w:rPr>
          <w:rFonts w:eastAsia="仿宋_GB2312"/>
          <w:color w:val="auto"/>
          <w:szCs w:val="21"/>
          <w:highlight w:val="none"/>
        </w:rPr>
        <w:t>%时，其超过部分据实调整。</w:t>
      </w:r>
    </w:p>
    <w:p w14:paraId="08493966">
      <w:pPr>
        <w:spacing w:line="360" w:lineRule="auto"/>
        <w:ind w:firstLine="420" w:firstLineChars="200"/>
        <w:jc w:val="left"/>
        <w:rPr>
          <w:rFonts w:eastAsia="仿宋_GB2312"/>
          <w:color w:val="auto"/>
          <w:szCs w:val="21"/>
          <w:highlight w:val="none"/>
        </w:rPr>
      </w:pPr>
      <w:r>
        <w:rPr>
          <w:rFonts w:eastAsia="仿宋_GB2312"/>
          <w:color w:val="auto"/>
          <w:szCs w:val="21"/>
          <w:highlight w:val="none"/>
        </w:rPr>
        <w:t>第3种方式：其他价格调整方式：</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bookmarkEnd w:id="834"/>
    <w:bookmarkEnd w:id="835"/>
    <w:bookmarkEnd w:id="836"/>
    <w:bookmarkEnd w:id="837"/>
    <w:bookmarkEnd w:id="838"/>
    <w:bookmarkEnd w:id="839"/>
    <w:p w14:paraId="7C2BA64A">
      <w:pPr>
        <w:pStyle w:val="3"/>
        <w:ind w:firstLine="1680"/>
        <w:rPr>
          <w:rFonts w:ascii="Times New Roman" w:hAnsi="Times New Roman"/>
          <w:color w:val="auto"/>
          <w:sz w:val="21"/>
          <w:szCs w:val="21"/>
          <w:highlight w:val="none"/>
        </w:rPr>
      </w:pPr>
      <w:bookmarkStart w:id="947" w:name="_Toc297120505"/>
      <w:bookmarkStart w:id="948" w:name="_Toc292559915"/>
      <w:bookmarkStart w:id="949" w:name="_Toc296346706"/>
      <w:bookmarkStart w:id="950" w:name="_Toc296347204"/>
      <w:bookmarkStart w:id="951" w:name="_Toc296891033"/>
      <w:bookmarkStart w:id="952" w:name="_Toc297048391"/>
      <w:bookmarkStart w:id="953" w:name="_Toc296503205"/>
      <w:bookmarkStart w:id="954" w:name="_Toc292559410"/>
      <w:bookmarkStart w:id="955" w:name="_Toc296891245"/>
      <w:bookmarkStart w:id="956" w:name="_Toc296944544"/>
      <w:bookmarkStart w:id="957" w:name="_Toc29088"/>
      <w:bookmarkStart w:id="958" w:name="_Toc312678040"/>
      <w:bookmarkStart w:id="959" w:name="_Toc297216211"/>
      <w:bookmarkStart w:id="960" w:name="_Toc303539159"/>
      <w:bookmarkStart w:id="961" w:name="_Toc297123552"/>
      <w:bookmarkStart w:id="962" w:name="_Toc304295579"/>
      <w:bookmarkStart w:id="963" w:name="_Toc300935002"/>
      <w:r>
        <w:rPr>
          <w:rFonts w:ascii="Times New Roman" w:hAnsi="Times New Roman"/>
          <w:color w:val="auto"/>
          <w:sz w:val="21"/>
          <w:szCs w:val="21"/>
          <w:highlight w:val="none"/>
        </w:rPr>
        <w:t xml:space="preserve">12. </w:t>
      </w:r>
      <w:bookmarkEnd w:id="947"/>
      <w:bookmarkEnd w:id="948"/>
      <w:bookmarkEnd w:id="949"/>
      <w:bookmarkEnd w:id="950"/>
      <w:bookmarkEnd w:id="951"/>
      <w:bookmarkEnd w:id="952"/>
      <w:bookmarkEnd w:id="953"/>
      <w:bookmarkEnd w:id="954"/>
      <w:bookmarkEnd w:id="955"/>
      <w:bookmarkEnd w:id="956"/>
      <w:r>
        <w:rPr>
          <w:rFonts w:ascii="Times New Roman" w:hAnsi="Times New Roman"/>
          <w:color w:val="auto"/>
          <w:sz w:val="21"/>
          <w:szCs w:val="21"/>
          <w:highlight w:val="none"/>
        </w:rPr>
        <w:t>合同价格、计量与支付</w:t>
      </w:r>
      <w:bookmarkEnd w:id="957"/>
    </w:p>
    <w:bookmarkEnd w:id="958"/>
    <w:bookmarkEnd w:id="959"/>
    <w:bookmarkEnd w:id="960"/>
    <w:bookmarkEnd w:id="961"/>
    <w:bookmarkEnd w:id="962"/>
    <w:bookmarkEnd w:id="963"/>
    <w:p w14:paraId="3197537A">
      <w:pPr>
        <w:spacing w:after="120" w:line="360" w:lineRule="auto"/>
        <w:ind w:firstLine="420" w:firstLineChars="200"/>
        <w:rPr>
          <w:rFonts w:eastAsia="黑体"/>
          <w:color w:val="auto"/>
          <w:szCs w:val="21"/>
          <w:highlight w:val="none"/>
        </w:rPr>
      </w:pPr>
      <w:bookmarkStart w:id="964" w:name="_Toc292559916"/>
      <w:bookmarkStart w:id="965" w:name="_Toc267251461"/>
      <w:bookmarkStart w:id="966" w:name="_Toc292559411"/>
      <w:bookmarkStart w:id="967" w:name="_Toc296944545"/>
      <w:bookmarkStart w:id="968" w:name="_Toc296891246"/>
      <w:bookmarkStart w:id="969" w:name="_Toc297120506"/>
      <w:bookmarkStart w:id="970" w:name="_Toc296347205"/>
      <w:bookmarkStart w:id="971" w:name="_Toc296503206"/>
      <w:bookmarkStart w:id="972" w:name="_Toc296346707"/>
      <w:bookmarkStart w:id="973" w:name="_Toc297048392"/>
      <w:bookmarkStart w:id="974" w:name="_Toc296891034"/>
      <w:bookmarkStart w:id="975" w:name="_Toc297216212"/>
      <w:bookmarkStart w:id="976" w:name="_Toc297123553"/>
      <w:bookmarkStart w:id="977" w:name="_Toc312678041"/>
      <w:bookmarkStart w:id="978" w:name="_Toc303539160"/>
      <w:bookmarkStart w:id="979" w:name="_Toc304295580"/>
      <w:bookmarkStart w:id="980" w:name="_Toc300935003"/>
      <w:r>
        <w:rPr>
          <w:rFonts w:eastAsia="黑体"/>
          <w:color w:val="auto"/>
          <w:szCs w:val="21"/>
          <w:highlight w:val="none"/>
        </w:rPr>
        <w:t>12.1 合</w:t>
      </w:r>
      <w:bookmarkEnd w:id="964"/>
      <w:bookmarkEnd w:id="965"/>
      <w:bookmarkEnd w:id="966"/>
      <w:r>
        <w:rPr>
          <w:rFonts w:eastAsia="黑体"/>
          <w:color w:val="auto"/>
          <w:szCs w:val="21"/>
          <w:highlight w:val="none"/>
        </w:rPr>
        <w:t>同价</w:t>
      </w:r>
      <w:bookmarkEnd w:id="967"/>
      <w:bookmarkEnd w:id="968"/>
      <w:bookmarkEnd w:id="969"/>
      <w:bookmarkEnd w:id="970"/>
      <w:bookmarkEnd w:id="971"/>
      <w:bookmarkEnd w:id="972"/>
      <w:bookmarkEnd w:id="973"/>
      <w:bookmarkEnd w:id="974"/>
      <w:r>
        <w:rPr>
          <w:rFonts w:eastAsia="黑体"/>
          <w:color w:val="auto"/>
          <w:szCs w:val="21"/>
          <w:highlight w:val="none"/>
        </w:rPr>
        <w:t>格形式</w:t>
      </w:r>
    </w:p>
    <w:bookmarkEnd w:id="975"/>
    <w:bookmarkEnd w:id="976"/>
    <w:bookmarkEnd w:id="977"/>
    <w:bookmarkEnd w:id="978"/>
    <w:bookmarkEnd w:id="979"/>
    <w:bookmarkEnd w:id="980"/>
    <w:p w14:paraId="156A4D0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1、单价合同。</w:t>
      </w:r>
    </w:p>
    <w:p w14:paraId="2A1AF4D8">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综合单价包含的风险范围：</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p>
    <w:p w14:paraId="672FC561">
      <w:pPr>
        <w:spacing w:line="360" w:lineRule="auto"/>
        <w:ind w:firstLine="1687"/>
        <w:jc w:val="left"/>
        <w:rPr>
          <w:rFonts w:eastAsia="仿宋_GB2312"/>
          <w:color w:val="auto"/>
          <w:szCs w:val="21"/>
          <w:highlight w:val="none"/>
        </w:rPr>
      </w:pPr>
      <w:r>
        <w:rPr>
          <w:rFonts w:hint="eastAsia" w:eastAsia="仿宋_GB2312"/>
          <w:color w:val="auto"/>
          <w:szCs w:val="21"/>
          <w:highlight w:val="none"/>
          <w:u w:val="single"/>
        </w:rPr>
        <w:t xml:space="preserve">                                      </w:t>
      </w:r>
      <w:r>
        <w:rPr>
          <w:rFonts w:eastAsia="仿宋_GB2312"/>
          <w:color w:val="auto"/>
          <w:szCs w:val="21"/>
          <w:highlight w:val="none"/>
        </w:rPr>
        <w:t>。</w:t>
      </w:r>
    </w:p>
    <w:p w14:paraId="2EB3FBF2">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风险费用的计算方法：</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p>
    <w:p w14:paraId="49D5475C">
      <w:pPr>
        <w:spacing w:line="360" w:lineRule="auto"/>
        <w:ind w:firstLine="420" w:firstLineChars="200"/>
        <w:jc w:val="left"/>
        <w:rPr>
          <w:rFonts w:eastAsia="仿宋_GB2312"/>
          <w:color w:val="auto"/>
          <w:szCs w:val="21"/>
          <w:highlight w:val="none"/>
        </w:rPr>
      </w:pP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161F6319">
      <w:pPr>
        <w:spacing w:line="360" w:lineRule="auto"/>
        <w:ind w:firstLine="420" w:firstLineChars="200"/>
        <w:jc w:val="left"/>
        <w:rPr>
          <w:rFonts w:eastAsia="仿宋_GB2312"/>
          <w:color w:val="auto"/>
          <w:szCs w:val="21"/>
          <w:highlight w:val="none"/>
        </w:rPr>
      </w:pPr>
      <w:r>
        <w:rPr>
          <w:rFonts w:eastAsia="仿宋_GB2312"/>
          <w:color w:val="auto"/>
          <w:szCs w:val="21"/>
          <w:highlight w:val="none"/>
        </w:rPr>
        <w:t>风险范围以外合同价格的调整方法：</w:t>
      </w:r>
      <w:r>
        <w:rPr>
          <w:rFonts w:hint="eastAsia" w:eastAsia="仿宋_GB2312"/>
          <w:color w:val="auto"/>
          <w:szCs w:val="21"/>
          <w:highlight w:val="none"/>
          <w:u w:val="single"/>
        </w:rPr>
        <w:t xml:space="preserve">                  </w:t>
      </w:r>
      <w:r>
        <w:rPr>
          <w:rFonts w:eastAsia="仿宋_GB2312"/>
          <w:color w:val="auto"/>
          <w:szCs w:val="21"/>
          <w:highlight w:val="none"/>
        </w:rPr>
        <w:t>。</w:t>
      </w:r>
    </w:p>
    <w:p w14:paraId="4D29854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2、总价合同。</w:t>
      </w:r>
    </w:p>
    <w:p w14:paraId="4CEAF4C5">
      <w:pPr>
        <w:pStyle w:val="17"/>
        <w:snapToGrid w:val="0"/>
        <w:spacing w:line="600" w:lineRule="exact"/>
        <w:ind w:firstLineChars="200"/>
        <w:rPr>
          <w:rFonts w:eastAsia="仿宋_GB2312"/>
          <w:color w:val="auto"/>
          <w:szCs w:val="21"/>
          <w:highlight w:val="none"/>
          <w:u w:val="single"/>
        </w:rPr>
      </w:pPr>
      <w:r>
        <w:rPr>
          <w:rFonts w:eastAsia="仿宋_GB2312"/>
          <w:color w:val="auto"/>
          <w:szCs w:val="21"/>
          <w:highlight w:val="none"/>
        </w:rPr>
        <w:t>总价包含的风险范围：</w:t>
      </w:r>
      <w:r>
        <w:rPr>
          <w:rFonts w:eastAsia="仿宋_GB2312"/>
          <w:color w:val="auto"/>
          <w:szCs w:val="21"/>
          <w:highlight w:val="none"/>
          <w:u w:val="single"/>
        </w:rPr>
        <w:t xml:space="preserve">     </w:t>
      </w:r>
    </w:p>
    <w:p w14:paraId="6CBD0CB2">
      <w:pPr>
        <w:pStyle w:val="17"/>
        <w:snapToGrid w:val="0"/>
        <w:spacing w:line="600" w:lineRule="exact"/>
        <w:ind w:firstLineChars="200"/>
        <w:rPr>
          <w:rFonts w:eastAsia="仿宋_GB2312"/>
          <w:color w:val="auto"/>
          <w:szCs w:val="21"/>
          <w:highlight w:val="none"/>
          <w:u w:val="single"/>
        </w:rPr>
      </w:pPr>
      <w:r>
        <w:rPr>
          <w:rFonts w:hint="eastAsia" w:eastAsia="仿宋_GB2312"/>
          <w:color w:val="auto"/>
          <w:szCs w:val="21"/>
          <w:highlight w:val="none"/>
        </w:rPr>
        <w:t>风险费用的计算方法：</w:t>
      </w:r>
      <w:r>
        <w:rPr>
          <w:rFonts w:eastAsia="仿宋_GB2312"/>
          <w:color w:val="auto"/>
          <w:szCs w:val="21"/>
          <w:highlight w:val="none"/>
          <w:u w:val="single"/>
        </w:rPr>
        <w:t xml:space="preserve">      </w:t>
      </w:r>
    </w:p>
    <w:p w14:paraId="2B9CEE6B">
      <w:pPr>
        <w:snapToGrid w:val="0"/>
        <w:spacing w:line="600" w:lineRule="exact"/>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风险范围以外合同价格的调整方法：</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p>
    <w:p w14:paraId="3E734C1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3、其他价格方式：</w:t>
      </w:r>
      <w:r>
        <w:rPr>
          <w:rFonts w:eastAsia="仿宋_GB2312"/>
          <w:color w:val="auto"/>
          <w:szCs w:val="21"/>
          <w:highlight w:val="none"/>
          <w:u w:val="single"/>
        </w:rPr>
        <w:t xml:space="preserve">      </w:t>
      </w:r>
      <w:r>
        <w:rPr>
          <w:rFonts w:eastAsia="仿宋_GB2312"/>
          <w:color w:val="auto"/>
          <w:szCs w:val="21"/>
          <w:highlight w:val="none"/>
        </w:rPr>
        <w:t>。</w:t>
      </w:r>
    </w:p>
    <w:p w14:paraId="683C2583">
      <w:pPr>
        <w:spacing w:after="120" w:line="360" w:lineRule="auto"/>
        <w:ind w:firstLine="420" w:firstLineChars="200"/>
        <w:rPr>
          <w:rFonts w:eastAsia="黑体"/>
          <w:color w:val="auto"/>
          <w:szCs w:val="21"/>
          <w:highlight w:val="none"/>
        </w:rPr>
      </w:pPr>
      <w:bookmarkStart w:id="981" w:name="_Toc300935004"/>
      <w:bookmarkStart w:id="982" w:name="_Toc297123554"/>
      <w:bookmarkStart w:id="983" w:name="_Toc297216213"/>
      <w:bookmarkStart w:id="984" w:name="_Toc304295581"/>
      <w:bookmarkStart w:id="985" w:name="_Toc312678042"/>
      <w:bookmarkStart w:id="986" w:name="_Toc303539161"/>
      <w:bookmarkStart w:id="987" w:name="_Toc296346708"/>
      <w:bookmarkStart w:id="988" w:name="_Toc296891247"/>
      <w:bookmarkStart w:id="989" w:name="_Toc296891035"/>
      <w:bookmarkStart w:id="990" w:name="_Toc297048393"/>
      <w:bookmarkStart w:id="991" w:name="_Toc297120507"/>
      <w:bookmarkStart w:id="992" w:name="_Toc296944546"/>
      <w:bookmarkStart w:id="993" w:name="_Toc296347206"/>
      <w:bookmarkStart w:id="994" w:name="_Toc296503207"/>
      <w:bookmarkStart w:id="995" w:name="_Toc292559412"/>
      <w:bookmarkStart w:id="996" w:name="_Toc292559917"/>
      <w:r>
        <w:rPr>
          <w:rFonts w:eastAsia="黑体"/>
          <w:color w:val="auto"/>
          <w:szCs w:val="21"/>
          <w:highlight w:val="none"/>
        </w:rPr>
        <w:t>12.2 预付款</w:t>
      </w:r>
    </w:p>
    <w:bookmarkEnd w:id="981"/>
    <w:bookmarkEnd w:id="982"/>
    <w:bookmarkEnd w:id="983"/>
    <w:bookmarkEnd w:id="984"/>
    <w:bookmarkEnd w:id="985"/>
    <w:bookmarkEnd w:id="986"/>
    <w:p w14:paraId="66781424">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12.2.1 预付款的支付</w:t>
      </w:r>
    </w:p>
    <w:p w14:paraId="27A9851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预付款支付比例或金额：</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D639F4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预付款支付期限：</w:t>
      </w:r>
      <w:r>
        <w:rPr>
          <w:rFonts w:eastAsia="仿宋_GB2312"/>
          <w:color w:val="auto"/>
          <w:szCs w:val="21"/>
          <w:highlight w:val="none"/>
          <w:u w:val="single"/>
        </w:rPr>
        <w:t xml:space="preserve">          </w:t>
      </w:r>
      <w:r>
        <w:rPr>
          <w:rFonts w:eastAsia="仿宋_GB2312"/>
          <w:color w:val="auto"/>
          <w:szCs w:val="21"/>
          <w:highlight w:val="none"/>
        </w:rPr>
        <w:t>。</w:t>
      </w:r>
    </w:p>
    <w:p w14:paraId="61E2D537">
      <w:pPr>
        <w:spacing w:line="360" w:lineRule="auto"/>
        <w:ind w:firstLine="420" w:firstLineChars="200"/>
        <w:jc w:val="left"/>
        <w:rPr>
          <w:rFonts w:eastAsia="仿宋_GB2312"/>
          <w:color w:val="auto"/>
          <w:szCs w:val="21"/>
          <w:highlight w:val="none"/>
        </w:rPr>
      </w:pPr>
      <w:r>
        <w:rPr>
          <w:rFonts w:eastAsia="仿宋_GB2312"/>
          <w:color w:val="auto"/>
          <w:szCs w:val="21"/>
          <w:highlight w:val="none"/>
        </w:rPr>
        <w:t>预付款扣回的方式：</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561A781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12.2.2 预付款担保</w:t>
      </w:r>
    </w:p>
    <w:p w14:paraId="507D2341">
      <w:pPr>
        <w:spacing w:line="360" w:lineRule="auto"/>
        <w:ind w:firstLine="420" w:firstLineChars="200"/>
        <w:jc w:val="left"/>
        <w:rPr>
          <w:rFonts w:eastAsia="仿宋_GB2312"/>
          <w:color w:val="auto"/>
          <w:szCs w:val="21"/>
          <w:highlight w:val="none"/>
        </w:rPr>
      </w:pPr>
      <w:r>
        <w:rPr>
          <w:rFonts w:eastAsia="仿宋_GB2312"/>
          <w:color w:val="auto"/>
          <w:szCs w:val="21"/>
          <w:highlight w:val="none"/>
        </w:rPr>
        <w:t>承包人提交预付款担保的期限：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6BBE50D9">
      <w:pPr>
        <w:spacing w:line="360" w:lineRule="auto"/>
        <w:ind w:firstLine="420" w:firstLineChars="200"/>
        <w:jc w:val="left"/>
        <w:rPr>
          <w:rFonts w:eastAsia="仿宋_GB2312"/>
          <w:color w:val="auto"/>
          <w:szCs w:val="21"/>
          <w:highlight w:val="none"/>
        </w:rPr>
      </w:pPr>
      <w:r>
        <w:rPr>
          <w:rFonts w:eastAsia="仿宋_GB2312"/>
          <w:color w:val="auto"/>
          <w:szCs w:val="21"/>
          <w:highlight w:val="none"/>
        </w:rPr>
        <w:t>预付款担保的形式为：</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bookmarkEnd w:id="987"/>
    <w:bookmarkEnd w:id="988"/>
    <w:bookmarkEnd w:id="989"/>
    <w:bookmarkEnd w:id="990"/>
    <w:bookmarkEnd w:id="991"/>
    <w:bookmarkEnd w:id="992"/>
    <w:bookmarkEnd w:id="993"/>
    <w:bookmarkEnd w:id="994"/>
    <w:bookmarkEnd w:id="995"/>
    <w:bookmarkEnd w:id="996"/>
    <w:p w14:paraId="7F3085AC">
      <w:pPr>
        <w:spacing w:after="120" w:line="360" w:lineRule="auto"/>
        <w:ind w:firstLine="420" w:firstLineChars="200"/>
        <w:rPr>
          <w:rFonts w:eastAsia="黑体"/>
          <w:color w:val="auto"/>
          <w:szCs w:val="21"/>
          <w:highlight w:val="none"/>
        </w:rPr>
      </w:pPr>
      <w:r>
        <w:rPr>
          <w:rFonts w:eastAsia="黑体"/>
          <w:color w:val="auto"/>
          <w:szCs w:val="21"/>
          <w:highlight w:val="none"/>
        </w:rPr>
        <w:t>12.3 计量</w:t>
      </w:r>
    </w:p>
    <w:p w14:paraId="0385069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12.3.1 计量原则</w:t>
      </w:r>
    </w:p>
    <w:p w14:paraId="215B2A2C">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工程量计算规则：</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416DA6DC">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12.3.2 计量周期</w:t>
      </w:r>
    </w:p>
    <w:p w14:paraId="26A72DB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关于计量周期的约定：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7690F574">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12.3.3 单价合同的计量</w:t>
      </w:r>
    </w:p>
    <w:p w14:paraId="322563A5">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关于单价合同计量的约定：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F6C783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12.3.4 总价合同的计量</w:t>
      </w:r>
    </w:p>
    <w:p w14:paraId="5F4C0C66">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关于总价合同计量的约定：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3849706">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12.3.5总价合同采用支付分解表计量支付的，是否适用第</w:t>
      </w:r>
      <w:r>
        <w:rPr>
          <w:rFonts w:eastAsia="仿宋_GB2312"/>
          <w:color w:val="auto"/>
          <w:kern w:val="0"/>
          <w:szCs w:val="21"/>
          <w:highlight w:val="none"/>
        </w:rPr>
        <w:t xml:space="preserve">12.3.4 </w:t>
      </w:r>
      <w:r>
        <w:rPr>
          <w:rFonts w:eastAsia="仿宋_GB2312"/>
          <w:color w:val="auto"/>
          <w:szCs w:val="21"/>
          <w:highlight w:val="none"/>
        </w:rPr>
        <w:t>项</w:t>
      </w:r>
      <w:r>
        <w:rPr>
          <w:rFonts w:hint="eastAsia" w:eastAsia="仿宋_GB2312"/>
          <w:color w:val="auto"/>
          <w:kern w:val="0"/>
          <w:szCs w:val="21"/>
          <w:highlight w:val="none"/>
        </w:rPr>
        <w:t>〔</w:t>
      </w:r>
      <w:r>
        <w:rPr>
          <w:rFonts w:eastAsia="仿宋_GB2312"/>
          <w:color w:val="auto"/>
          <w:kern w:val="0"/>
          <w:szCs w:val="21"/>
          <w:highlight w:val="none"/>
        </w:rPr>
        <w:t>总价合同的计量</w:t>
      </w:r>
      <w:r>
        <w:rPr>
          <w:rFonts w:hint="eastAsia" w:eastAsia="仿宋_GB2312"/>
          <w:color w:val="auto"/>
          <w:kern w:val="0"/>
          <w:szCs w:val="21"/>
          <w:highlight w:val="none"/>
        </w:rPr>
        <w:t>〕</w:t>
      </w:r>
      <w:r>
        <w:rPr>
          <w:rFonts w:eastAsia="仿宋_GB2312"/>
          <w:color w:val="auto"/>
          <w:szCs w:val="21"/>
          <w:highlight w:val="none"/>
        </w:rPr>
        <w:t>约定</w:t>
      </w:r>
      <w:r>
        <w:rPr>
          <w:rFonts w:hint="eastAsia" w:eastAsia="仿宋_GB2312"/>
          <w:color w:val="auto"/>
          <w:szCs w:val="21"/>
          <w:highlight w:val="none"/>
        </w:rPr>
        <w:t>进行计量：</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10A27F39">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12.3.6 其他价格形式合同的计量</w:t>
      </w:r>
    </w:p>
    <w:p w14:paraId="44F7707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其他价格形式的计量方式和程序：</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63A27F5D">
      <w:pPr>
        <w:spacing w:after="120" w:line="360" w:lineRule="auto"/>
        <w:ind w:firstLine="420" w:firstLineChars="200"/>
        <w:rPr>
          <w:rFonts w:eastAsia="黑体"/>
          <w:color w:val="auto"/>
          <w:szCs w:val="21"/>
          <w:highlight w:val="none"/>
        </w:rPr>
      </w:pPr>
      <w:r>
        <w:rPr>
          <w:rFonts w:eastAsia="黑体"/>
          <w:color w:val="auto"/>
          <w:szCs w:val="21"/>
          <w:highlight w:val="none"/>
        </w:rPr>
        <w:t>12.4 工程进度款支付</w:t>
      </w:r>
    </w:p>
    <w:p w14:paraId="6BFCEF78">
      <w:pPr>
        <w:spacing w:line="360" w:lineRule="auto"/>
        <w:ind w:firstLine="420" w:firstLineChars="200"/>
        <w:jc w:val="left"/>
        <w:rPr>
          <w:rFonts w:eastAsia="仿宋_GB2312"/>
          <w:color w:val="auto"/>
          <w:szCs w:val="21"/>
          <w:highlight w:val="none"/>
        </w:rPr>
      </w:pPr>
      <w:bookmarkStart w:id="997" w:name="_Toc296503211"/>
      <w:bookmarkStart w:id="998" w:name="_Toc296891039"/>
      <w:bookmarkStart w:id="999" w:name="_Toc292559416"/>
      <w:bookmarkStart w:id="1000" w:name="_Toc297048397"/>
      <w:bookmarkStart w:id="1001" w:name="_Toc297216215"/>
      <w:bookmarkStart w:id="1002" w:name="_Toc296944550"/>
      <w:bookmarkStart w:id="1003" w:name="_Toc300935006"/>
      <w:bookmarkStart w:id="1004" w:name="_Toc296346712"/>
      <w:bookmarkStart w:id="1005" w:name="_Toc297120511"/>
      <w:bookmarkStart w:id="1006" w:name="_Toc297123556"/>
      <w:bookmarkStart w:id="1007" w:name="_Toc296347210"/>
      <w:bookmarkStart w:id="1008" w:name="_Toc303539163"/>
      <w:bookmarkStart w:id="1009" w:name="_Toc296891251"/>
      <w:bookmarkStart w:id="1010" w:name="_Toc292559921"/>
      <w:r>
        <w:rPr>
          <w:rFonts w:eastAsia="仿宋_GB2312"/>
          <w:color w:val="auto"/>
          <w:szCs w:val="21"/>
          <w:highlight w:val="none"/>
        </w:rPr>
        <w:t>12.4.1 付款周期</w:t>
      </w:r>
    </w:p>
    <w:p w14:paraId="617BC2E1">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关于付款周期的约定：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p>
    <w:p w14:paraId="63F02E58">
      <w:pPr>
        <w:spacing w:line="360" w:lineRule="auto"/>
        <w:ind w:left="5038" w:leftChars="399" w:hanging="4200" w:hangingChars="2000"/>
        <w:jc w:val="left"/>
        <w:rPr>
          <w:rFonts w:eastAsia="仿宋_GB2312"/>
          <w:color w:val="auto"/>
          <w:szCs w:val="21"/>
          <w:highlight w:val="none"/>
        </w:rPr>
      </w:pPr>
      <w:r>
        <w:rPr>
          <w:rFonts w:hint="eastAsia" w:eastAsia="仿宋_GB2312"/>
          <w:color w:val="auto"/>
          <w:szCs w:val="21"/>
          <w:highlight w:val="none"/>
          <w:u w:val="single"/>
        </w:rPr>
        <w:t xml:space="preserve">                                                         </w:t>
      </w:r>
    </w:p>
    <w:p w14:paraId="102EC26F">
      <w:pPr>
        <w:spacing w:line="360" w:lineRule="auto"/>
        <w:ind w:firstLine="1687"/>
        <w:jc w:val="left"/>
        <w:rPr>
          <w:rFonts w:eastAsia="仿宋_GB2312"/>
          <w:color w:val="auto"/>
          <w:szCs w:val="21"/>
          <w:highlight w:val="none"/>
          <w:u w:val="single"/>
        </w:rPr>
      </w:pPr>
      <w:r>
        <w:rPr>
          <w:rFonts w:hint="eastAsia" w:eastAsia="仿宋_GB2312"/>
          <w:color w:val="auto"/>
          <w:szCs w:val="21"/>
          <w:highlight w:val="none"/>
          <w:u w:val="single"/>
        </w:rPr>
        <w:t xml:space="preserve">                                                   . </w:t>
      </w:r>
    </w:p>
    <w:p w14:paraId="6CE5D558">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12.4.2 进度付款申请单的编制</w:t>
      </w:r>
    </w:p>
    <w:p w14:paraId="4836739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关于进度付款申请单编制的约定：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6BFCA9BD">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rFonts w:eastAsia="仿宋_GB2312"/>
          <w:color w:val="auto"/>
          <w:szCs w:val="21"/>
          <w:highlight w:val="none"/>
        </w:rPr>
        <w:t>2.4.3 进度付款申请单的提交</w:t>
      </w:r>
    </w:p>
    <w:p w14:paraId="5708A19C">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（1）单价合同进度付款申请单提交的约定</w:t>
      </w:r>
      <w:r>
        <w:rPr>
          <w:rFonts w:hint="eastAsia" w:eastAsia="仿宋_GB2312"/>
          <w:color w:val="auto"/>
          <w:szCs w:val="21"/>
          <w:highlight w:val="none"/>
        </w:rPr>
        <w:t>：</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12CB185">
      <w:pPr>
        <w:spacing w:line="360" w:lineRule="auto"/>
        <w:ind w:firstLine="420" w:firstLineChars="200"/>
        <w:jc w:val="left"/>
        <w:rPr>
          <w:rFonts w:eastAsia="仿宋_GB2312"/>
          <w:color w:val="auto"/>
          <w:szCs w:val="21"/>
          <w:highlight w:val="none"/>
        </w:rPr>
      </w:pPr>
      <w:r>
        <w:rPr>
          <w:rFonts w:eastAsia="仿宋_GB2312"/>
          <w:color w:val="auto"/>
          <w:szCs w:val="21"/>
          <w:highlight w:val="none"/>
        </w:rPr>
        <w:t>（2）总价合同进度付款申请单提交的约定</w:t>
      </w:r>
      <w:r>
        <w:rPr>
          <w:rFonts w:hint="eastAsia" w:eastAsia="仿宋_GB2312"/>
          <w:color w:val="auto"/>
          <w:szCs w:val="21"/>
          <w:highlight w:val="none"/>
        </w:rPr>
        <w:t>：</w:t>
      </w:r>
      <w:r>
        <w:rPr>
          <w:rFonts w:eastAsia="仿宋_GB2312"/>
          <w:color w:val="auto"/>
          <w:szCs w:val="21"/>
          <w:highlight w:val="none"/>
          <w:u w:val="single"/>
        </w:rPr>
        <w:t xml:space="preserve">      </w:t>
      </w:r>
      <w:r>
        <w:rPr>
          <w:rFonts w:eastAsia="仿宋_GB2312"/>
          <w:color w:val="auto"/>
          <w:szCs w:val="21"/>
          <w:highlight w:val="none"/>
        </w:rPr>
        <w:t>。</w:t>
      </w:r>
    </w:p>
    <w:p w14:paraId="2AA2F89C">
      <w:pPr>
        <w:spacing w:line="360" w:lineRule="auto"/>
        <w:ind w:firstLine="420" w:firstLineChars="200"/>
        <w:jc w:val="left"/>
        <w:rPr>
          <w:rFonts w:eastAsia="仿宋_GB2312"/>
          <w:color w:val="auto"/>
          <w:szCs w:val="21"/>
          <w:highlight w:val="none"/>
        </w:rPr>
      </w:pPr>
      <w:r>
        <w:rPr>
          <w:rFonts w:eastAsia="仿宋_GB2312"/>
          <w:color w:val="auto"/>
          <w:szCs w:val="21"/>
          <w:highlight w:val="none"/>
        </w:rPr>
        <w:t>（3）其他价格形式合同进度付款申请单提交的约定：</w:t>
      </w:r>
      <w:r>
        <w:rPr>
          <w:rFonts w:eastAsia="仿宋_GB2312"/>
          <w:color w:val="auto"/>
          <w:szCs w:val="21"/>
          <w:highlight w:val="none"/>
          <w:u w:val="single"/>
        </w:rPr>
        <w:t xml:space="preserve">      </w:t>
      </w:r>
      <w:r>
        <w:rPr>
          <w:rFonts w:eastAsia="仿宋_GB2312"/>
          <w:color w:val="auto"/>
          <w:szCs w:val="21"/>
          <w:highlight w:val="none"/>
        </w:rPr>
        <w:t>。</w:t>
      </w:r>
    </w:p>
    <w:p w14:paraId="4928427A">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12.4.4 进度款审核和支付</w:t>
      </w:r>
    </w:p>
    <w:p w14:paraId="288B2471">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（1）监理人审查并报送发包人的期限：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7D01C43C">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发包人完成审批并签发进度款支付证书的期限：</w:t>
      </w:r>
      <w:r>
        <w:rPr>
          <w:rFonts w:hint="eastAsia" w:eastAsia="仿宋_GB2312"/>
          <w:color w:val="auto"/>
          <w:szCs w:val="21"/>
          <w:highlight w:val="none"/>
          <w:u w:val="single"/>
        </w:rPr>
        <w:t xml:space="preserve">         </w:t>
      </w:r>
      <w:r>
        <w:rPr>
          <w:rFonts w:eastAsia="仿宋_GB2312"/>
          <w:color w:val="auto"/>
          <w:szCs w:val="21"/>
          <w:highlight w:val="none"/>
        </w:rPr>
        <w:t>。</w:t>
      </w:r>
    </w:p>
    <w:p w14:paraId="47D2330C">
      <w:pPr>
        <w:spacing w:line="360" w:lineRule="auto"/>
        <w:ind w:firstLine="420" w:firstLineChars="200"/>
        <w:jc w:val="left"/>
        <w:rPr>
          <w:rFonts w:eastAsia="仿宋_GB2312"/>
          <w:color w:val="auto"/>
          <w:szCs w:val="21"/>
          <w:highlight w:val="none"/>
        </w:rPr>
      </w:pPr>
      <w:r>
        <w:rPr>
          <w:rFonts w:eastAsia="仿宋_GB2312"/>
          <w:color w:val="auto"/>
          <w:szCs w:val="21"/>
          <w:highlight w:val="none"/>
        </w:rPr>
        <w:t>（2）发包人支付进度款的期限：</w:t>
      </w:r>
      <w:r>
        <w:rPr>
          <w:rFonts w:eastAsia="仿宋_GB2312"/>
          <w:color w:val="auto"/>
          <w:szCs w:val="21"/>
          <w:highlight w:val="none"/>
          <w:u w:val="single"/>
        </w:rPr>
        <w:t xml:space="preserve">          </w:t>
      </w:r>
      <w:r>
        <w:rPr>
          <w:rFonts w:eastAsia="仿宋_GB2312"/>
          <w:color w:val="auto"/>
          <w:szCs w:val="21"/>
          <w:highlight w:val="none"/>
        </w:rPr>
        <w:t>。</w:t>
      </w:r>
    </w:p>
    <w:p w14:paraId="65FD39E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发包人逾期支付进度款的违约金的计算方式：</w:t>
      </w:r>
      <w:r>
        <w:rPr>
          <w:rFonts w:eastAsia="仿宋_GB2312"/>
          <w:color w:val="auto"/>
          <w:szCs w:val="21"/>
          <w:highlight w:val="none"/>
          <w:u w:val="single"/>
        </w:rPr>
        <w:t xml:space="preserve">          </w:t>
      </w:r>
      <w:r>
        <w:rPr>
          <w:rFonts w:eastAsia="仿宋_GB2312"/>
          <w:color w:val="auto"/>
          <w:szCs w:val="21"/>
          <w:highlight w:val="none"/>
        </w:rPr>
        <w:t>。</w:t>
      </w:r>
    </w:p>
    <w:p w14:paraId="3EA47937">
      <w:pPr>
        <w:spacing w:line="360" w:lineRule="auto"/>
        <w:ind w:firstLine="525" w:firstLineChars="250"/>
        <w:jc w:val="left"/>
        <w:rPr>
          <w:rFonts w:eastAsia="仿宋_GB2312"/>
          <w:color w:val="auto"/>
          <w:szCs w:val="21"/>
          <w:highlight w:val="none"/>
        </w:rPr>
      </w:pPr>
      <w:r>
        <w:rPr>
          <w:rFonts w:eastAsia="仿宋_GB2312"/>
          <w:color w:val="auto"/>
          <w:szCs w:val="21"/>
          <w:highlight w:val="none"/>
        </w:rPr>
        <w:t>12.4.6 支付分解表的编制</w:t>
      </w:r>
    </w:p>
    <w:p w14:paraId="46CB0254">
      <w:pPr>
        <w:spacing w:line="360" w:lineRule="auto"/>
        <w:ind w:left="4376" w:leftChars="284" w:hanging="3780" w:hangingChars="1800"/>
        <w:jc w:val="left"/>
        <w:rPr>
          <w:rFonts w:eastAsia="仿宋_GB2312"/>
          <w:color w:val="auto"/>
          <w:szCs w:val="21"/>
          <w:highlight w:val="none"/>
        </w:rPr>
      </w:pPr>
      <w:r>
        <w:rPr>
          <w:rFonts w:eastAsia="仿宋_GB2312"/>
          <w:color w:val="auto"/>
          <w:szCs w:val="21"/>
          <w:highlight w:val="none"/>
        </w:rPr>
        <w:t>2、总价合同支付分解表的编制与审批：</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7525381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3、单价合同的总价项目支付分解表的编制与审批：</w:t>
      </w:r>
      <w:r>
        <w:rPr>
          <w:rFonts w:eastAsia="仿宋_GB2312"/>
          <w:color w:val="auto"/>
          <w:szCs w:val="21"/>
          <w:highlight w:val="none"/>
          <w:u w:val="single"/>
        </w:rPr>
        <w:t xml:space="preserve">    </w:t>
      </w:r>
      <w:r>
        <w:rPr>
          <w:rFonts w:eastAsia="仿宋_GB2312"/>
          <w:color w:val="auto"/>
          <w:szCs w:val="21"/>
          <w:highlight w:val="none"/>
        </w:rPr>
        <w:t>。</w:t>
      </w:r>
    </w:p>
    <w:bookmarkEnd w:id="840"/>
    <w:p w14:paraId="2FE4BF11">
      <w:pPr>
        <w:pStyle w:val="3"/>
        <w:spacing w:before="120" w:after="120"/>
        <w:ind w:firstLine="1680"/>
        <w:rPr>
          <w:rFonts w:ascii="Times New Roman" w:hAnsi="Times New Roman"/>
          <w:color w:val="auto"/>
          <w:sz w:val="21"/>
          <w:szCs w:val="21"/>
          <w:highlight w:val="none"/>
        </w:rPr>
      </w:pPr>
      <w:bookmarkStart w:id="1011" w:name="_Toc934"/>
      <w:bookmarkStart w:id="1012" w:name="_Toc312678053"/>
      <w:bookmarkStart w:id="1013" w:name="_Toc296346720"/>
      <w:bookmarkStart w:id="1014" w:name="_Toc296944558"/>
      <w:bookmarkStart w:id="1015" w:name="_Toc296891259"/>
      <w:bookmarkStart w:id="1016" w:name="_Toc300935015"/>
      <w:bookmarkStart w:id="1017" w:name="_Toc296891047"/>
      <w:bookmarkStart w:id="1018" w:name="_Toc292559929"/>
      <w:bookmarkStart w:id="1019" w:name="_Toc297048405"/>
      <w:bookmarkStart w:id="1020" w:name="_Toc292559424"/>
      <w:bookmarkStart w:id="1021" w:name="_Toc304295593"/>
      <w:bookmarkStart w:id="1022" w:name="_Toc297123564"/>
      <w:bookmarkStart w:id="1023" w:name="_Toc297216223"/>
      <w:bookmarkStart w:id="1024" w:name="_Toc303539172"/>
      <w:bookmarkStart w:id="1025" w:name="_Toc297120519"/>
      <w:bookmarkStart w:id="1026" w:name="_Toc296347218"/>
      <w:bookmarkStart w:id="1027" w:name="_Toc296503219"/>
      <w:r>
        <w:rPr>
          <w:rFonts w:ascii="Times New Roman" w:hAnsi="Times New Roman"/>
          <w:color w:val="auto"/>
          <w:sz w:val="21"/>
          <w:szCs w:val="21"/>
          <w:highlight w:val="none"/>
        </w:rPr>
        <w:t>13. 验收和工程试车</w:t>
      </w:r>
      <w:bookmarkEnd w:id="1011"/>
    </w:p>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14:paraId="7582AF63">
      <w:pPr>
        <w:spacing w:after="120" w:line="360" w:lineRule="auto"/>
        <w:ind w:firstLine="420" w:firstLineChars="200"/>
        <w:rPr>
          <w:rFonts w:eastAsia="黑体"/>
          <w:color w:val="auto"/>
          <w:szCs w:val="21"/>
          <w:highlight w:val="none"/>
        </w:rPr>
      </w:pPr>
      <w:r>
        <w:rPr>
          <w:rFonts w:eastAsia="黑体"/>
          <w:color w:val="auto"/>
          <w:szCs w:val="21"/>
          <w:highlight w:val="none"/>
        </w:rPr>
        <w:t>13.1 分部分项工程验收</w:t>
      </w:r>
    </w:p>
    <w:p w14:paraId="318F5C5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13.1.2监理人不能按时进行验收时，应提前</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小时提交书面延期要求。</w:t>
      </w:r>
    </w:p>
    <w:p w14:paraId="63D6DE68">
      <w:pPr>
        <w:spacing w:line="360" w:lineRule="auto"/>
        <w:ind w:firstLine="420" w:firstLineChars="200"/>
        <w:jc w:val="left"/>
        <w:rPr>
          <w:rFonts w:eastAsia="仿宋_GB2312"/>
          <w:b/>
          <w:color w:val="auto"/>
          <w:szCs w:val="21"/>
          <w:highlight w:val="none"/>
        </w:rPr>
      </w:pPr>
      <w:r>
        <w:rPr>
          <w:rFonts w:eastAsia="仿宋_GB2312"/>
          <w:color w:val="auto"/>
          <w:szCs w:val="21"/>
          <w:highlight w:val="none"/>
        </w:rPr>
        <w:t>关于延期最长不得超过：</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小时。</w:t>
      </w:r>
    </w:p>
    <w:p w14:paraId="451F2355">
      <w:pPr>
        <w:spacing w:after="120" w:line="360" w:lineRule="auto"/>
        <w:ind w:firstLine="420" w:firstLineChars="200"/>
        <w:rPr>
          <w:rFonts w:eastAsia="黑体"/>
          <w:color w:val="auto"/>
          <w:szCs w:val="21"/>
          <w:highlight w:val="none"/>
        </w:rPr>
      </w:pPr>
      <w:bookmarkStart w:id="1028" w:name="_Toc296891263"/>
      <w:bookmarkStart w:id="1029" w:name="_Toc297120523"/>
      <w:bookmarkStart w:id="1030" w:name="_Toc292559428"/>
      <w:bookmarkStart w:id="1031" w:name="_Toc297216224"/>
      <w:bookmarkStart w:id="1032" w:name="_Toc297123565"/>
      <w:bookmarkStart w:id="1033" w:name="_Toc300935016"/>
      <w:bookmarkStart w:id="1034" w:name="_Toc304295596"/>
      <w:bookmarkStart w:id="1035" w:name="_Toc296891051"/>
      <w:bookmarkStart w:id="1036" w:name="_Toc296944562"/>
      <w:bookmarkStart w:id="1037" w:name="_Toc303539173"/>
      <w:bookmarkStart w:id="1038" w:name="_Toc292559933"/>
      <w:bookmarkStart w:id="1039" w:name="_Toc296347222"/>
      <w:bookmarkStart w:id="1040" w:name="_Toc296503223"/>
      <w:bookmarkStart w:id="1041" w:name="_Toc296346724"/>
      <w:bookmarkStart w:id="1042" w:name="_Toc297048409"/>
      <w:bookmarkStart w:id="1043" w:name="_Toc312678056"/>
      <w:bookmarkStart w:id="1044" w:name="_Toc267251474"/>
      <w:bookmarkStart w:id="1045" w:name="_Toc267251475"/>
      <w:bookmarkStart w:id="1046" w:name="_Toc267251476"/>
      <w:bookmarkStart w:id="1047" w:name="_Toc267251471"/>
      <w:bookmarkStart w:id="1048" w:name="_Toc267251470"/>
      <w:bookmarkStart w:id="1049" w:name="_Toc267251472"/>
      <w:bookmarkStart w:id="1050" w:name="_Toc267251473"/>
      <w:r>
        <w:rPr>
          <w:rFonts w:eastAsia="黑体"/>
          <w:color w:val="auto"/>
          <w:szCs w:val="21"/>
          <w:highlight w:val="none"/>
        </w:rPr>
        <w:t>13.2 竣工验收</w:t>
      </w:r>
    </w:p>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14:paraId="569B4EC4">
      <w:pPr>
        <w:spacing w:line="360" w:lineRule="auto"/>
        <w:ind w:firstLine="420" w:firstLineChars="200"/>
        <w:jc w:val="left"/>
        <w:rPr>
          <w:rFonts w:eastAsia="仿宋_GB2312"/>
          <w:color w:val="auto"/>
          <w:szCs w:val="21"/>
          <w:highlight w:val="none"/>
        </w:rPr>
      </w:pPr>
      <w:bookmarkStart w:id="1051" w:name="_Toc280868704"/>
      <w:bookmarkStart w:id="1052" w:name="_Toc280868705"/>
      <w:bookmarkStart w:id="1053" w:name="_Toc280868706"/>
      <w:bookmarkStart w:id="1054" w:name="_Toc280868707"/>
      <w:bookmarkStart w:id="1055" w:name="_Toc280868708"/>
      <w:bookmarkStart w:id="1056" w:name="_Toc280868709"/>
      <w:r>
        <w:rPr>
          <w:rFonts w:eastAsia="仿宋_GB2312"/>
          <w:color w:val="auto"/>
          <w:szCs w:val="21"/>
          <w:highlight w:val="none"/>
        </w:rPr>
        <w:t>13.2.2竣工验收程序</w:t>
      </w:r>
    </w:p>
    <w:bookmarkEnd w:id="1051"/>
    <w:p w14:paraId="1F299BB5">
      <w:pPr>
        <w:spacing w:line="360" w:lineRule="auto"/>
        <w:ind w:left="4376" w:leftChars="284" w:hanging="3780" w:hangingChars="1800"/>
        <w:jc w:val="left"/>
        <w:rPr>
          <w:rFonts w:eastAsia="仿宋_GB2312"/>
          <w:color w:val="auto"/>
          <w:szCs w:val="21"/>
          <w:highlight w:val="none"/>
        </w:rPr>
      </w:pPr>
      <w:r>
        <w:rPr>
          <w:rFonts w:eastAsia="仿宋_GB2312"/>
          <w:color w:val="auto"/>
          <w:kern w:val="0"/>
          <w:szCs w:val="21"/>
          <w:highlight w:val="none"/>
        </w:rPr>
        <w:t>关于竣工验收程序的约定：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1A4734D1">
      <w:pPr>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发包人不按照本项约定组织竣工验收、颁发工程接收证书的违约金的计算方法：</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bookmarkEnd w:id="1052"/>
    <w:p w14:paraId="38C1E309">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13.2.5移交、接收全部与部分工程</w:t>
      </w:r>
    </w:p>
    <w:bookmarkEnd w:id="1053"/>
    <w:p w14:paraId="012F9116">
      <w:pPr>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承包人向发包人移交工程的期限：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hint="eastAsia" w:eastAsia="仿宋_GB2312"/>
          <w:color w:val="auto"/>
          <w:szCs w:val="21"/>
          <w:highlight w:val="none"/>
        </w:rPr>
        <w:t>。</w:t>
      </w:r>
    </w:p>
    <w:p w14:paraId="18DDB10B">
      <w:pPr>
        <w:spacing w:line="360" w:lineRule="auto"/>
        <w:ind w:firstLine="420" w:firstLineChars="200"/>
        <w:jc w:val="left"/>
        <w:rPr>
          <w:rFonts w:eastAsia="仿宋_GB2312"/>
          <w:color w:val="auto"/>
          <w:szCs w:val="21"/>
          <w:highlight w:val="none"/>
          <w:u w:val="single"/>
        </w:rPr>
      </w:pPr>
      <w:r>
        <w:rPr>
          <w:rFonts w:eastAsia="仿宋_GB2312"/>
          <w:color w:val="auto"/>
          <w:kern w:val="0"/>
          <w:szCs w:val="21"/>
          <w:highlight w:val="none"/>
        </w:rPr>
        <w:t>发包人未按本合同约定接收全部或部分工程的，违约金的计算方法为：</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bookmarkEnd w:id="1054"/>
    <w:p w14:paraId="0BDDA16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承包人未按时移交工程的，违约金的计算方法为：</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084D5ED">
      <w:pPr>
        <w:spacing w:after="120" w:line="360" w:lineRule="auto"/>
        <w:ind w:firstLine="420" w:firstLineChars="200"/>
        <w:rPr>
          <w:rFonts w:eastAsia="黑体"/>
          <w:color w:val="auto"/>
          <w:szCs w:val="21"/>
          <w:highlight w:val="none"/>
        </w:rPr>
      </w:pPr>
      <w:r>
        <w:rPr>
          <w:rFonts w:eastAsia="黑体"/>
          <w:color w:val="auto"/>
          <w:szCs w:val="21"/>
          <w:highlight w:val="none"/>
        </w:rPr>
        <w:t>13.3 工程试车</w:t>
      </w:r>
    </w:p>
    <w:bookmarkEnd w:id="1055"/>
    <w:p w14:paraId="130FB277">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13.3.1 试车程序</w:t>
      </w:r>
    </w:p>
    <w:p w14:paraId="5C3E346E">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工程试车内容：</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96E387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（1）单机无负荷试车费用由</w:t>
      </w:r>
      <w:r>
        <w:rPr>
          <w:rFonts w:eastAsia="仿宋_GB2312"/>
          <w:color w:val="auto"/>
          <w:szCs w:val="21"/>
          <w:highlight w:val="none"/>
          <w:u w:val="single"/>
        </w:rPr>
        <w:t xml:space="preserve">                   </w:t>
      </w:r>
      <w:r>
        <w:rPr>
          <w:rFonts w:eastAsia="仿宋_GB2312"/>
          <w:color w:val="auto"/>
          <w:kern w:val="0"/>
          <w:szCs w:val="21"/>
          <w:highlight w:val="none"/>
        </w:rPr>
        <w:t>承担；</w:t>
      </w:r>
    </w:p>
    <w:p w14:paraId="7478817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（2）无负荷联动试车费用由</w:t>
      </w:r>
      <w:r>
        <w:rPr>
          <w:rFonts w:eastAsia="仿宋_GB2312"/>
          <w:color w:val="auto"/>
          <w:szCs w:val="21"/>
          <w:highlight w:val="none"/>
          <w:u w:val="single"/>
        </w:rPr>
        <w:t xml:space="preserve">                   </w:t>
      </w:r>
      <w:r>
        <w:rPr>
          <w:rFonts w:eastAsia="仿宋_GB2312"/>
          <w:color w:val="auto"/>
          <w:kern w:val="0"/>
          <w:szCs w:val="21"/>
          <w:highlight w:val="none"/>
        </w:rPr>
        <w:t>承担。</w:t>
      </w:r>
    </w:p>
    <w:p w14:paraId="4E0BD5C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13.3.3 投料试车</w:t>
      </w:r>
    </w:p>
    <w:p w14:paraId="3715E108">
      <w:pPr>
        <w:spacing w:line="360" w:lineRule="auto"/>
        <w:ind w:firstLine="420" w:firstLineChars="200"/>
        <w:jc w:val="left"/>
        <w:rPr>
          <w:rFonts w:eastAsia="仿宋_GB2312"/>
          <w:color w:val="auto"/>
          <w:kern w:val="0"/>
          <w:szCs w:val="21"/>
          <w:highlight w:val="none"/>
        </w:rPr>
      </w:pPr>
      <w:r>
        <w:rPr>
          <w:rFonts w:hint="eastAsia" w:eastAsia="仿宋_GB2312"/>
          <w:color w:val="auto"/>
          <w:kern w:val="0"/>
          <w:szCs w:val="21"/>
          <w:highlight w:val="none"/>
        </w:rPr>
        <w:t>关于投料试车相关事项的约定：</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D66B54A">
      <w:pPr>
        <w:spacing w:after="120" w:line="360" w:lineRule="auto"/>
        <w:ind w:firstLine="420" w:firstLineChars="200"/>
        <w:rPr>
          <w:rFonts w:eastAsia="黑体"/>
          <w:color w:val="auto"/>
          <w:szCs w:val="21"/>
          <w:highlight w:val="none"/>
        </w:rPr>
      </w:pPr>
      <w:r>
        <w:rPr>
          <w:rFonts w:eastAsia="黑体"/>
          <w:color w:val="auto"/>
          <w:szCs w:val="21"/>
          <w:highlight w:val="none"/>
        </w:rPr>
        <w:t>13.6 竣工退场</w:t>
      </w:r>
    </w:p>
    <w:p w14:paraId="4845B95D">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13.6.1 竣工退场</w:t>
      </w:r>
    </w:p>
    <w:p w14:paraId="35E50AB0">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承包人完成竣工退场的期限：</w:t>
      </w:r>
      <w:r>
        <w:rPr>
          <w:rFonts w:hint="eastAsia" w:eastAsia="仿宋_GB2312"/>
          <w:color w:val="auto"/>
          <w:kern w:val="0"/>
          <w:szCs w:val="21"/>
          <w:highlight w:val="non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w:t>
      </w:r>
    </w:p>
    <w:p w14:paraId="2ED7DCFA">
      <w:pPr>
        <w:pStyle w:val="3"/>
        <w:spacing w:before="120" w:after="120"/>
        <w:ind w:firstLine="1680"/>
        <w:rPr>
          <w:rFonts w:ascii="Times New Roman" w:hAnsi="Times New Roman"/>
          <w:color w:val="auto"/>
          <w:sz w:val="21"/>
          <w:szCs w:val="21"/>
          <w:highlight w:val="none"/>
        </w:rPr>
      </w:pPr>
      <w:bookmarkStart w:id="1057" w:name="_Toc31476"/>
      <w:r>
        <w:rPr>
          <w:rFonts w:ascii="Times New Roman" w:hAnsi="Times New Roman"/>
          <w:color w:val="auto"/>
          <w:sz w:val="21"/>
          <w:szCs w:val="21"/>
          <w:highlight w:val="none"/>
        </w:rPr>
        <w:t>14. 竣工结算</w:t>
      </w:r>
      <w:bookmarkEnd w:id="1057"/>
    </w:p>
    <w:p w14:paraId="2A4530E6">
      <w:pPr>
        <w:spacing w:after="120" w:line="360" w:lineRule="auto"/>
        <w:ind w:firstLine="420" w:firstLineChars="200"/>
        <w:rPr>
          <w:rFonts w:eastAsia="黑体"/>
          <w:color w:val="auto"/>
          <w:szCs w:val="21"/>
          <w:highlight w:val="none"/>
        </w:rPr>
      </w:pPr>
      <w:r>
        <w:rPr>
          <w:rFonts w:eastAsia="黑体"/>
          <w:color w:val="auto"/>
          <w:szCs w:val="21"/>
          <w:highlight w:val="none"/>
        </w:rPr>
        <w:t>14.1 竣工</w:t>
      </w:r>
      <w:r>
        <w:rPr>
          <w:rFonts w:hint="eastAsia" w:eastAsia="黑体"/>
          <w:color w:val="auto"/>
          <w:szCs w:val="21"/>
          <w:highlight w:val="none"/>
        </w:rPr>
        <w:t>结算</w:t>
      </w:r>
      <w:r>
        <w:rPr>
          <w:rFonts w:eastAsia="黑体"/>
          <w:color w:val="auto"/>
          <w:szCs w:val="21"/>
          <w:highlight w:val="none"/>
        </w:rPr>
        <w:t>申请</w:t>
      </w:r>
    </w:p>
    <w:p w14:paraId="3B71A55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承包人提交竣工</w:t>
      </w:r>
      <w:r>
        <w:rPr>
          <w:rFonts w:hint="eastAsia" w:eastAsia="仿宋_GB2312"/>
          <w:color w:val="auto"/>
          <w:szCs w:val="21"/>
          <w:highlight w:val="none"/>
        </w:rPr>
        <w:t>结算</w:t>
      </w:r>
      <w:r>
        <w:rPr>
          <w:rFonts w:eastAsia="仿宋_GB2312"/>
          <w:color w:val="auto"/>
          <w:szCs w:val="21"/>
          <w:highlight w:val="none"/>
        </w:rPr>
        <w:t>申请单的期限：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11E201BC">
      <w:pPr>
        <w:spacing w:line="360" w:lineRule="auto"/>
        <w:ind w:firstLine="420" w:firstLineChars="200"/>
        <w:jc w:val="left"/>
        <w:rPr>
          <w:rFonts w:eastAsia="仿宋_GB2312"/>
          <w:color w:val="auto"/>
          <w:szCs w:val="21"/>
          <w:highlight w:val="none"/>
        </w:rPr>
      </w:pPr>
      <w:r>
        <w:rPr>
          <w:rFonts w:eastAsia="仿宋_GB2312"/>
          <w:color w:val="auto"/>
          <w:szCs w:val="21"/>
          <w:highlight w:val="none"/>
        </w:rPr>
        <w:t>竣工</w:t>
      </w:r>
      <w:r>
        <w:rPr>
          <w:rFonts w:hint="eastAsia" w:eastAsia="仿宋_GB2312"/>
          <w:color w:val="auto"/>
          <w:szCs w:val="21"/>
          <w:highlight w:val="none"/>
        </w:rPr>
        <w:t>结算</w:t>
      </w:r>
      <w:r>
        <w:rPr>
          <w:rFonts w:eastAsia="仿宋_GB2312"/>
          <w:color w:val="auto"/>
          <w:szCs w:val="21"/>
          <w:highlight w:val="none"/>
        </w:rPr>
        <w:t>申请单应包括的内容：</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6694312">
      <w:pPr>
        <w:spacing w:after="120" w:line="360" w:lineRule="auto"/>
        <w:ind w:firstLine="420" w:firstLineChars="200"/>
        <w:rPr>
          <w:rFonts w:eastAsia="黑体"/>
          <w:color w:val="auto"/>
          <w:szCs w:val="21"/>
          <w:highlight w:val="none"/>
        </w:rPr>
      </w:pPr>
      <w:r>
        <w:rPr>
          <w:rFonts w:eastAsia="黑体"/>
          <w:color w:val="auto"/>
          <w:szCs w:val="21"/>
          <w:highlight w:val="none"/>
        </w:rPr>
        <w:t>14.2 竣工结算审核</w:t>
      </w:r>
    </w:p>
    <w:p w14:paraId="2F3EBEBD">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发包人</w:t>
      </w:r>
      <w:r>
        <w:rPr>
          <w:rFonts w:hint="eastAsia" w:eastAsia="仿宋_GB2312"/>
          <w:color w:val="auto"/>
          <w:szCs w:val="21"/>
          <w:highlight w:val="none"/>
        </w:rPr>
        <w:t>审批</w:t>
      </w:r>
      <w:r>
        <w:rPr>
          <w:rFonts w:eastAsia="仿宋_GB2312"/>
          <w:color w:val="auto"/>
          <w:szCs w:val="21"/>
          <w:highlight w:val="none"/>
        </w:rPr>
        <w:t>竣工付款申请单的期限：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15283127">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发包人完成竣工付款的期限：</w:t>
      </w:r>
      <w:r>
        <w:rPr>
          <w:rFonts w:hint="eastAsia" w:eastAsia="仿宋_GB2312"/>
          <w:color w:val="auto"/>
          <w:szCs w:val="21"/>
          <w:highlight w:val="none"/>
          <w:u w:val="single"/>
        </w:rPr>
        <w:t xml:space="preserve">                      </w:t>
      </w:r>
      <w:r>
        <w:rPr>
          <w:rFonts w:eastAsia="仿宋_GB2312"/>
          <w:color w:val="auto"/>
          <w:szCs w:val="21"/>
          <w:highlight w:val="none"/>
          <w:u w:val="single"/>
        </w:rPr>
        <w:t>。</w:t>
      </w:r>
    </w:p>
    <w:p w14:paraId="41F26C80">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关于竣工付款证书异议部分复核的方式和程序：</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0C394158">
      <w:pPr>
        <w:spacing w:after="120" w:line="360" w:lineRule="auto"/>
        <w:ind w:firstLine="420" w:firstLineChars="200"/>
        <w:rPr>
          <w:rFonts w:eastAsia="黑体"/>
          <w:color w:val="auto"/>
          <w:szCs w:val="21"/>
          <w:highlight w:val="none"/>
        </w:rPr>
      </w:pPr>
      <w:r>
        <w:rPr>
          <w:rFonts w:eastAsia="黑体"/>
          <w:color w:val="auto"/>
          <w:szCs w:val="21"/>
          <w:highlight w:val="none"/>
        </w:rPr>
        <w:t>14.4 最终结清</w:t>
      </w:r>
    </w:p>
    <w:p w14:paraId="0B8C9474">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14.4.1 最终结清申请单</w:t>
      </w:r>
    </w:p>
    <w:p w14:paraId="2B27E48F">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承包人提交最终结清申请单的份数：</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34780131">
      <w:pPr>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承包人提交最终结算申请单的期限：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 xml:space="preserve">。 </w:t>
      </w:r>
    </w:p>
    <w:p w14:paraId="7AD273F6">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14.4.2 最终结清证书和支付</w:t>
      </w:r>
    </w:p>
    <w:p w14:paraId="76B7A949">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（1）发包人完成最终结清申请单的</w:t>
      </w:r>
      <w:r>
        <w:rPr>
          <w:rFonts w:hint="eastAsia" w:eastAsia="仿宋_GB2312"/>
          <w:color w:val="auto"/>
          <w:szCs w:val="21"/>
          <w:highlight w:val="none"/>
        </w:rPr>
        <w:t>审批</w:t>
      </w:r>
      <w:r>
        <w:rPr>
          <w:rFonts w:eastAsia="仿宋_GB2312"/>
          <w:color w:val="auto"/>
          <w:szCs w:val="21"/>
          <w:highlight w:val="none"/>
        </w:rPr>
        <w:t>并颁发最终结清证书的期限：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7EE65EB6">
      <w:pPr>
        <w:spacing w:line="360" w:lineRule="auto"/>
        <w:ind w:firstLine="420" w:firstLineChars="200"/>
        <w:jc w:val="left"/>
        <w:rPr>
          <w:rFonts w:eastAsia="仿宋_GB2312"/>
          <w:color w:val="auto"/>
          <w:szCs w:val="21"/>
          <w:highlight w:val="none"/>
        </w:rPr>
      </w:pPr>
      <w:r>
        <w:rPr>
          <w:rFonts w:eastAsia="仿宋_GB2312"/>
          <w:color w:val="auto"/>
          <w:szCs w:val="21"/>
          <w:highlight w:val="none"/>
        </w:rPr>
        <w:t>（2）发包人完成支付的期限：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bookmarkEnd w:id="1044"/>
    <w:bookmarkEnd w:id="1045"/>
    <w:bookmarkEnd w:id="1046"/>
    <w:bookmarkEnd w:id="1047"/>
    <w:bookmarkEnd w:id="1048"/>
    <w:bookmarkEnd w:id="1049"/>
    <w:bookmarkEnd w:id="1050"/>
    <w:bookmarkEnd w:id="1056"/>
    <w:p w14:paraId="66CC5C6F">
      <w:pPr>
        <w:pStyle w:val="3"/>
        <w:spacing w:before="120" w:after="120"/>
        <w:ind w:firstLine="1680"/>
        <w:rPr>
          <w:rFonts w:ascii="Times New Roman" w:hAnsi="Times New Roman"/>
          <w:color w:val="auto"/>
          <w:sz w:val="21"/>
          <w:szCs w:val="21"/>
          <w:highlight w:val="none"/>
        </w:rPr>
      </w:pPr>
      <w:bookmarkStart w:id="1058" w:name="_Toc30043"/>
      <w:bookmarkStart w:id="1059" w:name="_Toc267251483"/>
      <w:bookmarkStart w:id="1060" w:name="_Toc267251484"/>
      <w:bookmarkStart w:id="1061" w:name="_Toc267251482"/>
      <w:bookmarkStart w:id="1062" w:name="_Toc267251485"/>
      <w:bookmarkStart w:id="1063" w:name="_Toc267251488"/>
      <w:bookmarkStart w:id="1064" w:name="_Toc267251490"/>
      <w:bookmarkStart w:id="1065" w:name="_Toc267251486"/>
      <w:bookmarkStart w:id="1066" w:name="_Toc267251489"/>
      <w:bookmarkStart w:id="1067" w:name="_Toc267251497"/>
      <w:bookmarkStart w:id="1068" w:name="_Toc267251495"/>
      <w:bookmarkStart w:id="1069" w:name="_Toc267251499"/>
      <w:bookmarkStart w:id="1070" w:name="_Toc267251496"/>
      <w:bookmarkStart w:id="1071" w:name="_Toc267251503"/>
      <w:bookmarkStart w:id="1072" w:name="_Toc267251501"/>
      <w:bookmarkStart w:id="1073" w:name="_Toc267251502"/>
      <w:bookmarkStart w:id="1074" w:name="_Toc267251491"/>
      <w:bookmarkStart w:id="1075" w:name="_Toc267251498"/>
      <w:bookmarkStart w:id="1076" w:name="_Toc267251494"/>
      <w:bookmarkStart w:id="1077" w:name="_Toc267251493"/>
      <w:bookmarkStart w:id="1078" w:name="_Toc267251492"/>
      <w:bookmarkStart w:id="1079" w:name="_Toc267251504"/>
      <w:bookmarkStart w:id="1080" w:name="_Toc267251506"/>
      <w:bookmarkStart w:id="1081" w:name="_Toc267251507"/>
      <w:bookmarkStart w:id="1082" w:name="_Toc267251508"/>
      <w:bookmarkStart w:id="1083" w:name="_Toc267251510"/>
      <w:bookmarkStart w:id="1084" w:name="_Toc267251511"/>
      <w:bookmarkStart w:id="1085" w:name="_Toc267251509"/>
      <w:bookmarkStart w:id="1086" w:name="_Toc267251513"/>
      <w:bookmarkStart w:id="1087" w:name="_Toc267251514"/>
      <w:bookmarkStart w:id="1088" w:name="_Toc267251515"/>
      <w:r>
        <w:rPr>
          <w:rFonts w:ascii="Times New Roman" w:hAnsi="Times New Roman"/>
          <w:color w:val="auto"/>
          <w:sz w:val="21"/>
          <w:szCs w:val="21"/>
          <w:highlight w:val="none"/>
        </w:rPr>
        <w:t>15. 缺陷责任期与保修</w:t>
      </w:r>
      <w:bookmarkEnd w:id="1058"/>
    </w:p>
    <w:p w14:paraId="4902F2F4">
      <w:pPr>
        <w:spacing w:after="120" w:line="360" w:lineRule="auto"/>
        <w:ind w:firstLine="420" w:firstLineChars="200"/>
        <w:rPr>
          <w:rFonts w:eastAsia="黑体"/>
          <w:color w:val="auto"/>
          <w:szCs w:val="21"/>
          <w:highlight w:val="none"/>
        </w:rPr>
      </w:pPr>
      <w:r>
        <w:rPr>
          <w:rFonts w:eastAsia="黑体"/>
          <w:color w:val="auto"/>
          <w:szCs w:val="21"/>
          <w:highlight w:val="none"/>
        </w:rPr>
        <w:t>15.2缺陷责任期</w:t>
      </w:r>
      <w:bookmarkEnd w:id="1059"/>
    </w:p>
    <w:p w14:paraId="112F524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缺陷责任期的具体期限：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5F75681B">
      <w:pPr>
        <w:spacing w:after="120" w:line="360" w:lineRule="auto"/>
        <w:ind w:firstLine="420" w:firstLineChars="200"/>
        <w:rPr>
          <w:rFonts w:eastAsia="黑体"/>
          <w:color w:val="auto"/>
          <w:szCs w:val="21"/>
          <w:highlight w:val="none"/>
        </w:rPr>
      </w:pPr>
      <w:r>
        <w:rPr>
          <w:rFonts w:eastAsia="黑体"/>
          <w:color w:val="auto"/>
          <w:szCs w:val="21"/>
          <w:highlight w:val="none"/>
        </w:rPr>
        <w:t>15.3 质量保证金</w:t>
      </w:r>
    </w:p>
    <w:p w14:paraId="3627B19F">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关于是否扣留质量保证金的约定：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BD5E420">
      <w:pPr>
        <w:spacing w:line="360" w:lineRule="auto"/>
        <w:ind w:firstLine="420" w:firstLineChars="200"/>
        <w:jc w:val="left"/>
        <w:rPr>
          <w:rFonts w:eastAsia="仿宋_GB2312"/>
          <w:color w:val="auto"/>
          <w:szCs w:val="21"/>
          <w:highlight w:val="none"/>
        </w:rPr>
      </w:pPr>
      <w:r>
        <w:rPr>
          <w:rFonts w:hint="eastAsia" w:eastAsia="仿宋_GB2312"/>
          <w:color w:val="auto"/>
          <w:szCs w:val="21"/>
          <w:highlight w:val="none"/>
        </w:rPr>
        <w:t>在工程项目竣工前，承包人按专用合同条款第3.7条提供履约担保的，发包人不得同时预留工程质量保证金。</w:t>
      </w:r>
    </w:p>
    <w:p w14:paraId="479D5E6A">
      <w:pPr>
        <w:spacing w:line="360" w:lineRule="auto"/>
        <w:ind w:firstLine="420" w:firstLineChars="200"/>
        <w:jc w:val="left"/>
        <w:rPr>
          <w:rFonts w:eastAsia="仿宋_GB2312"/>
          <w:color w:val="auto"/>
          <w:szCs w:val="21"/>
          <w:highlight w:val="none"/>
        </w:rPr>
      </w:pPr>
      <w:r>
        <w:rPr>
          <w:rFonts w:eastAsia="仿宋_GB2312"/>
          <w:color w:val="auto"/>
          <w:szCs w:val="21"/>
          <w:highlight w:val="none"/>
        </w:rPr>
        <w:t xml:space="preserve">15.3.1 </w:t>
      </w:r>
      <w:r>
        <w:rPr>
          <w:rFonts w:hint="eastAsia" w:eastAsia="仿宋_GB2312"/>
          <w:color w:val="auto"/>
          <w:szCs w:val="21"/>
          <w:highlight w:val="none"/>
        </w:rPr>
        <w:t>承包人提供</w:t>
      </w:r>
      <w:r>
        <w:rPr>
          <w:rFonts w:eastAsia="仿宋_GB2312"/>
          <w:color w:val="auto"/>
          <w:szCs w:val="21"/>
          <w:highlight w:val="none"/>
        </w:rPr>
        <w:t>质量保证金的</w:t>
      </w:r>
      <w:r>
        <w:rPr>
          <w:rFonts w:hint="eastAsia" w:eastAsia="仿宋_GB2312"/>
          <w:color w:val="auto"/>
          <w:szCs w:val="21"/>
          <w:highlight w:val="none"/>
        </w:rPr>
        <w:t>方</w:t>
      </w:r>
      <w:r>
        <w:rPr>
          <w:rFonts w:eastAsia="仿宋_GB2312"/>
          <w:color w:val="auto"/>
          <w:szCs w:val="21"/>
          <w:highlight w:val="none"/>
        </w:rPr>
        <w:t>式</w:t>
      </w:r>
    </w:p>
    <w:p w14:paraId="7B3BEA96">
      <w:pPr>
        <w:spacing w:line="360" w:lineRule="auto"/>
        <w:ind w:firstLine="420" w:firstLineChars="200"/>
        <w:jc w:val="left"/>
        <w:rPr>
          <w:rFonts w:eastAsia="仿宋_GB2312"/>
          <w:color w:val="auto"/>
          <w:szCs w:val="21"/>
          <w:highlight w:val="none"/>
        </w:rPr>
      </w:pPr>
      <w:r>
        <w:rPr>
          <w:rFonts w:eastAsia="仿宋_GB2312"/>
          <w:color w:val="auto"/>
          <w:szCs w:val="21"/>
          <w:highlight w:val="none"/>
        </w:rPr>
        <w:t>质量保证金采用以下第</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种方式：</w:t>
      </w:r>
    </w:p>
    <w:p w14:paraId="44A373C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（1）质量保证金保函，保证金额为：</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 xml:space="preserve">； </w:t>
      </w:r>
    </w:p>
    <w:p w14:paraId="4D9D79BA">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%的工程款；</w:t>
      </w:r>
    </w:p>
    <w:p w14:paraId="2D53A5A5">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（3）其他</w:t>
      </w:r>
      <w:r>
        <w:rPr>
          <w:rFonts w:hint="eastAsia" w:eastAsia="仿宋_GB2312"/>
          <w:color w:val="auto"/>
          <w:kern w:val="0"/>
          <w:szCs w:val="21"/>
          <w:highlight w:val="none"/>
        </w:rPr>
        <w:t>方</w:t>
      </w:r>
      <w:r>
        <w:rPr>
          <w:rFonts w:eastAsia="仿宋_GB2312"/>
          <w:color w:val="auto"/>
          <w:kern w:val="0"/>
          <w:szCs w:val="21"/>
          <w:highlight w:val="none"/>
        </w:rPr>
        <w:t>式:</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7D0672F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 xml:space="preserve">15.3.2 质量保证金的扣留 </w:t>
      </w:r>
    </w:p>
    <w:p w14:paraId="7B749D1B">
      <w:pPr>
        <w:spacing w:line="360" w:lineRule="auto"/>
        <w:ind w:firstLine="420" w:firstLineChars="200"/>
        <w:jc w:val="left"/>
        <w:rPr>
          <w:rFonts w:eastAsia="仿宋_GB2312"/>
          <w:color w:val="auto"/>
          <w:szCs w:val="21"/>
          <w:highlight w:val="none"/>
        </w:rPr>
      </w:pPr>
      <w:r>
        <w:rPr>
          <w:rFonts w:eastAsia="仿宋_GB2312"/>
          <w:color w:val="auto"/>
          <w:szCs w:val="21"/>
          <w:highlight w:val="none"/>
        </w:rPr>
        <w:t>质量保证金的扣留采取以下第</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种方式：</w:t>
      </w:r>
    </w:p>
    <w:p w14:paraId="43BC03E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（1）在支付工程进度款时逐次扣留，在此情形下，质量保证金的计算基数不包括预付款的支付、扣回以及价格调整的金额；</w:t>
      </w:r>
    </w:p>
    <w:p w14:paraId="1EEF8353">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（2）工程竣工结算时一次性扣留质量保证金；</w:t>
      </w:r>
    </w:p>
    <w:p w14:paraId="658DD407">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（3）其他扣留方式:</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0D0BF85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关于质量保证金的补充约定：</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rPr>
        <w:t>。</w:t>
      </w:r>
    </w:p>
    <w:bookmarkEnd w:id="1060"/>
    <w:bookmarkEnd w:id="1061"/>
    <w:p w14:paraId="1F422B39">
      <w:pPr>
        <w:spacing w:after="120" w:line="360" w:lineRule="auto"/>
        <w:ind w:firstLine="420" w:firstLineChars="200"/>
        <w:rPr>
          <w:rFonts w:eastAsia="黑体"/>
          <w:color w:val="auto"/>
          <w:szCs w:val="21"/>
          <w:highlight w:val="none"/>
        </w:rPr>
      </w:pPr>
      <w:r>
        <w:rPr>
          <w:rFonts w:eastAsia="黑体"/>
          <w:color w:val="auto"/>
          <w:szCs w:val="21"/>
          <w:highlight w:val="none"/>
        </w:rPr>
        <w:t>15.4保修</w:t>
      </w:r>
    </w:p>
    <w:bookmarkEnd w:id="1062"/>
    <w:p w14:paraId="4880DD7B">
      <w:pPr>
        <w:spacing w:line="360" w:lineRule="auto"/>
        <w:ind w:firstLine="409" w:firstLineChars="195"/>
        <w:jc w:val="left"/>
        <w:rPr>
          <w:rFonts w:eastAsia="仿宋_GB2312"/>
          <w:color w:val="auto"/>
          <w:szCs w:val="21"/>
          <w:highlight w:val="none"/>
        </w:rPr>
      </w:pPr>
      <w:r>
        <w:rPr>
          <w:rFonts w:eastAsia="仿宋_GB2312"/>
          <w:color w:val="auto"/>
          <w:szCs w:val="21"/>
          <w:highlight w:val="none"/>
        </w:rPr>
        <w:t>15.4.1 保修责任</w:t>
      </w:r>
    </w:p>
    <w:p w14:paraId="12BDA53B">
      <w:pPr>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工程保修期为：</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10789158">
      <w:pPr>
        <w:spacing w:line="360" w:lineRule="auto"/>
        <w:ind w:firstLine="409" w:firstLineChars="195"/>
        <w:jc w:val="left"/>
        <w:rPr>
          <w:rFonts w:eastAsia="仿宋_GB2312"/>
          <w:color w:val="auto"/>
          <w:szCs w:val="21"/>
          <w:highlight w:val="none"/>
        </w:rPr>
      </w:pPr>
      <w:r>
        <w:rPr>
          <w:rFonts w:eastAsia="仿宋_GB2312"/>
          <w:color w:val="auto"/>
          <w:szCs w:val="21"/>
          <w:highlight w:val="none"/>
        </w:rPr>
        <w:t>15.4.3 修复通知</w:t>
      </w:r>
    </w:p>
    <w:p w14:paraId="7C6C8653">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承包人收到保修通知并到达工程现场的合理时间：</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bookmarkEnd w:id="1063"/>
    <w:bookmarkEnd w:id="1064"/>
    <w:bookmarkEnd w:id="1065"/>
    <w:bookmarkEnd w:id="1066"/>
    <w:p w14:paraId="6A6A288B">
      <w:pPr>
        <w:pStyle w:val="3"/>
        <w:spacing w:before="120" w:after="120"/>
        <w:ind w:firstLine="1680"/>
        <w:rPr>
          <w:rFonts w:ascii="Times New Roman" w:hAnsi="Times New Roman"/>
          <w:color w:val="auto"/>
          <w:sz w:val="21"/>
          <w:szCs w:val="21"/>
          <w:highlight w:val="none"/>
        </w:rPr>
      </w:pPr>
      <w:bookmarkStart w:id="1089" w:name="_Toc27616"/>
      <w:bookmarkStart w:id="1090" w:name="_Toc280868717"/>
      <w:bookmarkStart w:id="1091" w:name="_Toc280868718"/>
      <w:r>
        <w:rPr>
          <w:rFonts w:ascii="Times New Roman" w:hAnsi="Times New Roman"/>
          <w:color w:val="auto"/>
          <w:sz w:val="21"/>
          <w:szCs w:val="21"/>
          <w:highlight w:val="none"/>
        </w:rPr>
        <w:t>16. 违约</w:t>
      </w:r>
      <w:bookmarkEnd w:id="1089"/>
    </w:p>
    <w:p w14:paraId="05A24939">
      <w:pPr>
        <w:spacing w:after="120" w:line="360" w:lineRule="auto"/>
        <w:ind w:firstLine="420" w:firstLineChars="200"/>
        <w:rPr>
          <w:rFonts w:eastAsia="黑体"/>
          <w:color w:val="auto"/>
          <w:szCs w:val="21"/>
          <w:highlight w:val="none"/>
        </w:rPr>
      </w:pPr>
      <w:r>
        <w:rPr>
          <w:rFonts w:eastAsia="黑体"/>
          <w:color w:val="auto"/>
          <w:szCs w:val="21"/>
          <w:highlight w:val="none"/>
        </w:rPr>
        <w:t>16.1 发包人违约</w:t>
      </w:r>
    </w:p>
    <w:p w14:paraId="3DDFB253">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16.1.1发包人违约的情形</w:t>
      </w:r>
    </w:p>
    <w:p w14:paraId="49C8F0D8">
      <w:pPr>
        <w:spacing w:line="360" w:lineRule="auto"/>
        <w:ind w:left="1226" w:leftChars="284" w:hanging="630" w:hangingChars="300"/>
        <w:jc w:val="left"/>
        <w:rPr>
          <w:rFonts w:eastAsia="仿宋_GB2312"/>
          <w:color w:val="auto"/>
          <w:kern w:val="0"/>
          <w:szCs w:val="21"/>
          <w:highlight w:val="none"/>
        </w:rPr>
      </w:pPr>
      <w:r>
        <w:rPr>
          <w:rFonts w:eastAsia="仿宋_GB2312"/>
          <w:color w:val="auto"/>
          <w:kern w:val="0"/>
          <w:szCs w:val="21"/>
          <w:highlight w:val="none"/>
        </w:rPr>
        <w:t>发包人违约的其他情形：</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3CCC6E61">
      <w:pPr>
        <w:spacing w:line="360" w:lineRule="auto"/>
        <w:ind w:left="1050" w:hanging="1050" w:hangingChars="500"/>
        <w:jc w:val="left"/>
        <w:rPr>
          <w:rFonts w:eastAsia="仿宋_GB2312"/>
          <w:color w:val="auto"/>
          <w:kern w:val="0"/>
          <w:szCs w:val="21"/>
          <w:highlight w:val="none"/>
        </w:rPr>
      </w:pPr>
      <w:r>
        <w:rPr>
          <w:rFonts w:eastAsia="仿宋_GB2312"/>
          <w:color w:val="auto"/>
          <w:kern w:val="0"/>
          <w:szCs w:val="21"/>
          <w:highlight w:val="none"/>
        </w:rPr>
        <w:t xml:space="preserve">    16.1.2 发包人违约的责任</w:t>
      </w:r>
    </w:p>
    <w:p w14:paraId="09B345E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发包人违约责任的承担方式和计算方法：</w:t>
      </w:r>
    </w:p>
    <w:p w14:paraId="3D8D470C">
      <w:pPr>
        <w:spacing w:line="360" w:lineRule="auto"/>
        <w:ind w:firstLine="420" w:firstLineChars="200"/>
        <w:jc w:val="left"/>
        <w:rPr>
          <w:rFonts w:eastAsia="仿宋_GB2312"/>
          <w:color w:val="auto"/>
          <w:kern w:val="0"/>
          <w:szCs w:val="21"/>
          <w:highlight w:val="none"/>
          <w:u w:val="single"/>
        </w:rPr>
      </w:pPr>
      <w:r>
        <w:rPr>
          <w:rFonts w:eastAsia="仿宋_GB2312"/>
          <w:color w:val="auto"/>
          <w:kern w:val="0"/>
          <w:szCs w:val="21"/>
          <w:highlight w:val="none"/>
        </w:rPr>
        <w:t>（1）因发包人原因未能在计划开工日期前7天内下达开工通知的违约责任：</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rPr>
        <w:t>。</w:t>
      </w:r>
    </w:p>
    <w:p w14:paraId="6FEB5D91">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（2）因发包人原因未能按合同约定支付合同价款的违约责任：</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ab/>
      </w:r>
      <w:r>
        <w:rPr>
          <w:rFonts w:hint="eastAsia" w:eastAsia="仿宋_GB2312"/>
          <w:color w:val="auto"/>
          <w:kern w:val="0"/>
          <w:szCs w:val="21"/>
          <w:highlight w:val="none"/>
          <w:u w:val="single"/>
        </w:rPr>
        <w:tab/>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3371651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（3）发包人违反第10.1款</w:t>
      </w:r>
      <w:r>
        <w:rPr>
          <w:rFonts w:hint="eastAsia" w:eastAsia="仿宋_GB2312"/>
          <w:color w:val="auto"/>
          <w:kern w:val="0"/>
          <w:szCs w:val="21"/>
          <w:highlight w:val="none"/>
        </w:rPr>
        <w:t>〔</w:t>
      </w:r>
      <w:r>
        <w:rPr>
          <w:rFonts w:eastAsia="仿宋_GB2312"/>
          <w:color w:val="auto"/>
          <w:kern w:val="0"/>
          <w:szCs w:val="21"/>
          <w:highlight w:val="none"/>
        </w:rPr>
        <w:t>变更的范围</w:t>
      </w:r>
      <w:r>
        <w:rPr>
          <w:rFonts w:hint="eastAsia" w:eastAsia="仿宋_GB2312"/>
          <w:color w:val="auto"/>
          <w:kern w:val="0"/>
          <w:szCs w:val="21"/>
          <w:highlight w:val="none"/>
        </w:rPr>
        <w:t>〕</w:t>
      </w:r>
      <w:r>
        <w:rPr>
          <w:rFonts w:eastAsia="仿宋_GB2312"/>
          <w:color w:val="auto"/>
          <w:kern w:val="0"/>
          <w:szCs w:val="21"/>
          <w:highlight w:val="none"/>
        </w:rPr>
        <w:t>第（2）项约定，自行实施被取消的工作或转由他人实施的违约责任：</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203FB591">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（4）发包人提供的材料、工程设备的规格、数量或质量不符合合同约定，或因发包人原因导致交货日期延误或交货地点变更等情况的违约责任：</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47253479">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（5）因发包人违反合同约定造成暂停施工的违约责任：</w:t>
      </w:r>
      <w:r>
        <w:rPr>
          <w:rFonts w:eastAsia="仿宋_GB2312"/>
          <w:color w:val="auto"/>
          <w:kern w:val="0"/>
          <w:szCs w:val="21"/>
          <w:highlight w:val="none"/>
          <w:u w:val="single"/>
        </w:rPr>
        <w:t xml:space="preserve">  </w:t>
      </w:r>
      <w:r>
        <w:rPr>
          <w:rFonts w:eastAsia="仿宋_GB2312"/>
          <w:color w:val="auto"/>
          <w:kern w:val="0"/>
          <w:szCs w:val="21"/>
          <w:highlight w:val="none"/>
        </w:rPr>
        <w:t>。</w:t>
      </w:r>
    </w:p>
    <w:p w14:paraId="795AD3A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（6）发包人无正当理由没有在约定期限内发出复工指示，导致承包人无法复工的违约责任：</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2C76BBBC">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（7）</w:t>
      </w:r>
      <w:r>
        <w:rPr>
          <w:rFonts w:hint="eastAsia" w:eastAsia="仿宋_GB2312"/>
          <w:color w:val="auto"/>
          <w:kern w:val="0"/>
          <w:szCs w:val="21"/>
          <w:highlight w:val="none"/>
        </w:rPr>
        <w:t>其他：</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rPr>
        <w:t>。</w:t>
      </w:r>
    </w:p>
    <w:p w14:paraId="620CDDC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16.1.3 因发包人违约解除合同</w:t>
      </w:r>
    </w:p>
    <w:p w14:paraId="22A439BD">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承包人按16.1.1项</w:t>
      </w:r>
      <w:r>
        <w:rPr>
          <w:rFonts w:hint="eastAsia" w:eastAsia="仿宋_GB2312"/>
          <w:color w:val="auto"/>
          <w:kern w:val="0"/>
          <w:szCs w:val="21"/>
          <w:highlight w:val="none"/>
        </w:rPr>
        <w:t>〔</w:t>
      </w:r>
      <w:r>
        <w:rPr>
          <w:rFonts w:eastAsia="仿宋_GB2312"/>
          <w:color w:val="auto"/>
          <w:kern w:val="0"/>
          <w:szCs w:val="21"/>
          <w:highlight w:val="none"/>
        </w:rPr>
        <w:t>发包人违约的情形</w:t>
      </w:r>
      <w:r>
        <w:rPr>
          <w:rFonts w:hint="eastAsia" w:eastAsia="仿宋_GB2312"/>
          <w:color w:val="auto"/>
          <w:kern w:val="0"/>
          <w:szCs w:val="21"/>
          <w:highlight w:val="none"/>
        </w:rPr>
        <w:t>〕</w:t>
      </w:r>
      <w:r>
        <w:rPr>
          <w:rFonts w:eastAsia="仿宋_GB2312"/>
          <w:color w:val="auto"/>
          <w:kern w:val="0"/>
          <w:szCs w:val="21"/>
          <w:highlight w:val="none"/>
        </w:rPr>
        <w:t>约定暂停施工满</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天后发包人仍不纠正其违约行为并致使合同目的不能实现的，承包人有权解除合同。</w:t>
      </w:r>
    </w:p>
    <w:p w14:paraId="1147CE78">
      <w:pPr>
        <w:spacing w:after="120" w:line="360" w:lineRule="auto"/>
        <w:ind w:firstLine="420" w:firstLineChars="200"/>
        <w:rPr>
          <w:rFonts w:eastAsia="黑体"/>
          <w:color w:val="auto"/>
          <w:szCs w:val="21"/>
          <w:highlight w:val="none"/>
        </w:rPr>
      </w:pPr>
      <w:r>
        <w:rPr>
          <w:rFonts w:eastAsia="黑体"/>
          <w:color w:val="auto"/>
          <w:szCs w:val="21"/>
          <w:highlight w:val="none"/>
        </w:rPr>
        <w:t>16.2 承包人违约</w:t>
      </w:r>
    </w:p>
    <w:p w14:paraId="0AC89E06">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16.2.1 承包人违约的情形</w:t>
      </w:r>
    </w:p>
    <w:p w14:paraId="4D630A25">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承包人违约的其他情形：</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6B890F98">
      <w:pPr>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16.2.2承包人违约的责任</w:t>
      </w:r>
    </w:p>
    <w:p w14:paraId="0428387A">
      <w:pPr>
        <w:spacing w:line="360" w:lineRule="auto"/>
        <w:ind w:firstLine="420" w:firstLineChars="200"/>
        <w:jc w:val="left"/>
        <w:rPr>
          <w:rFonts w:eastAsia="仿宋_GB2312"/>
          <w:color w:val="auto"/>
          <w:kern w:val="0"/>
          <w:szCs w:val="21"/>
          <w:highlight w:val="none"/>
          <w:u w:val="single"/>
        </w:rPr>
      </w:pPr>
      <w:r>
        <w:rPr>
          <w:rFonts w:hint="eastAsia" w:eastAsia="仿宋_GB2312"/>
          <w:color w:val="auto"/>
          <w:kern w:val="0"/>
          <w:szCs w:val="21"/>
          <w:highlight w:val="none"/>
          <w:u w:val="single"/>
        </w:rPr>
        <w:t xml:space="preserve">                                                    </w:t>
      </w:r>
    </w:p>
    <w:p w14:paraId="160B5659">
      <w:pPr>
        <w:spacing w:line="360" w:lineRule="auto"/>
        <w:ind w:firstLine="420" w:firstLineChars="200"/>
        <w:jc w:val="left"/>
        <w:rPr>
          <w:rFonts w:eastAsia="仿宋_GB2312"/>
          <w:color w:val="auto"/>
          <w:kern w:val="0"/>
          <w:szCs w:val="21"/>
          <w:highlight w:val="none"/>
          <w:u w:val="single"/>
        </w:rPr>
      </w:pP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rPr>
        <w:t>。</w:t>
      </w:r>
      <w:r>
        <w:rPr>
          <w:rFonts w:eastAsia="仿宋_GB2312"/>
          <w:color w:val="auto"/>
          <w:szCs w:val="21"/>
          <w:highlight w:val="none"/>
        </w:rPr>
        <w:t xml:space="preserve">    </w:t>
      </w:r>
    </w:p>
    <w:p w14:paraId="4BFC4662">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16.2.3 因承包人违约解除合同</w:t>
      </w:r>
    </w:p>
    <w:p w14:paraId="28250454">
      <w:pPr>
        <w:spacing w:before="120" w:after="120" w:line="360" w:lineRule="auto"/>
        <w:ind w:firstLine="420" w:firstLineChars="200"/>
        <w:rPr>
          <w:rFonts w:eastAsia="仿宋_GB2312"/>
          <w:color w:val="auto"/>
          <w:kern w:val="0"/>
          <w:szCs w:val="21"/>
          <w:highlight w:val="none"/>
        </w:rPr>
      </w:pPr>
      <w:r>
        <w:rPr>
          <w:rFonts w:eastAsia="仿宋_GB2312"/>
          <w:color w:val="auto"/>
          <w:kern w:val="0"/>
          <w:szCs w:val="21"/>
          <w:highlight w:val="none"/>
        </w:rPr>
        <w:t>关于承包人违约解除合同的特别约定：</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w:t>
      </w:r>
    </w:p>
    <w:p w14:paraId="2F23E57B">
      <w:pPr>
        <w:spacing w:before="120" w:after="120" w:line="360" w:lineRule="auto"/>
        <w:ind w:firstLine="420" w:firstLineChars="200"/>
        <w:rPr>
          <w:rFonts w:eastAsia="仿宋_GB2312"/>
          <w:color w:val="auto"/>
          <w:kern w:val="0"/>
          <w:szCs w:val="21"/>
          <w:highlight w:val="none"/>
        </w:rPr>
      </w:pPr>
      <w:r>
        <w:rPr>
          <w:rFonts w:eastAsia="仿宋_GB2312"/>
          <w:color w:val="auto"/>
          <w:kern w:val="0"/>
          <w:szCs w:val="21"/>
          <w:highlight w:val="none"/>
        </w:rPr>
        <w:t>发包人</w:t>
      </w:r>
      <w:r>
        <w:rPr>
          <w:rFonts w:hint="eastAsia" w:eastAsia="仿宋_GB2312"/>
          <w:color w:val="auto"/>
          <w:kern w:val="0"/>
          <w:szCs w:val="21"/>
          <w:highlight w:val="none"/>
        </w:rPr>
        <w:t>继续</w:t>
      </w:r>
      <w:r>
        <w:rPr>
          <w:rFonts w:eastAsia="仿宋_GB2312"/>
          <w:color w:val="auto"/>
          <w:kern w:val="0"/>
          <w:szCs w:val="21"/>
          <w:highlight w:val="none"/>
        </w:rPr>
        <w:t>使用承包人在施工现场的材料、设备、临时工程、承包人文件和由承包人或以其名义编制的其他文件</w:t>
      </w:r>
      <w:r>
        <w:rPr>
          <w:rFonts w:hint="eastAsia" w:eastAsia="仿宋_GB2312"/>
          <w:color w:val="auto"/>
          <w:kern w:val="0"/>
          <w:szCs w:val="21"/>
          <w:highlight w:val="none"/>
        </w:rPr>
        <w:t>的费用承担方式</w:t>
      </w:r>
      <w:r>
        <w:rPr>
          <w:rFonts w:eastAsia="仿宋_GB2312"/>
          <w:color w:val="auto"/>
          <w:kern w:val="0"/>
          <w:szCs w:val="21"/>
          <w:highlight w:val="none"/>
        </w:rPr>
        <w:t>：</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rPr>
        <w:t>。</w:t>
      </w:r>
    </w:p>
    <w:p w14:paraId="0F2766CB">
      <w:pPr>
        <w:pStyle w:val="3"/>
        <w:spacing w:before="120" w:after="120"/>
        <w:ind w:firstLine="1680"/>
        <w:rPr>
          <w:rFonts w:ascii="Times New Roman" w:hAnsi="Times New Roman"/>
          <w:color w:val="auto"/>
          <w:sz w:val="21"/>
          <w:szCs w:val="21"/>
          <w:highlight w:val="none"/>
        </w:rPr>
      </w:pPr>
      <w:bookmarkStart w:id="1092" w:name="_Toc788"/>
      <w:r>
        <w:rPr>
          <w:rFonts w:ascii="Times New Roman" w:hAnsi="Times New Roman"/>
          <w:color w:val="auto"/>
          <w:sz w:val="21"/>
          <w:szCs w:val="21"/>
          <w:highlight w:val="none"/>
        </w:rPr>
        <w:t>17. 不可抗力</w:t>
      </w:r>
      <w:bookmarkEnd w:id="1092"/>
      <w:r>
        <w:rPr>
          <w:rFonts w:ascii="Times New Roman" w:hAnsi="Times New Roman"/>
          <w:color w:val="auto"/>
          <w:sz w:val="21"/>
          <w:szCs w:val="21"/>
          <w:highlight w:val="none"/>
        </w:rPr>
        <w:t xml:space="preserve"> </w:t>
      </w:r>
      <w:bookmarkEnd w:id="1090"/>
    </w:p>
    <w:p w14:paraId="759F3BAE">
      <w:pPr>
        <w:spacing w:after="120" w:line="360" w:lineRule="auto"/>
        <w:ind w:firstLine="420" w:firstLineChars="200"/>
        <w:rPr>
          <w:rFonts w:eastAsia="黑体"/>
          <w:color w:val="auto"/>
          <w:szCs w:val="21"/>
          <w:highlight w:val="none"/>
        </w:rPr>
      </w:pPr>
      <w:r>
        <w:rPr>
          <w:rFonts w:eastAsia="黑体"/>
          <w:color w:val="auto"/>
          <w:szCs w:val="21"/>
          <w:highlight w:val="none"/>
        </w:rPr>
        <w:t>17.1 不可抗力的确认</w:t>
      </w:r>
    </w:p>
    <w:p w14:paraId="78C17C6A">
      <w:pPr>
        <w:spacing w:line="360" w:lineRule="auto"/>
        <w:ind w:firstLine="420" w:firstLineChars="200"/>
        <w:jc w:val="left"/>
        <w:rPr>
          <w:rFonts w:eastAsia="仿宋_GB2312"/>
          <w:color w:val="auto"/>
          <w:kern w:val="0"/>
          <w:szCs w:val="21"/>
          <w:highlight w:val="none"/>
          <w:u w:val="single"/>
        </w:rPr>
      </w:pPr>
      <w:r>
        <w:rPr>
          <w:rFonts w:eastAsia="仿宋_GB2312"/>
          <w:color w:val="auto"/>
          <w:szCs w:val="21"/>
          <w:highlight w:val="none"/>
        </w:rPr>
        <w:t xml:space="preserve">除通用合同条款约定的不可抗力事件之外，视为不可抗力的其他情形：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31CEF89A">
      <w:pPr>
        <w:spacing w:after="120" w:line="360" w:lineRule="auto"/>
        <w:ind w:firstLine="420" w:firstLineChars="200"/>
        <w:rPr>
          <w:rFonts w:eastAsia="黑体"/>
          <w:color w:val="auto"/>
          <w:szCs w:val="21"/>
          <w:highlight w:val="none"/>
        </w:rPr>
      </w:pPr>
      <w:r>
        <w:rPr>
          <w:rFonts w:eastAsia="黑体"/>
          <w:color w:val="auto"/>
          <w:szCs w:val="21"/>
          <w:highlight w:val="none"/>
        </w:rPr>
        <w:t>17.4 因不可抗力解除合同</w:t>
      </w:r>
    </w:p>
    <w:p w14:paraId="6C23FCCA">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合同解除后，发包人应在商定或确定发包人应支付款项后</w:t>
      </w:r>
      <w:r>
        <w:rPr>
          <w:rFonts w:eastAsia="仿宋_GB2312"/>
          <w:color w:val="auto"/>
          <w:szCs w:val="21"/>
          <w:highlight w:val="none"/>
          <w:u w:val="single"/>
        </w:rPr>
        <w:t xml:space="preserve">   </w:t>
      </w:r>
      <w:r>
        <w:rPr>
          <w:rFonts w:eastAsia="仿宋_GB2312"/>
          <w:color w:val="auto"/>
          <w:szCs w:val="21"/>
          <w:highlight w:val="none"/>
        </w:rPr>
        <w:t>天内完成款项的支付。</w:t>
      </w:r>
    </w:p>
    <w:p w14:paraId="3BA5D136">
      <w:pPr>
        <w:pStyle w:val="3"/>
        <w:spacing w:before="120" w:after="120"/>
        <w:ind w:firstLine="1680"/>
        <w:rPr>
          <w:rFonts w:ascii="Times New Roman" w:hAnsi="Times New Roman"/>
          <w:color w:val="auto"/>
          <w:sz w:val="21"/>
          <w:szCs w:val="21"/>
          <w:highlight w:val="none"/>
        </w:rPr>
      </w:pPr>
      <w:bookmarkStart w:id="1093" w:name="_Toc2403"/>
      <w:r>
        <w:rPr>
          <w:rFonts w:ascii="Times New Roman" w:hAnsi="Times New Roman"/>
          <w:color w:val="auto"/>
          <w:sz w:val="21"/>
          <w:szCs w:val="21"/>
          <w:highlight w:val="none"/>
        </w:rPr>
        <w:t>18. 保险</w:t>
      </w:r>
      <w:bookmarkEnd w:id="1093"/>
    </w:p>
    <w:bookmarkEnd w:id="1091"/>
    <w:p w14:paraId="6357D9F5">
      <w:pPr>
        <w:spacing w:after="120" w:line="360" w:lineRule="auto"/>
        <w:ind w:firstLine="420" w:firstLineChars="200"/>
        <w:rPr>
          <w:rFonts w:eastAsia="黑体"/>
          <w:color w:val="auto"/>
          <w:szCs w:val="21"/>
          <w:highlight w:val="none"/>
        </w:rPr>
      </w:pPr>
      <w:r>
        <w:rPr>
          <w:rFonts w:eastAsia="黑体"/>
          <w:color w:val="auto"/>
          <w:szCs w:val="21"/>
          <w:highlight w:val="none"/>
        </w:rPr>
        <w:t>18.1 工程保险</w:t>
      </w:r>
    </w:p>
    <w:p w14:paraId="3C5187F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关于工程保险的特别约定：</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1ED8C64D">
      <w:pPr>
        <w:spacing w:after="120" w:line="360" w:lineRule="auto"/>
        <w:ind w:firstLine="420" w:firstLineChars="200"/>
        <w:rPr>
          <w:rFonts w:eastAsia="黑体"/>
          <w:color w:val="auto"/>
          <w:szCs w:val="21"/>
          <w:highlight w:val="none"/>
        </w:rPr>
      </w:pPr>
      <w:r>
        <w:rPr>
          <w:rFonts w:eastAsia="黑体"/>
          <w:color w:val="auto"/>
          <w:szCs w:val="21"/>
          <w:highlight w:val="none"/>
        </w:rPr>
        <w:t>18.3 其他保险</w:t>
      </w:r>
    </w:p>
    <w:p w14:paraId="7D3C2FB7">
      <w:pPr>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rPr>
        <w:t>关于其他保险的约定：</w:t>
      </w:r>
      <w:r>
        <w:rPr>
          <w:rFonts w:eastAsia="仿宋_GB2312"/>
          <w:color w:val="auto"/>
          <w:kern w:val="0"/>
          <w:szCs w:val="21"/>
          <w:highlight w:val="none"/>
          <w:u w:val="single"/>
        </w:rPr>
        <w:t xml:space="preserve">  </w:t>
      </w:r>
      <w:r>
        <w:rPr>
          <w:rFonts w:hint="eastAsia" w:eastAsia="仿宋_GB2312"/>
          <w:color w:val="auto"/>
          <w:kern w:val="0"/>
          <w:szCs w:val="21"/>
          <w:highlight w:val="none"/>
          <w:u w:val="single"/>
        </w:rPr>
        <w:t xml:space="preserve">                          </w:t>
      </w:r>
      <w:r>
        <w:rPr>
          <w:rFonts w:eastAsia="仿宋_GB2312"/>
          <w:color w:val="auto"/>
          <w:kern w:val="0"/>
          <w:szCs w:val="21"/>
          <w:highlight w:val="none"/>
          <w:u w:val="single"/>
        </w:rPr>
        <w:t xml:space="preserve"> </w:t>
      </w:r>
      <w:r>
        <w:rPr>
          <w:rFonts w:eastAsia="仿宋_GB2312"/>
          <w:color w:val="auto"/>
          <w:kern w:val="0"/>
          <w:szCs w:val="21"/>
          <w:highlight w:val="none"/>
        </w:rPr>
        <w:t>。</w:t>
      </w:r>
    </w:p>
    <w:p w14:paraId="08FF8515">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承包人是否应为其施工设备等办理财产保险：</w:t>
      </w:r>
      <w:r>
        <w:rPr>
          <w:rFonts w:hint="eastAsia" w:eastAsia="仿宋_GB2312"/>
          <w:color w:val="auto"/>
          <w:szCs w:val="21"/>
          <w:highlight w:val="none"/>
          <w:u w:val="single"/>
        </w:rPr>
        <w:t xml:space="preserve">            </w:t>
      </w:r>
    </w:p>
    <w:p w14:paraId="4DA12502">
      <w:pPr>
        <w:spacing w:line="360" w:lineRule="auto"/>
        <w:ind w:firstLine="420" w:firstLineChars="200"/>
        <w:jc w:val="left"/>
        <w:rPr>
          <w:rFonts w:eastAsia="仿宋_GB2312"/>
          <w:color w:val="auto"/>
          <w:kern w:val="0"/>
          <w:szCs w:val="21"/>
          <w:highlight w:val="none"/>
        </w:rPr>
      </w:pP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rPr>
        <w:t>。</w:t>
      </w:r>
    </w:p>
    <w:p w14:paraId="3A15A846">
      <w:pPr>
        <w:spacing w:after="120" w:line="360" w:lineRule="auto"/>
        <w:ind w:firstLine="420" w:firstLineChars="200"/>
        <w:rPr>
          <w:rFonts w:eastAsia="黑体"/>
          <w:color w:val="auto"/>
          <w:szCs w:val="21"/>
          <w:highlight w:val="none"/>
        </w:rPr>
      </w:pPr>
      <w:r>
        <w:rPr>
          <w:rFonts w:eastAsia="黑体"/>
          <w:color w:val="auto"/>
          <w:szCs w:val="21"/>
          <w:highlight w:val="none"/>
        </w:rPr>
        <w:t>18.7 通知义务</w:t>
      </w:r>
    </w:p>
    <w:p w14:paraId="6BE56A81">
      <w:pPr>
        <w:spacing w:line="360" w:lineRule="auto"/>
        <w:ind w:firstLine="420" w:firstLineChars="200"/>
        <w:jc w:val="left"/>
        <w:rPr>
          <w:rFonts w:eastAsia="仿宋_GB2312"/>
          <w:color w:val="auto"/>
          <w:szCs w:val="21"/>
          <w:highlight w:val="none"/>
        </w:rPr>
      </w:pPr>
      <w:r>
        <w:rPr>
          <w:rFonts w:eastAsia="仿宋_GB2312"/>
          <w:color w:val="auto"/>
          <w:kern w:val="0"/>
          <w:szCs w:val="21"/>
          <w:highlight w:val="none"/>
        </w:rPr>
        <w:t>关于变更保险合同时的通知义务的约定：</w:t>
      </w:r>
      <w:r>
        <w:rPr>
          <w:rFonts w:eastAsia="仿宋_GB2312"/>
          <w:color w:val="auto"/>
          <w:szCs w:val="21"/>
          <w:highlight w:val="none"/>
          <w:u w:val="single"/>
        </w:rPr>
        <w:t xml:space="preserve">  </w:t>
      </w:r>
      <w:r>
        <w:rPr>
          <w:rFonts w:hint="eastAsia" w:eastAsia="仿宋_GB2312"/>
          <w:color w:val="auto"/>
          <w:kern w:val="0"/>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bookmarkEnd w:id="1067"/>
    <w:bookmarkEnd w:id="1068"/>
    <w:bookmarkEnd w:id="1069"/>
    <w:bookmarkEnd w:id="1070"/>
    <w:bookmarkEnd w:id="1071"/>
    <w:bookmarkEnd w:id="1072"/>
    <w:bookmarkEnd w:id="1073"/>
    <w:bookmarkEnd w:id="1074"/>
    <w:bookmarkEnd w:id="1075"/>
    <w:bookmarkEnd w:id="1076"/>
    <w:bookmarkEnd w:id="1077"/>
    <w:bookmarkEnd w:id="1078"/>
    <w:p w14:paraId="5B33D857">
      <w:pPr>
        <w:pStyle w:val="3"/>
        <w:spacing w:line="360" w:lineRule="auto"/>
        <w:ind w:firstLine="1680"/>
        <w:rPr>
          <w:rFonts w:ascii="Times New Roman" w:hAnsi="Times New Roman"/>
          <w:b w:val="0"/>
          <w:color w:val="auto"/>
          <w:sz w:val="21"/>
          <w:szCs w:val="21"/>
          <w:highlight w:val="none"/>
        </w:rPr>
      </w:pPr>
      <w:bookmarkStart w:id="1094" w:name="_Toc7714"/>
      <w:r>
        <w:rPr>
          <w:rFonts w:ascii="Times New Roman" w:hAnsi="Times New Roman"/>
          <w:b w:val="0"/>
          <w:color w:val="auto"/>
          <w:sz w:val="21"/>
          <w:szCs w:val="21"/>
          <w:highlight w:val="none"/>
        </w:rPr>
        <w:t>20. 争议解决</w:t>
      </w:r>
      <w:bookmarkEnd w:id="1094"/>
    </w:p>
    <w:bookmarkEnd w:id="1079"/>
    <w:bookmarkEnd w:id="1080"/>
    <w:p w14:paraId="6EFF56A6">
      <w:pPr>
        <w:spacing w:after="120" w:line="360" w:lineRule="auto"/>
        <w:ind w:firstLine="420" w:firstLineChars="200"/>
        <w:rPr>
          <w:rFonts w:eastAsia="黑体"/>
          <w:color w:val="auto"/>
          <w:szCs w:val="21"/>
          <w:highlight w:val="none"/>
        </w:rPr>
      </w:pPr>
      <w:r>
        <w:rPr>
          <w:rFonts w:eastAsia="黑体"/>
          <w:color w:val="auto"/>
          <w:szCs w:val="21"/>
          <w:highlight w:val="none"/>
        </w:rPr>
        <w:t>20.3 争</w:t>
      </w:r>
      <w:bookmarkEnd w:id="1081"/>
      <w:r>
        <w:rPr>
          <w:rFonts w:eastAsia="黑体"/>
          <w:color w:val="auto"/>
          <w:szCs w:val="21"/>
          <w:highlight w:val="none"/>
        </w:rPr>
        <w:t>议评审</w:t>
      </w:r>
    </w:p>
    <w:p w14:paraId="54ABFE5D">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合同当事人是否同意将工程争议提交争议评审小组决</w:t>
      </w:r>
      <w:r>
        <w:rPr>
          <w:rFonts w:hint="eastAsia" w:eastAsia="仿宋_GB2312"/>
          <w:color w:val="auto"/>
          <w:szCs w:val="21"/>
          <w:highlight w:val="none"/>
        </w:rPr>
        <w:t>定：</w:t>
      </w:r>
      <w:r>
        <w:rPr>
          <w:rFonts w:hint="eastAsia" w:eastAsia="仿宋_GB2312"/>
          <w:color w:val="auto"/>
          <w:szCs w:val="21"/>
          <w:highlight w:val="none"/>
          <w:u w:val="single"/>
        </w:rPr>
        <w:t xml:space="preserve">    </w:t>
      </w:r>
      <w:r>
        <w:rPr>
          <w:rFonts w:hint="eastAsia" w:eastAsia="仿宋_GB2312"/>
          <w:color w:val="auto"/>
          <w:szCs w:val="21"/>
          <w:highlight w:val="none"/>
        </w:rPr>
        <w:t xml:space="preserve">。  </w:t>
      </w:r>
    </w:p>
    <w:p w14:paraId="654A0A87">
      <w:pPr>
        <w:spacing w:line="360" w:lineRule="auto"/>
        <w:ind w:firstLine="420" w:firstLineChars="200"/>
        <w:jc w:val="left"/>
        <w:rPr>
          <w:rFonts w:eastAsia="仿宋_GB2312"/>
          <w:color w:val="auto"/>
          <w:szCs w:val="21"/>
          <w:highlight w:val="none"/>
        </w:rPr>
      </w:pPr>
      <w:r>
        <w:rPr>
          <w:rFonts w:eastAsia="仿宋_GB2312"/>
          <w:color w:val="auto"/>
          <w:szCs w:val="21"/>
          <w:highlight w:val="none"/>
        </w:rPr>
        <w:t>20.3.1 争议评审小组的确定</w:t>
      </w:r>
    </w:p>
    <w:p w14:paraId="6482C797">
      <w:pPr>
        <w:spacing w:line="360" w:lineRule="auto"/>
        <w:ind w:firstLine="420" w:firstLineChars="200"/>
        <w:jc w:val="left"/>
        <w:rPr>
          <w:rFonts w:eastAsia="仿宋_GB2312"/>
          <w:color w:val="auto"/>
          <w:szCs w:val="21"/>
          <w:highlight w:val="none"/>
          <w:u w:val="single"/>
        </w:rPr>
      </w:pPr>
      <w:r>
        <w:rPr>
          <w:rFonts w:eastAsia="仿宋_GB2312"/>
          <w:color w:val="auto"/>
          <w:szCs w:val="21"/>
          <w:highlight w:val="none"/>
        </w:rPr>
        <w:t>争议评审小组成员的确定：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82FD0F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选定争议评审员的期限：</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2D6F3BF0">
      <w:pPr>
        <w:spacing w:line="360" w:lineRule="auto"/>
        <w:ind w:firstLine="420" w:firstLineChars="200"/>
        <w:jc w:val="left"/>
        <w:rPr>
          <w:rFonts w:eastAsia="仿宋_GB2312"/>
          <w:color w:val="auto"/>
          <w:szCs w:val="21"/>
          <w:highlight w:val="none"/>
        </w:rPr>
      </w:pPr>
      <w:r>
        <w:rPr>
          <w:rFonts w:eastAsia="仿宋_GB2312"/>
          <w:color w:val="auto"/>
          <w:szCs w:val="21"/>
          <w:highlight w:val="none"/>
        </w:rPr>
        <w:t>争议评审小组成员的报酬承担方式：</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1F5B3B3C">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其他事项的约定：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9FC267F">
      <w:pPr>
        <w:autoSpaceDE w:val="0"/>
        <w:autoSpaceDN w:val="0"/>
        <w:adjustRightInd w:val="0"/>
        <w:spacing w:line="360" w:lineRule="auto"/>
        <w:ind w:firstLine="420" w:firstLineChars="200"/>
        <w:jc w:val="left"/>
        <w:rPr>
          <w:rFonts w:eastAsia="仿宋_GB2312"/>
          <w:color w:val="auto"/>
          <w:kern w:val="0"/>
          <w:szCs w:val="21"/>
          <w:highlight w:val="none"/>
        </w:rPr>
      </w:pPr>
      <w:r>
        <w:rPr>
          <w:rFonts w:eastAsia="仿宋_GB2312"/>
          <w:color w:val="auto"/>
          <w:kern w:val="0"/>
          <w:szCs w:val="21"/>
          <w:highlight w:val="none"/>
        </w:rPr>
        <w:t>20.3.2 争议评审小组的决定</w:t>
      </w:r>
    </w:p>
    <w:p w14:paraId="295D845F">
      <w:pPr>
        <w:spacing w:line="360" w:lineRule="auto"/>
        <w:ind w:firstLine="420" w:firstLineChars="200"/>
        <w:jc w:val="left"/>
        <w:rPr>
          <w:rFonts w:eastAsia="仿宋_GB2312"/>
          <w:color w:val="auto"/>
          <w:szCs w:val="21"/>
          <w:highlight w:val="none"/>
        </w:rPr>
      </w:pPr>
      <w:r>
        <w:rPr>
          <w:rFonts w:eastAsia="仿宋_GB2312"/>
          <w:color w:val="auto"/>
          <w:szCs w:val="21"/>
          <w:highlight w:val="none"/>
        </w:rPr>
        <w:t>合同当事人关于本项的约定：</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w:t>
      </w:r>
    </w:p>
    <w:p w14:paraId="03ABE6C4">
      <w:pPr>
        <w:spacing w:after="120" w:line="360" w:lineRule="auto"/>
        <w:ind w:firstLine="420" w:firstLineChars="200"/>
        <w:rPr>
          <w:rFonts w:eastAsia="黑体"/>
          <w:color w:val="auto"/>
          <w:szCs w:val="21"/>
          <w:highlight w:val="none"/>
        </w:rPr>
      </w:pPr>
      <w:r>
        <w:rPr>
          <w:rFonts w:eastAsia="黑体"/>
          <w:color w:val="auto"/>
          <w:szCs w:val="21"/>
          <w:highlight w:val="none"/>
        </w:rPr>
        <w:t>20.4仲裁或诉讼</w:t>
      </w:r>
      <w:bookmarkEnd w:id="1082"/>
    </w:p>
    <w:p w14:paraId="74C08DCB">
      <w:pPr>
        <w:spacing w:after="120" w:line="360" w:lineRule="auto"/>
        <w:ind w:firstLine="420" w:firstLineChars="200"/>
        <w:rPr>
          <w:rFonts w:eastAsia="黑体"/>
          <w:color w:val="auto"/>
          <w:szCs w:val="21"/>
          <w:highlight w:val="none"/>
        </w:rPr>
      </w:pPr>
      <w:r>
        <w:rPr>
          <w:rFonts w:eastAsia="仿宋_GB2312"/>
          <w:color w:val="auto"/>
          <w:szCs w:val="21"/>
          <w:highlight w:val="none"/>
        </w:rPr>
        <w:t>因合同及合同有关事项发生的争议，按下列第</w:t>
      </w:r>
      <w:r>
        <w:rPr>
          <w:rFonts w:eastAsia="仿宋_GB2312"/>
          <w:color w:val="auto"/>
          <w:szCs w:val="21"/>
          <w:highlight w:val="none"/>
          <w:u w:val="single"/>
        </w:rPr>
        <w:t xml:space="preserve">     </w:t>
      </w:r>
      <w:r>
        <w:rPr>
          <w:rFonts w:eastAsia="仿宋_GB2312"/>
          <w:color w:val="auto"/>
          <w:szCs w:val="21"/>
          <w:highlight w:val="none"/>
        </w:rPr>
        <w:t>种方式</w:t>
      </w:r>
      <w:r>
        <w:rPr>
          <w:rFonts w:hint="eastAsia" w:eastAsia="仿宋_GB2312"/>
          <w:color w:val="auto"/>
          <w:szCs w:val="21"/>
          <w:highlight w:val="none"/>
        </w:rPr>
        <w:t>解</w:t>
      </w:r>
      <w:r>
        <w:rPr>
          <w:rFonts w:eastAsia="仿宋_GB2312"/>
          <w:color w:val="auto"/>
          <w:szCs w:val="21"/>
          <w:highlight w:val="none"/>
        </w:rPr>
        <w:t>决：</w:t>
      </w:r>
    </w:p>
    <w:p w14:paraId="1A0CA57A">
      <w:pPr>
        <w:spacing w:line="360" w:lineRule="auto"/>
        <w:ind w:firstLine="420" w:firstLineChars="200"/>
        <w:jc w:val="left"/>
        <w:rPr>
          <w:rFonts w:eastAsia="仿宋_GB2312"/>
          <w:color w:val="auto"/>
          <w:szCs w:val="21"/>
          <w:highlight w:val="none"/>
        </w:rPr>
      </w:pPr>
      <w:r>
        <w:rPr>
          <w:rFonts w:eastAsia="仿宋_GB2312"/>
          <w:color w:val="auto"/>
          <w:szCs w:val="21"/>
          <w:highlight w:val="none"/>
        </w:rPr>
        <w:t>（1）向</w:t>
      </w:r>
      <w:r>
        <w:rPr>
          <w:rFonts w:eastAsia="仿宋_GB2312"/>
          <w:color w:val="auto"/>
          <w:szCs w:val="21"/>
          <w:highlight w:val="none"/>
          <w:u w:val="single"/>
        </w:rPr>
        <w:t xml:space="preserve">                    </w:t>
      </w:r>
      <w:r>
        <w:rPr>
          <w:rFonts w:eastAsia="仿宋_GB2312"/>
          <w:color w:val="auto"/>
          <w:szCs w:val="21"/>
          <w:highlight w:val="none"/>
        </w:rPr>
        <w:t>仲裁委员会申请仲裁；</w:t>
      </w:r>
    </w:p>
    <w:p w14:paraId="7234EF31">
      <w:pPr>
        <w:spacing w:line="360" w:lineRule="auto"/>
        <w:ind w:firstLine="420" w:firstLineChars="200"/>
        <w:jc w:val="left"/>
        <w:rPr>
          <w:rFonts w:eastAsia="仿宋_GB2312"/>
          <w:color w:val="auto"/>
          <w:szCs w:val="21"/>
          <w:highlight w:val="none"/>
        </w:rPr>
      </w:pPr>
      <w:r>
        <w:rPr>
          <w:rFonts w:eastAsia="仿宋_GB2312"/>
          <w:color w:val="auto"/>
          <w:szCs w:val="21"/>
          <w:highlight w:val="none"/>
        </w:rPr>
        <w:t>（2）向</w:t>
      </w:r>
      <w:r>
        <w:rPr>
          <w:rFonts w:eastAsia="仿宋_GB2312"/>
          <w:color w:val="auto"/>
          <w:szCs w:val="21"/>
          <w:highlight w:val="none"/>
          <w:u w:val="single"/>
        </w:rPr>
        <w:t xml:space="preserve">   </w:t>
      </w:r>
      <w:r>
        <w:rPr>
          <w:rFonts w:hint="eastAsia" w:eastAsia="仿宋_GB2312"/>
          <w:color w:val="auto"/>
          <w:szCs w:val="21"/>
          <w:highlight w:val="none"/>
          <w:u w:val="single"/>
        </w:rPr>
        <w:t xml:space="preserve">                 </w:t>
      </w:r>
      <w:r>
        <w:rPr>
          <w:rFonts w:eastAsia="仿宋_GB2312"/>
          <w:color w:val="auto"/>
          <w:szCs w:val="21"/>
          <w:highlight w:val="none"/>
          <w:u w:val="single"/>
        </w:rPr>
        <w:t xml:space="preserve">  </w:t>
      </w:r>
      <w:r>
        <w:rPr>
          <w:rFonts w:eastAsia="仿宋_GB2312"/>
          <w:color w:val="auto"/>
          <w:szCs w:val="21"/>
          <w:highlight w:val="none"/>
        </w:rPr>
        <w:t>人民法院起诉。</w:t>
      </w:r>
      <w:bookmarkEnd w:id="1083"/>
      <w:bookmarkEnd w:id="1084"/>
      <w:bookmarkEnd w:id="1085"/>
      <w:bookmarkEnd w:id="1086"/>
      <w:bookmarkEnd w:id="1087"/>
      <w:bookmarkEnd w:id="1088"/>
    </w:p>
    <w:p w14:paraId="73C91BA4">
      <w:pPr>
        <w:pStyle w:val="3"/>
        <w:ind w:firstLine="1680"/>
        <w:rPr>
          <w:rFonts w:ascii="Times New Roman" w:hAnsi="Times New Roman" w:eastAsia="仿宋_GB2312"/>
          <w:color w:val="auto"/>
          <w:sz w:val="21"/>
          <w:szCs w:val="21"/>
          <w:highlight w:val="none"/>
        </w:rPr>
      </w:pPr>
      <w:bookmarkStart w:id="1095" w:name="_Toc1681"/>
      <w:bookmarkStart w:id="1096" w:name="_Toc449099312"/>
      <w:bookmarkStart w:id="1097" w:name="_Toc523304676"/>
      <w:bookmarkStart w:id="1098" w:name="_Toc30314"/>
      <w:bookmarkStart w:id="1099" w:name="_Toc27152"/>
      <w:r>
        <w:rPr>
          <w:rFonts w:ascii="Times New Roman" w:hAnsi="Times New Roman"/>
          <w:b w:val="0"/>
          <w:bCs w:val="0"/>
          <w:color w:val="auto"/>
          <w:sz w:val="21"/>
          <w:szCs w:val="21"/>
          <w:highlight w:val="none"/>
        </w:rPr>
        <w:t>21.违约责任附加条款</w:t>
      </w:r>
      <w:bookmarkEnd w:id="1095"/>
      <w:bookmarkEnd w:id="1096"/>
      <w:bookmarkEnd w:id="1097"/>
      <w:bookmarkEnd w:id="1098"/>
      <w:bookmarkEnd w:id="1099"/>
    </w:p>
    <w:p w14:paraId="053651B3">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1</w:t>
      </w:r>
      <w:r>
        <w:rPr>
          <w:rFonts w:eastAsia="仿宋_GB2312"/>
          <w:color w:val="auto"/>
          <w:szCs w:val="21"/>
          <w:highlight w:val="none"/>
        </w:rPr>
        <w:t xml:space="preserve"> 承包人必须根据设计图纸、发包人或监理</w:t>
      </w:r>
      <w:r>
        <w:rPr>
          <w:rFonts w:hint="eastAsia" w:eastAsia="仿宋_GB2312"/>
          <w:color w:val="auto"/>
          <w:szCs w:val="21"/>
          <w:highlight w:val="none"/>
        </w:rPr>
        <w:t>人</w:t>
      </w:r>
      <w:r>
        <w:rPr>
          <w:rFonts w:eastAsia="仿宋_GB2312"/>
          <w:color w:val="auto"/>
          <w:szCs w:val="21"/>
          <w:highlight w:val="none"/>
        </w:rPr>
        <w:t>的指示做好本工程施工承包范围内的预留及预埋件施工，配合设备供货商、其他管线（通讯、有线电视、网络、供水、供电、煤气等）承包人做好预留及预埋件的施工，不能以任何理由拒绝。如造成供货商或其他承包人施工工期延误或其他损失，承包人须支付发包人</w:t>
      </w:r>
      <w:r>
        <w:rPr>
          <w:rFonts w:hint="eastAsia" w:eastAsia="仿宋_GB2312"/>
          <w:color w:val="auto"/>
          <w:szCs w:val="21"/>
          <w:highlight w:val="none"/>
        </w:rPr>
        <w:t>工程结算总价款</w:t>
      </w:r>
      <w:r>
        <w:rPr>
          <w:rFonts w:eastAsia="仿宋_GB2312"/>
          <w:color w:val="auto"/>
          <w:szCs w:val="21"/>
          <w:highlight w:val="none"/>
        </w:rPr>
        <w:t>2%的违约金,如上述违约金不足以弥补发包人损失的，承包人</w:t>
      </w:r>
      <w:r>
        <w:rPr>
          <w:rFonts w:hint="eastAsia" w:eastAsia="仿宋_GB2312"/>
          <w:color w:val="auto"/>
          <w:szCs w:val="21"/>
          <w:highlight w:val="none"/>
        </w:rPr>
        <w:t>应承担相应的赔偿责任</w:t>
      </w:r>
      <w:r>
        <w:rPr>
          <w:rFonts w:eastAsia="仿宋_GB2312"/>
          <w:color w:val="auto"/>
          <w:szCs w:val="21"/>
          <w:highlight w:val="none"/>
        </w:rPr>
        <w:t>。</w:t>
      </w:r>
    </w:p>
    <w:p w14:paraId="0FE901E4">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2</w:t>
      </w:r>
      <w:r>
        <w:rPr>
          <w:rFonts w:eastAsia="仿宋_GB2312"/>
          <w:color w:val="auto"/>
          <w:szCs w:val="21"/>
          <w:highlight w:val="none"/>
        </w:rPr>
        <w:t xml:space="preserve"> 关于施工管理：遵守发包人的各项管理规定；按现行法律、法规、现行施工规范及相关规定、进行施工。其中临时设施、安全施工、文明施工，应符合现行《</w:t>
      </w:r>
      <w:r>
        <w:rPr>
          <w:rFonts w:hint="eastAsia" w:eastAsia="仿宋_GB2312"/>
          <w:color w:val="auto"/>
          <w:szCs w:val="21"/>
          <w:highlight w:val="none"/>
        </w:rPr>
        <w:t>建筑施工安全</w:t>
      </w:r>
      <w:r>
        <w:rPr>
          <w:rFonts w:eastAsia="仿宋_GB2312"/>
          <w:color w:val="auto"/>
          <w:szCs w:val="21"/>
          <w:highlight w:val="none"/>
        </w:rPr>
        <w:t>检查标准》</w:t>
      </w:r>
      <w:r>
        <w:rPr>
          <w:rFonts w:hint="eastAsia" w:eastAsia="仿宋_GB2312"/>
          <w:color w:val="auto"/>
          <w:szCs w:val="21"/>
          <w:highlight w:val="none"/>
        </w:rPr>
        <w:t>JGJ59-2011</w:t>
      </w:r>
      <w:r>
        <w:rPr>
          <w:rFonts w:eastAsia="仿宋_GB2312"/>
          <w:color w:val="auto"/>
          <w:szCs w:val="21"/>
          <w:highlight w:val="none"/>
        </w:rPr>
        <w:t>的要求，费用由承包人</w:t>
      </w:r>
      <w:r>
        <w:rPr>
          <w:rFonts w:hint="eastAsia" w:eastAsia="仿宋_GB2312"/>
          <w:color w:val="auto"/>
          <w:szCs w:val="21"/>
          <w:highlight w:val="none"/>
        </w:rPr>
        <w:t>承担</w:t>
      </w:r>
      <w:r>
        <w:rPr>
          <w:rFonts w:eastAsia="仿宋_GB2312"/>
          <w:color w:val="auto"/>
          <w:szCs w:val="21"/>
          <w:highlight w:val="none"/>
        </w:rPr>
        <w:t>；承包人负责将全部垃圾清运出小区外进行消纳，费用由承包人承担；工程交付使用后，若因质量问题造成业主损失的，由承包人负责赔偿；承包人应及时对已完工程质量进行100%实测实量检查，并将检查结果统计后书面上报发包人，如未按发包人要求进行100%实测实量检查及自检不合格，将对承包人处以100000元/次的</w:t>
      </w:r>
      <w:r>
        <w:rPr>
          <w:rFonts w:hint="eastAsia" w:eastAsia="仿宋_GB2312"/>
          <w:color w:val="auto"/>
          <w:szCs w:val="21"/>
          <w:highlight w:val="none"/>
        </w:rPr>
        <w:t>违约金</w:t>
      </w:r>
      <w:r>
        <w:rPr>
          <w:rFonts w:eastAsia="仿宋_GB2312"/>
          <w:color w:val="auto"/>
          <w:szCs w:val="21"/>
          <w:highlight w:val="none"/>
        </w:rPr>
        <w:t>。</w:t>
      </w:r>
    </w:p>
    <w:p w14:paraId="78FA54B4">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3</w:t>
      </w:r>
      <w:r>
        <w:rPr>
          <w:rFonts w:eastAsia="仿宋_GB2312"/>
          <w:color w:val="auto"/>
          <w:szCs w:val="21"/>
          <w:highlight w:val="none"/>
        </w:rPr>
        <w:t xml:space="preserve"> 承包人必须按时、足额发放农民工工资，如果出现拖欠农民工工资情况，发包人将通知有关的主管部门从农民工工资保障金中预先划支，以保证农民工权益，并从承包人的当月进度款或结算</w:t>
      </w:r>
      <w:r>
        <w:rPr>
          <w:rFonts w:hint="eastAsia" w:eastAsia="仿宋_GB2312"/>
          <w:color w:val="auto"/>
          <w:szCs w:val="21"/>
          <w:highlight w:val="none"/>
        </w:rPr>
        <w:t>款</w:t>
      </w:r>
      <w:r>
        <w:rPr>
          <w:rFonts w:eastAsia="仿宋_GB2312"/>
          <w:color w:val="auto"/>
          <w:szCs w:val="21"/>
          <w:highlight w:val="none"/>
        </w:rPr>
        <w:t>中扣除此费用。农民工工资的有关规定按国家或地方有关政策或文件执行。禁止承包人拖欠劳务人员（农民工）工资。承包人承诺将发包人付款直接发到劳务人员（农民工）的手中，按国家或地方规定建立农民工工资制度，与全部劳务人员签订正式的劳动合同，将农民工工资每月直接打到农民工的工资卡（银行帐户）中。承包人应按月足额发放全部工人工资，若承包人有拖欠工人工资的现象，</w:t>
      </w:r>
      <w:r>
        <w:rPr>
          <w:rFonts w:hint="eastAsia" w:eastAsia="仿宋_GB2312"/>
          <w:color w:val="auto"/>
          <w:szCs w:val="21"/>
          <w:highlight w:val="none"/>
        </w:rPr>
        <w:t>发包人可考虑按下款方式执行：</w:t>
      </w:r>
    </w:p>
    <w:p w14:paraId="3690652B">
      <w:pPr>
        <w:spacing w:line="360" w:lineRule="auto"/>
        <w:ind w:firstLine="420" w:firstLineChars="200"/>
        <w:jc w:val="left"/>
        <w:rPr>
          <w:rFonts w:eastAsia="仿宋_GB2312"/>
          <w:color w:val="auto"/>
          <w:szCs w:val="21"/>
          <w:highlight w:val="none"/>
        </w:rPr>
      </w:pPr>
      <w:r>
        <w:rPr>
          <w:rFonts w:eastAsia="仿宋_GB2312" w:cs="Calibri"/>
          <w:color w:val="auto"/>
          <w:szCs w:val="21"/>
          <w:highlight w:val="none"/>
        </w:rPr>
        <w:t>①</w:t>
      </w:r>
      <w:r>
        <w:rPr>
          <w:rFonts w:hint="eastAsia" w:eastAsia="仿宋_GB2312"/>
          <w:color w:val="auto"/>
          <w:szCs w:val="21"/>
          <w:highlight w:val="none"/>
        </w:rPr>
        <w:t>合同履行过程中，承包人拖欠其工人（含所雇人员）工资（含报酬）的，发包人有权代付承包人工人（含所雇人员）工资（含报酬）并在工程款中扣回，同时发包人有权收取承包人按下述公式计取的违约金，违约金在支付给承包人的工程款中直接扣收，违约金计算方式如下：</w:t>
      </w:r>
    </w:p>
    <w:p w14:paraId="5C85EC20">
      <w:pPr>
        <w:spacing w:line="360" w:lineRule="auto"/>
        <w:ind w:firstLine="420" w:firstLineChars="200"/>
        <w:jc w:val="left"/>
        <w:rPr>
          <w:rFonts w:ascii="Arial" w:hAnsi="Arial" w:eastAsia="仿宋_GB2312" w:cs="Arial"/>
          <w:color w:val="auto"/>
          <w:szCs w:val="21"/>
          <w:highlight w:val="none"/>
        </w:rPr>
      </w:pPr>
      <w:r>
        <w:rPr>
          <w:rFonts w:hint="eastAsia" w:eastAsia="仿宋_GB2312"/>
          <w:color w:val="auto"/>
          <w:szCs w:val="21"/>
          <w:highlight w:val="none"/>
        </w:rPr>
        <w:t>承包人待付款违约金=发包人待付款金额</w:t>
      </w:r>
      <w:r>
        <w:rPr>
          <w:rFonts w:ascii="Arial" w:hAnsi="Arial" w:eastAsia="仿宋_GB2312" w:cs="Arial"/>
          <w:color w:val="auto"/>
          <w:szCs w:val="21"/>
          <w:highlight w:val="none"/>
        </w:rPr>
        <w:t>×</w:t>
      </w:r>
      <w:r>
        <w:rPr>
          <w:rFonts w:hint="eastAsia" w:ascii="Arial" w:hAnsi="Arial" w:eastAsia="仿宋_GB2312" w:cs="Arial"/>
          <w:color w:val="auto"/>
          <w:szCs w:val="21"/>
          <w:highlight w:val="none"/>
        </w:rPr>
        <w:t>工程开工至全部楼栋外立面计划完工时间的天数（含冬休期）</w:t>
      </w:r>
      <w:r>
        <w:rPr>
          <w:rFonts w:ascii="Arial" w:hAnsi="Arial" w:eastAsia="仿宋_GB2312" w:cs="Arial"/>
          <w:color w:val="auto"/>
          <w:szCs w:val="21"/>
          <w:highlight w:val="none"/>
        </w:rPr>
        <w:t>×</w:t>
      </w:r>
      <w:r>
        <w:rPr>
          <w:rFonts w:hint="eastAsia" w:ascii="Arial" w:hAnsi="Arial" w:eastAsia="仿宋_GB2312" w:cs="Arial"/>
          <w:color w:val="auto"/>
          <w:szCs w:val="21"/>
          <w:highlight w:val="none"/>
        </w:rPr>
        <w:t>365%/365</w:t>
      </w:r>
    </w:p>
    <w:p w14:paraId="18C068BC">
      <w:pPr>
        <w:spacing w:line="360" w:lineRule="auto"/>
        <w:ind w:firstLine="420" w:firstLineChars="200"/>
        <w:jc w:val="left"/>
        <w:rPr>
          <w:rFonts w:eastAsia="仿宋_GB2312"/>
          <w:color w:val="auto"/>
          <w:szCs w:val="21"/>
          <w:highlight w:val="none"/>
        </w:rPr>
      </w:pPr>
      <w:r>
        <w:rPr>
          <w:rFonts w:eastAsia="仿宋_GB2312" w:cs="Calibri"/>
          <w:color w:val="auto"/>
          <w:szCs w:val="21"/>
          <w:highlight w:val="none"/>
        </w:rPr>
        <w:t>②</w:t>
      </w:r>
      <w:r>
        <w:rPr>
          <w:rFonts w:hint="eastAsia" w:eastAsia="仿宋_GB2312" w:cs="Calibri"/>
          <w:color w:val="auto"/>
          <w:szCs w:val="21"/>
          <w:highlight w:val="none"/>
        </w:rPr>
        <w:t>因承包人拖欠</w:t>
      </w:r>
      <w:r>
        <w:rPr>
          <w:rFonts w:hint="eastAsia" w:eastAsia="仿宋_GB2312"/>
          <w:color w:val="auto"/>
          <w:szCs w:val="21"/>
          <w:highlight w:val="none"/>
        </w:rPr>
        <w:t>其工人（含所雇人员）工资（含报酬），导致其工人（含所雇人员）向有关部门投诉、控告、检举或以聚众的方式讨要工资（报酬）事件的，每发生一次，承包人须向发包人支付违约金10万元；本款情形与前款所述发包人直接支付工资或报酬的情形同时存在的，不免除承包人依该款向发包人支付违约金的责任，承包人须按本款</w:t>
      </w:r>
      <w:r>
        <w:rPr>
          <w:rFonts w:eastAsia="仿宋_GB2312" w:cs="Calibri"/>
          <w:color w:val="auto"/>
          <w:szCs w:val="21"/>
          <w:highlight w:val="none"/>
        </w:rPr>
        <w:t>①</w:t>
      </w:r>
      <w:r>
        <w:rPr>
          <w:rFonts w:hint="eastAsia" w:eastAsia="仿宋_GB2312" w:cs="Calibri"/>
          <w:color w:val="auto"/>
          <w:szCs w:val="21"/>
          <w:highlight w:val="none"/>
        </w:rPr>
        <w:t>项和</w:t>
      </w:r>
      <w:r>
        <w:rPr>
          <w:rFonts w:eastAsia="仿宋_GB2312" w:cs="Calibri"/>
          <w:color w:val="auto"/>
          <w:szCs w:val="21"/>
          <w:highlight w:val="none"/>
        </w:rPr>
        <w:t>②</w:t>
      </w:r>
      <w:r>
        <w:rPr>
          <w:rFonts w:hint="eastAsia" w:eastAsia="仿宋_GB2312" w:cs="Calibri"/>
          <w:color w:val="auto"/>
          <w:szCs w:val="21"/>
          <w:highlight w:val="none"/>
        </w:rPr>
        <w:t>项</w:t>
      </w:r>
      <w:r>
        <w:rPr>
          <w:rFonts w:hint="eastAsia" w:eastAsia="仿宋_GB2312"/>
          <w:color w:val="auto"/>
          <w:szCs w:val="21"/>
          <w:highlight w:val="none"/>
        </w:rPr>
        <w:t>分别向发包人支付违约金。</w:t>
      </w:r>
    </w:p>
    <w:p w14:paraId="287EB75C">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4</w:t>
      </w:r>
      <w:r>
        <w:rPr>
          <w:rFonts w:eastAsia="仿宋_GB2312"/>
          <w:color w:val="auto"/>
          <w:szCs w:val="21"/>
          <w:highlight w:val="none"/>
        </w:rPr>
        <w:t xml:space="preserve"> 承包人应考虑工程现场的特殊地理位置，现场应达到太原市对现场安全文明施工要求；承包人应对安全及文明施工费用做到专款</w:t>
      </w:r>
      <w:r>
        <w:rPr>
          <w:rFonts w:hint="eastAsia" w:eastAsia="仿宋_GB2312"/>
          <w:color w:val="auto"/>
          <w:szCs w:val="21"/>
          <w:highlight w:val="none"/>
        </w:rPr>
        <w:t>专用</w:t>
      </w:r>
      <w:r>
        <w:rPr>
          <w:rFonts w:eastAsia="仿宋_GB2312"/>
          <w:color w:val="auto"/>
          <w:szCs w:val="21"/>
          <w:highlight w:val="none"/>
        </w:rPr>
        <w:t>。若违反政府有关规定，在发包人或监理</w:t>
      </w:r>
      <w:r>
        <w:rPr>
          <w:rFonts w:hint="eastAsia" w:eastAsia="仿宋_GB2312"/>
          <w:color w:val="auto"/>
          <w:szCs w:val="21"/>
          <w:highlight w:val="none"/>
        </w:rPr>
        <w:t>人</w:t>
      </w:r>
      <w:r>
        <w:rPr>
          <w:rFonts w:eastAsia="仿宋_GB2312"/>
          <w:color w:val="auto"/>
          <w:szCs w:val="21"/>
          <w:highlight w:val="none"/>
        </w:rPr>
        <w:t>二次指出仍未达到要求时，发包人或监理</w:t>
      </w:r>
      <w:r>
        <w:rPr>
          <w:rFonts w:hint="eastAsia" w:eastAsia="仿宋_GB2312"/>
          <w:color w:val="auto"/>
          <w:szCs w:val="21"/>
          <w:highlight w:val="none"/>
        </w:rPr>
        <w:t>人</w:t>
      </w:r>
      <w:r>
        <w:rPr>
          <w:rFonts w:eastAsia="仿宋_GB2312"/>
          <w:color w:val="auto"/>
          <w:szCs w:val="21"/>
          <w:highlight w:val="none"/>
        </w:rPr>
        <w:t>有权对承包人进行相应的罚款；施工现场因承包人原因如出现重大安全事故，一切费用由承包人负责，同时</w:t>
      </w:r>
      <w:r>
        <w:rPr>
          <w:rFonts w:hint="eastAsia" w:eastAsia="仿宋_GB2312"/>
          <w:color w:val="auto"/>
          <w:szCs w:val="21"/>
          <w:highlight w:val="none"/>
        </w:rPr>
        <w:t>承包人需向发包人支付违约金</w:t>
      </w:r>
      <w:r>
        <w:rPr>
          <w:rFonts w:eastAsia="仿宋_GB2312"/>
          <w:color w:val="auto"/>
          <w:szCs w:val="21"/>
          <w:highlight w:val="none"/>
        </w:rPr>
        <w:t>100000元/次，并在结算时对安全文明施工费进行全额扣除，且发包人有权解除合同；</w:t>
      </w:r>
    </w:p>
    <w:p w14:paraId="204D0DB4">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5</w:t>
      </w:r>
      <w:r>
        <w:rPr>
          <w:rFonts w:eastAsia="仿宋_GB2312"/>
          <w:color w:val="auto"/>
          <w:szCs w:val="21"/>
          <w:highlight w:val="none"/>
        </w:rPr>
        <w:t xml:space="preserve"> 由施工不当造成的施工质量问题引起的一切后果、责任及房屋使用方的索赔均由承包人承担；承包人须支付发包人</w:t>
      </w:r>
      <w:r>
        <w:rPr>
          <w:rFonts w:hint="eastAsia" w:eastAsia="仿宋_GB2312"/>
          <w:color w:val="auto"/>
          <w:szCs w:val="21"/>
          <w:highlight w:val="none"/>
        </w:rPr>
        <w:t>工程结算总价款</w:t>
      </w:r>
      <w:r>
        <w:rPr>
          <w:rFonts w:eastAsia="仿宋_GB2312"/>
          <w:color w:val="auto"/>
          <w:szCs w:val="21"/>
          <w:highlight w:val="none"/>
        </w:rPr>
        <w:t>1%的违约金,如上述违约金不足以弥补发包人损失的，承包人还应</w:t>
      </w:r>
      <w:r>
        <w:rPr>
          <w:rFonts w:hint="eastAsia" w:eastAsia="仿宋_GB2312"/>
          <w:color w:val="auto"/>
          <w:szCs w:val="21"/>
          <w:highlight w:val="none"/>
        </w:rPr>
        <w:t>承担相应的赔偿责任；</w:t>
      </w:r>
    </w:p>
    <w:p w14:paraId="47137E98">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6</w:t>
      </w:r>
      <w:r>
        <w:rPr>
          <w:rFonts w:eastAsia="仿宋_GB2312"/>
          <w:color w:val="auto"/>
          <w:szCs w:val="21"/>
          <w:highlight w:val="none"/>
        </w:rPr>
        <w:t xml:space="preserve"> 承包人不得以双方未就竣工结算事宜达成一致为理由而拒绝、阻挠或拖延办理工程竣工验收手续或移交工程；如承包人违反本约定，视同承包人违约，承包人须支付发包人</w:t>
      </w:r>
      <w:r>
        <w:rPr>
          <w:rFonts w:hint="eastAsia" w:eastAsia="仿宋_GB2312"/>
          <w:color w:val="auto"/>
          <w:szCs w:val="21"/>
          <w:highlight w:val="none"/>
        </w:rPr>
        <w:t>工程结算总价款</w:t>
      </w:r>
      <w:r>
        <w:rPr>
          <w:rFonts w:eastAsia="仿宋_GB2312"/>
          <w:color w:val="auto"/>
          <w:szCs w:val="21"/>
          <w:highlight w:val="none"/>
        </w:rPr>
        <w:t>10%的违约金,如上述违约金不足以弥补发包人损失的，承包人还应继续赔偿</w:t>
      </w:r>
      <w:r>
        <w:rPr>
          <w:rFonts w:hint="eastAsia" w:eastAsia="仿宋_GB2312"/>
          <w:color w:val="auto"/>
          <w:szCs w:val="21"/>
          <w:highlight w:val="none"/>
        </w:rPr>
        <w:t>承担相应的赔偿责任；</w:t>
      </w:r>
    </w:p>
    <w:p w14:paraId="51EC5CA4">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7</w:t>
      </w:r>
      <w:r>
        <w:rPr>
          <w:rFonts w:eastAsia="仿宋_GB2312"/>
          <w:color w:val="auto"/>
          <w:szCs w:val="21"/>
          <w:highlight w:val="none"/>
        </w:rPr>
        <w:t xml:space="preserve"> 未经发包方书面同意，承包人不得将合同和本</w:t>
      </w:r>
      <w:r>
        <w:rPr>
          <w:rFonts w:hint="eastAsia" w:eastAsia="仿宋_GB2312"/>
          <w:color w:val="auto"/>
          <w:szCs w:val="21"/>
          <w:highlight w:val="none"/>
        </w:rPr>
        <w:t>附加条款</w:t>
      </w:r>
      <w:r>
        <w:rPr>
          <w:rFonts w:eastAsia="仿宋_GB2312"/>
          <w:color w:val="auto"/>
          <w:szCs w:val="21"/>
          <w:highlight w:val="none"/>
        </w:rPr>
        <w:t>项下的权利全部或者部分转让给第三人；如承包人违反本约定，视同承包人违约，承包人须支付发包人</w:t>
      </w:r>
      <w:r>
        <w:rPr>
          <w:rFonts w:hint="eastAsia" w:eastAsia="仿宋_GB2312"/>
          <w:color w:val="auto"/>
          <w:szCs w:val="21"/>
          <w:highlight w:val="none"/>
        </w:rPr>
        <w:t>工程结算总价款</w:t>
      </w:r>
      <w:r>
        <w:rPr>
          <w:rFonts w:eastAsia="仿宋_GB2312"/>
          <w:color w:val="auto"/>
          <w:szCs w:val="21"/>
          <w:highlight w:val="none"/>
        </w:rPr>
        <w:t>10%的违约金,如上述违约金不足以弥补发包人损失的，承包人还应继续赔偿</w:t>
      </w:r>
      <w:r>
        <w:rPr>
          <w:rFonts w:hint="eastAsia" w:eastAsia="仿宋_GB2312"/>
          <w:color w:val="auto"/>
          <w:szCs w:val="21"/>
          <w:highlight w:val="none"/>
        </w:rPr>
        <w:t>承担相应的赔偿责任；</w:t>
      </w:r>
    </w:p>
    <w:p w14:paraId="73AAEE18">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8</w:t>
      </w:r>
      <w:r>
        <w:rPr>
          <w:rFonts w:eastAsia="仿宋_GB2312"/>
          <w:color w:val="auto"/>
          <w:szCs w:val="21"/>
          <w:highlight w:val="none"/>
        </w:rPr>
        <w:t xml:space="preserve"> 承包人未按照发包人确认的施工组织设计（施工方案）施工或擅自停工的，应按照人民币100000元/次的标准向发包人支付违约金。承包人未履行合同约定的保密义务，应按照人民币100000元/次的标准向发包人支付违约金。承包人未按合同约定履行</w:t>
      </w:r>
      <w:r>
        <w:rPr>
          <w:rFonts w:hint="eastAsia" w:eastAsia="仿宋_GB2312"/>
          <w:color w:val="auto"/>
          <w:szCs w:val="21"/>
          <w:highlight w:val="none"/>
        </w:rPr>
        <w:t>前述</w:t>
      </w:r>
      <w:r>
        <w:rPr>
          <w:rFonts w:eastAsia="仿宋_GB2312"/>
          <w:color w:val="auto"/>
          <w:szCs w:val="21"/>
          <w:highlight w:val="none"/>
        </w:rPr>
        <w:t>义务，且在工程师或发包人发出整改指令后7天内，仍不纠正违约行为的，发包人有权委托第三方实施违约行为涉及的工作，相应的工程价款应从合同价款中直接扣除，且承包人还应按照本合同约定标准承担相应的配合、协调义务，发包人无需为此支付费用且工期不予顺延</w:t>
      </w:r>
      <w:r>
        <w:rPr>
          <w:rFonts w:hint="eastAsia" w:eastAsia="仿宋_GB2312"/>
          <w:color w:val="auto"/>
          <w:szCs w:val="21"/>
          <w:highlight w:val="none"/>
        </w:rPr>
        <w:t>；</w:t>
      </w:r>
    </w:p>
    <w:p w14:paraId="7F7D0BD8">
      <w:pPr>
        <w:spacing w:after="120" w:line="360" w:lineRule="auto"/>
        <w:ind w:firstLine="420" w:firstLineChars="200"/>
        <w:jc w:val="left"/>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9因承包人违约而合同未解除前，承包人不得以任何理由拒绝撤场。</w:t>
      </w:r>
    </w:p>
    <w:p w14:paraId="7B3C6ADB">
      <w:pPr>
        <w:spacing w:after="120" w:line="360" w:lineRule="auto"/>
        <w:ind w:firstLine="420" w:firstLineChars="200"/>
        <w:jc w:val="left"/>
        <w:rPr>
          <w:rFonts w:eastAsia="仿宋_GB2312"/>
          <w:color w:val="auto"/>
          <w:szCs w:val="21"/>
          <w:highlight w:val="none"/>
        </w:rPr>
      </w:pPr>
      <w:r>
        <w:rPr>
          <w:rFonts w:eastAsia="仿宋_GB2312"/>
          <w:color w:val="auto"/>
          <w:szCs w:val="21"/>
          <w:highlight w:val="none"/>
        </w:rPr>
        <w:t>无论因何种原因，承包人在本工程未完成前撤场的，必须在撤场的同时向发包人或后续施工单位移交其所掌握的全部有关本工程的资料，否则按承包人违约处理。承包人应当赔偿发包人因此而遭受的损失，包括但不限于：延误后续施工单位进场造成工期延误的损失；人工、材料、机械不能进入施工现场产生的窝工、仓储、租赁费用等直接和间接损失</w:t>
      </w:r>
      <w:r>
        <w:rPr>
          <w:rFonts w:hint="eastAsia" w:eastAsia="仿宋_GB2312"/>
          <w:color w:val="auto"/>
          <w:szCs w:val="21"/>
          <w:highlight w:val="none"/>
        </w:rPr>
        <w:t>；</w:t>
      </w:r>
    </w:p>
    <w:p w14:paraId="57DC4A78">
      <w:pPr>
        <w:spacing w:after="120" w:line="360" w:lineRule="auto"/>
        <w:ind w:firstLine="420" w:firstLineChars="200"/>
        <w:rPr>
          <w:rFonts w:eastAsia="仿宋_GB2312"/>
          <w:color w:val="auto"/>
          <w:szCs w:val="21"/>
          <w:highlight w:val="none"/>
        </w:rPr>
      </w:pPr>
      <w:r>
        <w:rPr>
          <w:rFonts w:eastAsia="仿宋_GB2312"/>
          <w:color w:val="auto"/>
          <w:szCs w:val="21"/>
          <w:highlight w:val="none"/>
        </w:rPr>
        <w:t>21.1</w:t>
      </w:r>
      <w:r>
        <w:rPr>
          <w:rFonts w:hint="eastAsia" w:eastAsia="仿宋_GB2312"/>
          <w:color w:val="auto"/>
          <w:szCs w:val="21"/>
          <w:highlight w:val="none"/>
        </w:rPr>
        <w:t>0</w:t>
      </w:r>
      <w:r>
        <w:rPr>
          <w:rFonts w:eastAsia="仿宋_GB2312"/>
          <w:color w:val="auto"/>
          <w:szCs w:val="21"/>
          <w:highlight w:val="none"/>
        </w:rPr>
        <w:t xml:space="preserve"> 承包人在工程施工中，应严格遵守对环境保护（包括控制扬尘、噪声、废弃物、施工排水、材料漏失、工地保洁、保护农业排灌系统、保护沿线居民排水系统等）的有关规定，承包人有责任采取各种有效措施以预防和消除任何因施工造成的环境污染，并应保证发包人免于承担由于这种污染</w:t>
      </w:r>
      <w:r>
        <w:rPr>
          <w:rFonts w:hint="eastAsia" w:eastAsia="仿宋_GB2312"/>
          <w:color w:val="auto"/>
          <w:szCs w:val="21"/>
          <w:highlight w:val="none"/>
        </w:rPr>
        <w:t>所</w:t>
      </w:r>
      <w:r>
        <w:rPr>
          <w:rFonts w:eastAsia="仿宋_GB2312"/>
          <w:color w:val="auto"/>
          <w:szCs w:val="21"/>
          <w:highlight w:val="none"/>
        </w:rPr>
        <w:t>产生的索赔</w:t>
      </w:r>
      <w:r>
        <w:rPr>
          <w:rFonts w:hint="eastAsia" w:eastAsia="仿宋_GB2312"/>
          <w:color w:val="auto"/>
          <w:szCs w:val="21"/>
          <w:highlight w:val="none"/>
        </w:rPr>
        <w:t>、</w:t>
      </w:r>
      <w:r>
        <w:rPr>
          <w:rFonts w:eastAsia="仿宋_GB2312"/>
          <w:color w:val="auto"/>
          <w:szCs w:val="21"/>
          <w:highlight w:val="none"/>
        </w:rPr>
        <w:t>罚款</w:t>
      </w:r>
      <w:r>
        <w:rPr>
          <w:rFonts w:hint="eastAsia" w:eastAsia="仿宋_GB2312"/>
          <w:color w:val="auto"/>
          <w:szCs w:val="21"/>
          <w:highlight w:val="none"/>
        </w:rPr>
        <w:t>或其他与此相关的费用</w:t>
      </w:r>
      <w:r>
        <w:rPr>
          <w:rFonts w:eastAsia="仿宋_GB2312"/>
          <w:color w:val="auto"/>
          <w:szCs w:val="21"/>
          <w:highlight w:val="none"/>
        </w:rPr>
        <w:t>，本款发生的各种费用（包括政府部门的罚款等），全部由承包人负责支付</w:t>
      </w:r>
      <w:r>
        <w:rPr>
          <w:rFonts w:hint="eastAsia" w:eastAsia="仿宋_GB2312"/>
          <w:color w:val="auto"/>
          <w:szCs w:val="21"/>
          <w:highlight w:val="none"/>
        </w:rPr>
        <w:t>；</w:t>
      </w:r>
    </w:p>
    <w:p w14:paraId="3921C1A0">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11</w:t>
      </w:r>
      <w:r>
        <w:rPr>
          <w:rFonts w:eastAsia="仿宋_GB2312"/>
          <w:color w:val="auto"/>
          <w:szCs w:val="21"/>
          <w:highlight w:val="none"/>
        </w:rPr>
        <w:t xml:space="preserve"> 发包人有权将承包人承包的范围内的部分工程转为独立发包工程。如出现此种情况，承包人应将承包范围内发包人独立发包工程的价款（合同范围内措施费包死，不予扣减，其他取费参照合同附件清单费率计取）（包括取费）在结算中无条件扣减；发包人有权将发包人独立发包的专业工程计入承包人的承包范围，如出现此种情况，划入承包人范围专业工程价款（措施费包死，不予调增）在结算时调整。出现以上两种情况，承包人应积极配合，不得据此提出任何索赔；</w:t>
      </w:r>
    </w:p>
    <w:p w14:paraId="5F0DDD68">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12</w:t>
      </w:r>
      <w:r>
        <w:rPr>
          <w:rFonts w:eastAsia="仿宋_GB2312"/>
          <w:color w:val="auto"/>
          <w:szCs w:val="21"/>
          <w:highlight w:val="none"/>
        </w:rPr>
        <w:t xml:space="preserve"> 发包人将目前的现场交给承包人，承包人保证及时完成本承包范围的全部施工内容，并保证本专业工程的竣工验收合格(无论任何原因，如图纸系统不完善、设计缺陷等)，同时承诺已经充分考虑现场和图纸设计的实际情况，不会因任何原因向发包方增加任何费用（除合同另有约定外）；</w:t>
      </w:r>
    </w:p>
    <w:p w14:paraId="31F3C728">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13</w:t>
      </w:r>
      <w:r>
        <w:rPr>
          <w:rFonts w:eastAsia="仿宋_GB2312"/>
          <w:color w:val="auto"/>
          <w:szCs w:val="21"/>
          <w:highlight w:val="none"/>
        </w:rPr>
        <w:t xml:space="preserve"> 承包人同意发包人委托的监理</w:t>
      </w:r>
      <w:r>
        <w:rPr>
          <w:rFonts w:hint="eastAsia" w:eastAsia="仿宋_GB2312"/>
          <w:color w:val="auto"/>
          <w:szCs w:val="21"/>
          <w:highlight w:val="none"/>
        </w:rPr>
        <w:t>人</w:t>
      </w:r>
      <w:r>
        <w:rPr>
          <w:rFonts w:eastAsia="仿宋_GB2312"/>
          <w:color w:val="auto"/>
          <w:szCs w:val="21"/>
          <w:highlight w:val="none"/>
        </w:rPr>
        <w:t>，具有根据本工程需要制定有关工程质量、进度、造价、安全管理、经济处罚的制度的权利，上述制度经发包人同意后，承包人必须执行；</w:t>
      </w:r>
    </w:p>
    <w:p w14:paraId="702C2457">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14</w:t>
      </w:r>
      <w:r>
        <w:rPr>
          <w:rFonts w:eastAsia="仿宋_GB2312"/>
          <w:color w:val="auto"/>
          <w:szCs w:val="21"/>
          <w:highlight w:val="none"/>
        </w:rPr>
        <w:t xml:space="preserve"> 承包人不应在工地或施工设施上展示或容许</w:t>
      </w:r>
      <w:r>
        <w:rPr>
          <w:rFonts w:hint="eastAsia" w:eastAsia="仿宋_GB2312"/>
          <w:color w:val="auto"/>
          <w:szCs w:val="21"/>
          <w:highlight w:val="none"/>
        </w:rPr>
        <w:t>第三人</w:t>
      </w:r>
      <w:r>
        <w:rPr>
          <w:rFonts w:eastAsia="仿宋_GB2312"/>
          <w:color w:val="auto"/>
          <w:szCs w:val="21"/>
          <w:highlight w:val="none"/>
        </w:rPr>
        <w:t>展示任何贸易和广告。承包人在征得发包人</w:t>
      </w:r>
      <w:r>
        <w:rPr>
          <w:rFonts w:hint="eastAsia" w:eastAsia="仿宋_GB2312"/>
          <w:color w:val="auto"/>
          <w:szCs w:val="21"/>
          <w:highlight w:val="none"/>
        </w:rPr>
        <w:t>书面</w:t>
      </w:r>
      <w:r>
        <w:rPr>
          <w:rFonts w:eastAsia="仿宋_GB2312"/>
          <w:color w:val="auto"/>
          <w:szCs w:val="21"/>
          <w:highlight w:val="none"/>
        </w:rPr>
        <w:t>同意后，可在施工场地设置有关工程的广告，但必须由发包人统一规划和制作。发包人保留施工期间在本合同施工场地的所有围栏及永久建筑物上设置广告的</w:t>
      </w:r>
      <w:r>
        <w:rPr>
          <w:rFonts w:hint="eastAsia" w:eastAsia="仿宋_GB2312"/>
          <w:color w:val="auto"/>
          <w:szCs w:val="21"/>
          <w:highlight w:val="none"/>
        </w:rPr>
        <w:t>权利</w:t>
      </w:r>
      <w:r>
        <w:rPr>
          <w:rFonts w:eastAsia="仿宋_GB2312"/>
          <w:color w:val="auto"/>
          <w:szCs w:val="21"/>
          <w:highlight w:val="none"/>
        </w:rPr>
        <w:t>，承包人需按发包人要求进行安装，安拆费用含在合同总价中。承包人可在征得发包人</w:t>
      </w:r>
      <w:r>
        <w:rPr>
          <w:rFonts w:hint="eastAsia" w:eastAsia="仿宋_GB2312"/>
          <w:color w:val="auto"/>
          <w:szCs w:val="21"/>
          <w:highlight w:val="none"/>
        </w:rPr>
        <w:t>书面</w:t>
      </w:r>
      <w:r>
        <w:rPr>
          <w:rFonts w:eastAsia="仿宋_GB2312"/>
          <w:color w:val="auto"/>
          <w:szCs w:val="21"/>
          <w:highlight w:val="none"/>
        </w:rPr>
        <w:t>同意后，在上述地点可设置承包人承建本工程的广告；</w:t>
      </w:r>
    </w:p>
    <w:p w14:paraId="687B2380">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15</w:t>
      </w:r>
      <w:r>
        <w:rPr>
          <w:rFonts w:eastAsia="仿宋_GB2312"/>
          <w:color w:val="auto"/>
          <w:szCs w:val="21"/>
          <w:highlight w:val="none"/>
        </w:rPr>
        <w:t xml:space="preserve"> 临时设施应按发包人要求统一位置、统一标识搭设，配合发包人做好安全文明宣传、领导检查宣传治理“五乱”等工作，相关费用由承包人承担；</w:t>
      </w:r>
    </w:p>
    <w:p w14:paraId="570DD61E">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16</w:t>
      </w:r>
      <w:r>
        <w:rPr>
          <w:rFonts w:eastAsia="仿宋_GB2312"/>
          <w:color w:val="auto"/>
          <w:szCs w:val="21"/>
          <w:highlight w:val="none"/>
        </w:rPr>
        <w:t xml:space="preserve"> </w:t>
      </w:r>
      <w:r>
        <w:rPr>
          <w:rFonts w:hint="eastAsia" w:eastAsia="仿宋_GB2312"/>
          <w:color w:val="auto"/>
          <w:szCs w:val="21"/>
          <w:highlight w:val="none"/>
        </w:rPr>
        <w:t>施工人员</w:t>
      </w:r>
      <w:r>
        <w:rPr>
          <w:rFonts w:eastAsia="仿宋_GB2312"/>
          <w:color w:val="auto"/>
          <w:szCs w:val="21"/>
          <w:highlight w:val="none"/>
        </w:rPr>
        <w:t>用房每间建筑面积及居住人数必须符合当地政府要求，并须按相关规定配备文化娱乐用房和文体设施，承包人应有偿提供所有专业分包商及独立发包工程现场工作人员住宿及生活临时用水用电</w:t>
      </w:r>
      <w:r>
        <w:rPr>
          <w:rFonts w:hint="eastAsia" w:eastAsia="仿宋_GB2312"/>
          <w:color w:val="auto"/>
          <w:szCs w:val="21"/>
          <w:highlight w:val="none"/>
        </w:rPr>
        <w:t>服务</w:t>
      </w:r>
      <w:r>
        <w:rPr>
          <w:rFonts w:eastAsia="仿宋_GB2312"/>
          <w:color w:val="auto"/>
          <w:szCs w:val="21"/>
          <w:highlight w:val="none"/>
        </w:rPr>
        <w:t>；</w:t>
      </w:r>
    </w:p>
    <w:p w14:paraId="48DC16F6">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17</w:t>
      </w:r>
      <w:r>
        <w:rPr>
          <w:rFonts w:eastAsia="仿宋_GB2312"/>
          <w:color w:val="auto"/>
          <w:szCs w:val="21"/>
          <w:highlight w:val="none"/>
        </w:rPr>
        <w:t xml:space="preserve"> 工程竣工后，发包人将牵头承包人、监理</w:t>
      </w:r>
      <w:r>
        <w:rPr>
          <w:rFonts w:hint="eastAsia" w:eastAsia="仿宋_GB2312"/>
          <w:color w:val="auto"/>
          <w:szCs w:val="21"/>
          <w:highlight w:val="none"/>
        </w:rPr>
        <w:t>人</w:t>
      </w:r>
      <w:r>
        <w:rPr>
          <w:rFonts w:eastAsia="仿宋_GB2312"/>
          <w:color w:val="auto"/>
          <w:szCs w:val="21"/>
          <w:highlight w:val="none"/>
        </w:rPr>
        <w:t>、物业公司将房屋逐套向房屋使用方交付的工作，承包人予以配合；</w:t>
      </w:r>
    </w:p>
    <w:p w14:paraId="3E69C1F2">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18</w:t>
      </w:r>
      <w:r>
        <w:rPr>
          <w:rFonts w:eastAsia="仿宋_GB2312"/>
          <w:color w:val="auto"/>
          <w:szCs w:val="21"/>
          <w:highlight w:val="none"/>
        </w:rPr>
        <w:t xml:space="preserve"> 所有承包人进场的专业施工人员必须持证上岗（如特殊工种必须有上岗证等），并接受发包人和监理</w:t>
      </w:r>
      <w:r>
        <w:rPr>
          <w:rFonts w:hint="eastAsia" w:eastAsia="仿宋_GB2312"/>
          <w:color w:val="auto"/>
          <w:szCs w:val="21"/>
          <w:highlight w:val="none"/>
        </w:rPr>
        <w:t>人</w:t>
      </w:r>
      <w:r>
        <w:rPr>
          <w:rFonts w:eastAsia="仿宋_GB2312"/>
          <w:color w:val="auto"/>
          <w:szCs w:val="21"/>
          <w:highlight w:val="none"/>
        </w:rPr>
        <w:t>的审查和监督；发包人和监理</w:t>
      </w:r>
      <w:r>
        <w:rPr>
          <w:rFonts w:hint="eastAsia" w:eastAsia="仿宋_GB2312"/>
          <w:color w:val="auto"/>
          <w:szCs w:val="21"/>
          <w:highlight w:val="none"/>
        </w:rPr>
        <w:t>人</w:t>
      </w:r>
      <w:r>
        <w:rPr>
          <w:rFonts w:eastAsia="仿宋_GB2312"/>
          <w:color w:val="auto"/>
          <w:szCs w:val="21"/>
          <w:highlight w:val="none"/>
        </w:rPr>
        <w:t>将口头或书面通知承包人将不合格的施工人员和无证书上岗的施工人员进行更换或辞退。因承包人的施工人员无证作业造成安全事故，责任和处理费用（包括事故家属的赔偿金、政府部门的罚款等）均由承包人负责；</w:t>
      </w:r>
    </w:p>
    <w:p w14:paraId="7A422DF0">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19</w:t>
      </w:r>
      <w:r>
        <w:rPr>
          <w:rFonts w:eastAsia="仿宋_GB2312"/>
          <w:color w:val="auto"/>
          <w:szCs w:val="21"/>
          <w:highlight w:val="none"/>
        </w:rPr>
        <w:t xml:space="preserve"> 承包人应有具体措施，保证任何临时和永久性工程中不使用政府明令禁止使用的对人体有害的任何材料和</w:t>
      </w:r>
      <w:r>
        <w:rPr>
          <w:rFonts w:hint="eastAsia" w:eastAsia="仿宋_GB2312"/>
          <w:color w:val="auto"/>
          <w:szCs w:val="21"/>
          <w:highlight w:val="none"/>
        </w:rPr>
        <w:t>添加剂</w:t>
      </w:r>
      <w:r>
        <w:rPr>
          <w:rFonts w:eastAsia="仿宋_GB2312"/>
          <w:color w:val="auto"/>
          <w:szCs w:val="21"/>
          <w:highlight w:val="none"/>
        </w:rPr>
        <w:t>，同时也不会在永久性工程中使用政府虽未明令禁止但会给人带来不适感觉或嗅觉的任何材料和添加剂，承包人违背此项约定的责任和后果由承包人完全负责；</w:t>
      </w:r>
    </w:p>
    <w:p w14:paraId="57E945E6">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20</w:t>
      </w:r>
      <w:r>
        <w:rPr>
          <w:rFonts w:eastAsia="仿宋_GB2312"/>
          <w:color w:val="auto"/>
          <w:szCs w:val="21"/>
          <w:highlight w:val="none"/>
        </w:rPr>
        <w:t xml:space="preserve"> 根据现场及实际进度情况，发包人有权将承包人拖延工程部分或有质量缺陷的工作内容交由其他方施工，费用在结算时直接从承包人结算款中扣除；</w:t>
      </w:r>
    </w:p>
    <w:p w14:paraId="2B2B702F">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2</w:t>
      </w:r>
      <w:r>
        <w:rPr>
          <w:rFonts w:eastAsia="仿宋_GB2312"/>
          <w:color w:val="auto"/>
          <w:szCs w:val="21"/>
          <w:highlight w:val="none"/>
        </w:rPr>
        <w:t>1 在工程开工后，承包人在搭建临时设施时已经综合考虑临时设施搬迁的可能性。无论任何原因，因现场需要，导致现场承包人临时设施的搬迁和新建（包括现场内新建和现场外租地新建），均视作承包人义务，承包人不得向发包人进行任何索赔和费用（包括拆除、租地、搬迁、新建等）补偿；</w:t>
      </w:r>
    </w:p>
    <w:p w14:paraId="3C7B7691">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2</w:t>
      </w:r>
      <w:r>
        <w:rPr>
          <w:rFonts w:eastAsia="仿宋_GB2312"/>
          <w:color w:val="auto"/>
          <w:szCs w:val="21"/>
          <w:highlight w:val="none"/>
        </w:rPr>
        <w:t>2 承包人报价时已经综合考虑施工中临时停电问题。若遇临时停电，承包人必须及时提供备用电源，不得因停电而延误工期，相关费用已含在合同价中；</w:t>
      </w:r>
    </w:p>
    <w:p w14:paraId="67807B0E">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23</w:t>
      </w:r>
      <w:r>
        <w:rPr>
          <w:rFonts w:eastAsia="仿宋_GB2312"/>
          <w:color w:val="auto"/>
          <w:szCs w:val="21"/>
          <w:highlight w:val="none"/>
        </w:rPr>
        <w:t xml:space="preserve"> 承包人的脚手架搭设方案应获得发包人和监理工程师的书面批准（发包人和监理工程师的批准并不免除承包人的责任，承包人应对此方案负全责），承包人的脚手架方案应充分考虑到专业分包单位的施工使用及工作空间。未经发包人和监理工程师的书面批准，所有的室外脚手架、工作台及垂直运输设备不得拆除，否则重新搭架的费用由承包人承担；</w:t>
      </w:r>
    </w:p>
    <w:p w14:paraId="46FDB4E2">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24</w:t>
      </w:r>
      <w:r>
        <w:rPr>
          <w:rFonts w:eastAsia="仿宋_GB2312"/>
          <w:color w:val="auto"/>
          <w:szCs w:val="21"/>
          <w:highlight w:val="none"/>
        </w:rPr>
        <w:t xml:space="preserve"> 如果发包人要求，承包人使用的临时用水、电设施在合同实施期间为分包</w:t>
      </w:r>
      <w:r>
        <w:rPr>
          <w:rFonts w:hint="eastAsia" w:eastAsia="仿宋_GB2312"/>
          <w:color w:val="auto"/>
          <w:szCs w:val="21"/>
          <w:highlight w:val="none"/>
        </w:rPr>
        <w:t>人</w:t>
      </w:r>
      <w:r>
        <w:rPr>
          <w:rFonts w:eastAsia="仿宋_GB2312"/>
          <w:color w:val="auto"/>
          <w:szCs w:val="21"/>
          <w:highlight w:val="none"/>
        </w:rPr>
        <w:t>提供分表接口，承包人应予无条件同意。其分水电表及以后的管线由使用单位安装、维护、拆除、恢复和承担费用，同时本合同承包人也应安装分表，水电费用按各分表用户分摊。各分表用量总和与供水、供电部门计量的差额，按分表用户的用量比例分摊。施工范围内水、电的使用、维护、拆除、恢复等由承包人负责，以上费用已在合同价中综合考虑；</w:t>
      </w:r>
    </w:p>
    <w:p w14:paraId="0E11120E">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25</w:t>
      </w:r>
      <w:r>
        <w:rPr>
          <w:rFonts w:eastAsia="仿宋_GB2312"/>
          <w:color w:val="auto"/>
          <w:szCs w:val="21"/>
          <w:highlight w:val="none"/>
        </w:rPr>
        <w:t xml:space="preserve"> 承包人应加强工程施工车辆的管理，施工车辆不得无故堵塞道路交通，不得沿途抛洒弃土。承包人负责施工场地内的道路上布设限速、禁停等标志、标牌，并根据发包人的要求，安排人员在主要路口疏解汽车、行人交通，其费用由承包人</w:t>
      </w:r>
      <w:r>
        <w:rPr>
          <w:rFonts w:hint="eastAsia" w:eastAsia="仿宋_GB2312"/>
          <w:color w:val="auto"/>
          <w:szCs w:val="21"/>
          <w:highlight w:val="none"/>
        </w:rPr>
        <w:t>承担</w:t>
      </w:r>
      <w:r>
        <w:rPr>
          <w:rFonts w:eastAsia="仿宋_GB2312"/>
          <w:color w:val="auto"/>
          <w:szCs w:val="21"/>
          <w:highlight w:val="none"/>
        </w:rPr>
        <w:t>；</w:t>
      </w:r>
    </w:p>
    <w:p w14:paraId="3FEE4F4B">
      <w:pPr>
        <w:spacing w:after="120" w:line="360" w:lineRule="auto"/>
        <w:ind w:firstLine="420" w:firstLineChars="200"/>
        <w:rPr>
          <w:rFonts w:eastAsia="仿宋_GB2312"/>
          <w:color w:val="auto"/>
          <w:szCs w:val="21"/>
          <w:highlight w:val="none"/>
        </w:rPr>
      </w:pPr>
      <w:r>
        <w:rPr>
          <w:rFonts w:eastAsia="仿宋_GB2312"/>
          <w:color w:val="auto"/>
          <w:szCs w:val="21"/>
          <w:highlight w:val="none"/>
        </w:rPr>
        <w:t>21.2</w:t>
      </w:r>
      <w:r>
        <w:rPr>
          <w:rFonts w:hint="eastAsia" w:eastAsia="仿宋_GB2312"/>
          <w:color w:val="auto"/>
          <w:szCs w:val="21"/>
          <w:highlight w:val="none"/>
        </w:rPr>
        <w:t>6</w:t>
      </w:r>
      <w:r>
        <w:rPr>
          <w:rFonts w:eastAsia="仿宋_GB2312"/>
          <w:color w:val="auto"/>
          <w:szCs w:val="21"/>
          <w:highlight w:val="none"/>
        </w:rPr>
        <w:t xml:space="preserve"> 承包人应将施工用水设计图纸和详细的说明书提交监理工程师，以便审查和批准，比如办公室和施工生产用水的总量的和分部的耗水量、供水系统水压、水泵的容量和安排等。供水管路及用水设施必须符合中国及地方有关安装、使用及维修的规定，承包人对所使用的供水设施的设计、安装、维修和管理负责，并确保其安全可靠；</w:t>
      </w:r>
    </w:p>
    <w:p w14:paraId="3464D088">
      <w:pPr>
        <w:spacing w:after="120" w:line="360" w:lineRule="auto"/>
        <w:ind w:firstLine="420" w:firstLineChars="200"/>
        <w:rPr>
          <w:rFonts w:eastAsia="仿宋_GB2312"/>
          <w:color w:val="auto"/>
          <w:szCs w:val="21"/>
          <w:highlight w:val="none"/>
        </w:rPr>
      </w:pPr>
      <w:r>
        <w:rPr>
          <w:rFonts w:eastAsia="仿宋_GB2312"/>
          <w:color w:val="auto"/>
          <w:szCs w:val="21"/>
          <w:highlight w:val="none"/>
        </w:rPr>
        <w:t>21.2</w:t>
      </w:r>
      <w:r>
        <w:rPr>
          <w:rFonts w:hint="eastAsia" w:eastAsia="仿宋_GB2312"/>
          <w:color w:val="auto"/>
          <w:szCs w:val="21"/>
          <w:highlight w:val="none"/>
        </w:rPr>
        <w:t>7</w:t>
      </w:r>
      <w:r>
        <w:rPr>
          <w:rFonts w:eastAsia="仿宋_GB2312"/>
          <w:color w:val="auto"/>
          <w:szCs w:val="21"/>
          <w:highlight w:val="none"/>
        </w:rPr>
        <w:t xml:space="preserve"> 凡属于需要承包人交付给其他承包人的工作面以及与其他承包人交叉作业的工作面，承包人必须服从发包人和</w:t>
      </w:r>
      <w:r>
        <w:rPr>
          <w:rFonts w:hint="eastAsia" w:eastAsia="仿宋_GB2312"/>
          <w:color w:val="auto"/>
          <w:szCs w:val="21"/>
          <w:highlight w:val="none"/>
        </w:rPr>
        <w:t>监理人</w:t>
      </w:r>
      <w:r>
        <w:rPr>
          <w:rFonts w:eastAsia="仿宋_GB2312"/>
          <w:color w:val="auto"/>
          <w:szCs w:val="21"/>
          <w:highlight w:val="none"/>
        </w:rPr>
        <w:t>的决定，按规定的完工日期完成并将清理好的工作面移交给</w:t>
      </w:r>
      <w:r>
        <w:rPr>
          <w:rFonts w:hint="eastAsia" w:eastAsia="仿宋_GB2312"/>
          <w:color w:val="auto"/>
          <w:szCs w:val="21"/>
          <w:highlight w:val="none"/>
        </w:rPr>
        <w:t>发包人和（或）其他承包人</w:t>
      </w:r>
      <w:r>
        <w:rPr>
          <w:rFonts w:eastAsia="仿宋_GB2312"/>
          <w:color w:val="auto"/>
          <w:szCs w:val="21"/>
          <w:highlight w:val="none"/>
        </w:rPr>
        <w:t>，并取得监理人的同意</w:t>
      </w:r>
      <w:r>
        <w:rPr>
          <w:rFonts w:hint="eastAsia" w:eastAsia="仿宋_GB2312"/>
          <w:color w:val="auto"/>
          <w:szCs w:val="21"/>
          <w:highlight w:val="none"/>
        </w:rPr>
        <w:t>；</w:t>
      </w:r>
    </w:p>
    <w:p w14:paraId="1AA0B48B">
      <w:pPr>
        <w:spacing w:after="120" w:line="360" w:lineRule="auto"/>
        <w:ind w:firstLine="420" w:firstLineChars="200"/>
        <w:rPr>
          <w:rFonts w:eastAsia="仿宋_GB2312"/>
          <w:color w:val="auto"/>
          <w:szCs w:val="21"/>
          <w:highlight w:val="none"/>
        </w:rPr>
      </w:pPr>
      <w:r>
        <w:rPr>
          <w:rFonts w:eastAsia="仿宋_GB2312"/>
          <w:color w:val="auto"/>
          <w:szCs w:val="21"/>
          <w:highlight w:val="none"/>
        </w:rPr>
        <w:t>21.2</w:t>
      </w:r>
      <w:r>
        <w:rPr>
          <w:rFonts w:hint="eastAsia" w:eastAsia="仿宋_GB2312"/>
          <w:color w:val="auto"/>
          <w:szCs w:val="21"/>
          <w:highlight w:val="none"/>
        </w:rPr>
        <w:t>8</w:t>
      </w:r>
      <w:r>
        <w:rPr>
          <w:rFonts w:eastAsia="仿宋_GB2312"/>
          <w:color w:val="auto"/>
          <w:szCs w:val="21"/>
          <w:highlight w:val="none"/>
        </w:rPr>
        <w:t xml:space="preserve"> 承包人的临时占地（含项目部驻地等）租用费、临时用地的环保、恢复均由承包人负责，发生的一切费用已包含在合同总价中；</w:t>
      </w:r>
    </w:p>
    <w:p w14:paraId="223B08BF">
      <w:pPr>
        <w:spacing w:after="120" w:line="360" w:lineRule="auto"/>
        <w:ind w:firstLine="420" w:firstLineChars="200"/>
        <w:rPr>
          <w:rFonts w:eastAsia="仿宋_GB2312"/>
          <w:color w:val="auto"/>
          <w:szCs w:val="21"/>
          <w:highlight w:val="none"/>
        </w:rPr>
      </w:pPr>
      <w:r>
        <w:rPr>
          <w:rFonts w:eastAsia="仿宋_GB2312"/>
          <w:color w:val="auto"/>
          <w:szCs w:val="21"/>
          <w:highlight w:val="none"/>
        </w:rPr>
        <w:t>21.2</w:t>
      </w:r>
      <w:r>
        <w:rPr>
          <w:rFonts w:hint="eastAsia" w:eastAsia="仿宋_GB2312"/>
          <w:color w:val="auto"/>
          <w:szCs w:val="21"/>
          <w:highlight w:val="none"/>
        </w:rPr>
        <w:t>9</w:t>
      </w:r>
      <w:r>
        <w:rPr>
          <w:rFonts w:eastAsia="仿宋_GB2312"/>
          <w:color w:val="auto"/>
          <w:szCs w:val="21"/>
          <w:highlight w:val="none"/>
        </w:rPr>
        <w:t xml:space="preserve"> 承包人的施工管理区及施工场地应设有临时的污水处理设施和施工排水设施，生活、施工垃圾等处置应妥当，施工材料如涂料、化学品等应妥善存放，并设有防雨、防风等措施，</w:t>
      </w:r>
      <w:r>
        <w:rPr>
          <w:rFonts w:hint="eastAsia" w:eastAsia="仿宋_GB2312"/>
          <w:color w:val="auto"/>
          <w:szCs w:val="21"/>
          <w:highlight w:val="none"/>
        </w:rPr>
        <w:t>由承包人</w:t>
      </w:r>
      <w:r>
        <w:rPr>
          <w:rFonts w:eastAsia="仿宋_GB2312"/>
          <w:color w:val="auto"/>
          <w:szCs w:val="21"/>
          <w:highlight w:val="none"/>
        </w:rPr>
        <w:t>承担</w:t>
      </w:r>
      <w:r>
        <w:rPr>
          <w:rFonts w:hint="eastAsia" w:eastAsia="仿宋_GB2312"/>
          <w:color w:val="auto"/>
          <w:szCs w:val="21"/>
          <w:highlight w:val="none"/>
        </w:rPr>
        <w:t>与此相关的</w:t>
      </w:r>
      <w:r>
        <w:rPr>
          <w:rFonts w:eastAsia="仿宋_GB2312"/>
          <w:color w:val="auto"/>
          <w:szCs w:val="21"/>
          <w:highlight w:val="none"/>
        </w:rPr>
        <w:t>一切费用；</w:t>
      </w:r>
    </w:p>
    <w:p w14:paraId="4DCB4F78">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30</w:t>
      </w:r>
      <w:r>
        <w:rPr>
          <w:rFonts w:eastAsia="仿宋_GB2312"/>
          <w:color w:val="auto"/>
          <w:szCs w:val="21"/>
          <w:highlight w:val="none"/>
        </w:rPr>
        <w:t xml:space="preserve"> 承包人应全权自费负责其</w:t>
      </w:r>
      <w:r>
        <w:rPr>
          <w:rFonts w:hint="eastAsia" w:eastAsia="仿宋_GB2312"/>
          <w:color w:val="auto"/>
          <w:szCs w:val="21"/>
          <w:highlight w:val="none"/>
        </w:rPr>
        <w:t>雇用人员</w:t>
      </w:r>
      <w:r>
        <w:rPr>
          <w:rFonts w:eastAsia="仿宋_GB2312"/>
          <w:color w:val="auto"/>
          <w:szCs w:val="21"/>
          <w:highlight w:val="none"/>
        </w:rPr>
        <w:t>及职员的</w:t>
      </w:r>
      <w:r>
        <w:rPr>
          <w:rFonts w:hint="eastAsia" w:eastAsia="仿宋_GB2312"/>
          <w:color w:val="auto"/>
          <w:szCs w:val="21"/>
          <w:highlight w:val="none"/>
        </w:rPr>
        <w:t>酬金</w:t>
      </w:r>
      <w:r>
        <w:rPr>
          <w:rFonts w:eastAsia="仿宋_GB2312"/>
          <w:color w:val="auto"/>
          <w:szCs w:val="21"/>
          <w:highlight w:val="none"/>
        </w:rPr>
        <w:t>、工资的支付、房屋、膳食及运输的安排。承包人在任何时候应采取一切合理的预防措施，以防止其</w:t>
      </w:r>
      <w:r>
        <w:rPr>
          <w:rFonts w:hint="eastAsia" w:eastAsia="仿宋_GB2312"/>
          <w:color w:val="auto"/>
          <w:szCs w:val="21"/>
          <w:highlight w:val="none"/>
        </w:rPr>
        <w:t>雇用人员及职员</w:t>
      </w:r>
      <w:r>
        <w:rPr>
          <w:rFonts w:eastAsia="仿宋_GB2312"/>
          <w:color w:val="auto"/>
          <w:szCs w:val="21"/>
          <w:highlight w:val="none"/>
        </w:rPr>
        <w:t>发生任何违法的、防碍治安的行为，并维护治安和保护工程附近的单位、个人或财产免遭上述行为的破坏，否则，由此造成的后果和费用均由承包人承担；</w:t>
      </w:r>
    </w:p>
    <w:p w14:paraId="0BB47E65">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31</w:t>
      </w:r>
      <w:r>
        <w:rPr>
          <w:rFonts w:eastAsia="仿宋_GB2312"/>
          <w:color w:val="auto"/>
          <w:szCs w:val="21"/>
          <w:highlight w:val="none"/>
        </w:rPr>
        <w:t xml:space="preserve"> 承包人在施工期间应协调好与邻近相关单位（含居民、农民）的关系，应避免发生矛盾与冲突，否则，由此造成的一切后果和费用均由承包人承担；</w:t>
      </w:r>
    </w:p>
    <w:p w14:paraId="2661AD54">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32</w:t>
      </w:r>
      <w:r>
        <w:rPr>
          <w:rFonts w:eastAsia="仿宋_GB2312"/>
          <w:color w:val="auto"/>
          <w:szCs w:val="21"/>
          <w:highlight w:val="none"/>
        </w:rPr>
        <w:t xml:space="preserve"> 承包人负责办理自己承担的专业分包工程的施工许可证，并承担办证</w:t>
      </w:r>
      <w:r>
        <w:rPr>
          <w:rFonts w:hint="eastAsia" w:eastAsia="仿宋_GB2312"/>
          <w:color w:val="auto"/>
          <w:szCs w:val="21"/>
          <w:highlight w:val="none"/>
        </w:rPr>
        <w:t>等相关</w:t>
      </w:r>
      <w:r>
        <w:rPr>
          <w:rFonts w:eastAsia="仿宋_GB2312"/>
          <w:color w:val="auto"/>
          <w:szCs w:val="21"/>
          <w:highlight w:val="none"/>
        </w:rPr>
        <w:t>费用。承包人应积极配合发包</w:t>
      </w:r>
      <w:r>
        <w:rPr>
          <w:rFonts w:hint="eastAsia" w:eastAsia="仿宋_GB2312"/>
          <w:color w:val="auto"/>
          <w:szCs w:val="21"/>
          <w:highlight w:val="none"/>
        </w:rPr>
        <w:t>人</w:t>
      </w:r>
      <w:r>
        <w:rPr>
          <w:rFonts w:eastAsia="仿宋_GB2312"/>
          <w:color w:val="auto"/>
          <w:szCs w:val="21"/>
          <w:highlight w:val="none"/>
        </w:rPr>
        <w:t>退</w:t>
      </w:r>
      <w:r>
        <w:rPr>
          <w:rFonts w:hint="eastAsia" w:eastAsia="仿宋_GB2312"/>
          <w:color w:val="auto"/>
          <w:szCs w:val="21"/>
          <w:highlight w:val="none"/>
        </w:rPr>
        <w:t>还</w:t>
      </w:r>
      <w:r>
        <w:rPr>
          <w:rFonts w:eastAsia="仿宋_GB2312"/>
          <w:color w:val="auto"/>
          <w:szCs w:val="21"/>
          <w:highlight w:val="none"/>
        </w:rPr>
        <w:t>办理各种证件时先行缴纳的相关费用和押金，因承包人原因导致发包</w:t>
      </w:r>
      <w:r>
        <w:rPr>
          <w:rFonts w:hint="eastAsia" w:eastAsia="仿宋_GB2312"/>
          <w:color w:val="auto"/>
          <w:szCs w:val="21"/>
          <w:highlight w:val="none"/>
        </w:rPr>
        <w:t>人</w:t>
      </w:r>
      <w:r>
        <w:rPr>
          <w:rFonts w:eastAsia="仿宋_GB2312"/>
          <w:color w:val="auto"/>
          <w:szCs w:val="21"/>
          <w:highlight w:val="none"/>
        </w:rPr>
        <w:t>的各种本可以退还的费用和押金无法及时退还时，由承包人负责承担此项费用，发包人可在与其结算费用中直接扣除或在付款时先行扣除；</w:t>
      </w:r>
    </w:p>
    <w:p w14:paraId="0C4331AE">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33</w:t>
      </w:r>
      <w:r>
        <w:rPr>
          <w:rFonts w:eastAsia="仿宋_GB2312"/>
          <w:color w:val="auto"/>
          <w:szCs w:val="21"/>
          <w:highlight w:val="none"/>
        </w:rPr>
        <w:t xml:space="preserve"> 承包人全权负责施工范围内的四方验收工作和配合发包人的规划等验收工作，且承包人在报价时已将四方验收和配合发包人的规划等验收工作费用全部考虑</w:t>
      </w:r>
      <w:r>
        <w:rPr>
          <w:rFonts w:hint="eastAsia" w:eastAsia="仿宋_GB2312"/>
          <w:color w:val="auto"/>
          <w:szCs w:val="21"/>
          <w:highlight w:val="none"/>
        </w:rPr>
        <w:t>。</w:t>
      </w:r>
    </w:p>
    <w:p w14:paraId="08D5A29A">
      <w:pPr>
        <w:spacing w:after="120" w:line="360" w:lineRule="auto"/>
        <w:ind w:firstLine="420" w:firstLineChars="200"/>
        <w:rPr>
          <w:rFonts w:eastAsia="仿宋_GB2312"/>
          <w:color w:val="auto"/>
          <w:szCs w:val="21"/>
          <w:highlight w:val="none"/>
        </w:rPr>
      </w:pPr>
      <w:r>
        <w:rPr>
          <w:rFonts w:eastAsia="仿宋_GB2312"/>
          <w:color w:val="auto"/>
          <w:szCs w:val="21"/>
          <w:highlight w:val="none"/>
        </w:rPr>
        <w:t>21.</w:t>
      </w:r>
      <w:r>
        <w:rPr>
          <w:rFonts w:hint="eastAsia" w:eastAsia="仿宋_GB2312"/>
          <w:color w:val="auto"/>
          <w:szCs w:val="21"/>
          <w:highlight w:val="none"/>
        </w:rPr>
        <w:t>34</w:t>
      </w:r>
      <w:r>
        <w:rPr>
          <w:rFonts w:eastAsia="仿宋_GB2312"/>
          <w:color w:val="auto"/>
          <w:szCs w:val="21"/>
          <w:highlight w:val="none"/>
        </w:rPr>
        <w:t xml:space="preserve"> 承包人</w:t>
      </w:r>
      <w:r>
        <w:rPr>
          <w:rFonts w:hint="eastAsia" w:eastAsia="仿宋_GB2312"/>
          <w:color w:val="auto"/>
          <w:szCs w:val="21"/>
          <w:highlight w:val="none"/>
        </w:rPr>
        <w:t>在竣工退场时应按13.6条约定结清相关退场费用，如承包人未在退场时结清相关费用，发包人有权在与承包人的结算费用中直接扣除。</w:t>
      </w:r>
    </w:p>
    <w:p w14:paraId="06CB9EE1">
      <w:pPr>
        <w:spacing w:after="120" w:line="360" w:lineRule="auto"/>
        <w:ind w:firstLine="600" w:firstLineChars="200"/>
        <w:jc w:val="left"/>
        <w:rPr>
          <w:rFonts w:eastAsia="仿宋_GB2312"/>
          <w:color w:val="auto"/>
          <w:sz w:val="30"/>
          <w:szCs w:val="32"/>
          <w:highlight w:val="none"/>
        </w:rPr>
      </w:pPr>
    </w:p>
    <w:p w14:paraId="4C9AC24E">
      <w:pPr>
        <w:keepNext w:val="0"/>
        <w:keepLines w:val="0"/>
        <w:pageBreakBefore w:val="0"/>
        <w:widowControl w:val="0"/>
        <w:kinsoku/>
        <w:wordWrap/>
        <w:overflowPunct/>
        <w:topLinePunct w:val="0"/>
        <w:autoSpaceDE/>
        <w:autoSpaceDN/>
        <w:bidi w:val="0"/>
        <w:adjustRightInd/>
        <w:snapToGrid/>
        <w:spacing w:after="120" w:line="360" w:lineRule="auto"/>
        <w:ind w:firstLine="0"/>
        <w:jc w:val="left"/>
        <w:textAlignment w:val="auto"/>
        <w:rPr>
          <w:rFonts w:eastAsia="黑体"/>
          <w:b/>
          <w:color w:val="auto"/>
          <w:sz w:val="32"/>
          <w:szCs w:val="32"/>
          <w:highlight w:val="none"/>
        </w:rPr>
      </w:pPr>
      <w:r>
        <w:rPr>
          <w:rFonts w:eastAsia="仿宋_GB2312"/>
          <w:color w:val="auto"/>
          <w:sz w:val="30"/>
          <w:szCs w:val="32"/>
          <w:highlight w:val="none"/>
        </w:rPr>
        <w:br w:type="page"/>
      </w:r>
      <w:r>
        <w:rPr>
          <w:rFonts w:eastAsia="黑体"/>
          <w:b/>
          <w:color w:val="auto"/>
          <w:sz w:val="32"/>
          <w:szCs w:val="32"/>
          <w:highlight w:val="none"/>
        </w:rPr>
        <w:t>附件</w:t>
      </w:r>
    </w:p>
    <w:p w14:paraId="681CF663">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hint="eastAsia" w:eastAsia="仿宋_GB2312"/>
          <w:color w:val="auto"/>
          <w:sz w:val="30"/>
          <w:szCs w:val="32"/>
          <w:highlight w:val="none"/>
        </w:rPr>
        <w:t>协议书附件：</w:t>
      </w:r>
    </w:p>
    <w:p w14:paraId="3A251BD1">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附件1：承包人承揽工程项目一览表</w:t>
      </w:r>
    </w:p>
    <w:p w14:paraId="3CA8F153">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附件2：发包人供应材料设备一览表</w:t>
      </w:r>
    </w:p>
    <w:p w14:paraId="383ED32C">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附件3：工程质量保修书</w:t>
      </w:r>
    </w:p>
    <w:p w14:paraId="5D38068A">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附件4：主要建设工程文件目录</w:t>
      </w:r>
    </w:p>
    <w:p w14:paraId="495FC7E1">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附件5：承包人用于本工程施工的机械设备表</w:t>
      </w:r>
    </w:p>
    <w:p w14:paraId="7A83E437">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附件6：承包人主要施工管理人员表</w:t>
      </w:r>
    </w:p>
    <w:p w14:paraId="30D71E3F">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附件7：分包人主要施工管理人员表</w:t>
      </w:r>
    </w:p>
    <w:p w14:paraId="47B031ED">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附件8：履约担保格式</w:t>
      </w:r>
    </w:p>
    <w:p w14:paraId="4D781F2C">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附件9：预付款担保格式</w:t>
      </w:r>
    </w:p>
    <w:p w14:paraId="1450BF2B">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附件10：支付担保格式</w:t>
      </w:r>
    </w:p>
    <w:p w14:paraId="78C28279">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eastAsia="仿宋_GB2312"/>
          <w:color w:val="auto"/>
          <w:sz w:val="30"/>
          <w:szCs w:val="32"/>
          <w:highlight w:val="none"/>
        </w:rPr>
        <w:t>附件11：</w:t>
      </w:r>
      <w:r>
        <w:rPr>
          <w:rFonts w:hint="eastAsia" w:eastAsia="仿宋_GB2312"/>
          <w:color w:val="auto"/>
          <w:sz w:val="30"/>
          <w:szCs w:val="32"/>
          <w:highlight w:val="none"/>
        </w:rPr>
        <w:t>暂估价</w:t>
      </w:r>
      <w:r>
        <w:rPr>
          <w:rFonts w:eastAsia="仿宋_GB2312"/>
          <w:color w:val="auto"/>
          <w:sz w:val="30"/>
          <w:szCs w:val="32"/>
          <w:highlight w:val="none"/>
        </w:rPr>
        <w:t>一览表</w:t>
      </w:r>
    </w:p>
    <w:p w14:paraId="59146274">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pPr>
      <w:r>
        <w:rPr>
          <w:rFonts w:hint="eastAsia" w:eastAsia="仿宋_GB2312"/>
          <w:color w:val="auto"/>
          <w:sz w:val="30"/>
          <w:szCs w:val="32"/>
          <w:highlight w:val="none"/>
        </w:rPr>
        <w:t>附件12：</w:t>
      </w:r>
      <w:r>
        <w:rPr>
          <w:rFonts w:hint="eastAsia" w:eastAsia="仿宋_GB2312"/>
          <w:color w:val="auto"/>
          <w:sz w:val="30"/>
          <w:szCs w:val="30"/>
          <w:highlight w:val="none"/>
        </w:rPr>
        <w:t>工程量清单</w:t>
      </w:r>
    </w:p>
    <w:p w14:paraId="7E11D7C6">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rPr>
          <w:rFonts w:eastAsia="仿宋_GB2312"/>
          <w:color w:val="auto"/>
          <w:sz w:val="30"/>
          <w:szCs w:val="32"/>
          <w:highlight w:val="none"/>
        </w:rPr>
        <w:sectPr>
          <w:pgSz w:w="11906" w:h="16838"/>
          <w:pgMar w:top="1418" w:right="1555" w:bottom="1418" w:left="1531" w:header="851" w:footer="992" w:gutter="0"/>
          <w:pgNumType w:start="1"/>
          <w:cols w:space="720" w:num="1"/>
          <w:titlePg/>
          <w:docGrid w:type="lines" w:linePitch="312" w:charSpace="0"/>
        </w:sectPr>
      </w:pPr>
    </w:p>
    <w:p w14:paraId="0D8FCCC1">
      <w:pPr>
        <w:spacing w:before="156" w:beforeLines="50" w:after="156" w:afterLines="50" w:line="440" w:lineRule="exact"/>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附件1：</w:t>
      </w:r>
    </w:p>
    <w:p w14:paraId="60AECB79">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承包人承揽工程项目一览表</w:t>
      </w:r>
    </w:p>
    <w:tbl>
      <w:tblPr>
        <w:tblStyle w:val="65"/>
        <w:tblW w:w="0" w:type="auto"/>
        <w:tblInd w:w="-60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2"/>
        <w:gridCol w:w="974"/>
        <w:gridCol w:w="1440"/>
        <w:gridCol w:w="840"/>
        <w:gridCol w:w="792"/>
        <w:gridCol w:w="804"/>
        <w:gridCol w:w="1260"/>
        <w:gridCol w:w="1308"/>
        <w:gridCol w:w="792"/>
        <w:gridCol w:w="768"/>
      </w:tblGrid>
      <w:tr w14:paraId="0C09E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92" w:type="dxa"/>
            <w:tcBorders>
              <w:top w:val="single" w:color="auto" w:sz="12" w:space="0"/>
              <w:bottom w:val="double" w:color="auto" w:sz="6" w:space="0"/>
            </w:tcBorders>
            <w:vAlign w:val="center"/>
          </w:tcPr>
          <w:p w14:paraId="2CC0C61D">
            <w:pPr>
              <w:pStyle w:val="25"/>
              <w:keepNext/>
              <w:spacing w:after="0" w:line="440" w:lineRule="exact"/>
              <w:ind w:left="63" w:right="63" w:firstLine="2249"/>
              <w:rPr>
                <w:rFonts w:eastAsia="仿宋_GB2312"/>
                <w:color w:val="auto"/>
                <w:szCs w:val="28"/>
                <w:highlight w:val="none"/>
              </w:rPr>
            </w:pPr>
            <w:r>
              <w:rPr>
                <w:rFonts w:eastAsia="仿宋_GB2312"/>
                <w:color w:val="auto"/>
                <w:szCs w:val="28"/>
                <w:highlight w:val="none"/>
              </w:rPr>
              <w:t>单位工程名称</w:t>
            </w:r>
          </w:p>
        </w:tc>
        <w:tc>
          <w:tcPr>
            <w:tcW w:w="974" w:type="dxa"/>
            <w:tcBorders>
              <w:top w:val="single" w:color="auto" w:sz="12" w:space="0"/>
              <w:bottom w:val="double" w:color="auto" w:sz="6" w:space="0"/>
            </w:tcBorders>
            <w:vAlign w:val="center"/>
          </w:tcPr>
          <w:p w14:paraId="7A7D0240">
            <w:pPr>
              <w:pStyle w:val="25"/>
              <w:keepNext/>
              <w:spacing w:after="0" w:line="440" w:lineRule="exact"/>
              <w:ind w:left="63" w:right="63" w:firstLine="2249"/>
              <w:rPr>
                <w:rFonts w:eastAsia="仿宋_GB2312"/>
                <w:color w:val="auto"/>
                <w:szCs w:val="28"/>
                <w:highlight w:val="none"/>
              </w:rPr>
            </w:pPr>
            <w:r>
              <w:rPr>
                <w:rFonts w:eastAsia="仿宋_GB2312"/>
                <w:color w:val="auto"/>
                <w:szCs w:val="28"/>
                <w:highlight w:val="none"/>
              </w:rPr>
              <w:t>建设规模</w:t>
            </w:r>
          </w:p>
        </w:tc>
        <w:tc>
          <w:tcPr>
            <w:tcW w:w="1440" w:type="dxa"/>
            <w:tcBorders>
              <w:top w:val="single" w:color="auto" w:sz="12" w:space="0"/>
              <w:bottom w:val="double" w:color="auto" w:sz="6" w:space="0"/>
            </w:tcBorders>
            <w:vAlign w:val="center"/>
          </w:tcPr>
          <w:p w14:paraId="28CC488A">
            <w:pPr>
              <w:pStyle w:val="25"/>
              <w:keepNext/>
              <w:spacing w:after="0" w:line="440" w:lineRule="exact"/>
              <w:ind w:left="63" w:right="63" w:firstLine="2249"/>
              <w:rPr>
                <w:rFonts w:eastAsia="仿宋_GB2312"/>
                <w:color w:val="auto"/>
                <w:szCs w:val="28"/>
                <w:highlight w:val="none"/>
              </w:rPr>
            </w:pPr>
            <w:r>
              <w:rPr>
                <w:rFonts w:eastAsia="仿宋_GB2312"/>
                <w:color w:val="auto"/>
                <w:szCs w:val="28"/>
                <w:highlight w:val="none"/>
              </w:rPr>
              <w:t>建筑面积(平方米)</w:t>
            </w:r>
          </w:p>
        </w:tc>
        <w:tc>
          <w:tcPr>
            <w:tcW w:w="840" w:type="dxa"/>
            <w:tcBorders>
              <w:top w:val="single" w:color="auto" w:sz="12" w:space="0"/>
              <w:bottom w:val="double" w:color="auto" w:sz="6" w:space="0"/>
            </w:tcBorders>
            <w:vAlign w:val="center"/>
          </w:tcPr>
          <w:p w14:paraId="40079034">
            <w:pPr>
              <w:pStyle w:val="25"/>
              <w:keepNext/>
              <w:spacing w:after="0" w:line="440" w:lineRule="exact"/>
              <w:ind w:left="63" w:right="63" w:firstLine="2249"/>
              <w:rPr>
                <w:rFonts w:eastAsia="仿宋_GB2312"/>
                <w:color w:val="auto"/>
                <w:szCs w:val="28"/>
                <w:highlight w:val="none"/>
              </w:rPr>
            </w:pPr>
            <w:r>
              <w:rPr>
                <w:rFonts w:eastAsia="仿宋_GB2312"/>
                <w:color w:val="auto"/>
                <w:szCs w:val="28"/>
                <w:highlight w:val="none"/>
              </w:rPr>
              <w:t>结构</w:t>
            </w:r>
            <w:r>
              <w:rPr>
                <w:rFonts w:hint="eastAsia" w:eastAsia="仿宋_GB2312"/>
                <w:color w:val="auto"/>
                <w:szCs w:val="28"/>
                <w:highlight w:val="none"/>
              </w:rPr>
              <w:t>形式</w:t>
            </w:r>
          </w:p>
        </w:tc>
        <w:tc>
          <w:tcPr>
            <w:tcW w:w="792" w:type="dxa"/>
            <w:tcBorders>
              <w:top w:val="single" w:color="auto" w:sz="12" w:space="0"/>
              <w:bottom w:val="double" w:color="auto" w:sz="6" w:space="0"/>
            </w:tcBorders>
            <w:vAlign w:val="center"/>
          </w:tcPr>
          <w:p w14:paraId="7D33EBF6">
            <w:pPr>
              <w:pStyle w:val="25"/>
              <w:keepNext/>
              <w:spacing w:after="0" w:line="440" w:lineRule="exact"/>
              <w:ind w:left="63" w:right="63" w:firstLine="2249"/>
              <w:rPr>
                <w:rFonts w:eastAsia="仿宋_GB2312"/>
                <w:color w:val="auto"/>
                <w:szCs w:val="28"/>
                <w:highlight w:val="none"/>
              </w:rPr>
            </w:pPr>
            <w:r>
              <w:rPr>
                <w:rFonts w:eastAsia="仿宋_GB2312"/>
                <w:color w:val="auto"/>
                <w:szCs w:val="28"/>
                <w:highlight w:val="none"/>
              </w:rPr>
              <w:t>层数</w:t>
            </w:r>
          </w:p>
        </w:tc>
        <w:tc>
          <w:tcPr>
            <w:tcW w:w="804" w:type="dxa"/>
            <w:tcBorders>
              <w:top w:val="single" w:color="auto" w:sz="12" w:space="0"/>
              <w:bottom w:val="double" w:color="auto" w:sz="6" w:space="0"/>
            </w:tcBorders>
            <w:vAlign w:val="center"/>
          </w:tcPr>
          <w:p w14:paraId="4BF02ABC">
            <w:pPr>
              <w:pStyle w:val="25"/>
              <w:keepNext/>
              <w:spacing w:after="0" w:line="440" w:lineRule="exact"/>
              <w:ind w:left="63" w:right="63" w:firstLine="2249"/>
              <w:rPr>
                <w:rFonts w:eastAsia="仿宋_GB2312"/>
                <w:color w:val="auto"/>
                <w:szCs w:val="28"/>
                <w:highlight w:val="none"/>
              </w:rPr>
            </w:pPr>
            <w:r>
              <w:rPr>
                <w:rFonts w:eastAsia="仿宋_GB2312"/>
                <w:color w:val="auto"/>
                <w:szCs w:val="28"/>
                <w:highlight w:val="none"/>
              </w:rPr>
              <w:t>生产能力</w:t>
            </w:r>
          </w:p>
        </w:tc>
        <w:tc>
          <w:tcPr>
            <w:tcW w:w="1260" w:type="dxa"/>
            <w:tcBorders>
              <w:top w:val="single" w:color="auto" w:sz="12" w:space="0"/>
              <w:bottom w:val="double" w:color="auto" w:sz="6" w:space="0"/>
            </w:tcBorders>
            <w:vAlign w:val="center"/>
          </w:tcPr>
          <w:p w14:paraId="57A45D90">
            <w:pPr>
              <w:pStyle w:val="25"/>
              <w:keepNext/>
              <w:spacing w:after="0" w:line="440" w:lineRule="exact"/>
              <w:ind w:left="63" w:right="63" w:firstLine="2249"/>
              <w:rPr>
                <w:rFonts w:eastAsia="仿宋_GB2312"/>
                <w:color w:val="auto"/>
                <w:szCs w:val="28"/>
                <w:highlight w:val="none"/>
              </w:rPr>
            </w:pPr>
            <w:r>
              <w:rPr>
                <w:rFonts w:eastAsia="仿宋_GB2312"/>
                <w:color w:val="auto"/>
                <w:szCs w:val="28"/>
                <w:highlight w:val="none"/>
              </w:rPr>
              <w:t>设备安装内容</w:t>
            </w:r>
          </w:p>
        </w:tc>
        <w:tc>
          <w:tcPr>
            <w:tcW w:w="1308" w:type="dxa"/>
            <w:tcBorders>
              <w:top w:val="single" w:color="auto" w:sz="12" w:space="0"/>
              <w:bottom w:val="double" w:color="auto" w:sz="6" w:space="0"/>
            </w:tcBorders>
            <w:vAlign w:val="center"/>
          </w:tcPr>
          <w:p w14:paraId="57A65366">
            <w:pPr>
              <w:pStyle w:val="25"/>
              <w:keepNext/>
              <w:spacing w:after="0" w:line="440" w:lineRule="exact"/>
              <w:ind w:left="63" w:right="63" w:firstLine="2249"/>
              <w:rPr>
                <w:rFonts w:eastAsia="仿宋_GB2312"/>
                <w:color w:val="auto"/>
                <w:szCs w:val="28"/>
                <w:highlight w:val="none"/>
              </w:rPr>
            </w:pPr>
            <w:r>
              <w:rPr>
                <w:rFonts w:eastAsia="仿宋_GB2312"/>
                <w:color w:val="auto"/>
                <w:szCs w:val="28"/>
                <w:highlight w:val="none"/>
              </w:rPr>
              <w:t>合同价格（元）</w:t>
            </w:r>
          </w:p>
        </w:tc>
        <w:tc>
          <w:tcPr>
            <w:tcW w:w="792" w:type="dxa"/>
            <w:tcBorders>
              <w:top w:val="single" w:color="auto" w:sz="12" w:space="0"/>
              <w:bottom w:val="double" w:color="auto" w:sz="6" w:space="0"/>
            </w:tcBorders>
            <w:vAlign w:val="center"/>
          </w:tcPr>
          <w:p w14:paraId="22DA5416">
            <w:pPr>
              <w:pStyle w:val="25"/>
              <w:keepNext/>
              <w:spacing w:after="0" w:line="440" w:lineRule="exact"/>
              <w:ind w:left="63" w:right="63" w:firstLine="2249"/>
              <w:rPr>
                <w:rFonts w:eastAsia="仿宋_GB2312"/>
                <w:color w:val="auto"/>
                <w:szCs w:val="28"/>
                <w:highlight w:val="none"/>
              </w:rPr>
            </w:pPr>
            <w:r>
              <w:rPr>
                <w:rFonts w:eastAsia="仿宋_GB2312"/>
                <w:color w:val="auto"/>
                <w:szCs w:val="28"/>
                <w:highlight w:val="none"/>
              </w:rPr>
              <w:t>开工日期</w:t>
            </w:r>
          </w:p>
        </w:tc>
        <w:tc>
          <w:tcPr>
            <w:tcW w:w="768" w:type="dxa"/>
            <w:tcBorders>
              <w:top w:val="single" w:color="auto" w:sz="12" w:space="0"/>
              <w:bottom w:val="double" w:color="auto" w:sz="6" w:space="0"/>
            </w:tcBorders>
            <w:vAlign w:val="center"/>
          </w:tcPr>
          <w:p w14:paraId="2CD89647">
            <w:pPr>
              <w:pStyle w:val="25"/>
              <w:keepNext/>
              <w:spacing w:after="0" w:line="440" w:lineRule="exact"/>
              <w:ind w:left="63" w:right="63" w:firstLine="2249"/>
              <w:rPr>
                <w:rFonts w:eastAsia="仿宋_GB2312"/>
                <w:color w:val="auto"/>
                <w:szCs w:val="28"/>
                <w:highlight w:val="none"/>
              </w:rPr>
            </w:pPr>
            <w:r>
              <w:rPr>
                <w:rFonts w:eastAsia="仿宋_GB2312"/>
                <w:color w:val="auto"/>
                <w:szCs w:val="28"/>
                <w:highlight w:val="none"/>
              </w:rPr>
              <w:t>竣工日期</w:t>
            </w:r>
          </w:p>
        </w:tc>
      </w:tr>
      <w:tr w14:paraId="0187D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double" w:color="auto" w:sz="6" w:space="0"/>
              <w:bottom w:val="single" w:color="auto" w:sz="6" w:space="0"/>
            </w:tcBorders>
            <w:vAlign w:val="center"/>
          </w:tcPr>
          <w:p w14:paraId="727530A5">
            <w:pPr>
              <w:pStyle w:val="25"/>
              <w:keepNext/>
              <w:spacing w:after="0" w:line="440" w:lineRule="exact"/>
              <w:ind w:left="63" w:right="63" w:firstLine="2409"/>
              <w:rPr>
                <w:rFonts w:eastAsia="仿宋_GB2312"/>
                <w:color w:val="auto"/>
                <w:sz w:val="30"/>
                <w:szCs w:val="30"/>
                <w:highlight w:val="none"/>
              </w:rPr>
            </w:pPr>
          </w:p>
        </w:tc>
        <w:tc>
          <w:tcPr>
            <w:tcW w:w="974" w:type="dxa"/>
            <w:tcBorders>
              <w:top w:val="double" w:color="auto" w:sz="6" w:space="0"/>
              <w:bottom w:val="single" w:color="auto" w:sz="6" w:space="0"/>
            </w:tcBorders>
            <w:vAlign w:val="center"/>
          </w:tcPr>
          <w:p w14:paraId="14D82FD7">
            <w:pPr>
              <w:pStyle w:val="25"/>
              <w:keepNext/>
              <w:spacing w:after="0" w:line="440" w:lineRule="exact"/>
              <w:ind w:left="63" w:right="63" w:firstLine="2409"/>
              <w:rPr>
                <w:rFonts w:eastAsia="仿宋_GB2312"/>
                <w:color w:val="auto"/>
                <w:sz w:val="30"/>
                <w:szCs w:val="30"/>
                <w:highlight w:val="none"/>
              </w:rPr>
            </w:pPr>
          </w:p>
        </w:tc>
        <w:tc>
          <w:tcPr>
            <w:tcW w:w="1440" w:type="dxa"/>
            <w:tcBorders>
              <w:top w:val="double" w:color="auto" w:sz="6" w:space="0"/>
              <w:bottom w:val="single" w:color="auto" w:sz="6" w:space="0"/>
            </w:tcBorders>
            <w:vAlign w:val="center"/>
          </w:tcPr>
          <w:p w14:paraId="44B0155C">
            <w:pPr>
              <w:pStyle w:val="25"/>
              <w:keepNext/>
              <w:spacing w:after="0" w:line="440" w:lineRule="exact"/>
              <w:ind w:left="63" w:right="63" w:firstLine="2409"/>
              <w:rPr>
                <w:rFonts w:eastAsia="仿宋_GB2312"/>
                <w:color w:val="auto"/>
                <w:sz w:val="30"/>
                <w:szCs w:val="30"/>
                <w:highlight w:val="none"/>
              </w:rPr>
            </w:pPr>
          </w:p>
        </w:tc>
        <w:tc>
          <w:tcPr>
            <w:tcW w:w="840" w:type="dxa"/>
            <w:tcBorders>
              <w:top w:val="double" w:color="auto" w:sz="6" w:space="0"/>
              <w:bottom w:val="single" w:color="auto" w:sz="6" w:space="0"/>
            </w:tcBorders>
            <w:vAlign w:val="center"/>
          </w:tcPr>
          <w:p w14:paraId="3230447D">
            <w:pPr>
              <w:pStyle w:val="25"/>
              <w:keepNext/>
              <w:spacing w:after="0" w:line="440" w:lineRule="exact"/>
              <w:ind w:left="63" w:right="63" w:firstLine="2409"/>
              <w:rPr>
                <w:rFonts w:eastAsia="仿宋_GB2312"/>
                <w:color w:val="auto"/>
                <w:sz w:val="30"/>
                <w:szCs w:val="30"/>
                <w:highlight w:val="none"/>
              </w:rPr>
            </w:pPr>
          </w:p>
        </w:tc>
        <w:tc>
          <w:tcPr>
            <w:tcW w:w="792" w:type="dxa"/>
            <w:tcBorders>
              <w:top w:val="double" w:color="auto" w:sz="6" w:space="0"/>
              <w:bottom w:val="single" w:color="auto" w:sz="6" w:space="0"/>
            </w:tcBorders>
            <w:vAlign w:val="center"/>
          </w:tcPr>
          <w:p w14:paraId="00C02FA1">
            <w:pPr>
              <w:pStyle w:val="25"/>
              <w:keepNext/>
              <w:spacing w:after="0" w:line="440" w:lineRule="exact"/>
              <w:ind w:left="63" w:right="63" w:firstLine="2409"/>
              <w:rPr>
                <w:rFonts w:eastAsia="仿宋_GB2312"/>
                <w:color w:val="auto"/>
                <w:sz w:val="30"/>
                <w:szCs w:val="30"/>
                <w:highlight w:val="none"/>
              </w:rPr>
            </w:pPr>
          </w:p>
        </w:tc>
        <w:tc>
          <w:tcPr>
            <w:tcW w:w="804" w:type="dxa"/>
            <w:tcBorders>
              <w:top w:val="double" w:color="auto" w:sz="6" w:space="0"/>
              <w:bottom w:val="single" w:color="auto" w:sz="6" w:space="0"/>
            </w:tcBorders>
            <w:vAlign w:val="center"/>
          </w:tcPr>
          <w:p w14:paraId="67EFDA26">
            <w:pPr>
              <w:pStyle w:val="25"/>
              <w:keepNext/>
              <w:spacing w:after="0" w:line="440" w:lineRule="exact"/>
              <w:ind w:left="63" w:right="63" w:firstLine="2409"/>
              <w:rPr>
                <w:rFonts w:eastAsia="仿宋_GB2312"/>
                <w:color w:val="auto"/>
                <w:sz w:val="30"/>
                <w:szCs w:val="30"/>
                <w:highlight w:val="none"/>
              </w:rPr>
            </w:pPr>
          </w:p>
        </w:tc>
        <w:tc>
          <w:tcPr>
            <w:tcW w:w="1260" w:type="dxa"/>
            <w:tcBorders>
              <w:top w:val="double" w:color="auto" w:sz="6" w:space="0"/>
              <w:bottom w:val="single" w:color="auto" w:sz="6" w:space="0"/>
            </w:tcBorders>
            <w:vAlign w:val="center"/>
          </w:tcPr>
          <w:p w14:paraId="7790D984">
            <w:pPr>
              <w:pStyle w:val="25"/>
              <w:keepNext/>
              <w:spacing w:after="0" w:line="440" w:lineRule="exact"/>
              <w:ind w:left="63" w:right="63" w:firstLine="2409"/>
              <w:rPr>
                <w:rFonts w:eastAsia="仿宋_GB2312"/>
                <w:color w:val="auto"/>
                <w:sz w:val="30"/>
                <w:szCs w:val="30"/>
                <w:highlight w:val="none"/>
              </w:rPr>
            </w:pPr>
          </w:p>
        </w:tc>
        <w:tc>
          <w:tcPr>
            <w:tcW w:w="1308" w:type="dxa"/>
            <w:tcBorders>
              <w:top w:val="double" w:color="auto" w:sz="6" w:space="0"/>
              <w:bottom w:val="single" w:color="auto" w:sz="6" w:space="0"/>
            </w:tcBorders>
            <w:vAlign w:val="center"/>
          </w:tcPr>
          <w:p w14:paraId="0AF58FF9">
            <w:pPr>
              <w:pStyle w:val="25"/>
              <w:keepNext/>
              <w:spacing w:after="0" w:line="440" w:lineRule="exact"/>
              <w:ind w:left="63" w:right="63" w:firstLine="2409"/>
              <w:rPr>
                <w:rFonts w:eastAsia="仿宋_GB2312"/>
                <w:color w:val="auto"/>
                <w:sz w:val="30"/>
                <w:szCs w:val="30"/>
                <w:highlight w:val="none"/>
              </w:rPr>
            </w:pPr>
          </w:p>
        </w:tc>
        <w:tc>
          <w:tcPr>
            <w:tcW w:w="792" w:type="dxa"/>
            <w:tcBorders>
              <w:top w:val="double" w:color="auto" w:sz="6" w:space="0"/>
              <w:bottom w:val="single" w:color="auto" w:sz="6" w:space="0"/>
            </w:tcBorders>
            <w:vAlign w:val="center"/>
          </w:tcPr>
          <w:p w14:paraId="09A0F00B">
            <w:pPr>
              <w:pStyle w:val="25"/>
              <w:keepNext/>
              <w:spacing w:after="0" w:line="440" w:lineRule="exact"/>
              <w:ind w:left="63" w:right="63" w:firstLine="2409"/>
              <w:rPr>
                <w:rFonts w:eastAsia="仿宋_GB2312"/>
                <w:color w:val="auto"/>
                <w:sz w:val="30"/>
                <w:szCs w:val="30"/>
                <w:highlight w:val="none"/>
              </w:rPr>
            </w:pPr>
          </w:p>
        </w:tc>
        <w:tc>
          <w:tcPr>
            <w:tcW w:w="768" w:type="dxa"/>
            <w:tcBorders>
              <w:top w:val="double" w:color="auto" w:sz="6" w:space="0"/>
              <w:bottom w:val="single" w:color="auto" w:sz="6" w:space="0"/>
            </w:tcBorders>
            <w:vAlign w:val="center"/>
          </w:tcPr>
          <w:p w14:paraId="7E258C64">
            <w:pPr>
              <w:pStyle w:val="25"/>
              <w:keepNext/>
              <w:spacing w:after="0" w:line="440" w:lineRule="exact"/>
              <w:ind w:left="63" w:right="63" w:firstLine="2409"/>
              <w:rPr>
                <w:rFonts w:eastAsia="仿宋_GB2312"/>
                <w:color w:val="auto"/>
                <w:sz w:val="30"/>
                <w:szCs w:val="30"/>
                <w:highlight w:val="none"/>
              </w:rPr>
            </w:pPr>
          </w:p>
        </w:tc>
      </w:tr>
      <w:tr w14:paraId="05943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52CCF3B0">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1BAD8ABF">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6BB07E3A">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6CE763CA">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03EC2BCE">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16593536">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775B1502">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7C41D6FF">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04E1FCC9">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6CAB6024">
            <w:pPr>
              <w:pStyle w:val="25"/>
              <w:keepNext/>
              <w:spacing w:after="0" w:line="440" w:lineRule="exact"/>
              <w:ind w:left="63" w:right="63" w:firstLine="2409"/>
              <w:rPr>
                <w:rFonts w:eastAsia="仿宋_GB2312"/>
                <w:color w:val="auto"/>
                <w:sz w:val="30"/>
                <w:szCs w:val="30"/>
                <w:highlight w:val="none"/>
              </w:rPr>
            </w:pPr>
          </w:p>
        </w:tc>
      </w:tr>
      <w:tr w14:paraId="6DC65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vAlign w:val="center"/>
          </w:tcPr>
          <w:p w14:paraId="22F39B2F">
            <w:pPr>
              <w:pStyle w:val="25"/>
              <w:keepNext/>
              <w:spacing w:after="0" w:line="440" w:lineRule="exact"/>
              <w:ind w:left="63" w:right="63" w:firstLine="2409"/>
              <w:rPr>
                <w:rFonts w:eastAsia="仿宋_GB2312"/>
                <w:color w:val="auto"/>
                <w:sz w:val="30"/>
                <w:szCs w:val="30"/>
                <w:highlight w:val="none"/>
              </w:rPr>
            </w:pPr>
          </w:p>
        </w:tc>
        <w:tc>
          <w:tcPr>
            <w:tcW w:w="974" w:type="dxa"/>
            <w:vAlign w:val="center"/>
          </w:tcPr>
          <w:p w14:paraId="7695308A">
            <w:pPr>
              <w:pStyle w:val="25"/>
              <w:keepNext/>
              <w:spacing w:after="0" w:line="440" w:lineRule="exact"/>
              <w:ind w:left="63" w:right="63" w:firstLine="2409"/>
              <w:rPr>
                <w:rFonts w:eastAsia="仿宋_GB2312"/>
                <w:color w:val="auto"/>
                <w:sz w:val="30"/>
                <w:szCs w:val="30"/>
                <w:highlight w:val="none"/>
              </w:rPr>
            </w:pPr>
          </w:p>
        </w:tc>
        <w:tc>
          <w:tcPr>
            <w:tcW w:w="1440" w:type="dxa"/>
            <w:vAlign w:val="center"/>
          </w:tcPr>
          <w:p w14:paraId="54740F80">
            <w:pPr>
              <w:pStyle w:val="25"/>
              <w:keepNext/>
              <w:spacing w:after="0" w:line="440" w:lineRule="exact"/>
              <w:ind w:left="63" w:right="63" w:firstLine="2409"/>
              <w:rPr>
                <w:rFonts w:eastAsia="仿宋_GB2312"/>
                <w:color w:val="auto"/>
                <w:sz w:val="30"/>
                <w:szCs w:val="30"/>
                <w:highlight w:val="none"/>
              </w:rPr>
            </w:pPr>
          </w:p>
        </w:tc>
        <w:tc>
          <w:tcPr>
            <w:tcW w:w="840" w:type="dxa"/>
            <w:vAlign w:val="center"/>
          </w:tcPr>
          <w:p w14:paraId="03837499">
            <w:pPr>
              <w:pStyle w:val="25"/>
              <w:keepNext/>
              <w:spacing w:after="0" w:line="440" w:lineRule="exact"/>
              <w:ind w:left="63" w:right="63" w:firstLine="2409"/>
              <w:rPr>
                <w:rFonts w:eastAsia="仿宋_GB2312"/>
                <w:color w:val="auto"/>
                <w:sz w:val="30"/>
                <w:szCs w:val="30"/>
                <w:highlight w:val="none"/>
              </w:rPr>
            </w:pPr>
          </w:p>
        </w:tc>
        <w:tc>
          <w:tcPr>
            <w:tcW w:w="792" w:type="dxa"/>
            <w:vAlign w:val="center"/>
          </w:tcPr>
          <w:p w14:paraId="651CD5EA">
            <w:pPr>
              <w:pStyle w:val="25"/>
              <w:keepNext/>
              <w:spacing w:after="0" w:line="440" w:lineRule="exact"/>
              <w:ind w:left="63" w:right="63" w:firstLine="2409"/>
              <w:rPr>
                <w:rFonts w:eastAsia="仿宋_GB2312"/>
                <w:color w:val="auto"/>
                <w:sz w:val="30"/>
                <w:szCs w:val="30"/>
                <w:highlight w:val="none"/>
              </w:rPr>
            </w:pPr>
          </w:p>
        </w:tc>
        <w:tc>
          <w:tcPr>
            <w:tcW w:w="804" w:type="dxa"/>
            <w:vAlign w:val="center"/>
          </w:tcPr>
          <w:p w14:paraId="1E476506">
            <w:pPr>
              <w:pStyle w:val="25"/>
              <w:keepNext/>
              <w:spacing w:after="0" w:line="440" w:lineRule="exact"/>
              <w:ind w:left="63" w:right="63" w:firstLine="2409"/>
              <w:rPr>
                <w:rFonts w:eastAsia="仿宋_GB2312"/>
                <w:color w:val="auto"/>
                <w:sz w:val="30"/>
                <w:szCs w:val="30"/>
                <w:highlight w:val="none"/>
              </w:rPr>
            </w:pPr>
          </w:p>
        </w:tc>
        <w:tc>
          <w:tcPr>
            <w:tcW w:w="1260" w:type="dxa"/>
            <w:vAlign w:val="center"/>
          </w:tcPr>
          <w:p w14:paraId="33FB6A0D">
            <w:pPr>
              <w:pStyle w:val="25"/>
              <w:keepNext/>
              <w:spacing w:after="0" w:line="440" w:lineRule="exact"/>
              <w:ind w:left="63" w:right="63" w:firstLine="2409"/>
              <w:rPr>
                <w:rFonts w:eastAsia="仿宋_GB2312"/>
                <w:color w:val="auto"/>
                <w:sz w:val="30"/>
                <w:szCs w:val="30"/>
                <w:highlight w:val="none"/>
              </w:rPr>
            </w:pPr>
          </w:p>
        </w:tc>
        <w:tc>
          <w:tcPr>
            <w:tcW w:w="1308" w:type="dxa"/>
            <w:vAlign w:val="center"/>
          </w:tcPr>
          <w:p w14:paraId="4F204A84">
            <w:pPr>
              <w:pStyle w:val="25"/>
              <w:keepNext/>
              <w:spacing w:after="0" w:line="440" w:lineRule="exact"/>
              <w:ind w:left="63" w:right="63" w:firstLine="2409"/>
              <w:rPr>
                <w:rFonts w:eastAsia="仿宋_GB2312"/>
                <w:color w:val="auto"/>
                <w:sz w:val="30"/>
                <w:szCs w:val="30"/>
                <w:highlight w:val="none"/>
              </w:rPr>
            </w:pPr>
          </w:p>
        </w:tc>
        <w:tc>
          <w:tcPr>
            <w:tcW w:w="792" w:type="dxa"/>
            <w:vAlign w:val="center"/>
          </w:tcPr>
          <w:p w14:paraId="24D782F8">
            <w:pPr>
              <w:pStyle w:val="25"/>
              <w:keepNext/>
              <w:spacing w:after="0" w:line="440" w:lineRule="exact"/>
              <w:ind w:left="63" w:right="63" w:firstLine="2409"/>
              <w:rPr>
                <w:rFonts w:eastAsia="仿宋_GB2312"/>
                <w:color w:val="auto"/>
                <w:sz w:val="30"/>
                <w:szCs w:val="30"/>
                <w:highlight w:val="none"/>
              </w:rPr>
            </w:pPr>
          </w:p>
        </w:tc>
        <w:tc>
          <w:tcPr>
            <w:tcW w:w="768" w:type="dxa"/>
            <w:vAlign w:val="center"/>
          </w:tcPr>
          <w:p w14:paraId="7AC835D6">
            <w:pPr>
              <w:pStyle w:val="25"/>
              <w:keepNext/>
              <w:spacing w:after="0" w:line="440" w:lineRule="exact"/>
              <w:ind w:left="63" w:right="63" w:firstLine="2409"/>
              <w:rPr>
                <w:rFonts w:eastAsia="仿宋_GB2312"/>
                <w:color w:val="auto"/>
                <w:sz w:val="30"/>
                <w:szCs w:val="30"/>
                <w:highlight w:val="none"/>
              </w:rPr>
            </w:pPr>
          </w:p>
        </w:tc>
      </w:tr>
      <w:tr w14:paraId="624D6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6D62F47B">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084A1330">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1CCEDFB2">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47687F8A">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0EF19CBD">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6616BCB3">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11520828">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130F93F1">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57AB3ADF">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5EFE714D">
            <w:pPr>
              <w:pStyle w:val="25"/>
              <w:keepNext/>
              <w:spacing w:after="0" w:line="440" w:lineRule="exact"/>
              <w:ind w:left="63" w:right="63" w:firstLine="2409"/>
              <w:rPr>
                <w:rFonts w:eastAsia="仿宋_GB2312"/>
                <w:color w:val="auto"/>
                <w:sz w:val="30"/>
                <w:szCs w:val="30"/>
                <w:highlight w:val="none"/>
              </w:rPr>
            </w:pPr>
          </w:p>
        </w:tc>
      </w:tr>
      <w:tr w14:paraId="725C9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vAlign w:val="center"/>
          </w:tcPr>
          <w:p w14:paraId="4F63B371">
            <w:pPr>
              <w:pStyle w:val="25"/>
              <w:keepNext/>
              <w:spacing w:after="0" w:line="440" w:lineRule="exact"/>
              <w:ind w:left="63" w:right="63" w:firstLine="2409"/>
              <w:rPr>
                <w:rFonts w:eastAsia="仿宋_GB2312"/>
                <w:color w:val="auto"/>
                <w:sz w:val="30"/>
                <w:szCs w:val="30"/>
                <w:highlight w:val="none"/>
              </w:rPr>
            </w:pPr>
          </w:p>
        </w:tc>
        <w:tc>
          <w:tcPr>
            <w:tcW w:w="974" w:type="dxa"/>
            <w:vAlign w:val="center"/>
          </w:tcPr>
          <w:p w14:paraId="3EE7D56F">
            <w:pPr>
              <w:pStyle w:val="25"/>
              <w:keepNext/>
              <w:spacing w:after="0" w:line="440" w:lineRule="exact"/>
              <w:ind w:left="63" w:right="63" w:firstLine="2409"/>
              <w:rPr>
                <w:rFonts w:eastAsia="仿宋_GB2312"/>
                <w:color w:val="auto"/>
                <w:sz w:val="30"/>
                <w:szCs w:val="30"/>
                <w:highlight w:val="none"/>
              </w:rPr>
            </w:pPr>
          </w:p>
        </w:tc>
        <w:tc>
          <w:tcPr>
            <w:tcW w:w="1440" w:type="dxa"/>
            <w:vAlign w:val="center"/>
          </w:tcPr>
          <w:p w14:paraId="5EF3E5EE">
            <w:pPr>
              <w:pStyle w:val="25"/>
              <w:keepNext/>
              <w:spacing w:after="0" w:line="440" w:lineRule="exact"/>
              <w:ind w:left="63" w:right="63" w:firstLine="2409"/>
              <w:rPr>
                <w:rFonts w:eastAsia="仿宋_GB2312"/>
                <w:color w:val="auto"/>
                <w:sz w:val="30"/>
                <w:szCs w:val="30"/>
                <w:highlight w:val="none"/>
              </w:rPr>
            </w:pPr>
          </w:p>
        </w:tc>
        <w:tc>
          <w:tcPr>
            <w:tcW w:w="840" w:type="dxa"/>
            <w:vAlign w:val="center"/>
          </w:tcPr>
          <w:p w14:paraId="4DC8B6CC">
            <w:pPr>
              <w:pStyle w:val="25"/>
              <w:keepNext/>
              <w:spacing w:after="0" w:line="440" w:lineRule="exact"/>
              <w:ind w:left="63" w:right="63" w:firstLine="2409"/>
              <w:rPr>
                <w:rFonts w:eastAsia="仿宋_GB2312"/>
                <w:color w:val="auto"/>
                <w:sz w:val="30"/>
                <w:szCs w:val="30"/>
                <w:highlight w:val="none"/>
              </w:rPr>
            </w:pPr>
          </w:p>
        </w:tc>
        <w:tc>
          <w:tcPr>
            <w:tcW w:w="792" w:type="dxa"/>
            <w:vAlign w:val="center"/>
          </w:tcPr>
          <w:p w14:paraId="28199A0F">
            <w:pPr>
              <w:pStyle w:val="25"/>
              <w:keepNext/>
              <w:spacing w:after="0" w:line="440" w:lineRule="exact"/>
              <w:ind w:left="63" w:right="63" w:firstLine="2409"/>
              <w:rPr>
                <w:rFonts w:eastAsia="仿宋_GB2312"/>
                <w:color w:val="auto"/>
                <w:sz w:val="30"/>
                <w:szCs w:val="30"/>
                <w:highlight w:val="none"/>
              </w:rPr>
            </w:pPr>
          </w:p>
        </w:tc>
        <w:tc>
          <w:tcPr>
            <w:tcW w:w="804" w:type="dxa"/>
            <w:vAlign w:val="center"/>
          </w:tcPr>
          <w:p w14:paraId="79380524">
            <w:pPr>
              <w:pStyle w:val="25"/>
              <w:keepNext/>
              <w:spacing w:after="0" w:line="440" w:lineRule="exact"/>
              <w:ind w:left="63" w:right="63" w:firstLine="2409"/>
              <w:rPr>
                <w:rFonts w:eastAsia="仿宋_GB2312"/>
                <w:color w:val="auto"/>
                <w:sz w:val="30"/>
                <w:szCs w:val="30"/>
                <w:highlight w:val="none"/>
              </w:rPr>
            </w:pPr>
          </w:p>
        </w:tc>
        <w:tc>
          <w:tcPr>
            <w:tcW w:w="1260" w:type="dxa"/>
            <w:vAlign w:val="center"/>
          </w:tcPr>
          <w:p w14:paraId="752A3228">
            <w:pPr>
              <w:pStyle w:val="25"/>
              <w:keepNext/>
              <w:spacing w:after="0" w:line="440" w:lineRule="exact"/>
              <w:ind w:left="63" w:right="63" w:firstLine="2409"/>
              <w:rPr>
                <w:rFonts w:eastAsia="仿宋_GB2312"/>
                <w:color w:val="auto"/>
                <w:sz w:val="30"/>
                <w:szCs w:val="30"/>
                <w:highlight w:val="none"/>
              </w:rPr>
            </w:pPr>
          </w:p>
        </w:tc>
        <w:tc>
          <w:tcPr>
            <w:tcW w:w="1308" w:type="dxa"/>
            <w:vAlign w:val="center"/>
          </w:tcPr>
          <w:p w14:paraId="6ED320F0">
            <w:pPr>
              <w:pStyle w:val="25"/>
              <w:keepNext/>
              <w:spacing w:after="0" w:line="440" w:lineRule="exact"/>
              <w:ind w:left="63" w:right="63" w:firstLine="2409"/>
              <w:rPr>
                <w:rFonts w:eastAsia="仿宋_GB2312"/>
                <w:color w:val="auto"/>
                <w:sz w:val="30"/>
                <w:szCs w:val="30"/>
                <w:highlight w:val="none"/>
              </w:rPr>
            </w:pPr>
          </w:p>
        </w:tc>
        <w:tc>
          <w:tcPr>
            <w:tcW w:w="792" w:type="dxa"/>
            <w:vAlign w:val="center"/>
          </w:tcPr>
          <w:p w14:paraId="34A3937F">
            <w:pPr>
              <w:pStyle w:val="25"/>
              <w:keepNext/>
              <w:spacing w:after="0" w:line="440" w:lineRule="exact"/>
              <w:ind w:left="63" w:right="63" w:firstLine="2409"/>
              <w:rPr>
                <w:rFonts w:eastAsia="仿宋_GB2312"/>
                <w:color w:val="auto"/>
                <w:sz w:val="30"/>
                <w:szCs w:val="30"/>
                <w:highlight w:val="none"/>
              </w:rPr>
            </w:pPr>
          </w:p>
        </w:tc>
        <w:tc>
          <w:tcPr>
            <w:tcW w:w="768" w:type="dxa"/>
            <w:vAlign w:val="center"/>
          </w:tcPr>
          <w:p w14:paraId="025E2FCE">
            <w:pPr>
              <w:pStyle w:val="25"/>
              <w:keepNext/>
              <w:spacing w:after="0" w:line="440" w:lineRule="exact"/>
              <w:ind w:left="63" w:right="63" w:firstLine="2409"/>
              <w:rPr>
                <w:rFonts w:eastAsia="仿宋_GB2312"/>
                <w:color w:val="auto"/>
                <w:sz w:val="30"/>
                <w:szCs w:val="30"/>
                <w:highlight w:val="none"/>
              </w:rPr>
            </w:pPr>
          </w:p>
        </w:tc>
      </w:tr>
      <w:tr w14:paraId="051B5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65D76FE7">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14ECCB5C">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5B42451D">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18624852">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0D7D4304">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1980A009">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768839DB">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6320766D">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6F6C14C7">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206606B0">
            <w:pPr>
              <w:pStyle w:val="25"/>
              <w:keepNext/>
              <w:spacing w:after="0" w:line="440" w:lineRule="exact"/>
              <w:ind w:left="63" w:right="63" w:firstLine="2409"/>
              <w:rPr>
                <w:rFonts w:eastAsia="仿宋_GB2312"/>
                <w:color w:val="auto"/>
                <w:sz w:val="30"/>
                <w:szCs w:val="30"/>
                <w:highlight w:val="none"/>
              </w:rPr>
            </w:pPr>
          </w:p>
        </w:tc>
      </w:tr>
      <w:tr w14:paraId="32671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044FB2AA">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0085C94D">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27884286">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316CE752">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39F3158F">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3D8EEC33">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2F082936">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6721B76F">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13870DB8">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3F261101">
            <w:pPr>
              <w:pStyle w:val="25"/>
              <w:keepNext/>
              <w:spacing w:after="0" w:line="440" w:lineRule="exact"/>
              <w:ind w:left="63" w:right="63" w:firstLine="2409"/>
              <w:rPr>
                <w:rFonts w:eastAsia="仿宋_GB2312"/>
                <w:color w:val="auto"/>
                <w:sz w:val="30"/>
                <w:szCs w:val="30"/>
                <w:highlight w:val="none"/>
              </w:rPr>
            </w:pPr>
          </w:p>
        </w:tc>
      </w:tr>
      <w:tr w14:paraId="6EE27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vAlign w:val="center"/>
          </w:tcPr>
          <w:p w14:paraId="39412C74">
            <w:pPr>
              <w:pStyle w:val="25"/>
              <w:keepNext/>
              <w:spacing w:after="0" w:line="440" w:lineRule="exact"/>
              <w:ind w:left="63" w:right="63" w:firstLine="2409"/>
              <w:rPr>
                <w:rFonts w:eastAsia="仿宋_GB2312"/>
                <w:color w:val="auto"/>
                <w:sz w:val="30"/>
                <w:szCs w:val="30"/>
                <w:highlight w:val="none"/>
              </w:rPr>
            </w:pPr>
          </w:p>
        </w:tc>
        <w:tc>
          <w:tcPr>
            <w:tcW w:w="974" w:type="dxa"/>
            <w:vAlign w:val="center"/>
          </w:tcPr>
          <w:p w14:paraId="1453380F">
            <w:pPr>
              <w:pStyle w:val="25"/>
              <w:keepNext/>
              <w:spacing w:after="0" w:line="440" w:lineRule="exact"/>
              <w:ind w:left="63" w:right="63" w:firstLine="2409"/>
              <w:rPr>
                <w:rFonts w:eastAsia="仿宋_GB2312"/>
                <w:color w:val="auto"/>
                <w:sz w:val="30"/>
                <w:szCs w:val="30"/>
                <w:highlight w:val="none"/>
              </w:rPr>
            </w:pPr>
          </w:p>
        </w:tc>
        <w:tc>
          <w:tcPr>
            <w:tcW w:w="1440" w:type="dxa"/>
            <w:vAlign w:val="center"/>
          </w:tcPr>
          <w:p w14:paraId="579A49BA">
            <w:pPr>
              <w:pStyle w:val="25"/>
              <w:keepNext/>
              <w:spacing w:after="0" w:line="440" w:lineRule="exact"/>
              <w:ind w:left="63" w:right="63" w:firstLine="2409"/>
              <w:rPr>
                <w:rFonts w:eastAsia="仿宋_GB2312"/>
                <w:color w:val="auto"/>
                <w:sz w:val="30"/>
                <w:szCs w:val="30"/>
                <w:highlight w:val="none"/>
              </w:rPr>
            </w:pPr>
          </w:p>
        </w:tc>
        <w:tc>
          <w:tcPr>
            <w:tcW w:w="840" w:type="dxa"/>
            <w:vAlign w:val="center"/>
          </w:tcPr>
          <w:p w14:paraId="550B39D6">
            <w:pPr>
              <w:pStyle w:val="25"/>
              <w:keepNext/>
              <w:spacing w:after="0" w:line="440" w:lineRule="exact"/>
              <w:ind w:left="63" w:right="63" w:firstLine="2409"/>
              <w:rPr>
                <w:rFonts w:eastAsia="仿宋_GB2312"/>
                <w:color w:val="auto"/>
                <w:sz w:val="30"/>
                <w:szCs w:val="30"/>
                <w:highlight w:val="none"/>
              </w:rPr>
            </w:pPr>
          </w:p>
        </w:tc>
        <w:tc>
          <w:tcPr>
            <w:tcW w:w="792" w:type="dxa"/>
            <w:vAlign w:val="center"/>
          </w:tcPr>
          <w:p w14:paraId="2AB6BBB5">
            <w:pPr>
              <w:pStyle w:val="25"/>
              <w:keepNext/>
              <w:spacing w:after="0" w:line="440" w:lineRule="exact"/>
              <w:ind w:left="63" w:right="63" w:firstLine="2409"/>
              <w:rPr>
                <w:rFonts w:eastAsia="仿宋_GB2312"/>
                <w:color w:val="auto"/>
                <w:sz w:val="30"/>
                <w:szCs w:val="30"/>
                <w:highlight w:val="none"/>
              </w:rPr>
            </w:pPr>
          </w:p>
        </w:tc>
        <w:tc>
          <w:tcPr>
            <w:tcW w:w="804" w:type="dxa"/>
            <w:vAlign w:val="center"/>
          </w:tcPr>
          <w:p w14:paraId="3F4BD6FC">
            <w:pPr>
              <w:pStyle w:val="25"/>
              <w:keepNext/>
              <w:spacing w:after="0" w:line="440" w:lineRule="exact"/>
              <w:ind w:left="63" w:right="63" w:firstLine="2409"/>
              <w:rPr>
                <w:rFonts w:eastAsia="仿宋_GB2312"/>
                <w:color w:val="auto"/>
                <w:sz w:val="30"/>
                <w:szCs w:val="30"/>
                <w:highlight w:val="none"/>
              </w:rPr>
            </w:pPr>
          </w:p>
        </w:tc>
        <w:tc>
          <w:tcPr>
            <w:tcW w:w="1260" w:type="dxa"/>
            <w:vAlign w:val="center"/>
          </w:tcPr>
          <w:p w14:paraId="5B835F48">
            <w:pPr>
              <w:pStyle w:val="25"/>
              <w:keepNext/>
              <w:spacing w:after="0" w:line="440" w:lineRule="exact"/>
              <w:ind w:left="63" w:right="63" w:firstLine="2409"/>
              <w:rPr>
                <w:rFonts w:eastAsia="仿宋_GB2312"/>
                <w:color w:val="auto"/>
                <w:sz w:val="30"/>
                <w:szCs w:val="30"/>
                <w:highlight w:val="none"/>
              </w:rPr>
            </w:pPr>
          </w:p>
        </w:tc>
        <w:tc>
          <w:tcPr>
            <w:tcW w:w="1308" w:type="dxa"/>
            <w:vAlign w:val="center"/>
          </w:tcPr>
          <w:p w14:paraId="59EB2FE9">
            <w:pPr>
              <w:pStyle w:val="25"/>
              <w:keepNext/>
              <w:spacing w:after="0" w:line="440" w:lineRule="exact"/>
              <w:ind w:left="63" w:right="63" w:firstLine="2409"/>
              <w:rPr>
                <w:rFonts w:eastAsia="仿宋_GB2312"/>
                <w:color w:val="auto"/>
                <w:sz w:val="30"/>
                <w:szCs w:val="30"/>
                <w:highlight w:val="none"/>
              </w:rPr>
            </w:pPr>
          </w:p>
        </w:tc>
        <w:tc>
          <w:tcPr>
            <w:tcW w:w="792" w:type="dxa"/>
            <w:vAlign w:val="center"/>
          </w:tcPr>
          <w:p w14:paraId="2E99E6EC">
            <w:pPr>
              <w:pStyle w:val="25"/>
              <w:keepNext/>
              <w:spacing w:after="0" w:line="440" w:lineRule="exact"/>
              <w:ind w:left="63" w:right="63" w:firstLine="2409"/>
              <w:rPr>
                <w:rFonts w:eastAsia="仿宋_GB2312"/>
                <w:color w:val="auto"/>
                <w:sz w:val="30"/>
                <w:szCs w:val="30"/>
                <w:highlight w:val="none"/>
              </w:rPr>
            </w:pPr>
          </w:p>
        </w:tc>
        <w:tc>
          <w:tcPr>
            <w:tcW w:w="768" w:type="dxa"/>
            <w:vAlign w:val="center"/>
          </w:tcPr>
          <w:p w14:paraId="613CA713">
            <w:pPr>
              <w:pStyle w:val="25"/>
              <w:keepNext/>
              <w:spacing w:after="0" w:line="440" w:lineRule="exact"/>
              <w:ind w:left="63" w:right="63" w:firstLine="2409"/>
              <w:rPr>
                <w:rFonts w:eastAsia="仿宋_GB2312"/>
                <w:color w:val="auto"/>
                <w:sz w:val="30"/>
                <w:szCs w:val="30"/>
                <w:highlight w:val="none"/>
              </w:rPr>
            </w:pPr>
          </w:p>
        </w:tc>
      </w:tr>
      <w:tr w14:paraId="77BD5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0223DACC">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348D6D19">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309F1946">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62995DF5">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30B65D71">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5F2B7EEE">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22B16A39">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0B44C68E">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6881F1C0">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5C244D7B">
            <w:pPr>
              <w:pStyle w:val="25"/>
              <w:keepNext/>
              <w:spacing w:after="0" w:line="440" w:lineRule="exact"/>
              <w:ind w:left="63" w:right="63" w:firstLine="2409"/>
              <w:rPr>
                <w:rFonts w:eastAsia="仿宋_GB2312"/>
                <w:color w:val="auto"/>
                <w:sz w:val="30"/>
                <w:szCs w:val="30"/>
                <w:highlight w:val="none"/>
              </w:rPr>
            </w:pPr>
          </w:p>
        </w:tc>
      </w:tr>
      <w:tr w14:paraId="58BB8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358FA06F">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620A9B90">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4BFEC9F7">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0896DCBB">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1E9E96CD">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450BF809">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773748A2">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1EEA671D">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21828B8B">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28301C54">
            <w:pPr>
              <w:pStyle w:val="25"/>
              <w:keepNext/>
              <w:spacing w:after="0" w:line="440" w:lineRule="exact"/>
              <w:ind w:left="63" w:right="63" w:firstLine="2409"/>
              <w:rPr>
                <w:rFonts w:eastAsia="仿宋_GB2312"/>
                <w:color w:val="auto"/>
                <w:sz w:val="30"/>
                <w:szCs w:val="30"/>
                <w:highlight w:val="none"/>
              </w:rPr>
            </w:pPr>
          </w:p>
        </w:tc>
      </w:tr>
      <w:tr w14:paraId="37A47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2DDABE38">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3BC03041">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5707F325">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6707C1DC">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2FA4F295">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65FB19EA">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6D1E1367">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35DB37C0">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35F698CB">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505067A1">
            <w:pPr>
              <w:pStyle w:val="25"/>
              <w:keepNext/>
              <w:spacing w:after="0" w:line="440" w:lineRule="exact"/>
              <w:ind w:left="63" w:right="63" w:firstLine="2409"/>
              <w:rPr>
                <w:rFonts w:eastAsia="仿宋_GB2312"/>
                <w:color w:val="auto"/>
                <w:sz w:val="30"/>
                <w:szCs w:val="30"/>
                <w:highlight w:val="none"/>
              </w:rPr>
            </w:pPr>
          </w:p>
        </w:tc>
      </w:tr>
      <w:tr w14:paraId="16D41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3C11B3AF">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0E27141F">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0C3BB10C">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6903CD48">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51E73EA3">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2F5ADA3E">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4B734CFF">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215DAFA0">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22275090">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594A6A12">
            <w:pPr>
              <w:pStyle w:val="25"/>
              <w:keepNext/>
              <w:spacing w:after="0" w:line="440" w:lineRule="exact"/>
              <w:ind w:left="63" w:right="63" w:firstLine="2409"/>
              <w:rPr>
                <w:rFonts w:eastAsia="仿宋_GB2312"/>
                <w:color w:val="auto"/>
                <w:sz w:val="30"/>
                <w:szCs w:val="30"/>
                <w:highlight w:val="none"/>
              </w:rPr>
            </w:pPr>
          </w:p>
        </w:tc>
      </w:tr>
      <w:tr w14:paraId="61584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60D689CC">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21713406">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0EE586A6">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166B5830">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2F22E0A9">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68118836">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03A37123">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3038064F">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7056E02F">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4FE362F5">
            <w:pPr>
              <w:pStyle w:val="25"/>
              <w:keepNext/>
              <w:spacing w:after="0" w:line="440" w:lineRule="exact"/>
              <w:ind w:left="63" w:right="63" w:firstLine="2409"/>
              <w:rPr>
                <w:rFonts w:eastAsia="仿宋_GB2312"/>
                <w:color w:val="auto"/>
                <w:sz w:val="30"/>
                <w:szCs w:val="30"/>
                <w:highlight w:val="none"/>
              </w:rPr>
            </w:pPr>
          </w:p>
        </w:tc>
      </w:tr>
      <w:tr w14:paraId="08DF3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120848C2">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62DC057A">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2DCB12B5">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6299671E">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3215E109">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0C66E8C5">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62FC8084">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0BDB3594">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73A31846">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52E72765">
            <w:pPr>
              <w:pStyle w:val="25"/>
              <w:keepNext/>
              <w:spacing w:after="0" w:line="440" w:lineRule="exact"/>
              <w:ind w:left="63" w:right="63" w:firstLine="2409"/>
              <w:rPr>
                <w:rFonts w:eastAsia="仿宋_GB2312"/>
                <w:color w:val="auto"/>
                <w:sz w:val="30"/>
                <w:szCs w:val="30"/>
                <w:highlight w:val="none"/>
              </w:rPr>
            </w:pPr>
          </w:p>
        </w:tc>
      </w:tr>
      <w:tr w14:paraId="2D05A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75948BB6">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5EC0BB21">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22D7BE20">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49A5A2FF">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726AF483">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0C334AAA">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26C42603">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4DF31B27">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02658DC0">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0CFBA56B">
            <w:pPr>
              <w:pStyle w:val="25"/>
              <w:keepNext/>
              <w:spacing w:after="0" w:line="440" w:lineRule="exact"/>
              <w:ind w:left="63" w:right="63" w:firstLine="2409"/>
              <w:rPr>
                <w:rFonts w:eastAsia="仿宋_GB2312"/>
                <w:color w:val="auto"/>
                <w:sz w:val="30"/>
                <w:szCs w:val="30"/>
                <w:highlight w:val="none"/>
              </w:rPr>
            </w:pPr>
          </w:p>
        </w:tc>
      </w:tr>
      <w:tr w14:paraId="2562B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4C45AA1A">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279B9062">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15FED52C">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6C44BD18">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24171FD5">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262CE740">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23B056EC">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3F0358F4">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7E784B79">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67F4620E">
            <w:pPr>
              <w:pStyle w:val="25"/>
              <w:keepNext/>
              <w:spacing w:after="0" w:line="440" w:lineRule="exact"/>
              <w:ind w:left="63" w:right="63" w:firstLine="2409"/>
              <w:rPr>
                <w:rFonts w:eastAsia="仿宋_GB2312"/>
                <w:color w:val="auto"/>
                <w:sz w:val="30"/>
                <w:szCs w:val="30"/>
                <w:highlight w:val="none"/>
              </w:rPr>
            </w:pPr>
          </w:p>
        </w:tc>
      </w:tr>
      <w:tr w14:paraId="7DD8A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5656F19F">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608055B9">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366588CD">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703DFE35">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154E1A03">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7048A826">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2E67A973">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59DC6D21">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78536859">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32D7049C">
            <w:pPr>
              <w:pStyle w:val="25"/>
              <w:keepNext/>
              <w:spacing w:after="0" w:line="440" w:lineRule="exact"/>
              <w:ind w:left="63" w:right="63" w:firstLine="2409"/>
              <w:rPr>
                <w:rFonts w:eastAsia="仿宋_GB2312"/>
                <w:color w:val="auto"/>
                <w:sz w:val="30"/>
                <w:szCs w:val="30"/>
                <w:highlight w:val="none"/>
              </w:rPr>
            </w:pPr>
          </w:p>
        </w:tc>
      </w:tr>
      <w:tr w14:paraId="44632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tcBorders>
              <w:top w:val="nil"/>
            </w:tcBorders>
            <w:vAlign w:val="center"/>
          </w:tcPr>
          <w:p w14:paraId="7C556D23">
            <w:pPr>
              <w:pStyle w:val="25"/>
              <w:keepNext/>
              <w:spacing w:after="0" w:line="440" w:lineRule="exact"/>
              <w:ind w:left="63" w:right="63" w:firstLine="2409"/>
              <w:rPr>
                <w:rFonts w:eastAsia="仿宋_GB2312"/>
                <w:color w:val="auto"/>
                <w:sz w:val="30"/>
                <w:szCs w:val="30"/>
                <w:highlight w:val="none"/>
              </w:rPr>
            </w:pPr>
          </w:p>
        </w:tc>
        <w:tc>
          <w:tcPr>
            <w:tcW w:w="974" w:type="dxa"/>
            <w:tcBorders>
              <w:top w:val="nil"/>
            </w:tcBorders>
            <w:vAlign w:val="center"/>
          </w:tcPr>
          <w:p w14:paraId="7448E002">
            <w:pPr>
              <w:pStyle w:val="25"/>
              <w:keepNext/>
              <w:spacing w:after="0" w:line="440" w:lineRule="exact"/>
              <w:ind w:left="63" w:right="63" w:firstLine="2409"/>
              <w:rPr>
                <w:rFonts w:eastAsia="仿宋_GB2312"/>
                <w:color w:val="auto"/>
                <w:sz w:val="30"/>
                <w:szCs w:val="30"/>
                <w:highlight w:val="none"/>
              </w:rPr>
            </w:pPr>
          </w:p>
        </w:tc>
        <w:tc>
          <w:tcPr>
            <w:tcW w:w="1440" w:type="dxa"/>
            <w:tcBorders>
              <w:top w:val="nil"/>
            </w:tcBorders>
            <w:vAlign w:val="center"/>
          </w:tcPr>
          <w:p w14:paraId="2AC69627">
            <w:pPr>
              <w:pStyle w:val="25"/>
              <w:keepNext/>
              <w:spacing w:after="0" w:line="440" w:lineRule="exact"/>
              <w:ind w:left="63" w:right="63" w:firstLine="2409"/>
              <w:rPr>
                <w:rFonts w:eastAsia="仿宋_GB2312"/>
                <w:color w:val="auto"/>
                <w:sz w:val="30"/>
                <w:szCs w:val="30"/>
                <w:highlight w:val="none"/>
              </w:rPr>
            </w:pPr>
          </w:p>
        </w:tc>
        <w:tc>
          <w:tcPr>
            <w:tcW w:w="840" w:type="dxa"/>
            <w:tcBorders>
              <w:top w:val="nil"/>
            </w:tcBorders>
            <w:vAlign w:val="center"/>
          </w:tcPr>
          <w:p w14:paraId="1F7B1F86">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51752AD9">
            <w:pPr>
              <w:pStyle w:val="25"/>
              <w:keepNext/>
              <w:spacing w:after="0" w:line="440" w:lineRule="exact"/>
              <w:ind w:left="63" w:right="63" w:firstLine="2409"/>
              <w:rPr>
                <w:rFonts w:eastAsia="仿宋_GB2312"/>
                <w:color w:val="auto"/>
                <w:sz w:val="30"/>
                <w:szCs w:val="30"/>
                <w:highlight w:val="none"/>
              </w:rPr>
            </w:pPr>
          </w:p>
        </w:tc>
        <w:tc>
          <w:tcPr>
            <w:tcW w:w="804" w:type="dxa"/>
            <w:tcBorders>
              <w:top w:val="nil"/>
            </w:tcBorders>
            <w:vAlign w:val="center"/>
          </w:tcPr>
          <w:p w14:paraId="16F9B880">
            <w:pPr>
              <w:pStyle w:val="25"/>
              <w:keepNext/>
              <w:spacing w:after="0" w:line="440" w:lineRule="exact"/>
              <w:ind w:left="63" w:right="63" w:firstLine="2409"/>
              <w:rPr>
                <w:rFonts w:eastAsia="仿宋_GB2312"/>
                <w:color w:val="auto"/>
                <w:sz w:val="30"/>
                <w:szCs w:val="30"/>
                <w:highlight w:val="none"/>
              </w:rPr>
            </w:pPr>
          </w:p>
        </w:tc>
        <w:tc>
          <w:tcPr>
            <w:tcW w:w="1260" w:type="dxa"/>
            <w:tcBorders>
              <w:top w:val="nil"/>
            </w:tcBorders>
            <w:vAlign w:val="center"/>
          </w:tcPr>
          <w:p w14:paraId="0527CF09">
            <w:pPr>
              <w:pStyle w:val="25"/>
              <w:keepNext/>
              <w:spacing w:after="0" w:line="440" w:lineRule="exact"/>
              <w:ind w:left="63" w:right="63" w:firstLine="2409"/>
              <w:rPr>
                <w:rFonts w:eastAsia="仿宋_GB2312"/>
                <w:color w:val="auto"/>
                <w:sz w:val="30"/>
                <w:szCs w:val="30"/>
                <w:highlight w:val="none"/>
              </w:rPr>
            </w:pPr>
          </w:p>
        </w:tc>
        <w:tc>
          <w:tcPr>
            <w:tcW w:w="1308" w:type="dxa"/>
            <w:tcBorders>
              <w:top w:val="nil"/>
            </w:tcBorders>
            <w:vAlign w:val="center"/>
          </w:tcPr>
          <w:p w14:paraId="633E3926">
            <w:pPr>
              <w:pStyle w:val="25"/>
              <w:keepNext/>
              <w:spacing w:after="0" w:line="440" w:lineRule="exact"/>
              <w:ind w:left="63" w:right="63" w:firstLine="2409"/>
              <w:rPr>
                <w:rFonts w:eastAsia="仿宋_GB2312"/>
                <w:color w:val="auto"/>
                <w:sz w:val="30"/>
                <w:szCs w:val="30"/>
                <w:highlight w:val="none"/>
              </w:rPr>
            </w:pPr>
          </w:p>
        </w:tc>
        <w:tc>
          <w:tcPr>
            <w:tcW w:w="792" w:type="dxa"/>
            <w:tcBorders>
              <w:top w:val="nil"/>
            </w:tcBorders>
            <w:vAlign w:val="center"/>
          </w:tcPr>
          <w:p w14:paraId="65235F70">
            <w:pPr>
              <w:pStyle w:val="25"/>
              <w:keepNext/>
              <w:spacing w:after="0" w:line="440" w:lineRule="exact"/>
              <w:ind w:left="63" w:right="63" w:firstLine="2409"/>
              <w:rPr>
                <w:rFonts w:eastAsia="仿宋_GB2312"/>
                <w:color w:val="auto"/>
                <w:sz w:val="30"/>
                <w:szCs w:val="30"/>
                <w:highlight w:val="none"/>
              </w:rPr>
            </w:pPr>
          </w:p>
        </w:tc>
        <w:tc>
          <w:tcPr>
            <w:tcW w:w="768" w:type="dxa"/>
            <w:tcBorders>
              <w:top w:val="nil"/>
            </w:tcBorders>
            <w:vAlign w:val="center"/>
          </w:tcPr>
          <w:p w14:paraId="19113677">
            <w:pPr>
              <w:pStyle w:val="25"/>
              <w:keepNext/>
              <w:spacing w:after="0" w:line="440" w:lineRule="exact"/>
              <w:ind w:left="63" w:right="63" w:firstLine="2409"/>
              <w:rPr>
                <w:rFonts w:eastAsia="仿宋_GB2312"/>
                <w:color w:val="auto"/>
                <w:sz w:val="30"/>
                <w:szCs w:val="30"/>
                <w:highlight w:val="none"/>
              </w:rPr>
            </w:pPr>
          </w:p>
        </w:tc>
      </w:tr>
      <w:tr w14:paraId="77476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2" w:type="dxa"/>
            <w:vAlign w:val="center"/>
          </w:tcPr>
          <w:p w14:paraId="29E22A29">
            <w:pPr>
              <w:pStyle w:val="25"/>
              <w:keepNext/>
              <w:spacing w:after="0" w:line="440" w:lineRule="exact"/>
              <w:ind w:left="63" w:right="63" w:firstLine="2409"/>
              <w:rPr>
                <w:rFonts w:eastAsia="仿宋_GB2312"/>
                <w:color w:val="auto"/>
                <w:sz w:val="30"/>
                <w:szCs w:val="30"/>
                <w:highlight w:val="none"/>
              </w:rPr>
            </w:pPr>
          </w:p>
        </w:tc>
        <w:tc>
          <w:tcPr>
            <w:tcW w:w="974" w:type="dxa"/>
            <w:vAlign w:val="center"/>
          </w:tcPr>
          <w:p w14:paraId="64783D0F">
            <w:pPr>
              <w:pStyle w:val="25"/>
              <w:keepNext/>
              <w:spacing w:after="0" w:line="440" w:lineRule="exact"/>
              <w:ind w:left="63" w:right="63" w:firstLine="2409"/>
              <w:rPr>
                <w:rFonts w:eastAsia="仿宋_GB2312"/>
                <w:color w:val="auto"/>
                <w:sz w:val="30"/>
                <w:szCs w:val="30"/>
                <w:highlight w:val="none"/>
              </w:rPr>
            </w:pPr>
          </w:p>
        </w:tc>
        <w:tc>
          <w:tcPr>
            <w:tcW w:w="1440" w:type="dxa"/>
            <w:vAlign w:val="center"/>
          </w:tcPr>
          <w:p w14:paraId="73CB644E">
            <w:pPr>
              <w:pStyle w:val="25"/>
              <w:keepNext/>
              <w:spacing w:after="0" w:line="440" w:lineRule="exact"/>
              <w:ind w:left="63" w:right="63" w:firstLine="2409"/>
              <w:rPr>
                <w:rFonts w:eastAsia="仿宋_GB2312"/>
                <w:color w:val="auto"/>
                <w:sz w:val="30"/>
                <w:szCs w:val="30"/>
                <w:highlight w:val="none"/>
              </w:rPr>
            </w:pPr>
          </w:p>
        </w:tc>
        <w:tc>
          <w:tcPr>
            <w:tcW w:w="840" w:type="dxa"/>
            <w:vAlign w:val="center"/>
          </w:tcPr>
          <w:p w14:paraId="5CD3E7D7">
            <w:pPr>
              <w:pStyle w:val="25"/>
              <w:keepNext/>
              <w:spacing w:after="0" w:line="440" w:lineRule="exact"/>
              <w:ind w:left="63" w:right="63" w:firstLine="2409"/>
              <w:rPr>
                <w:rFonts w:eastAsia="仿宋_GB2312"/>
                <w:color w:val="auto"/>
                <w:sz w:val="30"/>
                <w:szCs w:val="30"/>
                <w:highlight w:val="none"/>
              </w:rPr>
            </w:pPr>
          </w:p>
        </w:tc>
        <w:tc>
          <w:tcPr>
            <w:tcW w:w="792" w:type="dxa"/>
            <w:vAlign w:val="center"/>
          </w:tcPr>
          <w:p w14:paraId="48720556">
            <w:pPr>
              <w:pStyle w:val="25"/>
              <w:keepNext/>
              <w:spacing w:after="0" w:line="440" w:lineRule="exact"/>
              <w:ind w:left="63" w:right="63" w:firstLine="2409"/>
              <w:rPr>
                <w:rFonts w:eastAsia="仿宋_GB2312"/>
                <w:color w:val="auto"/>
                <w:sz w:val="30"/>
                <w:szCs w:val="30"/>
                <w:highlight w:val="none"/>
              </w:rPr>
            </w:pPr>
          </w:p>
        </w:tc>
        <w:tc>
          <w:tcPr>
            <w:tcW w:w="804" w:type="dxa"/>
            <w:vAlign w:val="center"/>
          </w:tcPr>
          <w:p w14:paraId="5943931A">
            <w:pPr>
              <w:pStyle w:val="25"/>
              <w:keepNext/>
              <w:spacing w:after="0" w:line="440" w:lineRule="exact"/>
              <w:ind w:left="63" w:right="63" w:firstLine="2409"/>
              <w:rPr>
                <w:rFonts w:eastAsia="仿宋_GB2312"/>
                <w:color w:val="auto"/>
                <w:sz w:val="30"/>
                <w:szCs w:val="30"/>
                <w:highlight w:val="none"/>
              </w:rPr>
            </w:pPr>
          </w:p>
        </w:tc>
        <w:tc>
          <w:tcPr>
            <w:tcW w:w="1260" w:type="dxa"/>
            <w:vAlign w:val="center"/>
          </w:tcPr>
          <w:p w14:paraId="106F24A4">
            <w:pPr>
              <w:pStyle w:val="25"/>
              <w:keepNext/>
              <w:spacing w:after="0" w:line="440" w:lineRule="exact"/>
              <w:ind w:left="63" w:right="63" w:firstLine="2409"/>
              <w:rPr>
                <w:rFonts w:eastAsia="仿宋_GB2312"/>
                <w:color w:val="auto"/>
                <w:sz w:val="30"/>
                <w:szCs w:val="30"/>
                <w:highlight w:val="none"/>
              </w:rPr>
            </w:pPr>
          </w:p>
        </w:tc>
        <w:tc>
          <w:tcPr>
            <w:tcW w:w="1308" w:type="dxa"/>
            <w:vAlign w:val="center"/>
          </w:tcPr>
          <w:p w14:paraId="12DD530A">
            <w:pPr>
              <w:pStyle w:val="25"/>
              <w:keepNext/>
              <w:spacing w:after="0" w:line="440" w:lineRule="exact"/>
              <w:ind w:left="63" w:right="63" w:firstLine="2409"/>
              <w:rPr>
                <w:rFonts w:eastAsia="仿宋_GB2312"/>
                <w:color w:val="auto"/>
                <w:sz w:val="30"/>
                <w:szCs w:val="30"/>
                <w:highlight w:val="none"/>
              </w:rPr>
            </w:pPr>
          </w:p>
        </w:tc>
        <w:tc>
          <w:tcPr>
            <w:tcW w:w="792" w:type="dxa"/>
            <w:vAlign w:val="center"/>
          </w:tcPr>
          <w:p w14:paraId="4FC76798">
            <w:pPr>
              <w:pStyle w:val="25"/>
              <w:keepNext/>
              <w:spacing w:after="0" w:line="440" w:lineRule="exact"/>
              <w:ind w:left="63" w:right="63" w:firstLine="2409"/>
              <w:rPr>
                <w:rFonts w:eastAsia="仿宋_GB2312"/>
                <w:color w:val="auto"/>
                <w:sz w:val="30"/>
                <w:szCs w:val="30"/>
                <w:highlight w:val="none"/>
              </w:rPr>
            </w:pPr>
          </w:p>
        </w:tc>
        <w:tc>
          <w:tcPr>
            <w:tcW w:w="768" w:type="dxa"/>
            <w:vAlign w:val="center"/>
          </w:tcPr>
          <w:p w14:paraId="2FDE1E91">
            <w:pPr>
              <w:pStyle w:val="25"/>
              <w:keepNext/>
              <w:spacing w:after="0" w:line="440" w:lineRule="exact"/>
              <w:ind w:left="63" w:right="63" w:firstLine="2409"/>
              <w:rPr>
                <w:rFonts w:eastAsia="仿宋_GB2312"/>
                <w:color w:val="auto"/>
                <w:sz w:val="30"/>
                <w:szCs w:val="30"/>
                <w:highlight w:val="none"/>
              </w:rPr>
            </w:pPr>
          </w:p>
        </w:tc>
      </w:tr>
    </w:tbl>
    <w:p w14:paraId="0A3442A6">
      <w:pPr>
        <w:spacing w:line="440" w:lineRule="exact"/>
        <w:ind w:firstLine="2400"/>
        <w:rPr>
          <w:rFonts w:eastAsia="仿宋_GB2312"/>
          <w:b/>
          <w:color w:val="auto"/>
          <w:sz w:val="30"/>
          <w:szCs w:val="30"/>
          <w:highlight w:val="none"/>
        </w:rPr>
        <w:sectPr>
          <w:pgSz w:w="11906" w:h="16838"/>
          <w:pgMar w:top="1418" w:right="1531" w:bottom="1418" w:left="1554" w:header="851" w:footer="992" w:gutter="0"/>
          <w:cols w:space="720" w:num="1"/>
          <w:titlePg/>
          <w:docGrid w:type="linesAndChars" w:linePitch="312" w:charSpace="0"/>
        </w:sectPr>
      </w:pPr>
    </w:p>
    <w:p w14:paraId="11ED91FB">
      <w:pPr>
        <w:spacing w:line="440" w:lineRule="exact"/>
        <w:rPr>
          <w:rFonts w:eastAsia="黑体"/>
          <w:color w:val="auto"/>
          <w:sz w:val="30"/>
          <w:szCs w:val="30"/>
          <w:highlight w:val="none"/>
        </w:rPr>
      </w:pPr>
      <w:r>
        <w:rPr>
          <w:rFonts w:eastAsia="仿宋_GB2312"/>
          <w:color w:val="auto"/>
          <w:sz w:val="30"/>
          <w:szCs w:val="30"/>
          <w:highlight w:val="none"/>
        </w:rPr>
        <w:t>附</w:t>
      </w:r>
      <w:bookmarkStart w:id="1100" w:name="_Toc267261692"/>
      <w:bookmarkStart w:id="1101" w:name="_Toc296503225"/>
      <w:bookmarkStart w:id="1102" w:name="_Toc296891053"/>
      <w:bookmarkStart w:id="1103" w:name="_Toc296944564"/>
      <w:bookmarkStart w:id="1104" w:name="_Toc296346726"/>
      <w:bookmarkStart w:id="1105" w:name="_Toc296347224"/>
      <w:bookmarkStart w:id="1106" w:name="_Toc296891265"/>
      <w:r>
        <w:rPr>
          <w:rFonts w:eastAsia="仿宋_GB2312"/>
          <w:color w:val="auto"/>
          <w:sz w:val="30"/>
          <w:szCs w:val="30"/>
          <w:highlight w:val="none"/>
        </w:rPr>
        <w:t>件2：</w:t>
      </w:r>
    </w:p>
    <w:bookmarkEnd w:id="1100"/>
    <w:bookmarkEnd w:id="1101"/>
    <w:bookmarkEnd w:id="1102"/>
    <w:bookmarkEnd w:id="1103"/>
    <w:bookmarkEnd w:id="1104"/>
    <w:bookmarkEnd w:id="1105"/>
    <w:bookmarkEnd w:id="1106"/>
    <w:p w14:paraId="6205FC16">
      <w:pPr>
        <w:spacing w:before="158" w:beforeLines="50" w:after="158" w:afterLines="50" w:line="440" w:lineRule="exact"/>
        <w:jc w:val="center"/>
        <w:rPr>
          <w:rFonts w:eastAsia="黑体"/>
          <w:color w:val="auto"/>
          <w:sz w:val="30"/>
          <w:szCs w:val="30"/>
          <w:highlight w:val="none"/>
        </w:rPr>
      </w:pPr>
      <w:r>
        <w:rPr>
          <w:rFonts w:eastAsia="黑体"/>
          <w:color w:val="auto"/>
          <w:sz w:val="30"/>
          <w:szCs w:val="30"/>
          <w:highlight w:val="none"/>
        </w:rPr>
        <w:t>发包人供应材料设备一览表</w:t>
      </w:r>
    </w:p>
    <w:tbl>
      <w:tblPr>
        <w:tblStyle w:val="65"/>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414CF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1AA4B0C9">
            <w:pPr>
              <w:pStyle w:val="25"/>
              <w:keepNext/>
              <w:spacing w:after="0" w:line="440" w:lineRule="exact"/>
              <w:ind w:left="63" w:right="63" w:firstLine="2249"/>
              <w:rPr>
                <w:rFonts w:eastAsia="仿宋_GB2312"/>
                <w:color w:val="auto"/>
                <w:szCs w:val="30"/>
                <w:highlight w:val="none"/>
              </w:rPr>
            </w:pPr>
            <w:r>
              <w:rPr>
                <w:rFonts w:eastAsia="仿宋_GB2312"/>
                <w:color w:val="auto"/>
                <w:szCs w:val="30"/>
                <w:highlight w:val="none"/>
              </w:rPr>
              <w:t>序号</w:t>
            </w:r>
          </w:p>
        </w:tc>
        <w:tc>
          <w:tcPr>
            <w:tcW w:w="1276" w:type="dxa"/>
            <w:tcBorders>
              <w:top w:val="single" w:color="auto" w:sz="12" w:space="0"/>
              <w:bottom w:val="double" w:color="auto" w:sz="6" w:space="0"/>
            </w:tcBorders>
            <w:vAlign w:val="center"/>
          </w:tcPr>
          <w:p w14:paraId="3B1ECBDD">
            <w:pPr>
              <w:pStyle w:val="25"/>
              <w:keepNext/>
              <w:spacing w:after="0" w:line="440" w:lineRule="exact"/>
              <w:ind w:left="63" w:right="63" w:firstLine="2249"/>
              <w:rPr>
                <w:rFonts w:eastAsia="仿宋_GB2312"/>
                <w:color w:val="auto"/>
                <w:szCs w:val="30"/>
                <w:highlight w:val="none"/>
              </w:rPr>
            </w:pPr>
            <w:r>
              <w:rPr>
                <w:rFonts w:hint="eastAsia" w:eastAsia="仿宋_GB2312"/>
                <w:color w:val="auto"/>
                <w:szCs w:val="30"/>
                <w:highlight w:val="none"/>
              </w:rPr>
              <w:t xml:space="preserve">  </w:t>
            </w:r>
            <w:r>
              <w:rPr>
                <w:rFonts w:eastAsia="仿宋_GB2312"/>
                <w:color w:val="auto"/>
                <w:szCs w:val="30"/>
                <w:highlight w:val="none"/>
              </w:rPr>
              <w:t>材料、</w:t>
            </w:r>
          </w:p>
          <w:p w14:paraId="277FA3A5">
            <w:pPr>
              <w:pStyle w:val="25"/>
              <w:keepNext/>
              <w:spacing w:after="0" w:line="440" w:lineRule="exact"/>
              <w:ind w:right="63" w:firstLine="2249"/>
              <w:rPr>
                <w:rFonts w:eastAsia="仿宋_GB2312"/>
                <w:color w:val="auto"/>
                <w:szCs w:val="30"/>
                <w:highlight w:val="none"/>
              </w:rPr>
            </w:pPr>
            <w:r>
              <w:rPr>
                <w:rFonts w:eastAsia="仿宋_GB2312"/>
                <w:color w:val="auto"/>
                <w:szCs w:val="30"/>
                <w:highlight w:val="none"/>
              </w:rPr>
              <w:t>设备品种</w:t>
            </w:r>
          </w:p>
        </w:tc>
        <w:tc>
          <w:tcPr>
            <w:tcW w:w="1418" w:type="dxa"/>
            <w:tcBorders>
              <w:top w:val="single" w:color="auto" w:sz="12" w:space="0"/>
              <w:bottom w:val="double" w:color="auto" w:sz="6" w:space="0"/>
            </w:tcBorders>
            <w:vAlign w:val="center"/>
          </w:tcPr>
          <w:p w14:paraId="66B5B9EB">
            <w:pPr>
              <w:pStyle w:val="25"/>
              <w:keepNext/>
              <w:spacing w:after="0" w:line="440" w:lineRule="exact"/>
              <w:ind w:left="63" w:right="63" w:firstLine="2249"/>
              <w:rPr>
                <w:rFonts w:eastAsia="仿宋_GB2312"/>
                <w:color w:val="auto"/>
                <w:szCs w:val="30"/>
                <w:highlight w:val="none"/>
              </w:rPr>
            </w:pPr>
            <w:r>
              <w:rPr>
                <w:rFonts w:eastAsia="仿宋_GB2312"/>
                <w:color w:val="auto"/>
                <w:szCs w:val="30"/>
                <w:highlight w:val="none"/>
              </w:rPr>
              <w:t>规格型号</w:t>
            </w:r>
          </w:p>
        </w:tc>
        <w:tc>
          <w:tcPr>
            <w:tcW w:w="940" w:type="dxa"/>
            <w:tcBorders>
              <w:top w:val="single" w:color="auto" w:sz="12" w:space="0"/>
              <w:bottom w:val="double" w:color="auto" w:sz="6" w:space="0"/>
            </w:tcBorders>
            <w:vAlign w:val="center"/>
          </w:tcPr>
          <w:p w14:paraId="64AA696D">
            <w:pPr>
              <w:pStyle w:val="25"/>
              <w:keepNext/>
              <w:spacing w:after="0" w:line="440" w:lineRule="exact"/>
              <w:ind w:left="63" w:right="63" w:firstLine="2249"/>
              <w:rPr>
                <w:rFonts w:eastAsia="仿宋_GB2312"/>
                <w:color w:val="auto"/>
                <w:szCs w:val="30"/>
                <w:highlight w:val="none"/>
              </w:rPr>
            </w:pPr>
            <w:r>
              <w:rPr>
                <w:rFonts w:eastAsia="仿宋_GB2312"/>
                <w:color w:val="auto"/>
                <w:szCs w:val="30"/>
                <w:highlight w:val="none"/>
              </w:rPr>
              <w:t>单位</w:t>
            </w:r>
          </w:p>
        </w:tc>
        <w:tc>
          <w:tcPr>
            <w:tcW w:w="851" w:type="dxa"/>
            <w:tcBorders>
              <w:top w:val="single" w:color="auto" w:sz="12" w:space="0"/>
              <w:bottom w:val="double" w:color="auto" w:sz="6" w:space="0"/>
            </w:tcBorders>
            <w:vAlign w:val="center"/>
          </w:tcPr>
          <w:p w14:paraId="789B5A81">
            <w:pPr>
              <w:pStyle w:val="25"/>
              <w:keepNext/>
              <w:spacing w:after="0" w:line="440" w:lineRule="exact"/>
              <w:ind w:left="63" w:right="63" w:firstLine="2249"/>
              <w:rPr>
                <w:rFonts w:eastAsia="仿宋_GB2312"/>
                <w:color w:val="auto"/>
                <w:szCs w:val="30"/>
                <w:highlight w:val="none"/>
              </w:rPr>
            </w:pPr>
            <w:r>
              <w:rPr>
                <w:rFonts w:eastAsia="仿宋_GB2312"/>
                <w:color w:val="auto"/>
                <w:szCs w:val="30"/>
                <w:highlight w:val="none"/>
              </w:rPr>
              <w:t>数量</w:t>
            </w:r>
          </w:p>
        </w:tc>
        <w:tc>
          <w:tcPr>
            <w:tcW w:w="1044" w:type="dxa"/>
            <w:tcBorders>
              <w:top w:val="single" w:color="auto" w:sz="12" w:space="0"/>
              <w:bottom w:val="double" w:color="auto" w:sz="6" w:space="0"/>
            </w:tcBorders>
            <w:vAlign w:val="center"/>
          </w:tcPr>
          <w:p w14:paraId="7AEBF3E1">
            <w:pPr>
              <w:pStyle w:val="25"/>
              <w:keepNext/>
              <w:spacing w:after="0" w:line="440" w:lineRule="exact"/>
              <w:ind w:left="63" w:right="63" w:firstLine="2249"/>
              <w:rPr>
                <w:rFonts w:eastAsia="仿宋_GB2312"/>
                <w:color w:val="auto"/>
                <w:szCs w:val="30"/>
                <w:highlight w:val="none"/>
              </w:rPr>
            </w:pPr>
            <w:r>
              <w:rPr>
                <w:rFonts w:eastAsia="仿宋_GB2312"/>
                <w:color w:val="auto"/>
                <w:szCs w:val="30"/>
                <w:highlight w:val="none"/>
              </w:rPr>
              <w:t>单价</w:t>
            </w:r>
            <w:r>
              <w:rPr>
                <w:rFonts w:hint="eastAsia" w:eastAsia="仿宋_GB2312"/>
                <w:color w:val="auto"/>
                <w:szCs w:val="30"/>
                <w:highlight w:val="none"/>
              </w:rPr>
              <w:t>（元）</w:t>
            </w:r>
          </w:p>
        </w:tc>
        <w:tc>
          <w:tcPr>
            <w:tcW w:w="992" w:type="dxa"/>
            <w:tcBorders>
              <w:top w:val="single" w:color="auto" w:sz="12" w:space="0"/>
              <w:bottom w:val="double" w:color="auto" w:sz="6" w:space="0"/>
            </w:tcBorders>
            <w:vAlign w:val="center"/>
          </w:tcPr>
          <w:p w14:paraId="48F80A08">
            <w:pPr>
              <w:pStyle w:val="25"/>
              <w:keepNext/>
              <w:spacing w:after="0" w:line="440" w:lineRule="exact"/>
              <w:ind w:left="63" w:right="63" w:firstLine="2249"/>
              <w:rPr>
                <w:rFonts w:eastAsia="仿宋_GB2312"/>
                <w:color w:val="auto"/>
                <w:szCs w:val="30"/>
                <w:highlight w:val="none"/>
              </w:rPr>
            </w:pPr>
            <w:r>
              <w:rPr>
                <w:rFonts w:eastAsia="仿宋_GB2312"/>
                <w:color w:val="auto"/>
                <w:szCs w:val="30"/>
                <w:highlight w:val="none"/>
              </w:rPr>
              <w:t>质量等级</w:t>
            </w:r>
          </w:p>
        </w:tc>
        <w:tc>
          <w:tcPr>
            <w:tcW w:w="851" w:type="dxa"/>
            <w:tcBorders>
              <w:top w:val="single" w:color="auto" w:sz="12" w:space="0"/>
              <w:bottom w:val="double" w:color="auto" w:sz="6" w:space="0"/>
            </w:tcBorders>
            <w:vAlign w:val="center"/>
          </w:tcPr>
          <w:p w14:paraId="6EA5A228">
            <w:pPr>
              <w:pStyle w:val="25"/>
              <w:keepNext/>
              <w:spacing w:after="0" w:line="440" w:lineRule="exact"/>
              <w:ind w:left="63" w:right="63" w:firstLine="2249"/>
              <w:rPr>
                <w:rFonts w:eastAsia="仿宋_GB2312"/>
                <w:color w:val="auto"/>
                <w:szCs w:val="30"/>
                <w:highlight w:val="none"/>
              </w:rPr>
            </w:pPr>
            <w:r>
              <w:rPr>
                <w:rFonts w:eastAsia="仿宋_GB2312"/>
                <w:color w:val="auto"/>
                <w:szCs w:val="30"/>
                <w:highlight w:val="none"/>
              </w:rPr>
              <w:t>供应时间</w:t>
            </w:r>
          </w:p>
        </w:tc>
        <w:tc>
          <w:tcPr>
            <w:tcW w:w="1487" w:type="dxa"/>
            <w:tcBorders>
              <w:top w:val="single" w:color="auto" w:sz="12" w:space="0"/>
              <w:bottom w:val="double" w:color="auto" w:sz="6" w:space="0"/>
            </w:tcBorders>
            <w:vAlign w:val="center"/>
          </w:tcPr>
          <w:p w14:paraId="634ABCC9">
            <w:pPr>
              <w:pStyle w:val="25"/>
              <w:keepNext/>
              <w:spacing w:after="0" w:line="440" w:lineRule="exact"/>
              <w:ind w:left="63" w:right="63" w:firstLine="2249"/>
              <w:rPr>
                <w:rFonts w:eastAsia="仿宋_GB2312"/>
                <w:color w:val="auto"/>
                <w:szCs w:val="30"/>
                <w:highlight w:val="none"/>
              </w:rPr>
            </w:pPr>
            <w:r>
              <w:rPr>
                <w:rFonts w:eastAsia="仿宋_GB2312"/>
                <w:color w:val="auto"/>
                <w:szCs w:val="30"/>
                <w:highlight w:val="none"/>
              </w:rPr>
              <w:t>送达地点</w:t>
            </w:r>
          </w:p>
        </w:tc>
        <w:tc>
          <w:tcPr>
            <w:tcW w:w="992" w:type="dxa"/>
            <w:tcBorders>
              <w:top w:val="single" w:color="auto" w:sz="12" w:space="0"/>
              <w:bottom w:val="double" w:color="auto" w:sz="6" w:space="0"/>
            </w:tcBorders>
            <w:vAlign w:val="center"/>
          </w:tcPr>
          <w:p w14:paraId="4539465B">
            <w:pPr>
              <w:pStyle w:val="25"/>
              <w:keepNext/>
              <w:spacing w:after="0" w:line="440" w:lineRule="exact"/>
              <w:ind w:left="63" w:right="63" w:firstLine="2249"/>
              <w:rPr>
                <w:rFonts w:eastAsia="仿宋_GB2312"/>
                <w:color w:val="auto"/>
                <w:szCs w:val="30"/>
                <w:highlight w:val="none"/>
              </w:rPr>
            </w:pPr>
            <w:r>
              <w:rPr>
                <w:rFonts w:eastAsia="仿宋_GB2312"/>
                <w:color w:val="auto"/>
                <w:szCs w:val="30"/>
                <w:highlight w:val="none"/>
              </w:rPr>
              <w:t>备注</w:t>
            </w:r>
          </w:p>
        </w:tc>
      </w:tr>
      <w:tr w14:paraId="4C5A8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41464F6C">
            <w:pPr>
              <w:pStyle w:val="25"/>
              <w:keepNext/>
              <w:spacing w:after="0" w:line="440" w:lineRule="exact"/>
              <w:ind w:left="63" w:right="63" w:firstLine="2409"/>
              <w:rPr>
                <w:rFonts w:eastAsia="仿宋_GB2312"/>
                <w:color w:val="auto"/>
                <w:sz w:val="30"/>
                <w:szCs w:val="30"/>
                <w:highlight w:val="none"/>
              </w:rPr>
            </w:pPr>
          </w:p>
        </w:tc>
        <w:tc>
          <w:tcPr>
            <w:tcW w:w="1276" w:type="dxa"/>
            <w:tcBorders>
              <w:top w:val="double" w:color="auto" w:sz="6" w:space="0"/>
              <w:bottom w:val="single" w:color="auto" w:sz="6" w:space="0"/>
            </w:tcBorders>
            <w:vAlign w:val="center"/>
          </w:tcPr>
          <w:p w14:paraId="4161B7F4">
            <w:pPr>
              <w:pStyle w:val="25"/>
              <w:keepNext/>
              <w:spacing w:after="0" w:line="440" w:lineRule="exact"/>
              <w:ind w:left="63" w:right="63" w:firstLine="2409"/>
              <w:rPr>
                <w:rFonts w:eastAsia="仿宋_GB2312"/>
                <w:color w:val="auto"/>
                <w:sz w:val="30"/>
                <w:szCs w:val="30"/>
                <w:highlight w:val="none"/>
              </w:rPr>
            </w:pPr>
          </w:p>
        </w:tc>
        <w:tc>
          <w:tcPr>
            <w:tcW w:w="1418" w:type="dxa"/>
            <w:tcBorders>
              <w:top w:val="double" w:color="auto" w:sz="6" w:space="0"/>
              <w:bottom w:val="single" w:color="auto" w:sz="6" w:space="0"/>
            </w:tcBorders>
            <w:vAlign w:val="center"/>
          </w:tcPr>
          <w:p w14:paraId="5CDADDB0">
            <w:pPr>
              <w:pStyle w:val="25"/>
              <w:keepNext/>
              <w:spacing w:after="0" w:line="440" w:lineRule="exact"/>
              <w:ind w:left="63" w:right="63" w:firstLine="2409"/>
              <w:rPr>
                <w:rFonts w:eastAsia="仿宋_GB2312"/>
                <w:color w:val="auto"/>
                <w:sz w:val="30"/>
                <w:szCs w:val="30"/>
                <w:highlight w:val="none"/>
              </w:rPr>
            </w:pPr>
          </w:p>
        </w:tc>
        <w:tc>
          <w:tcPr>
            <w:tcW w:w="940" w:type="dxa"/>
            <w:tcBorders>
              <w:top w:val="double" w:color="auto" w:sz="6" w:space="0"/>
              <w:bottom w:val="single" w:color="auto" w:sz="6" w:space="0"/>
            </w:tcBorders>
            <w:vAlign w:val="center"/>
          </w:tcPr>
          <w:p w14:paraId="53777ECE">
            <w:pPr>
              <w:pStyle w:val="25"/>
              <w:keepNext/>
              <w:spacing w:after="0" w:line="440" w:lineRule="exact"/>
              <w:ind w:left="63" w:right="63" w:firstLine="2409"/>
              <w:rPr>
                <w:rFonts w:eastAsia="仿宋_GB2312"/>
                <w:color w:val="auto"/>
                <w:sz w:val="30"/>
                <w:szCs w:val="30"/>
                <w:highlight w:val="none"/>
              </w:rPr>
            </w:pPr>
          </w:p>
        </w:tc>
        <w:tc>
          <w:tcPr>
            <w:tcW w:w="851" w:type="dxa"/>
            <w:tcBorders>
              <w:top w:val="double" w:color="auto" w:sz="6" w:space="0"/>
              <w:bottom w:val="single" w:color="auto" w:sz="6" w:space="0"/>
            </w:tcBorders>
            <w:vAlign w:val="center"/>
          </w:tcPr>
          <w:p w14:paraId="2A4884D2">
            <w:pPr>
              <w:pStyle w:val="25"/>
              <w:keepNext/>
              <w:spacing w:after="0" w:line="440" w:lineRule="exact"/>
              <w:ind w:left="63" w:right="63" w:firstLine="2409"/>
              <w:rPr>
                <w:rFonts w:eastAsia="仿宋_GB2312"/>
                <w:color w:val="auto"/>
                <w:sz w:val="30"/>
                <w:szCs w:val="30"/>
                <w:highlight w:val="none"/>
              </w:rPr>
            </w:pPr>
          </w:p>
        </w:tc>
        <w:tc>
          <w:tcPr>
            <w:tcW w:w="1044" w:type="dxa"/>
            <w:tcBorders>
              <w:top w:val="double" w:color="auto" w:sz="6" w:space="0"/>
              <w:bottom w:val="single" w:color="auto" w:sz="6" w:space="0"/>
            </w:tcBorders>
            <w:vAlign w:val="center"/>
          </w:tcPr>
          <w:p w14:paraId="3B1C39EA">
            <w:pPr>
              <w:pStyle w:val="25"/>
              <w:keepNext/>
              <w:spacing w:after="0" w:line="440" w:lineRule="exact"/>
              <w:ind w:left="63" w:right="63" w:firstLine="2409"/>
              <w:rPr>
                <w:rFonts w:eastAsia="仿宋_GB2312"/>
                <w:color w:val="auto"/>
                <w:sz w:val="30"/>
                <w:szCs w:val="30"/>
                <w:highlight w:val="none"/>
              </w:rPr>
            </w:pPr>
          </w:p>
        </w:tc>
        <w:tc>
          <w:tcPr>
            <w:tcW w:w="992" w:type="dxa"/>
            <w:tcBorders>
              <w:top w:val="double" w:color="auto" w:sz="6" w:space="0"/>
              <w:bottom w:val="single" w:color="auto" w:sz="6" w:space="0"/>
            </w:tcBorders>
            <w:vAlign w:val="center"/>
          </w:tcPr>
          <w:p w14:paraId="44E6A6BE">
            <w:pPr>
              <w:pStyle w:val="25"/>
              <w:keepNext/>
              <w:spacing w:after="0" w:line="440" w:lineRule="exact"/>
              <w:ind w:left="63" w:right="63" w:firstLine="2409"/>
              <w:rPr>
                <w:rFonts w:eastAsia="仿宋_GB2312"/>
                <w:color w:val="auto"/>
                <w:sz w:val="30"/>
                <w:szCs w:val="30"/>
                <w:highlight w:val="none"/>
              </w:rPr>
            </w:pPr>
          </w:p>
        </w:tc>
        <w:tc>
          <w:tcPr>
            <w:tcW w:w="851" w:type="dxa"/>
            <w:tcBorders>
              <w:top w:val="double" w:color="auto" w:sz="6" w:space="0"/>
              <w:bottom w:val="single" w:color="auto" w:sz="6" w:space="0"/>
            </w:tcBorders>
            <w:vAlign w:val="center"/>
          </w:tcPr>
          <w:p w14:paraId="5F978D9B">
            <w:pPr>
              <w:pStyle w:val="25"/>
              <w:keepNext/>
              <w:spacing w:after="0" w:line="440" w:lineRule="exact"/>
              <w:ind w:left="63" w:right="63" w:firstLine="2409"/>
              <w:rPr>
                <w:rFonts w:eastAsia="仿宋_GB2312"/>
                <w:color w:val="auto"/>
                <w:sz w:val="30"/>
                <w:szCs w:val="30"/>
                <w:highlight w:val="none"/>
              </w:rPr>
            </w:pPr>
          </w:p>
        </w:tc>
        <w:tc>
          <w:tcPr>
            <w:tcW w:w="1487" w:type="dxa"/>
            <w:tcBorders>
              <w:top w:val="double" w:color="auto" w:sz="6" w:space="0"/>
              <w:bottom w:val="single" w:color="auto" w:sz="6" w:space="0"/>
            </w:tcBorders>
            <w:vAlign w:val="center"/>
          </w:tcPr>
          <w:p w14:paraId="54205131">
            <w:pPr>
              <w:pStyle w:val="25"/>
              <w:keepNext/>
              <w:spacing w:after="0" w:line="440" w:lineRule="exact"/>
              <w:ind w:left="63" w:right="63" w:firstLine="2409"/>
              <w:rPr>
                <w:rFonts w:eastAsia="仿宋_GB2312"/>
                <w:color w:val="auto"/>
                <w:sz w:val="30"/>
                <w:szCs w:val="30"/>
                <w:highlight w:val="none"/>
              </w:rPr>
            </w:pPr>
          </w:p>
        </w:tc>
        <w:tc>
          <w:tcPr>
            <w:tcW w:w="992" w:type="dxa"/>
            <w:tcBorders>
              <w:top w:val="double" w:color="auto" w:sz="6" w:space="0"/>
              <w:bottom w:val="single" w:color="auto" w:sz="6" w:space="0"/>
            </w:tcBorders>
            <w:vAlign w:val="center"/>
          </w:tcPr>
          <w:p w14:paraId="76D7B57D">
            <w:pPr>
              <w:pStyle w:val="25"/>
              <w:keepNext/>
              <w:spacing w:after="0" w:line="440" w:lineRule="exact"/>
              <w:ind w:left="63" w:right="63" w:firstLine="2409"/>
              <w:rPr>
                <w:rFonts w:eastAsia="仿宋_GB2312"/>
                <w:color w:val="auto"/>
                <w:sz w:val="30"/>
                <w:szCs w:val="30"/>
                <w:highlight w:val="none"/>
              </w:rPr>
            </w:pPr>
          </w:p>
        </w:tc>
      </w:tr>
      <w:tr w14:paraId="10883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477F585E">
            <w:pPr>
              <w:pStyle w:val="25"/>
              <w:keepNext/>
              <w:spacing w:after="0" w:line="440" w:lineRule="exact"/>
              <w:ind w:left="63" w:right="63" w:firstLine="2409"/>
              <w:rPr>
                <w:rFonts w:eastAsia="仿宋_GB2312"/>
                <w:color w:val="auto"/>
                <w:sz w:val="30"/>
                <w:szCs w:val="30"/>
                <w:highlight w:val="none"/>
              </w:rPr>
            </w:pPr>
          </w:p>
        </w:tc>
        <w:tc>
          <w:tcPr>
            <w:tcW w:w="1276" w:type="dxa"/>
            <w:tcBorders>
              <w:top w:val="nil"/>
            </w:tcBorders>
            <w:vAlign w:val="center"/>
          </w:tcPr>
          <w:p w14:paraId="7B6DE284">
            <w:pPr>
              <w:pStyle w:val="25"/>
              <w:keepNext/>
              <w:spacing w:after="0" w:line="440" w:lineRule="exact"/>
              <w:ind w:left="63" w:right="63" w:firstLine="2409"/>
              <w:rPr>
                <w:rFonts w:eastAsia="仿宋_GB2312"/>
                <w:color w:val="auto"/>
                <w:sz w:val="30"/>
                <w:szCs w:val="30"/>
                <w:highlight w:val="none"/>
              </w:rPr>
            </w:pPr>
          </w:p>
        </w:tc>
        <w:tc>
          <w:tcPr>
            <w:tcW w:w="1418" w:type="dxa"/>
            <w:tcBorders>
              <w:top w:val="nil"/>
            </w:tcBorders>
            <w:vAlign w:val="center"/>
          </w:tcPr>
          <w:p w14:paraId="4197D006">
            <w:pPr>
              <w:pStyle w:val="25"/>
              <w:keepNext/>
              <w:spacing w:after="0" w:line="440" w:lineRule="exact"/>
              <w:ind w:left="63" w:right="63" w:firstLine="2409"/>
              <w:rPr>
                <w:rFonts w:eastAsia="仿宋_GB2312"/>
                <w:color w:val="auto"/>
                <w:sz w:val="30"/>
                <w:szCs w:val="30"/>
                <w:highlight w:val="none"/>
              </w:rPr>
            </w:pPr>
          </w:p>
        </w:tc>
        <w:tc>
          <w:tcPr>
            <w:tcW w:w="940" w:type="dxa"/>
            <w:tcBorders>
              <w:top w:val="nil"/>
            </w:tcBorders>
            <w:vAlign w:val="center"/>
          </w:tcPr>
          <w:p w14:paraId="78144992">
            <w:pPr>
              <w:pStyle w:val="25"/>
              <w:keepNext/>
              <w:spacing w:after="0" w:line="440" w:lineRule="exact"/>
              <w:ind w:left="63" w:right="63" w:firstLine="2409"/>
              <w:rPr>
                <w:rFonts w:eastAsia="仿宋_GB2312"/>
                <w:color w:val="auto"/>
                <w:sz w:val="30"/>
                <w:szCs w:val="30"/>
                <w:highlight w:val="none"/>
              </w:rPr>
            </w:pPr>
          </w:p>
        </w:tc>
        <w:tc>
          <w:tcPr>
            <w:tcW w:w="851" w:type="dxa"/>
            <w:tcBorders>
              <w:top w:val="nil"/>
            </w:tcBorders>
            <w:vAlign w:val="center"/>
          </w:tcPr>
          <w:p w14:paraId="3D576C9C">
            <w:pPr>
              <w:pStyle w:val="25"/>
              <w:keepNext/>
              <w:spacing w:after="0" w:line="440" w:lineRule="exact"/>
              <w:ind w:left="63" w:right="63" w:firstLine="2409"/>
              <w:rPr>
                <w:rFonts w:eastAsia="仿宋_GB2312"/>
                <w:color w:val="auto"/>
                <w:sz w:val="30"/>
                <w:szCs w:val="30"/>
                <w:highlight w:val="none"/>
              </w:rPr>
            </w:pPr>
          </w:p>
        </w:tc>
        <w:tc>
          <w:tcPr>
            <w:tcW w:w="1044" w:type="dxa"/>
            <w:tcBorders>
              <w:top w:val="nil"/>
            </w:tcBorders>
            <w:vAlign w:val="center"/>
          </w:tcPr>
          <w:p w14:paraId="5DEE7F33">
            <w:pPr>
              <w:pStyle w:val="25"/>
              <w:keepNext/>
              <w:spacing w:after="0" w:line="440" w:lineRule="exact"/>
              <w:ind w:left="63" w:right="63" w:firstLine="2409"/>
              <w:rPr>
                <w:rFonts w:eastAsia="仿宋_GB2312"/>
                <w:color w:val="auto"/>
                <w:sz w:val="30"/>
                <w:szCs w:val="30"/>
                <w:highlight w:val="none"/>
              </w:rPr>
            </w:pPr>
          </w:p>
        </w:tc>
        <w:tc>
          <w:tcPr>
            <w:tcW w:w="992" w:type="dxa"/>
            <w:tcBorders>
              <w:top w:val="nil"/>
            </w:tcBorders>
            <w:vAlign w:val="center"/>
          </w:tcPr>
          <w:p w14:paraId="2192C243">
            <w:pPr>
              <w:pStyle w:val="25"/>
              <w:keepNext/>
              <w:spacing w:after="0" w:line="440" w:lineRule="exact"/>
              <w:ind w:left="63" w:right="63" w:firstLine="2409"/>
              <w:rPr>
                <w:rFonts w:eastAsia="仿宋_GB2312"/>
                <w:color w:val="auto"/>
                <w:sz w:val="30"/>
                <w:szCs w:val="30"/>
                <w:highlight w:val="none"/>
              </w:rPr>
            </w:pPr>
          </w:p>
        </w:tc>
        <w:tc>
          <w:tcPr>
            <w:tcW w:w="851" w:type="dxa"/>
            <w:tcBorders>
              <w:top w:val="nil"/>
            </w:tcBorders>
            <w:vAlign w:val="center"/>
          </w:tcPr>
          <w:p w14:paraId="16334C0D">
            <w:pPr>
              <w:pStyle w:val="25"/>
              <w:keepNext/>
              <w:spacing w:after="0" w:line="440" w:lineRule="exact"/>
              <w:ind w:left="63" w:right="63" w:firstLine="2409"/>
              <w:rPr>
                <w:rFonts w:eastAsia="仿宋_GB2312"/>
                <w:color w:val="auto"/>
                <w:sz w:val="30"/>
                <w:szCs w:val="30"/>
                <w:highlight w:val="none"/>
              </w:rPr>
            </w:pPr>
          </w:p>
        </w:tc>
        <w:tc>
          <w:tcPr>
            <w:tcW w:w="1487" w:type="dxa"/>
            <w:tcBorders>
              <w:top w:val="nil"/>
            </w:tcBorders>
            <w:vAlign w:val="center"/>
          </w:tcPr>
          <w:p w14:paraId="48F93BAE">
            <w:pPr>
              <w:pStyle w:val="25"/>
              <w:keepNext/>
              <w:spacing w:after="0" w:line="440" w:lineRule="exact"/>
              <w:ind w:left="63" w:right="63" w:firstLine="2409"/>
              <w:rPr>
                <w:rFonts w:eastAsia="仿宋_GB2312"/>
                <w:color w:val="auto"/>
                <w:sz w:val="30"/>
                <w:szCs w:val="30"/>
                <w:highlight w:val="none"/>
              </w:rPr>
            </w:pPr>
          </w:p>
        </w:tc>
        <w:tc>
          <w:tcPr>
            <w:tcW w:w="992" w:type="dxa"/>
            <w:tcBorders>
              <w:top w:val="nil"/>
            </w:tcBorders>
            <w:vAlign w:val="center"/>
          </w:tcPr>
          <w:p w14:paraId="1C735B74">
            <w:pPr>
              <w:pStyle w:val="25"/>
              <w:keepNext/>
              <w:spacing w:after="0" w:line="440" w:lineRule="exact"/>
              <w:ind w:left="63" w:right="63" w:firstLine="2409"/>
              <w:rPr>
                <w:rFonts w:eastAsia="仿宋_GB2312"/>
                <w:color w:val="auto"/>
                <w:sz w:val="30"/>
                <w:szCs w:val="30"/>
                <w:highlight w:val="none"/>
              </w:rPr>
            </w:pPr>
          </w:p>
        </w:tc>
      </w:tr>
      <w:tr w14:paraId="49FED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3DD1CF4">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64ACAE3B">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4FA4F55C">
            <w:pPr>
              <w:pStyle w:val="25"/>
              <w:keepNext/>
              <w:spacing w:after="0" w:line="440" w:lineRule="exact"/>
              <w:ind w:left="63" w:right="63" w:firstLine="2409"/>
              <w:rPr>
                <w:rFonts w:eastAsia="仿宋_GB2312"/>
                <w:color w:val="auto"/>
                <w:sz w:val="30"/>
                <w:szCs w:val="30"/>
                <w:highlight w:val="none"/>
              </w:rPr>
            </w:pPr>
          </w:p>
        </w:tc>
        <w:tc>
          <w:tcPr>
            <w:tcW w:w="940" w:type="dxa"/>
            <w:vAlign w:val="center"/>
          </w:tcPr>
          <w:p w14:paraId="0665A1CB">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03FC9449">
            <w:pPr>
              <w:pStyle w:val="25"/>
              <w:keepNext/>
              <w:spacing w:after="0" w:line="440" w:lineRule="exact"/>
              <w:ind w:left="63" w:right="63" w:firstLine="2409"/>
              <w:rPr>
                <w:rFonts w:eastAsia="仿宋_GB2312"/>
                <w:color w:val="auto"/>
                <w:sz w:val="30"/>
                <w:szCs w:val="30"/>
                <w:highlight w:val="none"/>
              </w:rPr>
            </w:pPr>
          </w:p>
        </w:tc>
        <w:tc>
          <w:tcPr>
            <w:tcW w:w="1044" w:type="dxa"/>
            <w:vAlign w:val="center"/>
          </w:tcPr>
          <w:p w14:paraId="0BD15617">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78E07237">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558A9B38">
            <w:pPr>
              <w:pStyle w:val="25"/>
              <w:keepNext/>
              <w:spacing w:after="0" w:line="440" w:lineRule="exact"/>
              <w:ind w:left="63" w:right="63" w:firstLine="2409"/>
              <w:rPr>
                <w:rFonts w:eastAsia="仿宋_GB2312"/>
                <w:color w:val="auto"/>
                <w:sz w:val="30"/>
                <w:szCs w:val="30"/>
                <w:highlight w:val="none"/>
              </w:rPr>
            </w:pPr>
          </w:p>
        </w:tc>
        <w:tc>
          <w:tcPr>
            <w:tcW w:w="1487" w:type="dxa"/>
            <w:vAlign w:val="center"/>
          </w:tcPr>
          <w:p w14:paraId="41719B45">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3E5E7D6F">
            <w:pPr>
              <w:pStyle w:val="25"/>
              <w:keepNext/>
              <w:spacing w:after="0" w:line="440" w:lineRule="exact"/>
              <w:ind w:left="63" w:right="63" w:firstLine="2409"/>
              <w:rPr>
                <w:rFonts w:eastAsia="仿宋_GB2312"/>
                <w:color w:val="auto"/>
                <w:sz w:val="30"/>
                <w:szCs w:val="30"/>
                <w:highlight w:val="none"/>
              </w:rPr>
            </w:pPr>
          </w:p>
        </w:tc>
      </w:tr>
      <w:tr w14:paraId="5973C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1799BA3">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4154A471">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67354FED">
            <w:pPr>
              <w:pStyle w:val="25"/>
              <w:keepNext/>
              <w:spacing w:after="0" w:line="440" w:lineRule="exact"/>
              <w:ind w:left="63" w:right="63" w:firstLine="2409"/>
              <w:rPr>
                <w:rFonts w:eastAsia="仿宋_GB2312"/>
                <w:color w:val="auto"/>
                <w:sz w:val="30"/>
                <w:szCs w:val="30"/>
                <w:highlight w:val="none"/>
              </w:rPr>
            </w:pPr>
          </w:p>
        </w:tc>
        <w:tc>
          <w:tcPr>
            <w:tcW w:w="940" w:type="dxa"/>
            <w:vAlign w:val="center"/>
          </w:tcPr>
          <w:p w14:paraId="03481EE1">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00D540CF">
            <w:pPr>
              <w:pStyle w:val="25"/>
              <w:keepNext/>
              <w:spacing w:after="0" w:line="440" w:lineRule="exact"/>
              <w:ind w:left="63" w:right="63" w:firstLine="2409"/>
              <w:rPr>
                <w:rFonts w:eastAsia="仿宋_GB2312"/>
                <w:color w:val="auto"/>
                <w:sz w:val="30"/>
                <w:szCs w:val="30"/>
                <w:highlight w:val="none"/>
              </w:rPr>
            </w:pPr>
          </w:p>
        </w:tc>
        <w:tc>
          <w:tcPr>
            <w:tcW w:w="1044" w:type="dxa"/>
            <w:vAlign w:val="center"/>
          </w:tcPr>
          <w:p w14:paraId="1023F8FB">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4F136D00">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37496C14">
            <w:pPr>
              <w:pStyle w:val="25"/>
              <w:keepNext/>
              <w:spacing w:after="0" w:line="440" w:lineRule="exact"/>
              <w:ind w:left="63" w:right="63" w:firstLine="2409"/>
              <w:rPr>
                <w:rFonts w:eastAsia="仿宋_GB2312"/>
                <w:color w:val="auto"/>
                <w:sz w:val="30"/>
                <w:szCs w:val="30"/>
                <w:highlight w:val="none"/>
              </w:rPr>
            </w:pPr>
          </w:p>
        </w:tc>
        <w:tc>
          <w:tcPr>
            <w:tcW w:w="1487" w:type="dxa"/>
            <w:vAlign w:val="center"/>
          </w:tcPr>
          <w:p w14:paraId="16C40778">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795F5604">
            <w:pPr>
              <w:pStyle w:val="25"/>
              <w:keepNext/>
              <w:spacing w:after="0" w:line="440" w:lineRule="exact"/>
              <w:ind w:left="63" w:right="63" w:firstLine="2409"/>
              <w:rPr>
                <w:rFonts w:eastAsia="仿宋_GB2312"/>
                <w:color w:val="auto"/>
                <w:sz w:val="30"/>
                <w:szCs w:val="30"/>
                <w:highlight w:val="none"/>
              </w:rPr>
            </w:pPr>
          </w:p>
        </w:tc>
      </w:tr>
      <w:tr w14:paraId="36815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97EB84C">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1D712975">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19502BEC">
            <w:pPr>
              <w:pStyle w:val="25"/>
              <w:keepNext/>
              <w:spacing w:after="0" w:line="440" w:lineRule="exact"/>
              <w:ind w:left="63" w:right="63" w:firstLine="2409"/>
              <w:rPr>
                <w:rFonts w:eastAsia="仿宋_GB2312"/>
                <w:color w:val="auto"/>
                <w:sz w:val="30"/>
                <w:szCs w:val="30"/>
                <w:highlight w:val="none"/>
              </w:rPr>
            </w:pPr>
          </w:p>
        </w:tc>
        <w:tc>
          <w:tcPr>
            <w:tcW w:w="940" w:type="dxa"/>
            <w:vAlign w:val="center"/>
          </w:tcPr>
          <w:p w14:paraId="33B1BBFA">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448524FC">
            <w:pPr>
              <w:pStyle w:val="25"/>
              <w:keepNext/>
              <w:spacing w:after="0" w:line="440" w:lineRule="exact"/>
              <w:ind w:left="63" w:right="63" w:firstLine="2409"/>
              <w:rPr>
                <w:rFonts w:eastAsia="仿宋_GB2312"/>
                <w:color w:val="auto"/>
                <w:sz w:val="30"/>
                <w:szCs w:val="30"/>
                <w:highlight w:val="none"/>
              </w:rPr>
            </w:pPr>
          </w:p>
        </w:tc>
        <w:tc>
          <w:tcPr>
            <w:tcW w:w="1044" w:type="dxa"/>
            <w:vAlign w:val="center"/>
          </w:tcPr>
          <w:p w14:paraId="42E8B61B">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749F0C7C">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14AEF9B8">
            <w:pPr>
              <w:pStyle w:val="25"/>
              <w:keepNext/>
              <w:spacing w:after="0" w:line="440" w:lineRule="exact"/>
              <w:ind w:left="63" w:right="63" w:firstLine="2409"/>
              <w:rPr>
                <w:rFonts w:eastAsia="仿宋_GB2312"/>
                <w:color w:val="auto"/>
                <w:sz w:val="30"/>
                <w:szCs w:val="30"/>
                <w:highlight w:val="none"/>
              </w:rPr>
            </w:pPr>
          </w:p>
        </w:tc>
        <w:tc>
          <w:tcPr>
            <w:tcW w:w="1487" w:type="dxa"/>
            <w:vAlign w:val="center"/>
          </w:tcPr>
          <w:p w14:paraId="17AEC750">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2720F5C5">
            <w:pPr>
              <w:pStyle w:val="25"/>
              <w:keepNext/>
              <w:spacing w:after="0" w:line="440" w:lineRule="exact"/>
              <w:ind w:left="63" w:right="63" w:firstLine="2409"/>
              <w:rPr>
                <w:rFonts w:eastAsia="仿宋_GB2312"/>
                <w:color w:val="auto"/>
                <w:sz w:val="30"/>
                <w:szCs w:val="30"/>
                <w:highlight w:val="none"/>
              </w:rPr>
            </w:pPr>
          </w:p>
        </w:tc>
      </w:tr>
      <w:tr w14:paraId="576BD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B3714A6">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2B1FD5AF">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7F5568F2">
            <w:pPr>
              <w:pStyle w:val="25"/>
              <w:keepNext/>
              <w:spacing w:after="0" w:line="440" w:lineRule="exact"/>
              <w:ind w:left="63" w:right="63" w:firstLine="2409"/>
              <w:rPr>
                <w:rFonts w:eastAsia="仿宋_GB2312"/>
                <w:color w:val="auto"/>
                <w:sz w:val="30"/>
                <w:szCs w:val="30"/>
                <w:highlight w:val="none"/>
              </w:rPr>
            </w:pPr>
          </w:p>
        </w:tc>
        <w:tc>
          <w:tcPr>
            <w:tcW w:w="940" w:type="dxa"/>
            <w:vAlign w:val="center"/>
          </w:tcPr>
          <w:p w14:paraId="0AA80BF8">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6BDFECE7">
            <w:pPr>
              <w:pStyle w:val="25"/>
              <w:keepNext/>
              <w:spacing w:after="0" w:line="440" w:lineRule="exact"/>
              <w:ind w:left="63" w:right="63" w:firstLine="2409"/>
              <w:rPr>
                <w:rFonts w:eastAsia="仿宋_GB2312"/>
                <w:color w:val="auto"/>
                <w:sz w:val="30"/>
                <w:szCs w:val="30"/>
                <w:highlight w:val="none"/>
              </w:rPr>
            </w:pPr>
          </w:p>
        </w:tc>
        <w:tc>
          <w:tcPr>
            <w:tcW w:w="1044" w:type="dxa"/>
            <w:vAlign w:val="center"/>
          </w:tcPr>
          <w:p w14:paraId="08904286">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2154B1AC">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4930E6A8">
            <w:pPr>
              <w:pStyle w:val="25"/>
              <w:keepNext/>
              <w:spacing w:after="0" w:line="440" w:lineRule="exact"/>
              <w:ind w:left="63" w:right="63" w:firstLine="2409"/>
              <w:rPr>
                <w:rFonts w:eastAsia="仿宋_GB2312"/>
                <w:color w:val="auto"/>
                <w:sz w:val="30"/>
                <w:szCs w:val="30"/>
                <w:highlight w:val="none"/>
              </w:rPr>
            </w:pPr>
          </w:p>
        </w:tc>
        <w:tc>
          <w:tcPr>
            <w:tcW w:w="1487" w:type="dxa"/>
            <w:vAlign w:val="center"/>
          </w:tcPr>
          <w:p w14:paraId="740D8655">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45E759C6">
            <w:pPr>
              <w:pStyle w:val="25"/>
              <w:keepNext/>
              <w:spacing w:after="0" w:line="440" w:lineRule="exact"/>
              <w:ind w:left="63" w:right="63" w:firstLine="2409"/>
              <w:rPr>
                <w:rFonts w:eastAsia="仿宋_GB2312"/>
                <w:color w:val="auto"/>
                <w:sz w:val="30"/>
                <w:szCs w:val="30"/>
                <w:highlight w:val="none"/>
              </w:rPr>
            </w:pPr>
          </w:p>
        </w:tc>
      </w:tr>
      <w:tr w14:paraId="02BB1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EB7949E">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43CD5C2C">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3855D79B">
            <w:pPr>
              <w:pStyle w:val="25"/>
              <w:keepNext/>
              <w:spacing w:after="0" w:line="440" w:lineRule="exact"/>
              <w:ind w:left="63" w:right="63" w:firstLine="2409"/>
              <w:rPr>
                <w:rFonts w:eastAsia="仿宋_GB2312"/>
                <w:color w:val="auto"/>
                <w:sz w:val="30"/>
                <w:szCs w:val="30"/>
                <w:highlight w:val="none"/>
              </w:rPr>
            </w:pPr>
          </w:p>
        </w:tc>
        <w:tc>
          <w:tcPr>
            <w:tcW w:w="940" w:type="dxa"/>
            <w:vAlign w:val="center"/>
          </w:tcPr>
          <w:p w14:paraId="503D240F">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549D299E">
            <w:pPr>
              <w:pStyle w:val="25"/>
              <w:keepNext/>
              <w:spacing w:after="0" w:line="440" w:lineRule="exact"/>
              <w:ind w:left="63" w:right="63" w:firstLine="2409"/>
              <w:rPr>
                <w:rFonts w:eastAsia="仿宋_GB2312"/>
                <w:color w:val="auto"/>
                <w:sz w:val="30"/>
                <w:szCs w:val="30"/>
                <w:highlight w:val="none"/>
              </w:rPr>
            </w:pPr>
          </w:p>
        </w:tc>
        <w:tc>
          <w:tcPr>
            <w:tcW w:w="1044" w:type="dxa"/>
            <w:vAlign w:val="center"/>
          </w:tcPr>
          <w:p w14:paraId="2C5267E5">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70687955">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7303941B">
            <w:pPr>
              <w:pStyle w:val="25"/>
              <w:keepNext/>
              <w:spacing w:after="0" w:line="440" w:lineRule="exact"/>
              <w:ind w:left="63" w:right="63" w:firstLine="2409"/>
              <w:rPr>
                <w:rFonts w:eastAsia="仿宋_GB2312"/>
                <w:color w:val="auto"/>
                <w:sz w:val="30"/>
                <w:szCs w:val="30"/>
                <w:highlight w:val="none"/>
              </w:rPr>
            </w:pPr>
          </w:p>
        </w:tc>
        <w:tc>
          <w:tcPr>
            <w:tcW w:w="1487" w:type="dxa"/>
            <w:vAlign w:val="center"/>
          </w:tcPr>
          <w:p w14:paraId="6B55D51B">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56DD4C0B">
            <w:pPr>
              <w:pStyle w:val="25"/>
              <w:keepNext/>
              <w:spacing w:after="0" w:line="440" w:lineRule="exact"/>
              <w:ind w:left="63" w:right="63" w:firstLine="2409"/>
              <w:rPr>
                <w:rFonts w:eastAsia="仿宋_GB2312"/>
                <w:color w:val="auto"/>
                <w:sz w:val="30"/>
                <w:szCs w:val="30"/>
                <w:highlight w:val="none"/>
              </w:rPr>
            </w:pPr>
          </w:p>
        </w:tc>
      </w:tr>
      <w:tr w14:paraId="41353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E643B35">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46404556">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2AB0BFFF">
            <w:pPr>
              <w:pStyle w:val="25"/>
              <w:keepNext/>
              <w:spacing w:after="0" w:line="440" w:lineRule="exact"/>
              <w:ind w:left="63" w:right="63" w:firstLine="2409"/>
              <w:rPr>
                <w:rFonts w:eastAsia="仿宋_GB2312"/>
                <w:color w:val="auto"/>
                <w:sz w:val="30"/>
                <w:szCs w:val="30"/>
                <w:highlight w:val="none"/>
              </w:rPr>
            </w:pPr>
          </w:p>
        </w:tc>
        <w:tc>
          <w:tcPr>
            <w:tcW w:w="940" w:type="dxa"/>
            <w:vAlign w:val="center"/>
          </w:tcPr>
          <w:p w14:paraId="59C2659D">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11C118EC">
            <w:pPr>
              <w:pStyle w:val="25"/>
              <w:keepNext/>
              <w:spacing w:after="0" w:line="440" w:lineRule="exact"/>
              <w:ind w:left="63" w:right="63" w:firstLine="2409"/>
              <w:rPr>
                <w:rFonts w:eastAsia="仿宋_GB2312"/>
                <w:color w:val="auto"/>
                <w:sz w:val="30"/>
                <w:szCs w:val="30"/>
                <w:highlight w:val="none"/>
              </w:rPr>
            </w:pPr>
          </w:p>
        </w:tc>
        <w:tc>
          <w:tcPr>
            <w:tcW w:w="1044" w:type="dxa"/>
            <w:vAlign w:val="center"/>
          </w:tcPr>
          <w:p w14:paraId="37E5C3E4">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0498D77A">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768F0808">
            <w:pPr>
              <w:pStyle w:val="25"/>
              <w:keepNext/>
              <w:spacing w:after="0" w:line="440" w:lineRule="exact"/>
              <w:ind w:left="63" w:right="63" w:firstLine="2409"/>
              <w:rPr>
                <w:rFonts w:eastAsia="仿宋_GB2312"/>
                <w:color w:val="auto"/>
                <w:sz w:val="30"/>
                <w:szCs w:val="30"/>
                <w:highlight w:val="none"/>
              </w:rPr>
            </w:pPr>
          </w:p>
        </w:tc>
        <w:tc>
          <w:tcPr>
            <w:tcW w:w="1487" w:type="dxa"/>
            <w:vAlign w:val="center"/>
          </w:tcPr>
          <w:p w14:paraId="68341B42">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320692A9">
            <w:pPr>
              <w:pStyle w:val="25"/>
              <w:keepNext/>
              <w:spacing w:after="0" w:line="440" w:lineRule="exact"/>
              <w:ind w:left="63" w:right="63" w:firstLine="2409"/>
              <w:rPr>
                <w:rFonts w:eastAsia="仿宋_GB2312"/>
                <w:color w:val="auto"/>
                <w:sz w:val="30"/>
                <w:szCs w:val="30"/>
                <w:highlight w:val="none"/>
              </w:rPr>
            </w:pPr>
          </w:p>
        </w:tc>
      </w:tr>
      <w:tr w14:paraId="03A17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152AD72">
            <w:pPr>
              <w:ind w:firstLine="2409"/>
              <w:jc w:val="center"/>
              <w:rPr>
                <w:rFonts w:eastAsia="仿宋_GB2312"/>
                <w:color w:val="auto"/>
                <w:sz w:val="30"/>
                <w:szCs w:val="30"/>
                <w:highlight w:val="none"/>
              </w:rPr>
            </w:pPr>
          </w:p>
        </w:tc>
        <w:tc>
          <w:tcPr>
            <w:tcW w:w="1276" w:type="dxa"/>
            <w:vAlign w:val="center"/>
          </w:tcPr>
          <w:p w14:paraId="4BD4B37F">
            <w:pPr>
              <w:ind w:firstLine="2409"/>
              <w:jc w:val="center"/>
              <w:rPr>
                <w:rFonts w:eastAsia="仿宋_GB2312"/>
                <w:color w:val="auto"/>
                <w:sz w:val="30"/>
                <w:szCs w:val="30"/>
                <w:highlight w:val="none"/>
              </w:rPr>
            </w:pPr>
          </w:p>
        </w:tc>
        <w:tc>
          <w:tcPr>
            <w:tcW w:w="1418" w:type="dxa"/>
            <w:vAlign w:val="center"/>
          </w:tcPr>
          <w:p w14:paraId="39F6FB1C">
            <w:pPr>
              <w:ind w:firstLine="2409"/>
              <w:jc w:val="center"/>
              <w:rPr>
                <w:rFonts w:eastAsia="仿宋_GB2312"/>
                <w:color w:val="auto"/>
                <w:sz w:val="30"/>
                <w:szCs w:val="30"/>
                <w:highlight w:val="none"/>
              </w:rPr>
            </w:pPr>
          </w:p>
        </w:tc>
        <w:tc>
          <w:tcPr>
            <w:tcW w:w="940" w:type="dxa"/>
            <w:vAlign w:val="center"/>
          </w:tcPr>
          <w:p w14:paraId="530C3132">
            <w:pPr>
              <w:ind w:firstLine="2409"/>
              <w:jc w:val="center"/>
              <w:rPr>
                <w:rFonts w:eastAsia="仿宋_GB2312"/>
                <w:color w:val="auto"/>
                <w:sz w:val="30"/>
                <w:szCs w:val="30"/>
                <w:highlight w:val="none"/>
              </w:rPr>
            </w:pPr>
          </w:p>
        </w:tc>
        <w:tc>
          <w:tcPr>
            <w:tcW w:w="851" w:type="dxa"/>
            <w:vAlign w:val="center"/>
          </w:tcPr>
          <w:p w14:paraId="15C824B5">
            <w:pPr>
              <w:ind w:firstLine="2409"/>
              <w:jc w:val="center"/>
              <w:rPr>
                <w:rFonts w:eastAsia="仿宋_GB2312"/>
                <w:color w:val="auto"/>
                <w:sz w:val="30"/>
                <w:szCs w:val="30"/>
                <w:highlight w:val="none"/>
              </w:rPr>
            </w:pPr>
          </w:p>
        </w:tc>
        <w:tc>
          <w:tcPr>
            <w:tcW w:w="1044" w:type="dxa"/>
            <w:vAlign w:val="center"/>
          </w:tcPr>
          <w:p w14:paraId="3A34E98E">
            <w:pPr>
              <w:ind w:firstLine="2409"/>
              <w:jc w:val="center"/>
              <w:rPr>
                <w:rFonts w:eastAsia="仿宋_GB2312"/>
                <w:color w:val="auto"/>
                <w:sz w:val="30"/>
                <w:szCs w:val="30"/>
                <w:highlight w:val="none"/>
              </w:rPr>
            </w:pPr>
          </w:p>
        </w:tc>
        <w:tc>
          <w:tcPr>
            <w:tcW w:w="992" w:type="dxa"/>
            <w:vAlign w:val="center"/>
          </w:tcPr>
          <w:p w14:paraId="1AF0B019">
            <w:pPr>
              <w:ind w:firstLine="2409"/>
              <w:jc w:val="center"/>
              <w:rPr>
                <w:rFonts w:eastAsia="仿宋_GB2312"/>
                <w:color w:val="auto"/>
                <w:sz w:val="30"/>
                <w:szCs w:val="30"/>
                <w:highlight w:val="none"/>
              </w:rPr>
            </w:pPr>
          </w:p>
        </w:tc>
        <w:tc>
          <w:tcPr>
            <w:tcW w:w="851" w:type="dxa"/>
            <w:vAlign w:val="center"/>
          </w:tcPr>
          <w:p w14:paraId="1EA07BD0">
            <w:pPr>
              <w:ind w:firstLine="2409"/>
              <w:jc w:val="center"/>
              <w:rPr>
                <w:rFonts w:eastAsia="仿宋_GB2312"/>
                <w:color w:val="auto"/>
                <w:sz w:val="30"/>
                <w:szCs w:val="30"/>
                <w:highlight w:val="none"/>
              </w:rPr>
            </w:pPr>
          </w:p>
        </w:tc>
        <w:tc>
          <w:tcPr>
            <w:tcW w:w="1487" w:type="dxa"/>
            <w:vAlign w:val="center"/>
          </w:tcPr>
          <w:p w14:paraId="0DBA8E0B">
            <w:pPr>
              <w:ind w:firstLine="2409"/>
              <w:jc w:val="center"/>
              <w:rPr>
                <w:rFonts w:eastAsia="仿宋_GB2312"/>
                <w:color w:val="auto"/>
                <w:sz w:val="30"/>
                <w:szCs w:val="30"/>
                <w:highlight w:val="none"/>
              </w:rPr>
            </w:pPr>
          </w:p>
        </w:tc>
        <w:tc>
          <w:tcPr>
            <w:tcW w:w="992" w:type="dxa"/>
            <w:vAlign w:val="center"/>
          </w:tcPr>
          <w:p w14:paraId="48E7E74E">
            <w:pPr>
              <w:ind w:firstLine="2409"/>
              <w:jc w:val="center"/>
              <w:rPr>
                <w:rFonts w:eastAsia="仿宋_GB2312"/>
                <w:color w:val="auto"/>
                <w:sz w:val="30"/>
                <w:szCs w:val="30"/>
                <w:highlight w:val="none"/>
              </w:rPr>
            </w:pPr>
          </w:p>
        </w:tc>
      </w:tr>
      <w:tr w14:paraId="27BB5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407D1CB">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1B084ADD">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282CCC44">
            <w:pPr>
              <w:pStyle w:val="25"/>
              <w:keepNext/>
              <w:spacing w:after="0" w:line="440" w:lineRule="exact"/>
              <w:ind w:left="63" w:right="63" w:firstLine="2409"/>
              <w:rPr>
                <w:rFonts w:eastAsia="仿宋_GB2312"/>
                <w:color w:val="auto"/>
                <w:sz w:val="30"/>
                <w:szCs w:val="30"/>
                <w:highlight w:val="none"/>
              </w:rPr>
            </w:pPr>
          </w:p>
        </w:tc>
        <w:tc>
          <w:tcPr>
            <w:tcW w:w="940" w:type="dxa"/>
            <w:vAlign w:val="center"/>
          </w:tcPr>
          <w:p w14:paraId="59A50739">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2B12EA3A">
            <w:pPr>
              <w:pStyle w:val="25"/>
              <w:keepNext/>
              <w:spacing w:after="0" w:line="440" w:lineRule="exact"/>
              <w:ind w:left="63" w:right="63" w:firstLine="2409"/>
              <w:rPr>
                <w:rFonts w:eastAsia="仿宋_GB2312"/>
                <w:color w:val="auto"/>
                <w:sz w:val="30"/>
                <w:szCs w:val="30"/>
                <w:highlight w:val="none"/>
              </w:rPr>
            </w:pPr>
          </w:p>
        </w:tc>
        <w:tc>
          <w:tcPr>
            <w:tcW w:w="1044" w:type="dxa"/>
            <w:vAlign w:val="center"/>
          </w:tcPr>
          <w:p w14:paraId="0FB088B7">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02799F90">
            <w:pPr>
              <w:pStyle w:val="25"/>
              <w:keepNext/>
              <w:spacing w:after="0" w:line="440" w:lineRule="exact"/>
              <w:ind w:left="63" w:right="63" w:firstLine="2409"/>
              <w:rPr>
                <w:rFonts w:eastAsia="仿宋_GB2312"/>
                <w:color w:val="auto"/>
                <w:sz w:val="30"/>
                <w:szCs w:val="30"/>
                <w:highlight w:val="none"/>
              </w:rPr>
            </w:pPr>
          </w:p>
        </w:tc>
        <w:tc>
          <w:tcPr>
            <w:tcW w:w="851" w:type="dxa"/>
            <w:vAlign w:val="center"/>
          </w:tcPr>
          <w:p w14:paraId="0EEB0AF1">
            <w:pPr>
              <w:pStyle w:val="25"/>
              <w:keepNext/>
              <w:spacing w:after="0" w:line="440" w:lineRule="exact"/>
              <w:ind w:left="63" w:right="63" w:firstLine="2409"/>
              <w:rPr>
                <w:rFonts w:eastAsia="仿宋_GB2312"/>
                <w:color w:val="auto"/>
                <w:sz w:val="30"/>
                <w:szCs w:val="30"/>
                <w:highlight w:val="none"/>
              </w:rPr>
            </w:pPr>
          </w:p>
        </w:tc>
        <w:tc>
          <w:tcPr>
            <w:tcW w:w="1487" w:type="dxa"/>
            <w:vAlign w:val="center"/>
          </w:tcPr>
          <w:p w14:paraId="6A0F78CC">
            <w:pPr>
              <w:pStyle w:val="25"/>
              <w:keepNext/>
              <w:spacing w:after="0" w:line="440" w:lineRule="exact"/>
              <w:ind w:left="63" w:right="63" w:firstLine="2409"/>
              <w:rPr>
                <w:rFonts w:eastAsia="仿宋_GB2312"/>
                <w:color w:val="auto"/>
                <w:sz w:val="30"/>
                <w:szCs w:val="30"/>
                <w:highlight w:val="none"/>
              </w:rPr>
            </w:pPr>
          </w:p>
        </w:tc>
        <w:tc>
          <w:tcPr>
            <w:tcW w:w="992" w:type="dxa"/>
            <w:vAlign w:val="center"/>
          </w:tcPr>
          <w:p w14:paraId="6E9A1242">
            <w:pPr>
              <w:pStyle w:val="25"/>
              <w:keepNext/>
              <w:spacing w:after="0" w:line="440" w:lineRule="exact"/>
              <w:ind w:left="63" w:right="63" w:firstLine="2409"/>
              <w:rPr>
                <w:rFonts w:eastAsia="仿宋_GB2312"/>
                <w:color w:val="auto"/>
                <w:sz w:val="30"/>
                <w:szCs w:val="30"/>
                <w:highlight w:val="none"/>
              </w:rPr>
            </w:pPr>
          </w:p>
        </w:tc>
      </w:tr>
      <w:tr w14:paraId="53E81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9820EDB">
            <w:pPr>
              <w:ind w:firstLine="2409"/>
              <w:jc w:val="center"/>
              <w:rPr>
                <w:rFonts w:eastAsia="仿宋_GB2312"/>
                <w:color w:val="auto"/>
                <w:sz w:val="30"/>
                <w:szCs w:val="30"/>
                <w:highlight w:val="none"/>
              </w:rPr>
            </w:pPr>
          </w:p>
        </w:tc>
        <w:tc>
          <w:tcPr>
            <w:tcW w:w="1276" w:type="dxa"/>
            <w:vAlign w:val="center"/>
          </w:tcPr>
          <w:p w14:paraId="6D80DDF1">
            <w:pPr>
              <w:ind w:firstLine="2409"/>
              <w:jc w:val="center"/>
              <w:rPr>
                <w:rFonts w:eastAsia="仿宋_GB2312"/>
                <w:color w:val="auto"/>
                <w:sz w:val="30"/>
                <w:szCs w:val="30"/>
                <w:highlight w:val="none"/>
              </w:rPr>
            </w:pPr>
          </w:p>
        </w:tc>
        <w:tc>
          <w:tcPr>
            <w:tcW w:w="1418" w:type="dxa"/>
            <w:vAlign w:val="center"/>
          </w:tcPr>
          <w:p w14:paraId="03CF6675">
            <w:pPr>
              <w:ind w:firstLine="2409"/>
              <w:jc w:val="center"/>
              <w:rPr>
                <w:rFonts w:eastAsia="仿宋_GB2312"/>
                <w:color w:val="auto"/>
                <w:sz w:val="30"/>
                <w:szCs w:val="30"/>
                <w:highlight w:val="none"/>
              </w:rPr>
            </w:pPr>
          </w:p>
        </w:tc>
        <w:tc>
          <w:tcPr>
            <w:tcW w:w="940" w:type="dxa"/>
            <w:vAlign w:val="center"/>
          </w:tcPr>
          <w:p w14:paraId="469A4C61">
            <w:pPr>
              <w:ind w:firstLine="2409"/>
              <w:jc w:val="center"/>
              <w:rPr>
                <w:rFonts w:eastAsia="仿宋_GB2312"/>
                <w:color w:val="auto"/>
                <w:sz w:val="30"/>
                <w:szCs w:val="30"/>
                <w:highlight w:val="none"/>
              </w:rPr>
            </w:pPr>
          </w:p>
        </w:tc>
        <w:tc>
          <w:tcPr>
            <w:tcW w:w="851" w:type="dxa"/>
            <w:vAlign w:val="center"/>
          </w:tcPr>
          <w:p w14:paraId="2870EFB8">
            <w:pPr>
              <w:ind w:firstLine="2409"/>
              <w:jc w:val="center"/>
              <w:rPr>
                <w:rFonts w:eastAsia="仿宋_GB2312"/>
                <w:color w:val="auto"/>
                <w:sz w:val="30"/>
                <w:szCs w:val="30"/>
                <w:highlight w:val="none"/>
              </w:rPr>
            </w:pPr>
          </w:p>
        </w:tc>
        <w:tc>
          <w:tcPr>
            <w:tcW w:w="1044" w:type="dxa"/>
            <w:vAlign w:val="center"/>
          </w:tcPr>
          <w:p w14:paraId="0FA92E74">
            <w:pPr>
              <w:ind w:firstLine="2409"/>
              <w:jc w:val="center"/>
              <w:rPr>
                <w:rFonts w:eastAsia="仿宋_GB2312"/>
                <w:color w:val="auto"/>
                <w:sz w:val="30"/>
                <w:szCs w:val="30"/>
                <w:highlight w:val="none"/>
              </w:rPr>
            </w:pPr>
          </w:p>
        </w:tc>
        <w:tc>
          <w:tcPr>
            <w:tcW w:w="992" w:type="dxa"/>
            <w:vAlign w:val="center"/>
          </w:tcPr>
          <w:p w14:paraId="6867CBFD">
            <w:pPr>
              <w:ind w:firstLine="2409"/>
              <w:jc w:val="center"/>
              <w:rPr>
                <w:rFonts w:eastAsia="仿宋_GB2312"/>
                <w:color w:val="auto"/>
                <w:sz w:val="30"/>
                <w:szCs w:val="30"/>
                <w:highlight w:val="none"/>
              </w:rPr>
            </w:pPr>
          </w:p>
        </w:tc>
        <w:tc>
          <w:tcPr>
            <w:tcW w:w="851" w:type="dxa"/>
            <w:vAlign w:val="center"/>
          </w:tcPr>
          <w:p w14:paraId="71099D6C">
            <w:pPr>
              <w:ind w:firstLine="2409"/>
              <w:jc w:val="center"/>
              <w:rPr>
                <w:rFonts w:eastAsia="仿宋_GB2312"/>
                <w:color w:val="auto"/>
                <w:sz w:val="30"/>
                <w:szCs w:val="30"/>
                <w:highlight w:val="none"/>
              </w:rPr>
            </w:pPr>
          </w:p>
        </w:tc>
        <w:tc>
          <w:tcPr>
            <w:tcW w:w="1487" w:type="dxa"/>
            <w:vAlign w:val="center"/>
          </w:tcPr>
          <w:p w14:paraId="18E92362">
            <w:pPr>
              <w:ind w:firstLine="2409"/>
              <w:jc w:val="center"/>
              <w:rPr>
                <w:rFonts w:eastAsia="仿宋_GB2312"/>
                <w:color w:val="auto"/>
                <w:sz w:val="30"/>
                <w:szCs w:val="30"/>
                <w:highlight w:val="none"/>
              </w:rPr>
            </w:pPr>
          </w:p>
        </w:tc>
        <w:tc>
          <w:tcPr>
            <w:tcW w:w="992" w:type="dxa"/>
            <w:vAlign w:val="center"/>
          </w:tcPr>
          <w:p w14:paraId="42FF36DA">
            <w:pPr>
              <w:ind w:firstLine="2409"/>
              <w:jc w:val="center"/>
              <w:rPr>
                <w:rFonts w:eastAsia="仿宋_GB2312"/>
                <w:color w:val="auto"/>
                <w:sz w:val="30"/>
                <w:szCs w:val="30"/>
                <w:highlight w:val="none"/>
              </w:rPr>
            </w:pPr>
          </w:p>
        </w:tc>
      </w:tr>
      <w:tr w14:paraId="51937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8EBA098">
            <w:pPr>
              <w:ind w:firstLine="2409"/>
              <w:jc w:val="center"/>
              <w:rPr>
                <w:rFonts w:eastAsia="仿宋_GB2312"/>
                <w:color w:val="auto"/>
                <w:sz w:val="30"/>
                <w:szCs w:val="30"/>
                <w:highlight w:val="none"/>
              </w:rPr>
            </w:pPr>
          </w:p>
        </w:tc>
        <w:tc>
          <w:tcPr>
            <w:tcW w:w="1276" w:type="dxa"/>
            <w:vAlign w:val="center"/>
          </w:tcPr>
          <w:p w14:paraId="527CABDA">
            <w:pPr>
              <w:ind w:firstLine="2409"/>
              <w:jc w:val="center"/>
              <w:rPr>
                <w:rFonts w:eastAsia="仿宋_GB2312"/>
                <w:color w:val="auto"/>
                <w:sz w:val="30"/>
                <w:szCs w:val="30"/>
                <w:highlight w:val="none"/>
              </w:rPr>
            </w:pPr>
          </w:p>
        </w:tc>
        <w:tc>
          <w:tcPr>
            <w:tcW w:w="1418" w:type="dxa"/>
            <w:vAlign w:val="center"/>
          </w:tcPr>
          <w:p w14:paraId="13D9B2B9">
            <w:pPr>
              <w:ind w:firstLine="2409"/>
              <w:jc w:val="center"/>
              <w:rPr>
                <w:rFonts w:eastAsia="仿宋_GB2312"/>
                <w:color w:val="auto"/>
                <w:sz w:val="30"/>
                <w:szCs w:val="30"/>
                <w:highlight w:val="none"/>
              </w:rPr>
            </w:pPr>
          </w:p>
        </w:tc>
        <w:tc>
          <w:tcPr>
            <w:tcW w:w="940" w:type="dxa"/>
            <w:vAlign w:val="center"/>
          </w:tcPr>
          <w:p w14:paraId="21AA2598">
            <w:pPr>
              <w:ind w:firstLine="2409"/>
              <w:jc w:val="center"/>
              <w:rPr>
                <w:rFonts w:eastAsia="仿宋_GB2312"/>
                <w:color w:val="auto"/>
                <w:sz w:val="30"/>
                <w:szCs w:val="30"/>
                <w:highlight w:val="none"/>
              </w:rPr>
            </w:pPr>
          </w:p>
        </w:tc>
        <w:tc>
          <w:tcPr>
            <w:tcW w:w="851" w:type="dxa"/>
            <w:vAlign w:val="center"/>
          </w:tcPr>
          <w:p w14:paraId="17710F83">
            <w:pPr>
              <w:ind w:firstLine="2409"/>
              <w:jc w:val="center"/>
              <w:rPr>
                <w:rFonts w:eastAsia="仿宋_GB2312"/>
                <w:color w:val="auto"/>
                <w:sz w:val="30"/>
                <w:szCs w:val="30"/>
                <w:highlight w:val="none"/>
              </w:rPr>
            </w:pPr>
          </w:p>
        </w:tc>
        <w:tc>
          <w:tcPr>
            <w:tcW w:w="1044" w:type="dxa"/>
            <w:vAlign w:val="center"/>
          </w:tcPr>
          <w:p w14:paraId="676CDF84">
            <w:pPr>
              <w:ind w:firstLine="2409"/>
              <w:jc w:val="center"/>
              <w:rPr>
                <w:rFonts w:eastAsia="仿宋_GB2312"/>
                <w:color w:val="auto"/>
                <w:sz w:val="30"/>
                <w:szCs w:val="30"/>
                <w:highlight w:val="none"/>
              </w:rPr>
            </w:pPr>
          </w:p>
        </w:tc>
        <w:tc>
          <w:tcPr>
            <w:tcW w:w="992" w:type="dxa"/>
            <w:vAlign w:val="center"/>
          </w:tcPr>
          <w:p w14:paraId="56C7BD5E">
            <w:pPr>
              <w:ind w:firstLine="2409"/>
              <w:jc w:val="center"/>
              <w:rPr>
                <w:rFonts w:eastAsia="仿宋_GB2312"/>
                <w:color w:val="auto"/>
                <w:sz w:val="30"/>
                <w:szCs w:val="30"/>
                <w:highlight w:val="none"/>
              </w:rPr>
            </w:pPr>
          </w:p>
        </w:tc>
        <w:tc>
          <w:tcPr>
            <w:tcW w:w="851" w:type="dxa"/>
            <w:vAlign w:val="center"/>
          </w:tcPr>
          <w:p w14:paraId="47B8A700">
            <w:pPr>
              <w:ind w:firstLine="2409"/>
              <w:jc w:val="center"/>
              <w:rPr>
                <w:rFonts w:eastAsia="仿宋_GB2312"/>
                <w:color w:val="auto"/>
                <w:sz w:val="30"/>
                <w:szCs w:val="30"/>
                <w:highlight w:val="none"/>
              </w:rPr>
            </w:pPr>
          </w:p>
        </w:tc>
        <w:tc>
          <w:tcPr>
            <w:tcW w:w="1487" w:type="dxa"/>
            <w:vAlign w:val="center"/>
          </w:tcPr>
          <w:p w14:paraId="11EB7B67">
            <w:pPr>
              <w:ind w:firstLine="2409"/>
              <w:jc w:val="center"/>
              <w:rPr>
                <w:rFonts w:eastAsia="仿宋_GB2312"/>
                <w:color w:val="auto"/>
                <w:sz w:val="30"/>
                <w:szCs w:val="30"/>
                <w:highlight w:val="none"/>
              </w:rPr>
            </w:pPr>
          </w:p>
        </w:tc>
        <w:tc>
          <w:tcPr>
            <w:tcW w:w="992" w:type="dxa"/>
            <w:vAlign w:val="center"/>
          </w:tcPr>
          <w:p w14:paraId="11E9CE13">
            <w:pPr>
              <w:ind w:firstLine="2409"/>
              <w:jc w:val="center"/>
              <w:rPr>
                <w:rFonts w:eastAsia="仿宋_GB2312"/>
                <w:color w:val="auto"/>
                <w:sz w:val="30"/>
                <w:szCs w:val="30"/>
                <w:highlight w:val="none"/>
              </w:rPr>
            </w:pPr>
          </w:p>
        </w:tc>
      </w:tr>
      <w:tr w14:paraId="779AE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8D3D2E6">
            <w:pPr>
              <w:ind w:firstLine="2409"/>
              <w:jc w:val="center"/>
              <w:rPr>
                <w:rFonts w:eastAsia="仿宋_GB2312"/>
                <w:color w:val="auto"/>
                <w:sz w:val="30"/>
                <w:szCs w:val="30"/>
                <w:highlight w:val="none"/>
              </w:rPr>
            </w:pPr>
          </w:p>
        </w:tc>
        <w:tc>
          <w:tcPr>
            <w:tcW w:w="1276" w:type="dxa"/>
            <w:vAlign w:val="center"/>
          </w:tcPr>
          <w:p w14:paraId="214EA00B">
            <w:pPr>
              <w:ind w:firstLine="2409"/>
              <w:jc w:val="center"/>
              <w:rPr>
                <w:rFonts w:eastAsia="仿宋_GB2312"/>
                <w:color w:val="auto"/>
                <w:sz w:val="30"/>
                <w:szCs w:val="30"/>
                <w:highlight w:val="none"/>
              </w:rPr>
            </w:pPr>
          </w:p>
        </w:tc>
        <w:tc>
          <w:tcPr>
            <w:tcW w:w="1418" w:type="dxa"/>
            <w:vAlign w:val="center"/>
          </w:tcPr>
          <w:p w14:paraId="605E7B58">
            <w:pPr>
              <w:ind w:firstLine="2409"/>
              <w:jc w:val="center"/>
              <w:rPr>
                <w:rFonts w:eastAsia="仿宋_GB2312"/>
                <w:color w:val="auto"/>
                <w:sz w:val="30"/>
                <w:szCs w:val="30"/>
                <w:highlight w:val="none"/>
              </w:rPr>
            </w:pPr>
          </w:p>
        </w:tc>
        <w:tc>
          <w:tcPr>
            <w:tcW w:w="940" w:type="dxa"/>
            <w:vAlign w:val="center"/>
          </w:tcPr>
          <w:p w14:paraId="23AEC566">
            <w:pPr>
              <w:ind w:firstLine="2409"/>
              <w:jc w:val="center"/>
              <w:rPr>
                <w:rFonts w:eastAsia="仿宋_GB2312"/>
                <w:color w:val="auto"/>
                <w:sz w:val="30"/>
                <w:szCs w:val="30"/>
                <w:highlight w:val="none"/>
              </w:rPr>
            </w:pPr>
          </w:p>
        </w:tc>
        <w:tc>
          <w:tcPr>
            <w:tcW w:w="851" w:type="dxa"/>
            <w:vAlign w:val="center"/>
          </w:tcPr>
          <w:p w14:paraId="02D79926">
            <w:pPr>
              <w:ind w:firstLine="2409"/>
              <w:jc w:val="center"/>
              <w:rPr>
                <w:rFonts w:eastAsia="仿宋_GB2312"/>
                <w:color w:val="auto"/>
                <w:sz w:val="30"/>
                <w:szCs w:val="30"/>
                <w:highlight w:val="none"/>
              </w:rPr>
            </w:pPr>
          </w:p>
        </w:tc>
        <w:tc>
          <w:tcPr>
            <w:tcW w:w="1044" w:type="dxa"/>
            <w:vAlign w:val="center"/>
          </w:tcPr>
          <w:p w14:paraId="241AF809">
            <w:pPr>
              <w:ind w:firstLine="2409"/>
              <w:jc w:val="center"/>
              <w:rPr>
                <w:rFonts w:eastAsia="仿宋_GB2312"/>
                <w:color w:val="auto"/>
                <w:sz w:val="30"/>
                <w:szCs w:val="30"/>
                <w:highlight w:val="none"/>
              </w:rPr>
            </w:pPr>
          </w:p>
        </w:tc>
        <w:tc>
          <w:tcPr>
            <w:tcW w:w="992" w:type="dxa"/>
            <w:vAlign w:val="center"/>
          </w:tcPr>
          <w:p w14:paraId="39AA31B6">
            <w:pPr>
              <w:ind w:firstLine="2409"/>
              <w:jc w:val="center"/>
              <w:rPr>
                <w:rFonts w:eastAsia="仿宋_GB2312"/>
                <w:color w:val="auto"/>
                <w:sz w:val="30"/>
                <w:szCs w:val="30"/>
                <w:highlight w:val="none"/>
              </w:rPr>
            </w:pPr>
          </w:p>
        </w:tc>
        <w:tc>
          <w:tcPr>
            <w:tcW w:w="851" w:type="dxa"/>
            <w:vAlign w:val="center"/>
          </w:tcPr>
          <w:p w14:paraId="5141E5B0">
            <w:pPr>
              <w:ind w:firstLine="2409"/>
              <w:jc w:val="center"/>
              <w:rPr>
                <w:rFonts w:eastAsia="仿宋_GB2312"/>
                <w:color w:val="auto"/>
                <w:sz w:val="30"/>
                <w:szCs w:val="30"/>
                <w:highlight w:val="none"/>
              </w:rPr>
            </w:pPr>
          </w:p>
        </w:tc>
        <w:tc>
          <w:tcPr>
            <w:tcW w:w="1487" w:type="dxa"/>
            <w:vAlign w:val="center"/>
          </w:tcPr>
          <w:p w14:paraId="68157138">
            <w:pPr>
              <w:ind w:firstLine="2409"/>
              <w:jc w:val="center"/>
              <w:rPr>
                <w:rFonts w:eastAsia="仿宋_GB2312"/>
                <w:color w:val="auto"/>
                <w:sz w:val="30"/>
                <w:szCs w:val="30"/>
                <w:highlight w:val="none"/>
              </w:rPr>
            </w:pPr>
          </w:p>
        </w:tc>
        <w:tc>
          <w:tcPr>
            <w:tcW w:w="992" w:type="dxa"/>
            <w:vAlign w:val="center"/>
          </w:tcPr>
          <w:p w14:paraId="19A55AD8">
            <w:pPr>
              <w:ind w:firstLine="2409"/>
              <w:jc w:val="center"/>
              <w:rPr>
                <w:rFonts w:eastAsia="仿宋_GB2312"/>
                <w:color w:val="auto"/>
                <w:sz w:val="30"/>
                <w:szCs w:val="30"/>
                <w:highlight w:val="none"/>
              </w:rPr>
            </w:pPr>
          </w:p>
        </w:tc>
      </w:tr>
      <w:tr w14:paraId="39A08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BABBAEE">
            <w:pPr>
              <w:ind w:firstLine="2409"/>
              <w:jc w:val="center"/>
              <w:rPr>
                <w:rFonts w:eastAsia="仿宋_GB2312"/>
                <w:color w:val="auto"/>
                <w:sz w:val="30"/>
                <w:szCs w:val="30"/>
                <w:highlight w:val="none"/>
              </w:rPr>
            </w:pPr>
          </w:p>
        </w:tc>
        <w:tc>
          <w:tcPr>
            <w:tcW w:w="1276" w:type="dxa"/>
            <w:vAlign w:val="center"/>
          </w:tcPr>
          <w:p w14:paraId="562EE60C">
            <w:pPr>
              <w:ind w:firstLine="2409"/>
              <w:jc w:val="center"/>
              <w:rPr>
                <w:rFonts w:eastAsia="仿宋_GB2312"/>
                <w:color w:val="auto"/>
                <w:sz w:val="30"/>
                <w:szCs w:val="30"/>
                <w:highlight w:val="none"/>
              </w:rPr>
            </w:pPr>
          </w:p>
        </w:tc>
        <w:tc>
          <w:tcPr>
            <w:tcW w:w="1418" w:type="dxa"/>
            <w:vAlign w:val="center"/>
          </w:tcPr>
          <w:p w14:paraId="603C2CEE">
            <w:pPr>
              <w:ind w:firstLine="2409"/>
              <w:jc w:val="center"/>
              <w:rPr>
                <w:rFonts w:eastAsia="仿宋_GB2312"/>
                <w:color w:val="auto"/>
                <w:sz w:val="30"/>
                <w:szCs w:val="30"/>
                <w:highlight w:val="none"/>
              </w:rPr>
            </w:pPr>
          </w:p>
        </w:tc>
        <w:tc>
          <w:tcPr>
            <w:tcW w:w="940" w:type="dxa"/>
            <w:vAlign w:val="center"/>
          </w:tcPr>
          <w:p w14:paraId="7F9486BE">
            <w:pPr>
              <w:ind w:firstLine="2409"/>
              <w:jc w:val="center"/>
              <w:rPr>
                <w:rFonts w:eastAsia="仿宋_GB2312"/>
                <w:color w:val="auto"/>
                <w:sz w:val="30"/>
                <w:szCs w:val="30"/>
                <w:highlight w:val="none"/>
              </w:rPr>
            </w:pPr>
          </w:p>
        </w:tc>
        <w:tc>
          <w:tcPr>
            <w:tcW w:w="851" w:type="dxa"/>
            <w:vAlign w:val="center"/>
          </w:tcPr>
          <w:p w14:paraId="00021087">
            <w:pPr>
              <w:ind w:firstLine="2409"/>
              <w:jc w:val="center"/>
              <w:rPr>
                <w:rFonts w:eastAsia="仿宋_GB2312"/>
                <w:color w:val="auto"/>
                <w:sz w:val="30"/>
                <w:szCs w:val="30"/>
                <w:highlight w:val="none"/>
              </w:rPr>
            </w:pPr>
          </w:p>
        </w:tc>
        <w:tc>
          <w:tcPr>
            <w:tcW w:w="1044" w:type="dxa"/>
            <w:vAlign w:val="center"/>
          </w:tcPr>
          <w:p w14:paraId="6A40B4ED">
            <w:pPr>
              <w:ind w:firstLine="2409"/>
              <w:jc w:val="center"/>
              <w:rPr>
                <w:rFonts w:eastAsia="仿宋_GB2312"/>
                <w:color w:val="auto"/>
                <w:sz w:val="30"/>
                <w:szCs w:val="30"/>
                <w:highlight w:val="none"/>
              </w:rPr>
            </w:pPr>
          </w:p>
        </w:tc>
        <w:tc>
          <w:tcPr>
            <w:tcW w:w="992" w:type="dxa"/>
            <w:vAlign w:val="center"/>
          </w:tcPr>
          <w:p w14:paraId="4F69D68B">
            <w:pPr>
              <w:ind w:firstLine="2409"/>
              <w:jc w:val="center"/>
              <w:rPr>
                <w:rFonts w:eastAsia="仿宋_GB2312"/>
                <w:color w:val="auto"/>
                <w:sz w:val="30"/>
                <w:szCs w:val="30"/>
                <w:highlight w:val="none"/>
              </w:rPr>
            </w:pPr>
          </w:p>
        </w:tc>
        <w:tc>
          <w:tcPr>
            <w:tcW w:w="851" w:type="dxa"/>
            <w:vAlign w:val="center"/>
          </w:tcPr>
          <w:p w14:paraId="2A587028">
            <w:pPr>
              <w:ind w:firstLine="2409"/>
              <w:jc w:val="center"/>
              <w:rPr>
                <w:rFonts w:eastAsia="仿宋_GB2312"/>
                <w:color w:val="auto"/>
                <w:sz w:val="30"/>
                <w:szCs w:val="30"/>
                <w:highlight w:val="none"/>
              </w:rPr>
            </w:pPr>
          </w:p>
        </w:tc>
        <w:tc>
          <w:tcPr>
            <w:tcW w:w="1487" w:type="dxa"/>
            <w:vAlign w:val="center"/>
          </w:tcPr>
          <w:p w14:paraId="1DD38A52">
            <w:pPr>
              <w:ind w:firstLine="2409"/>
              <w:jc w:val="center"/>
              <w:rPr>
                <w:rFonts w:eastAsia="仿宋_GB2312"/>
                <w:color w:val="auto"/>
                <w:sz w:val="30"/>
                <w:szCs w:val="30"/>
                <w:highlight w:val="none"/>
              </w:rPr>
            </w:pPr>
          </w:p>
        </w:tc>
        <w:tc>
          <w:tcPr>
            <w:tcW w:w="992" w:type="dxa"/>
            <w:vAlign w:val="center"/>
          </w:tcPr>
          <w:p w14:paraId="576E32D2">
            <w:pPr>
              <w:ind w:firstLine="2409"/>
              <w:jc w:val="center"/>
              <w:rPr>
                <w:rFonts w:eastAsia="仿宋_GB2312"/>
                <w:color w:val="auto"/>
                <w:sz w:val="30"/>
                <w:szCs w:val="30"/>
                <w:highlight w:val="none"/>
              </w:rPr>
            </w:pPr>
          </w:p>
        </w:tc>
      </w:tr>
      <w:tr w14:paraId="5E96F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DE642BA">
            <w:pPr>
              <w:ind w:firstLine="2409"/>
              <w:jc w:val="center"/>
              <w:rPr>
                <w:rFonts w:eastAsia="仿宋_GB2312"/>
                <w:color w:val="auto"/>
                <w:sz w:val="30"/>
                <w:szCs w:val="30"/>
                <w:highlight w:val="none"/>
              </w:rPr>
            </w:pPr>
          </w:p>
        </w:tc>
        <w:tc>
          <w:tcPr>
            <w:tcW w:w="1276" w:type="dxa"/>
            <w:vAlign w:val="center"/>
          </w:tcPr>
          <w:p w14:paraId="659ABCD9">
            <w:pPr>
              <w:ind w:firstLine="2409"/>
              <w:jc w:val="center"/>
              <w:rPr>
                <w:rFonts w:eastAsia="仿宋_GB2312"/>
                <w:color w:val="auto"/>
                <w:sz w:val="30"/>
                <w:szCs w:val="30"/>
                <w:highlight w:val="none"/>
              </w:rPr>
            </w:pPr>
          </w:p>
        </w:tc>
        <w:tc>
          <w:tcPr>
            <w:tcW w:w="1418" w:type="dxa"/>
            <w:vAlign w:val="center"/>
          </w:tcPr>
          <w:p w14:paraId="7C4BC485">
            <w:pPr>
              <w:ind w:firstLine="2409"/>
              <w:jc w:val="center"/>
              <w:rPr>
                <w:rFonts w:eastAsia="仿宋_GB2312"/>
                <w:color w:val="auto"/>
                <w:sz w:val="30"/>
                <w:szCs w:val="30"/>
                <w:highlight w:val="none"/>
              </w:rPr>
            </w:pPr>
          </w:p>
        </w:tc>
        <w:tc>
          <w:tcPr>
            <w:tcW w:w="940" w:type="dxa"/>
            <w:vAlign w:val="center"/>
          </w:tcPr>
          <w:p w14:paraId="01BF0D8B">
            <w:pPr>
              <w:ind w:firstLine="2409"/>
              <w:jc w:val="center"/>
              <w:rPr>
                <w:rFonts w:eastAsia="仿宋_GB2312"/>
                <w:color w:val="auto"/>
                <w:sz w:val="30"/>
                <w:szCs w:val="30"/>
                <w:highlight w:val="none"/>
              </w:rPr>
            </w:pPr>
          </w:p>
        </w:tc>
        <w:tc>
          <w:tcPr>
            <w:tcW w:w="851" w:type="dxa"/>
            <w:vAlign w:val="center"/>
          </w:tcPr>
          <w:p w14:paraId="19773E47">
            <w:pPr>
              <w:ind w:firstLine="2409"/>
              <w:jc w:val="center"/>
              <w:rPr>
                <w:rFonts w:eastAsia="仿宋_GB2312"/>
                <w:color w:val="auto"/>
                <w:sz w:val="30"/>
                <w:szCs w:val="30"/>
                <w:highlight w:val="none"/>
              </w:rPr>
            </w:pPr>
          </w:p>
        </w:tc>
        <w:tc>
          <w:tcPr>
            <w:tcW w:w="1044" w:type="dxa"/>
            <w:vAlign w:val="center"/>
          </w:tcPr>
          <w:p w14:paraId="0E9CE6CA">
            <w:pPr>
              <w:ind w:firstLine="2409"/>
              <w:jc w:val="center"/>
              <w:rPr>
                <w:rFonts w:eastAsia="仿宋_GB2312"/>
                <w:color w:val="auto"/>
                <w:sz w:val="30"/>
                <w:szCs w:val="30"/>
                <w:highlight w:val="none"/>
              </w:rPr>
            </w:pPr>
          </w:p>
        </w:tc>
        <w:tc>
          <w:tcPr>
            <w:tcW w:w="992" w:type="dxa"/>
            <w:vAlign w:val="center"/>
          </w:tcPr>
          <w:p w14:paraId="344E9851">
            <w:pPr>
              <w:ind w:firstLine="2409"/>
              <w:jc w:val="center"/>
              <w:rPr>
                <w:rFonts w:eastAsia="仿宋_GB2312"/>
                <w:color w:val="auto"/>
                <w:sz w:val="30"/>
                <w:szCs w:val="30"/>
                <w:highlight w:val="none"/>
              </w:rPr>
            </w:pPr>
          </w:p>
        </w:tc>
        <w:tc>
          <w:tcPr>
            <w:tcW w:w="851" w:type="dxa"/>
            <w:vAlign w:val="center"/>
          </w:tcPr>
          <w:p w14:paraId="46363976">
            <w:pPr>
              <w:ind w:firstLine="2409"/>
              <w:jc w:val="center"/>
              <w:rPr>
                <w:rFonts w:eastAsia="仿宋_GB2312"/>
                <w:color w:val="auto"/>
                <w:sz w:val="30"/>
                <w:szCs w:val="30"/>
                <w:highlight w:val="none"/>
              </w:rPr>
            </w:pPr>
          </w:p>
        </w:tc>
        <w:tc>
          <w:tcPr>
            <w:tcW w:w="1487" w:type="dxa"/>
            <w:vAlign w:val="center"/>
          </w:tcPr>
          <w:p w14:paraId="29473C22">
            <w:pPr>
              <w:ind w:firstLine="2409"/>
              <w:jc w:val="center"/>
              <w:rPr>
                <w:rFonts w:eastAsia="仿宋_GB2312"/>
                <w:color w:val="auto"/>
                <w:sz w:val="30"/>
                <w:szCs w:val="30"/>
                <w:highlight w:val="none"/>
              </w:rPr>
            </w:pPr>
          </w:p>
        </w:tc>
        <w:tc>
          <w:tcPr>
            <w:tcW w:w="992" w:type="dxa"/>
            <w:vAlign w:val="center"/>
          </w:tcPr>
          <w:p w14:paraId="2CDABD25">
            <w:pPr>
              <w:ind w:firstLine="2409"/>
              <w:jc w:val="center"/>
              <w:rPr>
                <w:rFonts w:eastAsia="仿宋_GB2312"/>
                <w:color w:val="auto"/>
                <w:sz w:val="30"/>
                <w:szCs w:val="30"/>
                <w:highlight w:val="none"/>
              </w:rPr>
            </w:pPr>
          </w:p>
        </w:tc>
      </w:tr>
      <w:tr w14:paraId="64EE2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FB343E0">
            <w:pPr>
              <w:ind w:firstLine="2409"/>
              <w:jc w:val="center"/>
              <w:rPr>
                <w:rFonts w:eastAsia="仿宋_GB2312"/>
                <w:color w:val="auto"/>
                <w:sz w:val="30"/>
                <w:szCs w:val="30"/>
                <w:highlight w:val="none"/>
              </w:rPr>
            </w:pPr>
          </w:p>
        </w:tc>
        <w:tc>
          <w:tcPr>
            <w:tcW w:w="1276" w:type="dxa"/>
            <w:vAlign w:val="center"/>
          </w:tcPr>
          <w:p w14:paraId="7B3FD7B7">
            <w:pPr>
              <w:ind w:firstLine="2409"/>
              <w:jc w:val="center"/>
              <w:rPr>
                <w:rFonts w:eastAsia="仿宋_GB2312"/>
                <w:color w:val="auto"/>
                <w:sz w:val="30"/>
                <w:szCs w:val="30"/>
                <w:highlight w:val="none"/>
              </w:rPr>
            </w:pPr>
          </w:p>
        </w:tc>
        <w:tc>
          <w:tcPr>
            <w:tcW w:w="1418" w:type="dxa"/>
            <w:vAlign w:val="center"/>
          </w:tcPr>
          <w:p w14:paraId="5B438489">
            <w:pPr>
              <w:ind w:firstLine="2409"/>
              <w:jc w:val="center"/>
              <w:rPr>
                <w:rFonts w:eastAsia="仿宋_GB2312"/>
                <w:color w:val="auto"/>
                <w:sz w:val="30"/>
                <w:szCs w:val="30"/>
                <w:highlight w:val="none"/>
              </w:rPr>
            </w:pPr>
          </w:p>
        </w:tc>
        <w:tc>
          <w:tcPr>
            <w:tcW w:w="940" w:type="dxa"/>
            <w:vAlign w:val="center"/>
          </w:tcPr>
          <w:p w14:paraId="48405BC1">
            <w:pPr>
              <w:ind w:firstLine="2409"/>
              <w:jc w:val="center"/>
              <w:rPr>
                <w:rFonts w:eastAsia="仿宋_GB2312"/>
                <w:color w:val="auto"/>
                <w:sz w:val="30"/>
                <w:szCs w:val="30"/>
                <w:highlight w:val="none"/>
              </w:rPr>
            </w:pPr>
          </w:p>
        </w:tc>
        <w:tc>
          <w:tcPr>
            <w:tcW w:w="851" w:type="dxa"/>
            <w:vAlign w:val="center"/>
          </w:tcPr>
          <w:p w14:paraId="680CC8BD">
            <w:pPr>
              <w:ind w:firstLine="2409"/>
              <w:jc w:val="center"/>
              <w:rPr>
                <w:rFonts w:eastAsia="仿宋_GB2312"/>
                <w:color w:val="auto"/>
                <w:sz w:val="30"/>
                <w:szCs w:val="30"/>
                <w:highlight w:val="none"/>
              </w:rPr>
            </w:pPr>
          </w:p>
        </w:tc>
        <w:tc>
          <w:tcPr>
            <w:tcW w:w="1044" w:type="dxa"/>
            <w:vAlign w:val="center"/>
          </w:tcPr>
          <w:p w14:paraId="4D7DDB64">
            <w:pPr>
              <w:ind w:firstLine="2409"/>
              <w:jc w:val="center"/>
              <w:rPr>
                <w:rFonts w:eastAsia="仿宋_GB2312"/>
                <w:color w:val="auto"/>
                <w:sz w:val="30"/>
                <w:szCs w:val="30"/>
                <w:highlight w:val="none"/>
              </w:rPr>
            </w:pPr>
          </w:p>
        </w:tc>
        <w:tc>
          <w:tcPr>
            <w:tcW w:w="992" w:type="dxa"/>
            <w:vAlign w:val="center"/>
          </w:tcPr>
          <w:p w14:paraId="70567845">
            <w:pPr>
              <w:ind w:firstLine="2409"/>
              <w:jc w:val="center"/>
              <w:rPr>
                <w:rFonts w:eastAsia="仿宋_GB2312"/>
                <w:color w:val="auto"/>
                <w:sz w:val="30"/>
                <w:szCs w:val="30"/>
                <w:highlight w:val="none"/>
              </w:rPr>
            </w:pPr>
          </w:p>
        </w:tc>
        <w:tc>
          <w:tcPr>
            <w:tcW w:w="851" w:type="dxa"/>
            <w:vAlign w:val="center"/>
          </w:tcPr>
          <w:p w14:paraId="4050F351">
            <w:pPr>
              <w:ind w:firstLine="2409"/>
              <w:jc w:val="center"/>
              <w:rPr>
                <w:rFonts w:eastAsia="仿宋_GB2312"/>
                <w:color w:val="auto"/>
                <w:sz w:val="30"/>
                <w:szCs w:val="30"/>
                <w:highlight w:val="none"/>
              </w:rPr>
            </w:pPr>
          </w:p>
        </w:tc>
        <w:tc>
          <w:tcPr>
            <w:tcW w:w="1487" w:type="dxa"/>
            <w:vAlign w:val="center"/>
          </w:tcPr>
          <w:p w14:paraId="7C9334D4">
            <w:pPr>
              <w:ind w:firstLine="2409"/>
              <w:jc w:val="center"/>
              <w:rPr>
                <w:rFonts w:eastAsia="仿宋_GB2312"/>
                <w:color w:val="auto"/>
                <w:sz w:val="30"/>
                <w:szCs w:val="30"/>
                <w:highlight w:val="none"/>
              </w:rPr>
            </w:pPr>
          </w:p>
        </w:tc>
        <w:tc>
          <w:tcPr>
            <w:tcW w:w="992" w:type="dxa"/>
            <w:vAlign w:val="center"/>
          </w:tcPr>
          <w:p w14:paraId="365E9104">
            <w:pPr>
              <w:ind w:firstLine="2409"/>
              <w:jc w:val="center"/>
              <w:rPr>
                <w:rFonts w:eastAsia="仿宋_GB2312"/>
                <w:color w:val="auto"/>
                <w:sz w:val="30"/>
                <w:szCs w:val="30"/>
                <w:highlight w:val="none"/>
              </w:rPr>
            </w:pPr>
          </w:p>
        </w:tc>
      </w:tr>
      <w:tr w14:paraId="7A5A6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F062729">
            <w:pPr>
              <w:ind w:firstLine="2409"/>
              <w:jc w:val="center"/>
              <w:rPr>
                <w:rFonts w:eastAsia="仿宋_GB2312"/>
                <w:color w:val="auto"/>
                <w:sz w:val="30"/>
                <w:szCs w:val="30"/>
                <w:highlight w:val="none"/>
              </w:rPr>
            </w:pPr>
          </w:p>
        </w:tc>
        <w:tc>
          <w:tcPr>
            <w:tcW w:w="1276" w:type="dxa"/>
            <w:vAlign w:val="center"/>
          </w:tcPr>
          <w:p w14:paraId="4A191833">
            <w:pPr>
              <w:ind w:firstLine="2409"/>
              <w:jc w:val="center"/>
              <w:rPr>
                <w:rFonts w:eastAsia="仿宋_GB2312"/>
                <w:color w:val="auto"/>
                <w:sz w:val="30"/>
                <w:szCs w:val="30"/>
                <w:highlight w:val="none"/>
              </w:rPr>
            </w:pPr>
          </w:p>
        </w:tc>
        <w:tc>
          <w:tcPr>
            <w:tcW w:w="1418" w:type="dxa"/>
            <w:vAlign w:val="center"/>
          </w:tcPr>
          <w:p w14:paraId="3FC2413B">
            <w:pPr>
              <w:ind w:firstLine="2409"/>
              <w:jc w:val="center"/>
              <w:rPr>
                <w:rFonts w:eastAsia="仿宋_GB2312"/>
                <w:color w:val="auto"/>
                <w:sz w:val="30"/>
                <w:szCs w:val="30"/>
                <w:highlight w:val="none"/>
              </w:rPr>
            </w:pPr>
          </w:p>
        </w:tc>
        <w:tc>
          <w:tcPr>
            <w:tcW w:w="940" w:type="dxa"/>
            <w:vAlign w:val="center"/>
          </w:tcPr>
          <w:p w14:paraId="1A4D5312">
            <w:pPr>
              <w:ind w:firstLine="2409"/>
              <w:jc w:val="center"/>
              <w:rPr>
                <w:rFonts w:eastAsia="仿宋_GB2312"/>
                <w:color w:val="auto"/>
                <w:sz w:val="30"/>
                <w:szCs w:val="30"/>
                <w:highlight w:val="none"/>
              </w:rPr>
            </w:pPr>
          </w:p>
        </w:tc>
        <w:tc>
          <w:tcPr>
            <w:tcW w:w="851" w:type="dxa"/>
            <w:vAlign w:val="center"/>
          </w:tcPr>
          <w:p w14:paraId="23789CD4">
            <w:pPr>
              <w:ind w:firstLine="2409"/>
              <w:jc w:val="center"/>
              <w:rPr>
                <w:rFonts w:eastAsia="仿宋_GB2312"/>
                <w:color w:val="auto"/>
                <w:sz w:val="30"/>
                <w:szCs w:val="30"/>
                <w:highlight w:val="none"/>
              </w:rPr>
            </w:pPr>
          </w:p>
        </w:tc>
        <w:tc>
          <w:tcPr>
            <w:tcW w:w="1044" w:type="dxa"/>
            <w:vAlign w:val="center"/>
          </w:tcPr>
          <w:p w14:paraId="652528D6">
            <w:pPr>
              <w:ind w:firstLine="2409"/>
              <w:jc w:val="center"/>
              <w:rPr>
                <w:rFonts w:eastAsia="仿宋_GB2312"/>
                <w:color w:val="auto"/>
                <w:sz w:val="30"/>
                <w:szCs w:val="30"/>
                <w:highlight w:val="none"/>
              </w:rPr>
            </w:pPr>
          </w:p>
        </w:tc>
        <w:tc>
          <w:tcPr>
            <w:tcW w:w="992" w:type="dxa"/>
            <w:vAlign w:val="center"/>
          </w:tcPr>
          <w:p w14:paraId="5D9C7FF1">
            <w:pPr>
              <w:ind w:firstLine="2409"/>
              <w:jc w:val="center"/>
              <w:rPr>
                <w:rFonts w:eastAsia="仿宋_GB2312"/>
                <w:color w:val="auto"/>
                <w:sz w:val="30"/>
                <w:szCs w:val="30"/>
                <w:highlight w:val="none"/>
              </w:rPr>
            </w:pPr>
          </w:p>
        </w:tc>
        <w:tc>
          <w:tcPr>
            <w:tcW w:w="851" w:type="dxa"/>
            <w:vAlign w:val="center"/>
          </w:tcPr>
          <w:p w14:paraId="57E53776">
            <w:pPr>
              <w:ind w:firstLine="2409"/>
              <w:jc w:val="center"/>
              <w:rPr>
                <w:rFonts w:eastAsia="仿宋_GB2312"/>
                <w:color w:val="auto"/>
                <w:sz w:val="30"/>
                <w:szCs w:val="30"/>
                <w:highlight w:val="none"/>
              </w:rPr>
            </w:pPr>
          </w:p>
        </w:tc>
        <w:tc>
          <w:tcPr>
            <w:tcW w:w="1487" w:type="dxa"/>
            <w:vAlign w:val="center"/>
          </w:tcPr>
          <w:p w14:paraId="0F8D8DD3">
            <w:pPr>
              <w:ind w:firstLine="2409"/>
              <w:jc w:val="center"/>
              <w:rPr>
                <w:rFonts w:eastAsia="仿宋_GB2312"/>
                <w:color w:val="auto"/>
                <w:sz w:val="30"/>
                <w:szCs w:val="30"/>
                <w:highlight w:val="none"/>
              </w:rPr>
            </w:pPr>
          </w:p>
        </w:tc>
        <w:tc>
          <w:tcPr>
            <w:tcW w:w="992" w:type="dxa"/>
            <w:vAlign w:val="center"/>
          </w:tcPr>
          <w:p w14:paraId="448696F8">
            <w:pPr>
              <w:ind w:firstLine="2409"/>
              <w:jc w:val="center"/>
              <w:rPr>
                <w:rFonts w:eastAsia="仿宋_GB2312"/>
                <w:color w:val="auto"/>
                <w:sz w:val="30"/>
                <w:szCs w:val="30"/>
                <w:highlight w:val="none"/>
              </w:rPr>
            </w:pPr>
          </w:p>
        </w:tc>
      </w:tr>
    </w:tbl>
    <w:p w14:paraId="7A438181">
      <w:pPr>
        <w:spacing w:line="440" w:lineRule="exact"/>
        <w:ind w:firstLine="2409"/>
        <w:rPr>
          <w:rFonts w:eastAsia="仿宋_GB2312"/>
          <w:color w:val="auto"/>
          <w:sz w:val="30"/>
          <w:szCs w:val="30"/>
          <w:highlight w:val="none"/>
        </w:rPr>
      </w:pPr>
    </w:p>
    <w:p w14:paraId="0ACC3B5C">
      <w:pPr>
        <w:spacing w:line="440" w:lineRule="exact"/>
        <w:rPr>
          <w:rFonts w:eastAsia="黑体"/>
          <w:color w:val="auto"/>
          <w:sz w:val="30"/>
          <w:szCs w:val="30"/>
          <w:highlight w:val="none"/>
        </w:rPr>
      </w:pPr>
      <w:r>
        <w:rPr>
          <w:rFonts w:eastAsia="仿宋_GB2312"/>
          <w:color w:val="auto"/>
          <w:sz w:val="30"/>
          <w:szCs w:val="30"/>
          <w:highlight w:val="none"/>
        </w:rPr>
        <w:t>附</w:t>
      </w:r>
      <w:bookmarkStart w:id="1107" w:name="_Toc296944565"/>
      <w:bookmarkStart w:id="1108" w:name="_Toc296891266"/>
      <w:bookmarkStart w:id="1109" w:name="_Toc296503226"/>
      <w:bookmarkStart w:id="1110" w:name="_Toc296891054"/>
      <w:bookmarkStart w:id="1111" w:name="_Toc296347225"/>
      <w:bookmarkStart w:id="1112" w:name="_Toc296346727"/>
      <w:bookmarkStart w:id="1113" w:name="_Toc267261693"/>
      <w:r>
        <w:rPr>
          <w:rFonts w:eastAsia="仿宋_GB2312"/>
          <w:color w:val="auto"/>
          <w:sz w:val="30"/>
          <w:szCs w:val="30"/>
          <w:highlight w:val="none"/>
        </w:rPr>
        <w:t>件3：</w:t>
      </w:r>
      <w:bookmarkEnd w:id="1107"/>
      <w:bookmarkEnd w:id="1108"/>
      <w:bookmarkEnd w:id="1109"/>
      <w:bookmarkEnd w:id="1110"/>
      <w:bookmarkEnd w:id="1111"/>
      <w:bookmarkEnd w:id="1112"/>
      <w:bookmarkEnd w:id="1113"/>
      <w:r>
        <w:rPr>
          <w:rFonts w:eastAsia="黑体"/>
          <w:color w:val="auto"/>
          <w:sz w:val="30"/>
          <w:szCs w:val="30"/>
          <w:highlight w:val="none"/>
        </w:rPr>
        <w:t xml:space="preserve">    </w:t>
      </w:r>
    </w:p>
    <w:p w14:paraId="580DF7E3">
      <w:pPr>
        <w:spacing w:before="158" w:beforeLines="50" w:after="158" w:afterLines="50" w:line="440" w:lineRule="exact"/>
        <w:jc w:val="center"/>
        <w:rPr>
          <w:rFonts w:eastAsia="黑体"/>
          <w:color w:val="auto"/>
          <w:sz w:val="24"/>
          <w:szCs w:val="24"/>
          <w:highlight w:val="none"/>
        </w:rPr>
      </w:pPr>
      <w:r>
        <w:rPr>
          <w:rFonts w:eastAsia="黑体"/>
          <w:color w:val="auto"/>
          <w:sz w:val="24"/>
          <w:szCs w:val="24"/>
          <w:highlight w:val="none"/>
        </w:rPr>
        <w:t>工程质量保修书</w:t>
      </w:r>
    </w:p>
    <w:p w14:paraId="2AEB9389">
      <w:pPr>
        <w:spacing w:line="440" w:lineRule="exact"/>
        <w:ind w:firstLine="480" w:firstLineChars="200"/>
        <w:rPr>
          <w:rFonts w:eastAsia="仿宋_GB2312"/>
          <w:color w:val="auto"/>
          <w:sz w:val="24"/>
          <w:szCs w:val="24"/>
          <w:highlight w:val="none"/>
        </w:rPr>
      </w:pPr>
      <w:r>
        <w:rPr>
          <w:rFonts w:eastAsia="仿宋_GB2312"/>
          <w:color w:val="auto"/>
          <w:sz w:val="24"/>
          <w:szCs w:val="24"/>
          <w:highlight w:val="none"/>
        </w:rPr>
        <w:t>发包人（全称）：</w:t>
      </w:r>
      <w:r>
        <w:rPr>
          <w:rFonts w:hint="eastAsia" w:eastAsia="仿宋_GB2312"/>
          <w:color w:val="auto"/>
          <w:sz w:val="24"/>
          <w:szCs w:val="24"/>
          <w:highlight w:val="none"/>
          <w:u w:val="single"/>
        </w:rPr>
        <w:t xml:space="preserve">                              </w:t>
      </w:r>
      <w:r>
        <w:rPr>
          <w:rFonts w:eastAsia="仿宋_GB2312"/>
          <w:color w:val="auto"/>
          <w:sz w:val="24"/>
          <w:szCs w:val="24"/>
          <w:highlight w:val="none"/>
        </w:rPr>
        <w:t xml:space="preserve"> </w:t>
      </w:r>
    </w:p>
    <w:p w14:paraId="2A87C0F8">
      <w:pPr>
        <w:spacing w:line="440" w:lineRule="exact"/>
        <w:ind w:firstLine="480" w:firstLineChars="200"/>
        <w:rPr>
          <w:rFonts w:eastAsia="仿宋_GB2312"/>
          <w:color w:val="auto"/>
          <w:sz w:val="24"/>
          <w:szCs w:val="24"/>
          <w:highlight w:val="none"/>
          <w:u w:val="single"/>
        </w:rPr>
      </w:pPr>
      <w:r>
        <w:rPr>
          <w:rFonts w:eastAsia="仿宋_GB2312"/>
          <w:color w:val="auto"/>
          <w:sz w:val="24"/>
          <w:szCs w:val="24"/>
          <w:highlight w:val="none"/>
        </w:rPr>
        <w:t>承包人（全称）：</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3502A789">
      <w:pPr>
        <w:spacing w:line="440" w:lineRule="exact"/>
        <w:ind w:firstLine="1928"/>
        <w:rPr>
          <w:rFonts w:eastAsia="仿宋_GB2312"/>
          <w:color w:val="auto"/>
          <w:sz w:val="24"/>
          <w:szCs w:val="24"/>
          <w:highlight w:val="none"/>
        </w:rPr>
      </w:pPr>
    </w:p>
    <w:p w14:paraId="41E20A83">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发包人和承包人根据《中华人民共和国建筑法》和《建设工程质量管理条例》，经协商一致就</w:t>
      </w:r>
      <w:r>
        <w:rPr>
          <w:rFonts w:hint="eastAsia" w:eastAsia="仿宋_GB2312"/>
          <w:color w:val="auto"/>
          <w:sz w:val="24"/>
          <w:szCs w:val="24"/>
          <w:highlight w:val="none"/>
          <w:u w:val="single"/>
        </w:rPr>
        <w:t xml:space="preserve">                             </w:t>
      </w:r>
      <w:r>
        <w:rPr>
          <w:rFonts w:eastAsia="仿宋_GB2312"/>
          <w:color w:val="auto"/>
          <w:sz w:val="24"/>
          <w:szCs w:val="24"/>
          <w:highlight w:val="none"/>
        </w:rPr>
        <w:t>（工程全称）签订工程质量保修书。</w:t>
      </w:r>
    </w:p>
    <w:p w14:paraId="08C2C18A">
      <w:pPr>
        <w:spacing w:line="360" w:lineRule="auto"/>
        <w:ind w:firstLine="480" w:firstLineChars="200"/>
        <w:rPr>
          <w:rFonts w:eastAsia="黑体"/>
          <w:color w:val="auto"/>
          <w:sz w:val="24"/>
          <w:szCs w:val="24"/>
          <w:highlight w:val="none"/>
        </w:rPr>
      </w:pPr>
      <w:r>
        <w:rPr>
          <w:rFonts w:eastAsia="黑体"/>
          <w:color w:val="auto"/>
          <w:sz w:val="24"/>
          <w:szCs w:val="24"/>
          <w:highlight w:val="none"/>
        </w:rPr>
        <w:t>一、工程质量保修范围和内容</w:t>
      </w:r>
    </w:p>
    <w:p w14:paraId="58500A6B">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承包人在质量保修期内，按照有关法律规定和合同约定，承担工程质量保修责任。</w:t>
      </w:r>
    </w:p>
    <w:p w14:paraId="11AC94F9">
      <w:pPr>
        <w:spacing w:line="360" w:lineRule="auto"/>
        <w:rPr>
          <w:rFonts w:eastAsia="仿宋_GB2312"/>
          <w:color w:val="auto"/>
          <w:sz w:val="24"/>
          <w:szCs w:val="24"/>
          <w:highlight w:val="none"/>
        </w:rPr>
      </w:pPr>
      <w:r>
        <w:rPr>
          <w:rFonts w:eastAsia="仿宋_GB2312"/>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4DBCFBA">
      <w:pPr>
        <w:spacing w:line="360" w:lineRule="auto"/>
        <w:rPr>
          <w:rFonts w:eastAsia="仿宋_GB2312"/>
          <w:color w:val="auto"/>
          <w:sz w:val="24"/>
          <w:szCs w:val="24"/>
          <w:highlight w:val="none"/>
        </w:rPr>
      </w:pP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w:t>
      </w:r>
    </w:p>
    <w:p w14:paraId="1FBCE00C">
      <w:pPr>
        <w:spacing w:line="360" w:lineRule="auto"/>
        <w:ind w:firstLine="480" w:firstLineChars="200"/>
        <w:rPr>
          <w:rFonts w:eastAsia="黑体"/>
          <w:color w:val="auto"/>
          <w:sz w:val="24"/>
          <w:szCs w:val="24"/>
          <w:highlight w:val="none"/>
        </w:rPr>
      </w:pPr>
      <w:r>
        <w:rPr>
          <w:rFonts w:eastAsia="黑体"/>
          <w:color w:val="auto"/>
          <w:sz w:val="24"/>
          <w:szCs w:val="24"/>
          <w:highlight w:val="none"/>
        </w:rPr>
        <w:t>二、质量保修期</w:t>
      </w:r>
    </w:p>
    <w:p w14:paraId="2BEBFF28">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根据《建设工程质量管理条例》及有关规定，工程的质量保修期如下：</w:t>
      </w:r>
    </w:p>
    <w:p w14:paraId="17A8705C">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w:t>
      </w:r>
      <w:r>
        <w:rPr>
          <w:rFonts w:hint="eastAsia" w:eastAsia="仿宋_GB2312"/>
          <w:color w:val="auto"/>
          <w:sz w:val="24"/>
          <w:szCs w:val="24"/>
          <w:highlight w:val="none"/>
        </w:rPr>
        <w:t>．</w:t>
      </w:r>
      <w:r>
        <w:rPr>
          <w:rFonts w:hint="eastAsia" w:ascii="仿宋_GB2312" w:eastAsia="仿宋_GB2312"/>
          <w:color w:val="auto"/>
          <w:sz w:val="24"/>
          <w:szCs w:val="24"/>
          <w:highlight w:val="none"/>
        </w:rPr>
        <w:t>地基基础工程和主体结构工程为设计文件规定的工程合理使用年限；</w:t>
      </w:r>
    </w:p>
    <w:p w14:paraId="33EB3032">
      <w:pPr>
        <w:spacing w:line="360" w:lineRule="auto"/>
        <w:ind w:firstLine="480" w:firstLineChars="200"/>
        <w:rPr>
          <w:rFonts w:eastAsia="仿宋_GB2312"/>
          <w:color w:val="auto"/>
          <w:sz w:val="24"/>
          <w:szCs w:val="24"/>
          <w:highlight w:val="none"/>
        </w:rPr>
      </w:pPr>
      <w:r>
        <w:rPr>
          <w:rFonts w:hint="eastAsia" w:eastAsia="仿宋_GB2312"/>
          <w:color w:val="auto"/>
          <w:sz w:val="24"/>
          <w:szCs w:val="24"/>
          <w:highlight w:val="none"/>
        </w:rPr>
        <w:t>2</w:t>
      </w:r>
      <w:r>
        <w:rPr>
          <w:rFonts w:hint="eastAsia" w:ascii="仿宋_GB2312" w:eastAsia="仿宋_GB2312"/>
          <w:color w:val="auto"/>
          <w:sz w:val="24"/>
          <w:szCs w:val="24"/>
          <w:highlight w:val="none"/>
        </w:rPr>
        <w:t>．</w:t>
      </w:r>
      <w:r>
        <w:rPr>
          <w:rFonts w:eastAsia="仿宋_GB2312"/>
          <w:color w:val="auto"/>
          <w:sz w:val="24"/>
          <w:szCs w:val="24"/>
          <w:highlight w:val="none"/>
        </w:rPr>
        <w:t>屋面防水工程、有防水要求的卫生间、房间和外墙面的防渗</w:t>
      </w:r>
      <w:r>
        <w:rPr>
          <w:rFonts w:hint="eastAsia" w:eastAsia="仿宋_GB2312"/>
          <w:color w:val="auto"/>
          <w:sz w:val="24"/>
          <w:szCs w:val="24"/>
          <w:highlight w:val="none"/>
        </w:rPr>
        <w:t xml:space="preserve">     为</w:t>
      </w:r>
      <w:r>
        <w:rPr>
          <w:rFonts w:hint="eastAsia" w:eastAsia="仿宋_GB2312"/>
          <w:color w:val="auto"/>
          <w:sz w:val="24"/>
          <w:szCs w:val="24"/>
          <w:highlight w:val="none"/>
          <w:u w:val="single"/>
        </w:rPr>
        <w:t xml:space="preserve">     </w:t>
      </w:r>
      <w:r>
        <w:rPr>
          <w:rFonts w:eastAsia="仿宋_GB2312"/>
          <w:color w:val="auto"/>
          <w:sz w:val="24"/>
          <w:szCs w:val="24"/>
          <w:highlight w:val="none"/>
        </w:rPr>
        <w:t>年；</w:t>
      </w:r>
    </w:p>
    <w:p w14:paraId="60A4BF89">
      <w:pPr>
        <w:spacing w:line="360" w:lineRule="auto"/>
        <w:ind w:left="420" w:leftChars="200" w:firstLine="120" w:firstLineChars="50"/>
        <w:rPr>
          <w:rFonts w:eastAsia="仿宋_GB2312"/>
          <w:color w:val="auto"/>
          <w:sz w:val="24"/>
          <w:szCs w:val="24"/>
          <w:highlight w:val="none"/>
        </w:rPr>
      </w:pPr>
      <w:r>
        <w:rPr>
          <w:rFonts w:hint="eastAsia" w:eastAsia="仿宋_GB2312"/>
          <w:color w:val="auto"/>
          <w:sz w:val="24"/>
          <w:szCs w:val="24"/>
          <w:highlight w:val="none"/>
        </w:rPr>
        <w:t>3</w:t>
      </w:r>
      <w:r>
        <w:rPr>
          <w:rFonts w:hint="eastAsia" w:ascii="仿宋_GB2312" w:eastAsia="仿宋_GB2312"/>
          <w:color w:val="auto"/>
          <w:sz w:val="24"/>
          <w:szCs w:val="24"/>
          <w:highlight w:val="none"/>
        </w:rPr>
        <w:t>．</w:t>
      </w:r>
      <w:r>
        <w:rPr>
          <w:rFonts w:eastAsia="仿宋_GB2312"/>
          <w:color w:val="auto"/>
          <w:sz w:val="24"/>
          <w:szCs w:val="24"/>
          <w:highlight w:val="none"/>
        </w:rPr>
        <w:t>装修工程为</w:t>
      </w:r>
      <w:r>
        <w:rPr>
          <w:rFonts w:eastAsia="仿宋_GB2312"/>
          <w:color w:val="auto"/>
          <w:sz w:val="24"/>
          <w:szCs w:val="24"/>
          <w:highlight w:val="none"/>
          <w:u w:val="single"/>
        </w:rPr>
        <w:t xml:space="preserve">     </w:t>
      </w:r>
      <w:r>
        <w:rPr>
          <w:rFonts w:eastAsia="仿宋_GB2312"/>
          <w:color w:val="auto"/>
          <w:sz w:val="24"/>
          <w:szCs w:val="24"/>
          <w:highlight w:val="none"/>
        </w:rPr>
        <w:t>年；</w:t>
      </w:r>
    </w:p>
    <w:p w14:paraId="2B54CEA7">
      <w:pPr>
        <w:spacing w:line="360" w:lineRule="auto"/>
        <w:ind w:left="420" w:leftChars="200" w:firstLine="120" w:firstLineChars="50"/>
        <w:rPr>
          <w:rFonts w:eastAsia="仿宋_GB2312"/>
          <w:color w:val="auto"/>
          <w:sz w:val="24"/>
          <w:szCs w:val="24"/>
          <w:highlight w:val="none"/>
        </w:rPr>
      </w:pPr>
      <w:r>
        <w:rPr>
          <w:rFonts w:hint="eastAsia" w:eastAsia="仿宋_GB2312"/>
          <w:color w:val="auto"/>
          <w:sz w:val="24"/>
          <w:szCs w:val="24"/>
          <w:highlight w:val="none"/>
        </w:rPr>
        <w:t>4</w:t>
      </w:r>
      <w:r>
        <w:rPr>
          <w:rFonts w:hint="eastAsia" w:ascii="仿宋_GB2312" w:eastAsia="仿宋_GB2312"/>
          <w:color w:val="auto"/>
          <w:sz w:val="24"/>
          <w:szCs w:val="24"/>
          <w:highlight w:val="none"/>
        </w:rPr>
        <w:t>．</w:t>
      </w:r>
      <w:r>
        <w:rPr>
          <w:rFonts w:eastAsia="仿宋_GB2312"/>
          <w:color w:val="auto"/>
          <w:sz w:val="24"/>
          <w:szCs w:val="24"/>
          <w:highlight w:val="none"/>
        </w:rPr>
        <w:t>电气管线、给排水管道、设备安装工程为</w:t>
      </w:r>
      <w:r>
        <w:rPr>
          <w:rFonts w:eastAsia="仿宋_GB2312"/>
          <w:color w:val="auto"/>
          <w:sz w:val="24"/>
          <w:szCs w:val="24"/>
          <w:highlight w:val="none"/>
          <w:u w:val="single"/>
        </w:rPr>
        <w:t xml:space="preserve">    </w:t>
      </w:r>
      <w:r>
        <w:rPr>
          <w:rFonts w:eastAsia="仿宋_GB2312"/>
          <w:color w:val="auto"/>
          <w:sz w:val="24"/>
          <w:szCs w:val="24"/>
          <w:highlight w:val="none"/>
        </w:rPr>
        <w:t>年；</w:t>
      </w:r>
    </w:p>
    <w:p w14:paraId="6F889503">
      <w:pPr>
        <w:spacing w:line="360" w:lineRule="auto"/>
        <w:ind w:left="420" w:leftChars="200" w:firstLine="120" w:firstLineChars="50"/>
        <w:rPr>
          <w:rFonts w:eastAsia="仿宋_GB2312"/>
          <w:color w:val="auto"/>
          <w:sz w:val="24"/>
          <w:szCs w:val="24"/>
          <w:highlight w:val="none"/>
        </w:rPr>
      </w:pPr>
      <w:r>
        <w:rPr>
          <w:rFonts w:hint="eastAsia" w:eastAsia="仿宋_GB2312"/>
          <w:color w:val="auto"/>
          <w:sz w:val="24"/>
          <w:szCs w:val="24"/>
          <w:highlight w:val="none"/>
        </w:rPr>
        <w:t>5</w:t>
      </w:r>
      <w:r>
        <w:rPr>
          <w:rFonts w:hint="eastAsia" w:ascii="仿宋_GB2312" w:eastAsia="仿宋_GB2312"/>
          <w:color w:val="auto"/>
          <w:sz w:val="24"/>
          <w:szCs w:val="24"/>
          <w:highlight w:val="none"/>
        </w:rPr>
        <w:t>．</w:t>
      </w:r>
      <w:r>
        <w:rPr>
          <w:rFonts w:eastAsia="仿宋_GB2312"/>
          <w:color w:val="auto"/>
          <w:sz w:val="24"/>
          <w:szCs w:val="24"/>
          <w:highlight w:val="none"/>
        </w:rPr>
        <w:t>供热与供冷系统为</w:t>
      </w:r>
      <w:r>
        <w:rPr>
          <w:rFonts w:eastAsia="仿宋_GB2312"/>
          <w:color w:val="auto"/>
          <w:sz w:val="24"/>
          <w:szCs w:val="24"/>
          <w:highlight w:val="none"/>
          <w:u w:val="single"/>
        </w:rPr>
        <w:t xml:space="preserve">    </w:t>
      </w:r>
      <w:r>
        <w:rPr>
          <w:rFonts w:eastAsia="仿宋_GB2312"/>
          <w:color w:val="auto"/>
          <w:sz w:val="24"/>
          <w:szCs w:val="24"/>
          <w:highlight w:val="none"/>
        </w:rPr>
        <w:t>个采暖期、供冷期；</w:t>
      </w:r>
    </w:p>
    <w:p w14:paraId="65C984B5">
      <w:pPr>
        <w:spacing w:line="360" w:lineRule="auto"/>
        <w:ind w:left="420" w:leftChars="200" w:firstLine="120" w:firstLineChars="50"/>
        <w:rPr>
          <w:rFonts w:eastAsia="仿宋_GB2312"/>
          <w:color w:val="auto"/>
          <w:sz w:val="24"/>
          <w:szCs w:val="24"/>
          <w:highlight w:val="none"/>
        </w:rPr>
      </w:pPr>
      <w:r>
        <w:rPr>
          <w:rFonts w:hint="eastAsia" w:eastAsia="仿宋_GB2312"/>
          <w:color w:val="auto"/>
          <w:sz w:val="24"/>
          <w:szCs w:val="24"/>
          <w:highlight w:val="none"/>
        </w:rPr>
        <w:t>6</w:t>
      </w:r>
      <w:r>
        <w:rPr>
          <w:rFonts w:hint="eastAsia" w:ascii="仿宋_GB2312" w:eastAsia="仿宋_GB2312"/>
          <w:color w:val="auto"/>
          <w:sz w:val="24"/>
          <w:szCs w:val="24"/>
          <w:highlight w:val="none"/>
        </w:rPr>
        <w:t>．</w:t>
      </w:r>
      <w:r>
        <w:rPr>
          <w:rFonts w:eastAsia="仿宋_GB2312"/>
          <w:color w:val="auto"/>
          <w:sz w:val="24"/>
          <w:szCs w:val="24"/>
          <w:highlight w:val="none"/>
        </w:rPr>
        <w:t>住宅小区内的给排水设施、道路等配套工程为</w:t>
      </w:r>
      <w:r>
        <w:rPr>
          <w:rFonts w:eastAsia="仿宋_GB2312"/>
          <w:color w:val="auto"/>
          <w:sz w:val="24"/>
          <w:szCs w:val="24"/>
          <w:highlight w:val="none"/>
          <w:u w:val="single"/>
        </w:rPr>
        <w:t xml:space="preserve">   </w:t>
      </w:r>
      <w:r>
        <w:rPr>
          <w:rFonts w:eastAsia="仿宋_GB2312"/>
          <w:color w:val="auto"/>
          <w:sz w:val="24"/>
          <w:szCs w:val="24"/>
          <w:highlight w:val="none"/>
        </w:rPr>
        <w:t>年；</w:t>
      </w:r>
    </w:p>
    <w:p w14:paraId="7EF4EDE4">
      <w:pPr>
        <w:spacing w:line="360" w:lineRule="auto"/>
        <w:ind w:left="420" w:leftChars="200" w:firstLine="120" w:firstLineChars="50"/>
        <w:rPr>
          <w:rFonts w:ascii="仿宋_GB2312" w:eastAsia="仿宋_GB2312"/>
          <w:color w:val="auto"/>
          <w:sz w:val="24"/>
          <w:szCs w:val="24"/>
          <w:highlight w:val="none"/>
        </w:rPr>
      </w:pPr>
      <w:r>
        <w:rPr>
          <w:rFonts w:hint="eastAsia" w:eastAsia="仿宋_GB2312"/>
          <w:color w:val="auto"/>
          <w:sz w:val="24"/>
          <w:szCs w:val="24"/>
          <w:highlight w:val="none"/>
        </w:rPr>
        <w:t>7</w:t>
      </w:r>
      <w:r>
        <w:rPr>
          <w:rFonts w:hint="eastAsia" w:ascii="仿宋_GB2312" w:eastAsia="仿宋_GB2312"/>
          <w:color w:val="auto"/>
          <w:sz w:val="24"/>
          <w:szCs w:val="24"/>
          <w:highlight w:val="none"/>
        </w:rPr>
        <w:t>．</w:t>
      </w:r>
      <w:r>
        <w:rPr>
          <w:rFonts w:hint="eastAsia" w:eastAsia="仿宋_GB2312"/>
          <w:color w:val="auto"/>
          <w:sz w:val="24"/>
          <w:szCs w:val="24"/>
          <w:highlight w:val="none"/>
        </w:rPr>
        <w:t>住宅小区室外散水、台阶、铺装工程为</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hint="eastAsia" w:eastAsia="仿宋_GB2312"/>
          <w:color w:val="auto"/>
          <w:sz w:val="24"/>
          <w:szCs w:val="24"/>
          <w:highlight w:val="none"/>
        </w:rPr>
        <w:t>年；</w:t>
      </w:r>
    </w:p>
    <w:p w14:paraId="61448387">
      <w:pPr>
        <w:spacing w:line="360" w:lineRule="auto"/>
        <w:ind w:left="420" w:leftChars="200" w:firstLine="120" w:firstLineChars="50"/>
        <w:rPr>
          <w:rFonts w:eastAsia="仿宋_GB2312"/>
          <w:color w:val="auto"/>
          <w:sz w:val="24"/>
          <w:szCs w:val="24"/>
          <w:highlight w:val="none"/>
        </w:rPr>
      </w:pPr>
      <w:r>
        <w:rPr>
          <w:rFonts w:hint="eastAsia" w:eastAsia="仿宋_GB2312"/>
          <w:color w:val="auto"/>
          <w:sz w:val="24"/>
          <w:szCs w:val="24"/>
          <w:highlight w:val="none"/>
        </w:rPr>
        <w:t>8</w:t>
      </w:r>
      <w:r>
        <w:rPr>
          <w:rFonts w:hint="eastAsia" w:ascii="仿宋_GB2312" w:eastAsia="仿宋_GB2312"/>
          <w:color w:val="auto"/>
          <w:sz w:val="24"/>
          <w:szCs w:val="24"/>
          <w:highlight w:val="none"/>
        </w:rPr>
        <w:t>．</w:t>
      </w:r>
      <w:r>
        <w:rPr>
          <w:rFonts w:eastAsia="仿宋_GB2312"/>
          <w:color w:val="auto"/>
          <w:sz w:val="24"/>
          <w:szCs w:val="24"/>
          <w:highlight w:val="none"/>
        </w:rPr>
        <w:t>其他项目保修期限约定如下：</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w:t>
      </w:r>
    </w:p>
    <w:p w14:paraId="2C13A01F">
      <w:pPr>
        <w:spacing w:line="360" w:lineRule="auto"/>
        <w:ind w:left="420" w:leftChars="200" w:firstLine="120" w:firstLineChars="50"/>
        <w:rPr>
          <w:rFonts w:eastAsia="仿宋_GB2312"/>
          <w:color w:val="auto"/>
          <w:sz w:val="24"/>
          <w:szCs w:val="24"/>
          <w:highlight w:val="none"/>
        </w:rPr>
      </w:pPr>
      <w:r>
        <w:rPr>
          <w:rFonts w:eastAsia="仿宋_GB2312"/>
          <w:color w:val="auto"/>
          <w:sz w:val="24"/>
          <w:szCs w:val="24"/>
          <w:highlight w:val="none"/>
        </w:rPr>
        <w:t>质量保修期自工程竣工验收合格之日起计算。</w:t>
      </w:r>
    </w:p>
    <w:p w14:paraId="07F2A10D">
      <w:pPr>
        <w:spacing w:line="360" w:lineRule="auto"/>
        <w:ind w:firstLine="480" w:firstLineChars="200"/>
        <w:rPr>
          <w:rFonts w:eastAsia="黑体"/>
          <w:color w:val="auto"/>
          <w:sz w:val="24"/>
          <w:szCs w:val="24"/>
          <w:highlight w:val="none"/>
        </w:rPr>
      </w:pPr>
      <w:r>
        <w:rPr>
          <w:rFonts w:eastAsia="黑体"/>
          <w:color w:val="auto"/>
          <w:sz w:val="24"/>
          <w:szCs w:val="24"/>
          <w:highlight w:val="none"/>
        </w:rPr>
        <w:t>三、缺陷责任期</w:t>
      </w:r>
    </w:p>
    <w:p w14:paraId="021936C2">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工程缺陷责任期为</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个月，缺陷责任期自工程</w:t>
      </w:r>
      <w:r>
        <w:rPr>
          <w:rFonts w:hint="eastAsia" w:eastAsia="仿宋_GB2312"/>
          <w:color w:val="auto"/>
          <w:sz w:val="24"/>
          <w:szCs w:val="24"/>
          <w:highlight w:val="none"/>
        </w:rPr>
        <w:t>竣工验收合格</w:t>
      </w:r>
      <w:r>
        <w:rPr>
          <w:rFonts w:eastAsia="仿宋_GB2312"/>
          <w:color w:val="auto"/>
          <w:sz w:val="24"/>
          <w:szCs w:val="24"/>
          <w:highlight w:val="none"/>
        </w:rPr>
        <w:t>之日起计算。单位工程先于全部工程进行验收，单位工程缺陷责任期自单位工程验收合格之日起算。</w:t>
      </w:r>
    </w:p>
    <w:p w14:paraId="589B5B5F">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缺陷责任期</w:t>
      </w:r>
      <w:r>
        <w:rPr>
          <w:rFonts w:hint="eastAsia" w:eastAsia="仿宋_GB2312"/>
          <w:color w:val="auto"/>
          <w:sz w:val="24"/>
          <w:szCs w:val="24"/>
          <w:highlight w:val="none"/>
        </w:rPr>
        <w:t>满</w:t>
      </w:r>
      <w:r>
        <w:rPr>
          <w:rFonts w:eastAsia="仿宋_GB2312"/>
          <w:color w:val="auto"/>
          <w:sz w:val="24"/>
          <w:szCs w:val="24"/>
          <w:highlight w:val="none"/>
        </w:rPr>
        <w:t>后，发包人应退还</w:t>
      </w:r>
      <w:r>
        <w:rPr>
          <w:rFonts w:hint="eastAsia" w:eastAsia="仿宋_GB2312"/>
          <w:color w:val="auto"/>
          <w:sz w:val="24"/>
          <w:szCs w:val="24"/>
          <w:highlight w:val="none"/>
        </w:rPr>
        <w:t>承包人</w:t>
      </w:r>
      <w:r>
        <w:rPr>
          <w:rFonts w:eastAsia="仿宋_GB2312"/>
          <w:color w:val="auto"/>
          <w:sz w:val="24"/>
          <w:szCs w:val="24"/>
          <w:highlight w:val="none"/>
        </w:rPr>
        <w:t>剩余的质量保证金。</w:t>
      </w:r>
    </w:p>
    <w:p w14:paraId="3A64CC62">
      <w:pPr>
        <w:spacing w:line="360" w:lineRule="auto"/>
        <w:ind w:firstLine="480" w:firstLineChars="200"/>
        <w:rPr>
          <w:rFonts w:eastAsia="黑体"/>
          <w:color w:val="auto"/>
          <w:sz w:val="24"/>
          <w:szCs w:val="24"/>
          <w:highlight w:val="none"/>
        </w:rPr>
      </w:pPr>
      <w:r>
        <w:rPr>
          <w:rFonts w:eastAsia="黑体"/>
          <w:color w:val="auto"/>
          <w:sz w:val="24"/>
          <w:szCs w:val="24"/>
          <w:highlight w:val="none"/>
        </w:rPr>
        <w:t>四、质量保修责任</w:t>
      </w:r>
    </w:p>
    <w:p w14:paraId="48019F85">
      <w:pPr>
        <w:spacing w:line="360" w:lineRule="auto"/>
        <w:ind w:left="105" w:leftChars="50" w:firstLine="491" w:firstLineChars="205"/>
        <w:rPr>
          <w:rFonts w:eastAsia="仿宋_GB2312"/>
          <w:color w:val="auto"/>
          <w:sz w:val="24"/>
          <w:szCs w:val="24"/>
          <w:highlight w:val="none"/>
        </w:rPr>
      </w:pPr>
      <w:r>
        <w:rPr>
          <w:rFonts w:hint="eastAsia" w:eastAsia="仿宋_GB2312"/>
          <w:color w:val="auto"/>
          <w:sz w:val="24"/>
          <w:szCs w:val="24"/>
          <w:highlight w:val="none"/>
        </w:rPr>
        <w:t>1</w:t>
      </w:r>
      <w:r>
        <w:rPr>
          <w:rFonts w:hint="eastAsia" w:ascii="仿宋_GB2312" w:eastAsia="仿宋_GB2312"/>
          <w:color w:val="auto"/>
          <w:sz w:val="24"/>
          <w:szCs w:val="24"/>
          <w:highlight w:val="none"/>
        </w:rPr>
        <w:t>．</w:t>
      </w:r>
      <w:r>
        <w:rPr>
          <w:rFonts w:eastAsia="仿宋_GB2312"/>
          <w:color w:val="auto"/>
          <w:sz w:val="24"/>
          <w:szCs w:val="24"/>
          <w:highlight w:val="none"/>
        </w:rPr>
        <w:t>属于保修范围、内容的项目，承包人应当在接到保修通知之日起7天内派人保修。承包人不在约定期限内派人保修的，发包人可以委托他人修理。</w:t>
      </w:r>
    </w:p>
    <w:p w14:paraId="01519BF2">
      <w:pPr>
        <w:spacing w:line="360" w:lineRule="auto"/>
        <w:ind w:left="105" w:leftChars="50" w:firstLine="491" w:firstLineChars="205"/>
        <w:rPr>
          <w:rFonts w:eastAsia="仿宋_GB2312"/>
          <w:color w:val="auto"/>
          <w:sz w:val="24"/>
          <w:szCs w:val="24"/>
          <w:highlight w:val="none"/>
        </w:rPr>
      </w:pPr>
      <w:r>
        <w:rPr>
          <w:rFonts w:hint="eastAsia" w:eastAsia="仿宋_GB2312"/>
          <w:color w:val="auto"/>
          <w:sz w:val="24"/>
          <w:szCs w:val="24"/>
          <w:highlight w:val="none"/>
        </w:rPr>
        <w:t>2</w:t>
      </w:r>
      <w:r>
        <w:rPr>
          <w:rFonts w:hint="eastAsia" w:ascii="仿宋_GB2312" w:eastAsia="仿宋_GB2312"/>
          <w:color w:val="auto"/>
          <w:sz w:val="24"/>
          <w:szCs w:val="24"/>
          <w:highlight w:val="none"/>
        </w:rPr>
        <w:t>．</w:t>
      </w:r>
      <w:r>
        <w:rPr>
          <w:rFonts w:eastAsia="仿宋_GB2312"/>
          <w:color w:val="auto"/>
          <w:sz w:val="24"/>
          <w:szCs w:val="24"/>
          <w:highlight w:val="none"/>
        </w:rPr>
        <w:t>发生紧急事故需抢修的，承包人在接到事故通知后，应当立即到达事故现场抢修。</w:t>
      </w:r>
    </w:p>
    <w:p w14:paraId="32D8323C">
      <w:pPr>
        <w:spacing w:line="360" w:lineRule="auto"/>
        <w:ind w:left="105" w:leftChars="50" w:firstLine="491" w:firstLineChars="205"/>
        <w:rPr>
          <w:rFonts w:eastAsia="仿宋_GB2312"/>
          <w:color w:val="auto"/>
          <w:sz w:val="24"/>
          <w:szCs w:val="24"/>
          <w:highlight w:val="none"/>
        </w:rPr>
      </w:pPr>
      <w:r>
        <w:rPr>
          <w:rFonts w:hint="eastAsia" w:eastAsia="仿宋_GB2312"/>
          <w:color w:val="auto"/>
          <w:sz w:val="24"/>
          <w:szCs w:val="24"/>
          <w:highlight w:val="none"/>
        </w:rPr>
        <w:t>3</w:t>
      </w:r>
      <w:r>
        <w:rPr>
          <w:rFonts w:hint="eastAsia" w:ascii="仿宋_GB2312" w:eastAsia="仿宋_GB2312"/>
          <w:color w:val="auto"/>
          <w:sz w:val="24"/>
          <w:szCs w:val="24"/>
          <w:highlight w:val="none"/>
        </w:rPr>
        <w:t>．</w:t>
      </w:r>
      <w:r>
        <w:rPr>
          <w:rFonts w:eastAsia="仿宋_GB2312"/>
          <w:color w:val="auto"/>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49C2060">
      <w:pPr>
        <w:spacing w:line="360" w:lineRule="auto"/>
        <w:ind w:left="420" w:leftChars="200" w:firstLine="120" w:firstLineChars="50"/>
        <w:rPr>
          <w:rFonts w:eastAsia="仿宋_GB2312"/>
          <w:color w:val="auto"/>
          <w:sz w:val="24"/>
          <w:szCs w:val="24"/>
          <w:highlight w:val="none"/>
        </w:rPr>
      </w:pPr>
      <w:r>
        <w:rPr>
          <w:rFonts w:hint="eastAsia" w:eastAsia="仿宋_GB2312"/>
          <w:color w:val="auto"/>
          <w:sz w:val="24"/>
          <w:szCs w:val="24"/>
          <w:highlight w:val="none"/>
        </w:rPr>
        <w:t>4</w:t>
      </w:r>
      <w:r>
        <w:rPr>
          <w:rFonts w:hint="eastAsia" w:ascii="仿宋_GB2312" w:eastAsia="仿宋_GB2312"/>
          <w:color w:val="auto"/>
          <w:sz w:val="24"/>
          <w:szCs w:val="24"/>
          <w:highlight w:val="none"/>
        </w:rPr>
        <w:t>．</w:t>
      </w:r>
      <w:r>
        <w:rPr>
          <w:rFonts w:eastAsia="仿宋_GB2312"/>
          <w:color w:val="auto"/>
          <w:sz w:val="24"/>
          <w:szCs w:val="24"/>
          <w:highlight w:val="none"/>
        </w:rPr>
        <w:t>质量保修完成后，由发包人组织验收。</w:t>
      </w:r>
    </w:p>
    <w:p w14:paraId="5755D918">
      <w:pPr>
        <w:spacing w:line="360" w:lineRule="auto"/>
        <w:ind w:left="420" w:leftChars="200" w:firstLine="120" w:firstLineChars="50"/>
        <w:rPr>
          <w:rFonts w:eastAsia="黑体"/>
          <w:color w:val="auto"/>
          <w:sz w:val="24"/>
          <w:szCs w:val="24"/>
          <w:highlight w:val="none"/>
        </w:rPr>
      </w:pPr>
      <w:r>
        <w:rPr>
          <w:rFonts w:eastAsia="黑体"/>
          <w:color w:val="auto"/>
          <w:sz w:val="24"/>
          <w:szCs w:val="24"/>
          <w:highlight w:val="none"/>
        </w:rPr>
        <w:t>五、保修费用</w:t>
      </w:r>
    </w:p>
    <w:p w14:paraId="0A59B129">
      <w:pPr>
        <w:spacing w:line="360" w:lineRule="auto"/>
        <w:ind w:firstLine="480" w:firstLineChars="200"/>
        <w:rPr>
          <w:rFonts w:eastAsia="仿宋_GB2312"/>
          <w:color w:val="auto"/>
          <w:sz w:val="24"/>
          <w:szCs w:val="24"/>
          <w:highlight w:val="none"/>
          <w:u w:val="double"/>
        </w:rPr>
      </w:pPr>
      <w:r>
        <w:rPr>
          <w:rFonts w:eastAsia="仿宋_GB2312"/>
          <w:color w:val="auto"/>
          <w:sz w:val="24"/>
          <w:szCs w:val="24"/>
          <w:highlight w:val="none"/>
        </w:rPr>
        <w:t>保修费用由造成质量缺陷的责任方承担，在质量缺陷原因确定之前，由承包人承担。双方对质量缺陷原因有争议的，以双方共同委托的有资质的鉴定机构出具的鉴定结论为准，相关鉴定费用由造成质量缺陷的责任方承担，在正式鉴定结论出具之前，由承包人承担。</w:t>
      </w:r>
    </w:p>
    <w:p w14:paraId="2DEE324C">
      <w:pPr>
        <w:spacing w:line="360" w:lineRule="auto"/>
        <w:ind w:firstLine="482" w:firstLineChars="200"/>
        <w:jc w:val="left"/>
        <w:rPr>
          <w:rFonts w:eastAsia="仿宋_GB2312"/>
          <w:color w:val="auto"/>
          <w:sz w:val="24"/>
          <w:szCs w:val="24"/>
          <w:highlight w:val="none"/>
        </w:rPr>
      </w:pPr>
      <w:r>
        <w:rPr>
          <w:rFonts w:eastAsia="黑体"/>
          <w:b/>
          <w:color w:val="auto"/>
          <w:sz w:val="24"/>
          <w:szCs w:val="24"/>
          <w:highlight w:val="none"/>
        </w:rPr>
        <w:t>六</w:t>
      </w:r>
      <w:r>
        <w:rPr>
          <w:rFonts w:eastAsia="黑体"/>
          <w:color w:val="auto"/>
          <w:sz w:val="24"/>
          <w:szCs w:val="24"/>
          <w:highlight w:val="none"/>
        </w:rPr>
        <w:t>、双方约定的其他工程质量保修事项</w:t>
      </w:r>
      <w:r>
        <w:rPr>
          <w:rFonts w:eastAsia="仿宋_GB2312"/>
          <w:color w:val="auto"/>
          <w:sz w:val="24"/>
          <w:szCs w:val="24"/>
          <w:highlight w:val="none"/>
        </w:rPr>
        <w:t>：</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w:t>
      </w:r>
    </w:p>
    <w:p w14:paraId="260C58E0">
      <w:pPr>
        <w:spacing w:line="360" w:lineRule="auto"/>
        <w:ind w:firstLine="456" w:firstLineChars="190"/>
        <w:rPr>
          <w:rFonts w:eastAsia="仿宋_GB2312"/>
          <w:color w:val="auto"/>
          <w:sz w:val="24"/>
          <w:szCs w:val="24"/>
          <w:highlight w:val="none"/>
        </w:rPr>
      </w:pPr>
      <w:r>
        <w:rPr>
          <w:rFonts w:eastAsia="仿宋_GB2312"/>
          <w:color w:val="auto"/>
          <w:sz w:val="24"/>
          <w:szCs w:val="24"/>
          <w:highlight w:val="none"/>
        </w:rPr>
        <w:t>工程质量保修书由发包人、承包人在工程竣工验收前共同签署，作为施工合同附件，其有效期限至保修期满。</w:t>
      </w:r>
    </w:p>
    <w:p w14:paraId="42BA619A">
      <w:pPr>
        <w:spacing w:line="360" w:lineRule="auto"/>
        <w:ind w:firstLine="1928"/>
        <w:rPr>
          <w:rFonts w:eastAsia="仿宋_GB2312"/>
          <w:color w:val="auto"/>
          <w:sz w:val="24"/>
          <w:szCs w:val="24"/>
          <w:highlight w:val="none"/>
        </w:rPr>
      </w:pPr>
    </w:p>
    <w:p w14:paraId="033F3970">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 w:val="24"/>
          <w:szCs w:val="24"/>
          <w:highlight w:val="none"/>
        </w:rPr>
      </w:pPr>
      <w:r>
        <w:rPr>
          <w:rFonts w:eastAsia="仿宋_GB2312"/>
          <w:color w:val="auto"/>
          <w:sz w:val="24"/>
          <w:szCs w:val="24"/>
          <w:highlight w:val="none"/>
        </w:rPr>
        <w:t>发包人(公章)：</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 xml:space="preserve"> 承包人(公章)：</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2B8B2972">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 w:val="24"/>
          <w:szCs w:val="24"/>
          <w:highlight w:val="none"/>
        </w:rPr>
      </w:pPr>
      <w:r>
        <w:rPr>
          <w:rFonts w:eastAsia="仿宋_GB2312"/>
          <w:color w:val="auto"/>
          <w:sz w:val="24"/>
          <w:szCs w:val="24"/>
          <w:highlight w:val="none"/>
        </w:rPr>
        <w:t>地  址：</w:t>
      </w:r>
      <w:r>
        <w:rPr>
          <w:rFonts w:hint="eastAsia" w:eastAsia="仿宋_GB2312"/>
          <w:color w:val="auto"/>
          <w:sz w:val="24"/>
          <w:szCs w:val="24"/>
          <w:highlight w:val="none"/>
          <w:u w:val="single"/>
        </w:rPr>
        <w:t xml:space="preserve">                      </w:t>
      </w:r>
      <w:r>
        <w:rPr>
          <w:rFonts w:hint="eastAsia" w:eastAsia="仿宋_GB2312"/>
          <w:color w:val="auto"/>
          <w:sz w:val="24"/>
          <w:szCs w:val="24"/>
          <w:highlight w:val="none"/>
        </w:rPr>
        <w:t xml:space="preserve">  </w:t>
      </w:r>
      <w:r>
        <w:rPr>
          <w:rFonts w:eastAsia="仿宋_GB2312"/>
          <w:color w:val="auto"/>
          <w:sz w:val="24"/>
          <w:szCs w:val="24"/>
          <w:highlight w:val="none"/>
        </w:rPr>
        <w:t>地  址：</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p>
    <w:p w14:paraId="14C1D741">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 w:val="24"/>
          <w:szCs w:val="24"/>
          <w:highlight w:val="none"/>
        </w:rPr>
      </w:pPr>
      <w:r>
        <w:rPr>
          <w:rFonts w:eastAsia="仿宋_GB2312"/>
          <w:color w:val="auto"/>
          <w:sz w:val="24"/>
          <w:szCs w:val="24"/>
          <w:highlight w:val="none"/>
        </w:rPr>
        <w:t>法定代表人(签字)：</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 xml:space="preserve"> </w:t>
      </w:r>
      <w:r>
        <w:rPr>
          <w:rFonts w:hint="eastAsia" w:eastAsia="仿宋_GB2312"/>
          <w:color w:val="auto"/>
          <w:sz w:val="24"/>
          <w:szCs w:val="24"/>
          <w:highlight w:val="none"/>
        </w:rPr>
        <w:t xml:space="preserve"> </w:t>
      </w:r>
      <w:r>
        <w:rPr>
          <w:rFonts w:eastAsia="仿宋_GB2312"/>
          <w:color w:val="auto"/>
          <w:sz w:val="24"/>
          <w:szCs w:val="24"/>
          <w:highlight w:val="none"/>
        </w:rPr>
        <w:t>法定代表人(签字)：</w:t>
      </w:r>
      <w:r>
        <w:rPr>
          <w:rFonts w:hint="eastAsia" w:eastAsia="仿宋_GB2312"/>
          <w:color w:val="auto"/>
          <w:sz w:val="24"/>
          <w:szCs w:val="24"/>
          <w:highlight w:val="non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6B6BA51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 w:val="24"/>
          <w:szCs w:val="24"/>
          <w:highlight w:val="none"/>
        </w:rPr>
      </w:pPr>
      <w:r>
        <w:rPr>
          <w:rFonts w:eastAsia="仿宋_GB2312"/>
          <w:color w:val="auto"/>
          <w:sz w:val="24"/>
          <w:szCs w:val="24"/>
          <w:highlight w:val="none"/>
        </w:rPr>
        <w:t>委托代理人(签字)：</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 xml:space="preserve"> </w:t>
      </w:r>
      <w:r>
        <w:rPr>
          <w:rFonts w:hint="eastAsia" w:eastAsia="仿宋_GB2312"/>
          <w:color w:val="auto"/>
          <w:sz w:val="24"/>
          <w:szCs w:val="24"/>
          <w:highlight w:val="none"/>
        </w:rPr>
        <w:t xml:space="preserve"> </w:t>
      </w:r>
      <w:r>
        <w:rPr>
          <w:rFonts w:eastAsia="仿宋_GB2312"/>
          <w:color w:val="auto"/>
          <w:sz w:val="24"/>
          <w:szCs w:val="24"/>
          <w:highlight w:val="none"/>
        </w:rPr>
        <w:t>委托代理人(签字)：</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1BAA34D6">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 w:val="24"/>
          <w:szCs w:val="24"/>
          <w:highlight w:val="none"/>
        </w:rPr>
      </w:pPr>
      <w:r>
        <w:rPr>
          <w:rFonts w:eastAsia="仿宋_GB2312"/>
          <w:color w:val="auto"/>
          <w:sz w:val="24"/>
          <w:szCs w:val="24"/>
          <w:highlight w:val="none"/>
        </w:rPr>
        <w:t>电  话：</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hint="eastAsia" w:eastAsia="仿宋_GB2312"/>
          <w:color w:val="auto"/>
          <w:sz w:val="24"/>
          <w:szCs w:val="24"/>
          <w:highlight w:val="none"/>
        </w:rPr>
        <w:t xml:space="preserve">  </w:t>
      </w:r>
      <w:r>
        <w:rPr>
          <w:rFonts w:eastAsia="仿宋_GB2312"/>
          <w:color w:val="auto"/>
          <w:sz w:val="24"/>
          <w:szCs w:val="24"/>
          <w:highlight w:val="none"/>
        </w:rPr>
        <w:t>电  话：</w:t>
      </w:r>
      <w:r>
        <w:rPr>
          <w:rFonts w:hint="eastAsia" w:eastAsia="仿宋_GB2312"/>
          <w:color w:val="auto"/>
          <w:sz w:val="24"/>
          <w:szCs w:val="24"/>
          <w:highlight w:val="non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6BB9AD69">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 w:val="24"/>
          <w:szCs w:val="24"/>
          <w:highlight w:val="none"/>
        </w:rPr>
      </w:pPr>
      <w:r>
        <w:rPr>
          <w:rFonts w:eastAsia="仿宋_GB2312"/>
          <w:color w:val="auto"/>
          <w:sz w:val="24"/>
          <w:szCs w:val="24"/>
          <w:highlight w:val="none"/>
        </w:rPr>
        <w:t>传  真：</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 xml:space="preserve"> </w:t>
      </w:r>
      <w:r>
        <w:rPr>
          <w:rFonts w:hint="eastAsia" w:eastAsia="仿宋_GB2312"/>
          <w:color w:val="auto"/>
          <w:sz w:val="24"/>
          <w:szCs w:val="24"/>
          <w:highlight w:val="none"/>
        </w:rPr>
        <w:t xml:space="preserve"> </w:t>
      </w:r>
      <w:r>
        <w:rPr>
          <w:rFonts w:eastAsia="仿宋_GB2312"/>
          <w:color w:val="auto"/>
          <w:sz w:val="24"/>
          <w:szCs w:val="24"/>
          <w:highlight w:val="none"/>
        </w:rPr>
        <w:t>传  真：</w:t>
      </w:r>
      <w:r>
        <w:rPr>
          <w:rFonts w:hint="eastAsia" w:eastAsia="仿宋_GB2312"/>
          <w:color w:val="auto"/>
          <w:sz w:val="24"/>
          <w:szCs w:val="24"/>
          <w:highlight w:val="none"/>
          <w:u w:val="single"/>
        </w:rPr>
        <w:t xml:space="preserve">       /          </w:t>
      </w:r>
      <w:r>
        <w:rPr>
          <w:rFonts w:eastAsia="仿宋_GB2312"/>
          <w:color w:val="auto"/>
          <w:sz w:val="24"/>
          <w:szCs w:val="24"/>
          <w:highlight w:val="none"/>
          <w:u w:val="single"/>
        </w:rPr>
        <w:t xml:space="preserve">  </w:t>
      </w:r>
    </w:p>
    <w:p w14:paraId="4D3E93C6">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 w:val="24"/>
          <w:szCs w:val="24"/>
          <w:highlight w:val="none"/>
        </w:rPr>
      </w:pPr>
      <w:r>
        <w:rPr>
          <w:rFonts w:eastAsia="仿宋_GB2312"/>
          <w:color w:val="auto"/>
          <w:sz w:val="24"/>
          <w:szCs w:val="24"/>
          <w:highlight w:val="none"/>
        </w:rPr>
        <w:t>开户银行：</w:t>
      </w:r>
      <w:r>
        <w:rPr>
          <w:rFonts w:hint="eastAsia" w:eastAsia="仿宋_GB2312"/>
          <w:color w:val="auto"/>
          <w:sz w:val="24"/>
          <w:szCs w:val="24"/>
          <w:highlight w:val="none"/>
        </w:rPr>
        <w:t xml:space="preserve"> </w:t>
      </w:r>
      <w:r>
        <w:rPr>
          <w:rFonts w:hint="eastAsia" w:eastAsia="仿宋_GB2312"/>
          <w:color w:val="auto"/>
          <w:sz w:val="24"/>
          <w:szCs w:val="24"/>
          <w:highlight w:val="none"/>
          <w:u w:val="single"/>
        </w:rPr>
        <w:t xml:space="preserve">                  </w:t>
      </w:r>
      <w:r>
        <w:rPr>
          <w:rFonts w:hint="eastAsia" w:eastAsia="仿宋_GB2312"/>
          <w:color w:val="auto"/>
          <w:sz w:val="24"/>
          <w:szCs w:val="24"/>
          <w:highlight w:val="none"/>
        </w:rPr>
        <w:t xml:space="preserve">  </w:t>
      </w:r>
      <w:r>
        <w:rPr>
          <w:rFonts w:eastAsia="仿宋_GB2312"/>
          <w:color w:val="auto"/>
          <w:sz w:val="24"/>
          <w:szCs w:val="24"/>
          <w:highlight w:val="none"/>
        </w:rPr>
        <w:t>开户银行：</w:t>
      </w:r>
      <w:r>
        <w:rPr>
          <w:rFonts w:hint="eastAsia" w:ascii="宋体" w:hAnsi="宋体" w:eastAsia="仿宋_GB2312"/>
          <w:color w:val="auto"/>
          <w:sz w:val="20"/>
          <w:szCs w:val="20"/>
          <w:highlight w:val="none"/>
          <w:u w:val="single"/>
        </w:rPr>
        <w:t xml:space="preserve">                     </w:t>
      </w:r>
      <w:r>
        <w:rPr>
          <w:rFonts w:eastAsia="仿宋_GB2312"/>
          <w:color w:val="auto"/>
          <w:sz w:val="24"/>
          <w:szCs w:val="24"/>
          <w:highlight w:val="none"/>
          <w:u w:val="single"/>
        </w:rPr>
        <w:t xml:space="preserve">   </w:t>
      </w:r>
    </w:p>
    <w:p w14:paraId="74B7EBD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 w:val="24"/>
          <w:szCs w:val="24"/>
          <w:highlight w:val="none"/>
        </w:rPr>
      </w:pPr>
      <w:r>
        <w:rPr>
          <w:rFonts w:eastAsia="仿宋_GB2312"/>
          <w:color w:val="auto"/>
          <w:sz w:val="24"/>
          <w:szCs w:val="24"/>
          <w:highlight w:val="none"/>
        </w:rPr>
        <w:t>账  号：</w:t>
      </w:r>
      <w:r>
        <w:rPr>
          <w:rFonts w:hint="eastAsia" w:eastAsia="仿宋_GB2312"/>
          <w:color w:val="auto"/>
          <w:sz w:val="24"/>
          <w:szCs w:val="24"/>
          <w:highlight w:val="none"/>
          <w:u w:val="single"/>
        </w:rPr>
        <w:t xml:space="preserve">                     </w:t>
      </w:r>
      <w:r>
        <w:rPr>
          <w:rFonts w:hint="eastAsia" w:eastAsia="仿宋_GB2312"/>
          <w:color w:val="auto"/>
          <w:sz w:val="24"/>
          <w:szCs w:val="24"/>
          <w:highlight w:val="none"/>
        </w:rPr>
        <w:t xml:space="preserve">   </w:t>
      </w:r>
      <w:r>
        <w:rPr>
          <w:rFonts w:eastAsia="仿宋_GB2312"/>
          <w:color w:val="auto"/>
          <w:sz w:val="24"/>
          <w:szCs w:val="24"/>
          <w:highlight w:val="none"/>
        </w:rPr>
        <w:t>账</w:t>
      </w:r>
      <w:r>
        <w:rPr>
          <w:rFonts w:hint="eastAsia" w:eastAsia="仿宋_GB2312"/>
          <w:color w:val="auto"/>
          <w:sz w:val="24"/>
          <w:szCs w:val="24"/>
          <w:highlight w:val="none"/>
        </w:rPr>
        <w:t xml:space="preserve"> </w:t>
      </w:r>
      <w:r>
        <w:rPr>
          <w:rFonts w:eastAsia="仿宋_GB2312"/>
          <w:color w:val="auto"/>
          <w:sz w:val="24"/>
          <w:szCs w:val="24"/>
          <w:highlight w:val="none"/>
        </w:rPr>
        <w:t xml:space="preserve"> 号：</w:t>
      </w:r>
      <w:r>
        <w:rPr>
          <w:rFonts w:hint="eastAsia" w:ascii="宋体" w:hAnsi="宋体" w:cs="宋体"/>
          <w:color w:val="auto"/>
          <w:sz w:val="20"/>
          <w:szCs w:val="20"/>
          <w:highlight w:val="none"/>
          <w:u w:val="single"/>
        </w:rPr>
        <w:t xml:space="preserve"> </w:t>
      </w:r>
      <w:r>
        <w:rPr>
          <w:rFonts w:hint="eastAsia" w:ascii="宋体" w:hAnsi="宋体" w:cs="宋体"/>
          <w:color w:val="auto"/>
          <w:sz w:val="22"/>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p>
    <w:p w14:paraId="4EE094CA">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eastAsia="仿宋_GB2312"/>
          <w:color w:val="auto"/>
          <w:sz w:val="24"/>
          <w:szCs w:val="24"/>
          <w:highlight w:val="none"/>
        </w:rPr>
      </w:pPr>
      <w:r>
        <w:rPr>
          <w:rFonts w:eastAsia="仿宋_GB2312"/>
          <w:color w:val="auto"/>
          <w:sz w:val="24"/>
          <w:szCs w:val="24"/>
          <w:highlight w:val="none"/>
        </w:rPr>
        <w:t>邮政编码：</w:t>
      </w:r>
      <w:r>
        <w:rPr>
          <w:rFonts w:hint="eastAsia" w:eastAsia="仿宋_GB2312"/>
          <w:color w:val="auto"/>
          <w:sz w:val="24"/>
          <w:szCs w:val="24"/>
          <w:highlight w:val="none"/>
        </w:rPr>
        <w:t xml:space="preserve"> </w:t>
      </w:r>
      <w:r>
        <w:rPr>
          <w:rFonts w:hint="eastAsia" w:eastAsia="仿宋_GB2312"/>
          <w:color w:val="auto"/>
          <w:sz w:val="24"/>
          <w:szCs w:val="24"/>
          <w:highlight w:val="none"/>
          <w:u w:val="single"/>
        </w:rPr>
        <w:t xml:space="preserve">                  </w:t>
      </w:r>
      <w:r>
        <w:rPr>
          <w:rFonts w:hint="eastAsia" w:eastAsia="仿宋_GB2312"/>
          <w:color w:val="auto"/>
          <w:sz w:val="24"/>
          <w:szCs w:val="24"/>
          <w:highlight w:val="none"/>
        </w:rPr>
        <w:t xml:space="preserve">   </w:t>
      </w:r>
      <w:r>
        <w:rPr>
          <w:rFonts w:eastAsia="仿宋_GB2312"/>
          <w:color w:val="auto"/>
          <w:sz w:val="24"/>
          <w:szCs w:val="24"/>
          <w:highlight w:val="none"/>
        </w:rPr>
        <w:t>邮政编码：</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18B8EE04">
      <w:pPr>
        <w:spacing w:line="440" w:lineRule="exact"/>
        <w:rPr>
          <w:rFonts w:eastAsia="黑体"/>
          <w:color w:val="auto"/>
          <w:sz w:val="30"/>
          <w:szCs w:val="30"/>
          <w:highlight w:val="none"/>
        </w:rPr>
      </w:pPr>
      <w:r>
        <w:rPr>
          <w:rFonts w:eastAsia="仿宋_GB2312"/>
          <w:b/>
          <w:color w:val="auto"/>
          <w:sz w:val="30"/>
          <w:szCs w:val="30"/>
          <w:highlight w:val="none"/>
        </w:rPr>
        <w:br w:type="page"/>
      </w:r>
      <w:r>
        <w:rPr>
          <w:rFonts w:eastAsia="仿宋_GB2312"/>
          <w:color w:val="auto"/>
          <w:sz w:val="30"/>
          <w:szCs w:val="30"/>
          <w:highlight w:val="none"/>
        </w:rPr>
        <w:t>附件4：</w:t>
      </w:r>
    </w:p>
    <w:p w14:paraId="098FC0C2">
      <w:pPr>
        <w:spacing w:before="158" w:beforeLines="50" w:after="158"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41C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6AE299E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文件名称</w:t>
            </w:r>
          </w:p>
        </w:tc>
        <w:tc>
          <w:tcPr>
            <w:tcW w:w="1276" w:type="dxa"/>
            <w:tcBorders>
              <w:top w:val="single" w:color="auto" w:sz="12" w:space="0"/>
              <w:bottom w:val="double" w:color="auto" w:sz="6" w:space="0"/>
            </w:tcBorders>
            <w:vAlign w:val="center"/>
          </w:tcPr>
          <w:p w14:paraId="123650E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套数</w:t>
            </w:r>
          </w:p>
        </w:tc>
        <w:tc>
          <w:tcPr>
            <w:tcW w:w="1450" w:type="dxa"/>
            <w:tcBorders>
              <w:top w:val="single" w:color="auto" w:sz="12" w:space="0"/>
              <w:bottom w:val="double" w:color="auto" w:sz="6" w:space="0"/>
            </w:tcBorders>
            <w:vAlign w:val="center"/>
          </w:tcPr>
          <w:p w14:paraId="48CAE45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费用</w:t>
            </w:r>
            <w:r>
              <w:rPr>
                <w:rFonts w:hint="eastAsia" w:eastAsia="仿宋_GB2312"/>
                <w:color w:val="auto"/>
                <w:szCs w:val="30"/>
                <w:highlight w:val="none"/>
              </w:rPr>
              <w:t>（元）</w:t>
            </w:r>
          </w:p>
        </w:tc>
        <w:tc>
          <w:tcPr>
            <w:tcW w:w="1243" w:type="dxa"/>
            <w:tcBorders>
              <w:top w:val="single" w:color="auto" w:sz="12" w:space="0"/>
              <w:bottom w:val="double" w:color="auto" w:sz="6" w:space="0"/>
            </w:tcBorders>
            <w:vAlign w:val="center"/>
          </w:tcPr>
          <w:p w14:paraId="2AA7CF4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质量</w:t>
            </w:r>
          </w:p>
        </w:tc>
        <w:tc>
          <w:tcPr>
            <w:tcW w:w="1450" w:type="dxa"/>
            <w:tcBorders>
              <w:top w:val="single" w:color="auto" w:sz="12" w:space="0"/>
              <w:bottom w:val="double" w:color="auto" w:sz="6" w:space="0"/>
            </w:tcBorders>
          </w:tcPr>
          <w:p w14:paraId="02C89F0F">
            <w:pPr>
              <w:keepLines w:val="0"/>
              <w:pageBreakBefore w:val="0"/>
              <w:widowControl w:val="0"/>
              <w:kinsoku/>
              <w:wordWrap/>
              <w:overflowPunct/>
              <w:topLinePunct w:val="0"/>
              <w:autoSpaceDE/>
              <w:autoSpaceDN/>
              <w:bidi w:val="0"/>
              <w:adjustRightInd/>
              <w:snapToGrid/>
              <w:spacing w:line="440" w:lineRule="exact"/>
              <w:ind w:left="0" w:right="0" w:firstLine="0"/>
              <w:jc w:val="center"/>
              <w:textAlignment w:val="auto"/>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tcPr>
          <w:p w14:paraId="658AAD02">
            <w:pPr>
              <w:keepLines w:val="0"/>
              <w:pageBreakBefore w:val="0"/>
              <w:widowControl w:val="0"/>
              <w:kinsoku/>
              <w:wordWrap/>
              <w:overflowPunct/>
              <w:topLinePunct w:val="0"/>
              <w:autoSpaceDE/>
              <w:autoSpaceDN/>
              <w:bidi w:val="0"/>
              <w:adjustRightInd/>
              <w:snapToGrid/>
              <w:spacing w:line="440" w:lineRule="exact"/>
              <w:ind w:left="0" w:right="0" w:firstLine="0"/>
              <w:jc w:val="center"/>
              <w:textAlignment w:val="auto"/>
              <w:rPr>
                <w:rFonts w:eastAsia="仿宋_GB2312"/>
                <w:color w:val="auto"/>
                <w:sz w:val="28"/>
                <w:szCs w:val="30"/>
                <w:highlight w:val="none"/>
              </w:rPr>
            </w:pPr>
            <w:r>
              <w:rPr>
                <w:rFonts w:eastAsia="仿宋_GB2312"/>
                <w:color w:val="auto"/>
                <w:sz w:val="28"/>
                <w:szCs w:val="30"/>
                <w:highlight w:val="none"/>
              </w:rPr>
              <w:t>责任人</w:t>
            </w:r>
          </w:p>
        </w:tc>
      </w:tr>
      <w:tr w14:paraId="696C9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12253AF9">
            <w:pPr>
              <w:pStyle w:val="25"/>
              <w:keepNext/>
              <w:spacing w:after="0" w:line="440" w:lineRule="exact"/>
              <w:ind w:left="63" w:right="63" w:firstLine="2409"/>
              <w:rPr>
                <w:rFonts w:eastAsia="仿宋_GB2312"/>
                <w:color w:val="auto"/>
                <w:sz w:val="30"/>
                <w:szCs w:val="30"/>
                <w:highlight w:val="none"/>
              </w:rPr>
            </w:pPr>
          </w:p>
        </w:tc>
        <w:tc>
          <w:tcPr>
            <w:tcW w:w="1276" w:type="dxa"/>
            <w:tcBorders>
              <w:top w:val="double" w:color="auto" w:sz="6" w:space="0"/>
              <w:bottom w:val="single" w:color="auto" w:sz="6" w:space="0"/>
            </w:tcBorders>
            <w:vAlign w:val="center"/>
          </w:tcPr>
          <w:p w14:paraId="39542166">
            <w:pPr>
              <w:pStyle w:val="25"/>
              <w:keepNext/>
              <w:spacing w:after="0" w:line="440" w:lineRule="exact"/>
              <w:ind w:left="63" w:right="63" w:firstLine="2409"/>
              <w:rPr>
                <w:rFonts w:eastAsia="仿宋_GB2312"/>
                <w:color w:val="auto"/>
                <w:sz w:val="30"/>
                <w:szCs w:val="30"/>
                <w:highlight w:val="none"/>
              </w:rPr>
            </w:pPr>
          </w:p>
        </w:tc>
        <w:tc>
          <w:tcPr>
            <w:tcW w:w="1450" w:type="dxa"/>
            <w:tcBorders>
              <w:top w:val="double" w:color="auto" w:sz="6" w:space="0"/>
              <w:bottom w:val="single" w:color="auto" w:sz="6" w:space="0"/>
            </w:tcBorders>
            <w:vAlign w:val="center"/>
          </w:tcPr>
          <w:p w14:paraId="6B920FB5">
            <w:pPr>
              <w:pStyle w:val="25"/>
              <w:keepNext/>
              <w:spacing w:after="0" w:line="440" w:lineRule="exact"/>
              <w:ind w:left="63" w:right="63" w:firstLine="2409"/>
              <w:rPr>
                <w:rFonts w:eastAsia="仿宋_GB2312"/>
                <w:color w:val="auto"/>
                <w:sz w:val="30"/>
                <w:szCs w:val="30"/>
                <w:highlight w:val="none"/>
              </w:rPr>
            </w:pPr>
          </w:p>
        </w:tc>
        <w:tc>
          <w:tcPr>
            <w:tcW w:w="1243" w:type="dxa"/>
            <w:tcBorders>
              <w:top w:val="double" w:color="auto" w:sz="6" w:space="0"/>
              <w:bottom w:val="single" w:color="auto" w:sz="6" w:space="0"/>
            </w:tcBorders>
            <w:vAlign w:val="center"/>
          </w:tcPr>
          <w:p w14:paraId="5D7181CC">
            <w:pPr>
              <w:pStyle w:val="25"/>
              <w:keepNext/>
              <w:spacing w:after="0" w:line="440" w:lineRule="exact"/>
              <w:ind w:left="63" w:right="63" w:firstLine="2409"/>
              <w:rPr>
                <w:rFonts w:eastAsia="仿宋_GB2312"/>
                <w:color w:val="auto"/>
                <w:sz w:val="30"/>
                <w:szCs w:val="30"/>
                <w:highlight w:val="none"/>
              </w:rPr>
            </w:pPr>
          </w:p>
        </w:tc>
        <w:tc>
          <w:tcPr>
            <w:tcW w:w="1450" w:type="dxa"/>
            <w:tcBorders>
              <w:top w:val="double" w:color="auto" w:sz="6" w:space="0"/>
              <w:bottom w:val="single" w:color="auto" w:sz="6" w:space="0"/>
            </w:tcBorders>
            <w:vAlign w:val="center"/>
          </w:tcPr>
          <w:p w14:paraId="668D5070">
            <w:pPr>
              <w:pStyle w:val="25"/>
              <w:keepNext/>
              <w:spacing w:after="0" w:line="440" w:lineRule="exact"/>
              <w:ind w:left="63" w:right="63" w:firstLine="2409"/>
              <w:rPr>
                <w:rFonts w:eastAsia="仿宋_GB2312"/>
                <w:color w:val="auto"/>
                <w:sz w:val="30"/>
                <w:szCs w:val="30"/>
                <w:highlight w:val="none"/>
              </w:rPr>
            </w:pPr>
          </w:p>
        </w:tc>
        <w:tc>
          <w:tcPr>
            <w:tcW w:w="1667" w:type="dxa"/>
            <w:tcBorders>
              <w:top w:val="double" w:color="auto" w:sz="6" w:space="0"/>
              <w:bottom w:val="single" w:color="auto" w:sz="6" w:space="0"/>
            </w:tcBorders>
            <w:vAlign w:val="center"/>
          </w:tcPr>
          <w:p w14:paraId="5653D704">
            <w:pPr>
              <w:pStyle w:val="25"/>
              <w:keepNext/>
              <w:spacing w:after="0" w:line="440" w:lineRule="exact"/>
              <w:ind w:left="63" w:right="63" w:firstLine="2409"/>
              <w:rPr>
                <w:rFonts w:eastAsia="仿宋_GB2312"/>
                <w:color w:val="auto"/>
                <w:sz w:val="30"/>
                <w:szCs w:val="30"/>
                <w:highlight w:val="none"/>
              </w:rPr>
            </w:pPr>
          </w:p>
        </w:tc>
      </w:tr>
      <w:tr w14:paraId="19F81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0605D4A0">
            <w:pPr>
              <w:pStyle w:val="25"/>
              <w:keepNext/>
              <w:spacing w:after="0" w:line="440" w:lineRule="exact"/>
              <w:ind w:left="63" w:right="63" w:firstLine="2409"/>
              <w:rPr>
                <w:rFonts w:eastAsia="仿宋_GB2312"/>
                <w:color w:val="auto"/>
                <w:sz w:val="30"/>
                <w:szCs w:val="30"/>
                <w:highlight w:val="none"/>
              </w:rPr>
            </w:pPr>
          </w:p>
        </w:tc>
        <w:tc>
          <w:tcPr>
            <w:tcW w:w="1276" w:type="dxa"/>
            <w:tcBorders>
              <w:top w:val="nil"/>
            </w:tcBorders>
            <w:vAlign w:val="center"/>
          </w:tcPr>
          <w:p w14:paraId="28BAC2FC">
            <w:pPr>
              <w:pStyle w:val="25"/>
              <w:keepNext/>
              <w:spacing w:after="0" w:line="440" w:lineRule="exact"/>
              <w:ind w:left="63" w:right="63" w:firstLine="2409"/>
              <w:rPr>
                <w:rFonts w:eastAsia="仿宋_GB2312"/>
                <w:color w:val="auto"/>
                <w:sz w:val="30"/>
                <w:szCs w:val="30"/>
                <w:highlight w:val="none"/>
              </w:rPr>
            </w:pPr>
          </w:p>
        </w:tc>
        <w:tc>
          <w:tcPr>
            <w:tcW w:w="1450" w:type="dxa"/>
            <w:tcBorders>
              <w:top w:val="nil"/>
            </w:tcBorders>
            <w:vAlign w:val="center"/>
          </w:tcPr>
          <w:p w14:paraId="1FD7149E">
            <w:pPr>
              <w:pStyle w:val="25"/>
              <w:keepNext/>
              <w:spacing w:after="0" w:line="440" w:lineRule="exact"/>
              <w:ind w:left="63" w:right="63" w:firstLine="2409"/>
              <w:rPr>
                <w:rFonts w:eastAsia="仿宋_GB2312"/>
                <w:color w:val="auto"/>
                <w:sz w:val="30"/>
                <w:szCs w:val="30"/>
                <w:highlight w:val="none"/>
              </w:rPr>
            </w:pPr>
          </w:p>
        </w:tc>
        <w:tc>
          <w:tcPr>
            <w:tcW w:w="1243" w:type="dxa"/>
            <w:tcBorders>
              <w:top w:val="nil"/>
            </w:tcBorders>
            <w:vAlign w:val="center"/>
          </w:tcPr>
          <w:p w14:paraId="193EA76D">
            <w:pPr>
              <w:pStyle w:val="25"/>
              <w:keepNext/>
              <w:spacing w:after="0" w:line="440" w:lineRule="exact"/>
              <w:ind w:left="63" w:right="63" w:firstLine="2409"/>
              <w:rPr>
                <w:rFonts w:eastAsia="仿宋_GB2312"/>
                <w:color w:val="auto"/>
                <w:sz w:val="30"/>
                <w:szCs w:val="30"/>
                <w:highlight w:val="none"/>
              </w:rPr>
            </w:pPr>
          </w:p>
        </w:tc>
        <w:tc>
          <w:tcPr>
            <w:tcW w:w="1450" w:type="dxa"/>
            <w:tcBorders>
              <w:top w:val="nil"/>
            </w:tcBorders>
            <w:vAlign w:val="center"/>
          </w:tcPr>
          <w:p w14:paraId="13A9B2A7">
            <w:pPr>
              <w:pStyle w:val="25"/>
              <w:keepNext/>
              <w:spacing w:after="0" w:line="440" w:lineRule="exact"/>
              <w:ind w:left="63" w:right="63" w:firstLine="2409"/>
              <w:rPr>
                <w:rFonts w:eastAsia="仿宋_GB2312"/>
                <w:color w:val="auto"/>
                <w:sz w:val="30"/>
                <w:szCs w:val="30"/>
                <w:highlight w:val="none"/>
              </w:rPr>
            </w:pPr>
          </w:p>
        </w:tc>
        <w:tc>
          <w:tcPr>
            <w:tcW w:w="1667" w:type="dxa"/>
            <w:tcBorders>
              <w:top w:val="nil"/>
            </w:tcBorders>
            <w:vAlign w:val="center"/>
          </w:tcPr>
          <w:p w14:paraId="70377107">
            <w:pPr>
              <w:pStyle w:val="25"/>
              <w:keepNext/>
              <w:spacing w:after="0" w:line="440" w:lineRule="exact"/>
              <w:ind w:left="63" w:right="63" w:firstLine="2409"/>
              <w:rPr>
                <w:rFonts w:eastAsia="仿宋_GB2312"/>
                <w:color w:val="auto"/>
                <w:sz w:val="30"/>
                <w:szCs w:val="30"/>
                <w:highlight w:val="none"/>
              </w:rPr>
            </w:pPr>
          </w:p>
        </w:tc>
      </w:tr>
      <w:tr w14:paraId="5DD0D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E2BA444">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4B49BAF1">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66957B27">
            <w:pPr>
              <w:pStyle w:val="25"/>
              <w:keepNext/>
              <w:spacing w:after="0" w:line="440" w:lineRule="exact"/>
              <w:ind w:left="63" w:right="63" w:firstLine="2409"/>
              <w:rPr>
                <w:rFonts w:eastAsia="仿宋_GB2312"/>
                <w:color w:val="auto"/>
                <w:sz w:val="30"/>
                <w:szCs w:val="30"/>
                <w:highlight w:val="none"/>
              </w:rPr>
            </w:pPr>
          </w:p>
        </w:tc>
        <w:tc>
          <w:tcPr>
            <w:tcW w:w="1243" w:type="dxa"/>
            <w:vAlign w:val="center"/>
          </w:tcPr>
          <w:p w14:paraId="0FA26B93">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6505A929">
            <w:pPr>
              <w:pStyle w:val="25"/>
              <w:keepNext/>
              <w:spacing w:after="0" w:line="440" w:lineRule="exact"/>
              <w:ind w:left="63" w:right="63" w:firstLine="2409"/>
              <w:rPr>
                <w:rFonts w:eastAsia="仿宋_GB2312"/>
                <w:color w:val="auto"/>
                <w:sz w:val="30"/>
                <w:szCs w:val="30"/>
                <w:highlight w:val="none"/>
              </w:rPr>
            </w:pPr>
          </w:p>
        </w:tc>
        <w:tc>
          <w:tcPr>
            <w:tcW w:w="1667" w:type="dxa"/>
            <w:vAlign w:val="center"/>
          </w:tcPr>
          <w:p w14:paraId="25378408">
            <w:pPr>
              <w:pStyle w:val="25"/>
              <w:keepNext/>
              <w:spacing w:after="0" w:line="440" w:lineRule="exact"/>
              <w:ind w:left="63" w:right="63" w:firstLine="2409"/>
              <w:rPr>
                <w:rFonts w:eastAsia="仿宋_GB2312"/>
                <w:color w:val="auto"/>
                <w:sz w:val="30"/>
                <w:szCs w:val="30"/>
                <w:highlight w:val="none"/>
              </w:rPr>
            </w:pPr>
          </w:p>
        </w:tc>
      </w:tr>
      <w:tr w14:paraId="06CA0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0C3EE5C">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679C15AA">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69F7F738">
            <w:pPr>
              <w:pStyle w:val="25"/>
              <w:keepNext/>
              <w:spacing w:after="0" w:line="440" w:lineRule="exact"/>
              <w:ind w:left="63" w:right="63" w:firstLine="2409"/>
              <w:rPr>
                <w:rFonts w:eastAsia="仿宋_GB2312"/>
                <w:color w:val="auto"/>
                <w:sz w:val="30"/>
                <w:szCs w:val="30"/>
                <w:highlight w:val="none"/>
              </w:rPr>
            </w:pPr>
          </w:p>
        </w:tc>
        <w:tc>
          <w:tcPr>
            <w:tcW w:w="1243" w:type="dxa"/>
            <w:vAlign w:val="center"/>
          </w:tcPr>
          <w:p w14:paraId="68D3FEBA">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27E0082E">
            <w:pPr>
              <w:pStyle w:val="25"/>
              <w:keepNext/>
              <w:spacing w:after="0" w:line="440" w:lineRule="exact"/>
              <w:ind w:left="63" w:right="63" w:firstLine="2409"/>
              <w:rPr>
                <w:rFonts w:eastAsia="仿宋_GB2312"/>
                <w:color w:val="auto"/>
                <w:sz w:val="30"/>
                <w:szCs w:val="30"/>
                <w:highlight w:val="none"/>
              </w:rPr>
            </w:pPr>
          </w:p>
        </w:tc>
        <w:tc>
          <w:tcPr>
            <w:tcW w:w="1667" w:type="dxa"/>
            <w:vAlign w:val="center"/>
          </w:tcPr>
          <w:p w14:paraId="58A681AF">
            <w:pPr>
              <w:pStyle w:val="25"/>
              <w:keepNext/>
              <w:spacing w:after="0" w:line="440" w:lineRule="exact"/>
              <w:ind w:left="63" w:right="63" w:firstLine="2409"/>
              <w:rPr>
                <w:rFonts w:eastAsia="仿宋_GB2312"/>
                <w:color w:val="auto"/>
                <w:sz w:val="30"/>
                <w:szCs w:val="30"/>
                <w:highlight w:val="none"/>
              </w:rPr>
            </w:pPr>
          </w:p>
        </w:tc>
      </w:tr>
      <w:tr w14:paraId="72DBD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E82E861">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4F198098">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20671944">
            <w:pPr>
              <w:pStyle w:val="25"/>
              <w:keepNext/>
              <w:spacing w:after="0" w:line="440" w:lineRule="exact"/>
              <w:ind w:left="63" w:right="63" w:firstLine="2409"/>
              <w:rPr>
                <w:rFonts w:eastAsia="仿宋_GB2312"/>
                <w:color w:val="auto"/>
                <w:sz w:val="30"/>
                <w:szCs w:val="30"/>
                <w:highlight w:val="none"/>
              </w:rPr>
            </w:pPr>
          </w:p>
        </w:tc>
        <w:tc>
          <w:tcPr>
            <w:tcW w:w="1243" w:type="dxa"/>
            <w:vAlign w:val="center"/>
          </w:tcPr>
          <w:p w14:paraId="2E411B93">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12CB9006">
            <w:pPr>
              <w:pStyle w:val="25"/>
              <w:keepNext/>
              <w:spacing w:after="0" w:line="440" w:lineRule="exact"/>
              <w:ind w:left="63" w:right="63" w:firstLine="2409"/>
              <w:rPr>
                <w:rFonts w:eastAsia="仿宋_GB2312"/>
                <w:color w:val="auto"/>
                <w:sz w:val="30"/>
                <w:szCs w:val="30"/>
                <w:highlight w:val="none"/>
              </w:rPr>
            </w:pPr>
          </w:p>
        </w:tc>
        <w:tc>
          <w:tcPr>
            <w:tcW w:w="1667" w:type="dxa"/>
            <w:vAlign w:val="center"/>
          </w:tcPr>
          <w:p w14:paraId="266103CF">
            <w:pPr>
              <w:pStyle w:val="25"/>
              <w:keepNext/>
              <w:spacing w:after="0" w:line="440" w:lineRule="exact"/>
              <w:ind w:left="63" w:right="63" w:firstLine="2409"/>
              <w:rPr>
                <w:rFonts w:eastAsia="仿宋_GB2312"/>
                <w:color w:val="auto"/>
                <w:sz w:val="30"/>
                <w:szCs w:val="30"/>
                <w:highlight w:val="none"/>
              </w:rPr>
            </w:pPr>
          </w:p>
        </w:tc>
      </w:tr>
      <w:tr w14:paraId="379E1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6C3659E">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411E62CC">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45C10473">
            <w:pPr>
              <w:pStyle w:val="25"/>
              <w:keepNext/>
              <w:spacing w:after="0" w:line="440" w:lineRule="exact"/>
              <w:ind w:left="63" w:right="63" w:firstLine="2409"/>
              <w:rPr>
                <w:rFonts w:eastAsia="仿宋_GB2312"/>
                <w:color w:val="auto"/>
                <w:sz w:val="30"/>
                <w:szCs w:val="30"/>
                <w:highlight w:val="none"/>
              </w:rPr>
            </w:pPr>
          </w:p>
        </w:tc>
        <w:tc>
          <w:tcPr>
            <w:tcW w:w="1243" w:type="dxa"/>
            <w:vAlign w:val="center"/>
          </w:tcPr>
          <w:p w14:paraId="18D48F8A">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2D9359DB">
            <w:pPr>
              <w:pStyle w:val="25"/>
              <w:keepNext/>
              <w:spacing w:after="0" w:line="440" w:lineRule="exact"/>
              <w:ind w:left="63" w:right="63" w:firstLine="2409"/>
              <w:rPr>
                <w:rFonts w:eastAsia="仿宋_GB2312"/>
                <w:color w:val="auto"/>
                <w:sz w:val="30"/>
                <w:szCs w:val="30"/>
                <w:highlight w:val="none"/>
              </w:rPr>
            </w:pPr>
          </w:p>
        </w:tc>
        <w:tc>
          <w:tcPr>
            <w:tcW w:w="1667" w:type="dxa"/>
            <w:vAlign w:val="center"/>
          </w:tcPr>
          <w:p w14:paraId="08EAED4B">
            <w:pPr>
              <w:pStyle w:val="25"/>
              <w:keepNext/>
              <w:spacing w:after="0" w:line="440" w:lineRule="exact"/>
              <w:ind w:left="63" w:right="63" w:firstLine="2409"/>
              <w:rPr>
                <w:rFonts w:eastAsia="仿宋_GB2312"/>
                <w:color w:val="auto"/>
                <w:sz w:val="30"/>
                <w:szCs w:val="30"/>
                <w:highlight w:val="none"/>
              </w:rPr>
            </w:pPr>
          </w:p>
        </w:tc>
      </w:tr>
      <w:tr w14:paraId="0B192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799B0D7">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6E2209E2">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2AE224E1">
            <w:pPr>
              <w:pStyle w:val="25"/>
              <w:keepNext/>
              <w:spacing w:after="0" w:line="440" w:lineRule="exact"/>
              <w:ind w:left="63" w:right="63" w:firstLine="2409"/>
              <w:rPr>
                <w:rFonts w:eastAsia="仿宋_GB2312"/>
                <w:color w:val="auto"/>
                <w:sz w:val="30"/>
                <w:szCs w:val="30"/>
                <w:highlight w:val="none"/>
              </w:rPr>
            </w:pPr>
          </w:p>
        </w:tc>
        <w:tc>
          <w:tcPr>
            <w:tcW w:w="1243" w:type="dxa"/>
            <w:vAlign w:val="center"/>
          </w:tcPr>
          <w:p w14:paraId="40AD964B">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5E6B8AD2">
            <w:pPr>
              <w:pStyle w:val="25"/>
              <w:keepNext/>
              <w:spacing w:after="0" w:line="440" w:lineRule="exact"/>
              <w:ind w:left="63" w:right="63" w:firstLine="2409"/>
              <w:rPr>
                <w:rFonts w:eastAsia="仿宋_GB2312"/>
                <w:color w:val="auto"/>
                <w:sz w:val="30"/>
                <w:szCs w:val="30"/>
                <w:highlight w:val="none"/>
              </w:rPr>
            </w:pPr>
          </w:p>
        </w:tc>
        <w:tc>
          <w:tcPr>
            <w:tcW w:w="1667" w:type="dxa"/>
            <w:vAlign w:val="center"/>
          </w:tcPr>
          <w:p w14:paraId="5EB97061">
            <w:pPr>
              <w:pStyle w:val="25"/>
              <w:keepNext/>
              <w:spacing w:after="0" w:line="440" w:lineRule="exact"/>
              <w:ind w:left="63" w:right="63" w:firstLine="2409"/>
              <w:rPr>
                <w:rFonts w:eastAsia="仿宋_GB2312"/>
                <w:color w:val="auto"/>
                <w:sz w:val="30"/>
                <w:szCs w:val="30"/>
                <w:highlight w:val="none"/>
              </w:rPr>
            </w:pPr>
          </w:p>
        </w:tc>
      </w:tr>
      <w:tr w14:paraId="16FFA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00B6940">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30D19E1C">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74AB5430">
            <w:pPr>
              <w:pStyle w:val="25"/>
              <w:keepNext/>
              <w:spacing w:after="0" w:line="440" w:lineRule="exact"/>
              <w:ind w:left="63" w:right="63" w:firstLine="2409"/>
              <w:rPr>
                <w:rFonts w:eastAsia="仿宋_GB2312"/>
                <w:color w:val="auto"/>
                <w:sz w:val="30"/>
                <w:szCs w:val="30"/>
                <w:highlight w:val="none"/>
              </w:rPr>
            </w:pPr>
          </w:p>
        </w:tc>
        <w:tc>
          <w:tcPr>
            <w:tcW w:w="1243" w:type="dxa"/>
            <w:vAlign w:val="center"/>
          </w:tcPr>
          <w:p w14:paraId="6BC9A23B">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3161A7BF">
            <w:pPr>
              <w:pStyle w:val="25"/>
              <w:keepNext/>
              <w:spacing w:after="0" w:line="440" w:lineRule="exact"/>
              <w:ind w:left="63" w:right="63" w:firstLine="2409"/>
              <w:rPr>
                <w:rFonts w:eastAsia="仿宋_GB2312"/>
                <w:color w:val="auto"/>
                <w:sz w:val="30"/>
                <w:szCs w:val="30"/>
                <w:highlight w:val="none"/>
              </w:rPr>
            </w:pPr>
          </w:p>
        </w:tc>
        <w:tc>
          <w:tcPr>
            <w:tcW w:w="1667" w:type="dxa"/>
            <w:vAlign w:val="center"/>
          </w:tcPr>
          <w:p w14:paraId="0A6D1D09">
            <w:pPr>
              <w:pStyle w:val="25"/>
              <w:keepNext/>
              <w:spacing w:after="0" w:line="440" w:lineRule="exact"/>
              <w:ind w:left="63" w:right="63" w:firstLine="2409"/>
              <w:rPr>
                <w:rFonts w:eastAsia="仿宋_GB2312"/>
                <w:color w:val="auto"/>
                <w:sz w:val="30"/>
                <w:szCs w:val="30"/>
                <w:highlight w:val="none"/>
              </w:rPr>
            </w:pPr>
          </w:p>
        </w:tc>
      </w:tr>
      <w:tr w14:paraId="0E935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8231AE8">
            <w:pPr>
              <w:ind w:firstLine="2409"/>
              <w:rPr>
                <w:rFonts w:eastAsia="仿宋_GB2312"/>
                <w:color w:val="auto"/>
                <w:sz w:val="30"/>
                <w:szCs w:val="30"/>
                <w:highlight w:val="none"/>
              </w:rPr>
            </w:pPr>
          </w:p>
        </w:tc>
        <w:tc>
          <w:tcPr>
            <w:tcW w:w="1276" w:type="dxa"/>
          </w:tcPr>
          <w:p w14:paraId="25CC2D45">
            <w:pPr>
              <w:ind w:firstLine="2409"/>
              <w:rPr>
                <w:rFonts w:eastAsia="仿宋_GB2312"/>
                <w:color w:val="auto"/>
                <w:sz w:val="30"/>
                <w:szCs w:val="30"/>
                <w:highlight w:val="none"/>
              </w:rPr>
            </w:pPr>
          </w:p>
        </w:tc>
        <w:tc>
          <w:tcPr>
            <w:tcW w:w="1450" w:type="dxa"/>
          </w:tcPr>
          <w:p w14:paraId="24F174A1">
            <w:pPr>
              <w:ind w:firstLine="2409"/>
              <w:rPr>
                <w:rFonts w:eastAsia="仿宋_GB2312"/>
                <w:color w:val="auto"/>
                <w:sz w:val="30"/>
                <w:szCs w:val="30"/>
                <w:highlight w:val="none"/>
              </w:rPr>
            </w:pPr>
          </w:p>
        </w:tc>
        <w:tc>
          <w:tcPr>
            <w:tcW w:w="1243" w:type="dxa"/>
          </w:tcPr>
          <w:p w14:paraId="5E13FFAE">
            <w:pPr>
              <w:ind w:firstLine="2409"/>
              <w:rPr>
                <w:rFonts w:eastAsia="仿宋_GB2312"/>
                <w:color w:val="auto"/>
                <w:sz w:val="30"/>
                <w:szCs w:val="30"/>
                <w:highlight w:val="none"/>
              </w:rPr>
            </w:pPr>
          </w:p>
        </w:tc>
        <w:tc>
          <w:tcPr>
            <w:tcW w:w="1450" w:type="dxa"/>
          </w:tcPr>
          <w:p w14:paraId="4044A315">
            <w:pPr>
              <w:ind w:firstLine="2409"/>
              <w:rPr>
                <w:rFonts w:eastAsia="仿宋_GB2312"/>
                <w:color w:val="auto"/>
                <w:sz w:val="30"/>
                <w:szCs w:val="30"/>
                <w:highlight w:val="none"/>
              </w:rPr>
            </w:pPr>
          </w:p>
        </w:tc>
        <w:tc>
          <w:tcPr>
            <w:tcW w:w="1667" w:type="dxa"/>
          </w:tcPr>
          <w:p w14:paraId="2431338C">
            <w:pPr>
              <w:ind w:firstLine="2409"/>
              <w:rPr>
                <w:rFonts w:eastAsia="仿宋_GB2312"/>
                <w:color w:val="auto"/>
                <w:sz w:val="30"/>
                <w:szCs w:val="30"/>
                <w:highlight w:val="none"/>
              </w:rPr>
            </w:pPr>
          </w:p>
        </w:tc>
      </w:tr>
      <w:tr w14:paraId="36F82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47CC75B">
            <w:pPr>
              <w:pStyle w:val="25"/>
              <w:keepNext/>
              <w:spacing w:after="0" w:line="440" w:lineRule="exact"/>
              <w:ind w:left="63" w:right="63" w:firstLine="2409"/>
              <w:rPr>
                <w:rFonts w:eastAsia="仿宋_GB2312"/>
                <w:color w:val="auto"/>
                <w:sz w:val="30"/>
                <w:szCs w:val="30"/>
                <w:highlight w:val="none"/>
              </w:rPr>
            </w:pPr>
          </w:p>
        </w:tc>
        <w:tc>
          <w:tcPr>
            <w:tcW w:w="1276" w:type="dxa"/>
            <w:vAlign w:val="center"/>
          </w:tcPr>
          <w:p w14:paraId="01F8D40A">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41EB3F47">
            <w:pPr>
              <w:pStyle w:val="25"/>
              <w:keepNext/>
              <w:spacing w:after="0" w:line="440" w:lineRule="exact"/>
              <w:ind w:left="63" w:right="63" w:firstLine="2409"/>
              <w:rPr>
                <w:rFonts w:eastAsia="仿宋_GB2312"/>
                <w:color w:val="auto"/>
                <w:sz w:val="30"/>
                <w:szCs w:val="30"/>
                <w:highlight w:val="none"/>
              </w:rPr>
            </w:pPr>
          </w:p>
        </w:tc>
        <w:tc>
          <w:tcPr>
            <w:tcW w:w="1243" w:type="dxa"/>
            <w:vAlign w:val="center"/>
          </w:tcPr>
          <w:p w14:paraId="78E750BF">
            <w:pPr>
              <w:pStyle w:val="25"/>
              <w:keepNext/>
              <w:spacing w:after="0" w:line="440" w:lineRule="exact"/>
              <w:ind w:left="63" w:right="63" w:firstLine="2409"/>
              <w:rPr>
                <w:rFonts w:eastAsia="仿宋_GB2312"/>
                <w:color w:val="auto"/>
                <w:sz w:val="30"/>
                <w:szCs w:val="30"/>
                <w:highlight w:val="none"/>
              </w:rPr>
            </w:pPr>
          </w:p>
        </w:tc>
        <w:tc>
          <w:tcPr>
            <w:tcW w:w="1450" w:type="dxa"/>
            <w:vAlign w:val="center"/>
          </w:tcPr>
          <w:p w14:paraId="5D11AAF1">
            <w:pPr>
              <w:pStyle w:val="25"/>
              <w:keepNext/>
              <w:spacing w:after="0" w:line="440" w:lineRule="exact"/>
              <w:ind w:left="63" w:right="63" w:firstLine="2409"/>
              <w:rPr>
                <w:rFonts w:eastAsia="仿宋_GB2312"/>
                <w:color w:val="auto"/>
                <w:sz w:val="30"/>
                <w:szCs w:val="30"/>
                <w:highlight w:val="none"/>
              </w:rPr>
            </w:pPr>
          </w:p>
        </w:tc>
        <w:tc>
          <w:tcPr>
            <w:tcW w:w="1667" w:type="dxa"/>
            <w:vAlign w:val="center"/>
          </w:tcPr>
          <w:p w14:paraId="09D7CDA0">
            <w:pPr>
              <w:pStyle w:val="25"/>
              <w:keepNext/>
              <w:spacing w:after="0" w:line="440" w:lineRule="exact"/>
              <w:ind w:left="63" w:right="63" w:firstLine="2409"/>
              <w:rPr>
                <w:rFonts w:eastAsia="仿宋_GB2312"/>
                <w:color w:val="auto"/>
                <w:sz w:val="30"/>
                <w:szCs w:val="30"/>
                <w:highlight w:val="none"/>
              </w:rPr>
            </w:pPr>
          </w:p>
        </w:tc>
      </w:tr>
      <w:tr w14:paraId="64E11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7F39EDE">
            <w:pPr>
              <w:ind w:firstLine="2409"/>
              <w:rPr>
                <w:rFonts w:eastAsia="仿宋_GB2312"/>
                <w:color w:val="auto"/>
                <w:sz w:val="30"/>
                <w:szCs w:val="30"/>
                <w:highlight w:val="none"/>
              </w:rPr>
            </w:pPr>
          </w:p>
        </w:tc>
        <w:tc>
          <w:tcPr>
            <w:tcW w:w="1276" w:type="dxa"/>
          </w:tcPr>
          <w:p w14:paraId="0822914E">
            <w:pPr>
              <w:ind w:firstLine="2409"/>
              <w:rPr>
                <w:rFonts w:eastAsia="仿宋_GB2312"/>
                <w:color w:val="auto"/>
                <w:sz w:val="30"/>
                <w:szCs w:val="30"/>
                <w:highlight w:val="none"/>
              </w:rPr>
            </w:pPr>
          </w:p>
        </w:tc>
        <w:tc>
          <w:tcPr>
            <w:tcW w:w="1450" w:type="dxa"/>
          </w:tcPr>
          <w:p w14:paraId="312D0AF8">
            <w:pPr>
              <w:ind w:firstLine="2409"/>
              <w:rPr>
                <w:rFonts w:eastAsia="仿宋_GB2312"/>
                <w:color w:val="auto"/>
                <w:sz w:val="30"/>
                <w:szCs w:val="30"/>
                <w:highlight w:val="none"/>
              </w:rPr>
            </w:pPr>
          </w:p>
        </w:tc>
        <w:tc>
          <w:tcPr>
            <w:tcW w:w="1243" w:type="dxa"/>
          </w:tcPr>
          <w:p w14:paraId="280A9753">
            <w:pPr>
              <w:ind w:firstLine="2409"/>
              <w:rPr>
                <w:rFonts w:eastAsia="仿宋_GB2312"/>
                <w:color w:val="auto"/>
                <w:sz w:val="30"/>
                <w:szCs w:val="30"/>
                <w:highlight w:val="none"/>
              </w:rPr>
            </w:pPr>
          </w:p>
        </w:tc>
        <w:tc>
          <w:tcPr>
            <w:tcW w:w="1450" w:type="dxa"/>
          </w:tcPr>
          <w:p w14:paraId="395C0CB7">
            <w:pPr>
              <w:ind w:firstLine="2409"/>
              <w:rPr>
                <w:rFonts w:eastAsia="仿宋_GB2312"/>
                <w:color w:val="auto"/>
                <w:sz w:val="30"/>
                <w:szCs w:val="30"/>
                <w:highlight w:val="none"/>
              </w:rPr>
            </w:pPr>
          </w:p>
        </w:tc>
        <w:tc>
          <w:tcPr>
            <w:tcW w:w="1667" w:type="dxa"/>
          </w:tcPr>
          <w:p w14:paraId="1B609FD9">
            <w:pPr>
              <w:ind w:firstLine="2409"/>
              <w:rPr>
                <w:rFonts w:eastAsia="仿宋_GB2312"/>
                <w:color w:val="auto"/>
                <w:sz w:val="30"/>
                <w:szCs w:val="30"/>
                <w:highlight w:val="none"/>
              </w:rPr>
            </w:pPr>
          </w:p>
        </w:tc>
      </w:tr>
      <w:tr w14:paraId="674E6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AA4E2DE">
            <w:pPr>
              <w:ind w:firstLine="2409"/>
              <w:rPr>
                <w:rFonts w:eastAsia="仿宋_GB2312"/>
                <w:color w:val="auto"/>
                <w:sz w:val="30"/>
                <w:szCs w:val="30"/>
                <w:highlight w:val="none"/>
              </w:rPr>
            </w:pPr>
          </w:p>
        </w:tc>
        <w:tc>
          <w:tcPr>
            <w:tcW w:w="1276" w:type="dxa"/>
          </w:tcPr>
          <w:p w14:paraId="12A02083">
            <w:pPr>
              <w:ind w:firstLine="2409"/>
              <w:rPr>
                <w:rFonts w:eastAsia="仿宋_GB2312"/>
                <w:color w:val="auto"/>
                <w:sz w:val="30"/>
                <w:szCs w:val="30"/>
                <w:highlight w:val="none"/>
              </w:rPr>
            </w:pPr>
          </w:p>
        </w:tc>
        <w:tc>
          <w:tcPr>
            <w:tcW w:w="1450" w:type="dxa"/>
          </w:tcPr>
          <w:p w14:paraId="240C0E78">
            <w:pPr>
              <w:ind w:firstLine="2409"/>
              <w:rPr>
                <w:rFonts w:eastAsia="仿宋_GB2312"/>
                <w:color w:val="auto"/>
                <w:sz w:val="30"/>
                <w:szCs w:val="30"/>
                <w:highlight w:val="none"/>
              </w:rPr>
            </w:pPr>
          </w:p>
        </w:tc>
        <w:tc>
          <w:tcPr>
            <w:tcW w:w="1243" w:type="dxa"/>
          </w:tcPr>
          <w:p w14:paraId="7D93D301">
            <w:pPr>
              <w:ind w:firstLine="2409"/>
              <w:rPr>
                <w:rFonts w:eastAsia="仿宋_GB2312"/>
                <w:color w:val="auto"/>
                <w:sz w:val="30"/>
                <w:szCs w:val="30"/>
                <w:highlight w:val="none"/>
              </w:rPr>
            </w:pPr>
          </w:p>
        </w:tc>
        <w:tc>
          <w:tcPr>
            <w:tcW w:w="1450" w:type="dxa"/>
          </w:tcPr>
          <w:p w14:paraId="2B12BD28">
            <w:pPr>
              <w:ind w:firstLine="2409"/>
              <w:rPr>
                <w:rFonts w:eastAsia="仿宋_GB2312"/>
                <w:color w:val="auto"/>
                <w:sz w:val="30"/>
                <w:szCs w:val="30"/>
                <w:highlight w:val="none"/>
              </w:rPr>
            </w:pPr>
          </w:p>
        </w:tc>
        <w:tc>
          <w:tcPr>
            <w:tcW w:w="1667" w:type="dxa"/>
          </w:tcPr>
          <w:p w14:paraId="08EF81AC">
            <w:pPr>
              <w:ind w:firstLine="2409"/>
              <w:rPr>
                <w:rFonts w:eastAsia="仿宋_GB2312"/>
                <w:color w:val="auto"/>
                <w:sz w:val="30"/>
                <w:szCs w:val="30"/>
                <w:highlight w:val="none"/>
              </w:rPr>
            </w:pPr>
          </w:p>
        </w:tc>
      </w:tr>
      <w:tr w14:paraId="7E4DE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65EEB07">
            <w:pPr>
              <w:ind w:firstLine="2409"/>
              <w:rPr>
                <w:rFonts w:eastAsia="仿宋_GB2312"/>
                <w:color w:val="auto"/>
                <w:sz w:val="30"/>
                <w:szCs w:val="30"/>
                <w:highlight w:val="none"/>
              </w:rPr>
            </w:pPr>
          </w:p>
        </w:tc>
        <w:tc>
          <w:tcPr>
            <w:tcW w:w="1276" w:type="dxa"/>
          </w:tcPr>
          <w:p w14:paraId="426B3B44">
            <w:pPr>
              <w:ind w:firstLine="2409"/>
              <w:rPr>
                <w:rFonts w:eastAsia="仿宋_GB2312"/>
                <w:color w:val="auto"/>
                <w:sz w:val="30"/>
                <w:szCs w:val="30"/>
                <w:highlight w:val="none"/>
              </w:rPr>
            </w:pPr>
          </w:p>
        </w:tc>
        <w:tc>
          <w:tcPr>
            <w:tcW w:w="1450" w:type="dxa"/>
          </w:tcPr>
          <w:p w14:paraId="26CD83BC">
            <w:pPr>
              <w:ind w:firstLine="2409"/>
              <w:rPr>
                <w:rFonts w:eastAsia="仿宋_GB2312"/>
                <w:color w:val="auto"/>
                <w:sz w:val="30"/>
                <w:szCs w:val="30"/>
                <w:highlight w:val="none"/>
              </w:rPr>
            </w:pPr>
          </w:p>
        </w:tc>
        <w:tc>
          <w:tcPr>
            <w:tcW w:w="1243" w:type="dxa"/>
          </w:tcPr>
          <w:p w14:paraId="35438995">
            <w:pPr>
              <w:ind w:firstLine="2409"/>
              <w:rPr>
                <w:rFonts w:eastAsia="仿宋_GB2312"/>
                <w:color w:val="auto"/>
                <w:sz w:val="30"/>
                <w:szCs w:val="30"/>
                <w:highlight w:val="none"/>
              </w:rPr>
            </w:pPr>
          </w:p>
        </w:tc>
        <w:tc>
          <w:tcPr>
            <w:tcW w:w="1450" w:type="dxa"/>
          </w:tcPr>
          <w:p w14:paraId="7B01DB23">
            <w:pPr>
              <w:ind w:firstLine="2409"/>
              <w:rPr>
                <w:rFonts w:eastAsia="仿宋_GB2312"/>
                <w:color w:val="auto"/>
                <w:sz w:val="30"/>
                <w:szCs w:val="30"/>
                <w:highlight w:val="none"/>
              </w:rPr>
            </w:pPr>
          </w:p>
        </w:tc>
        <w:tc>
          <w:tcPr>
            <w:tcW w:w="1667" w:type="dxa"/>
          </w:tcPr>
          <w:p w14:paraId="1140CEE5">
            <w:pPr>
              <w:ind w:firstLine="2409"/>
              <w:rPr>
                <w:rFonts w:eastAsia="仿宋_GB2312"/>
                <w:color w:val="auto"/>
                <w:sz w:val="30"/>
                <w:szCs w:val="30"/>
                <w:highlight w:val="none"/>
              </w:rPr>
            </w:pPr>
          </w:p>
        </w:tc>
      </w:tr>
      <w:tr w14:paraId="4EC1B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Pr>
          <w:p w14:paraId="0CA519F8">
            <w:pPr>
              <w:ind w:firstLine="2409"/>
              <w:rPr>
                <w:rFonts w:eastAsia="仿宋_GB2312"/>
                <w:color w:val="auto"/>
                <w:sz w:val="30"/>
                <w:szCs w:val="30"/>
                <w:highlight w:val="none"/>
              </w:rPr>
            </w:pPr>
          </w:p>
        </w:tc>
        <w:tc>
          <w:tcPr>
            <w:tcW w:w="1276" w:type="dxa"/>
          </w:tcPr>
          <w:p w14:paraId="34E1EBFA">
            <w:pPr>
              <w:ind w:firstLine="2409"/>
              <w:rPr>
                <w:rFonts w:eastAsia="仿宋_GB2312"/>
                <w:color w:val="auto"/>
                <w:sz w:val="30"/>
                <w:szCs w:val="30"/>
                <w:highlight w:val="none"/>
              </w:rPr>
            </w:pPr>
          </w:p>
        </w:tc>
        <w:tc>
          <w:tcPr>
            <w:tcW w:w="1450" w:type="dxa"/>
          </w:tcPr>
          <w:p w14:paraId="5A26A817">
            <w:pPr>
              <w:ind w:firstLine="2409"/>
              <w:rPr>
                <w:rFonts w:eastAsia="仿宋_GB2312"/>
                <w:color w:val="auto"/>
                <w:sz w:val="30"/>
                <w:szCs w:val="30"/>
                <w:highlight w:val="none"/>
              </w:rPr>
            </w:pPr>
          </w:p>
        </w:tc>
        <w:tc>
          <w:tcPr>
            <w:tcW w:w="1243" w:type="dxa"/>
          </w:tcPr>
          <w:p w14:paraId="180B6522">
            <w:pPr>
              <w:ind w:firstLine="2409"/>
              <w:rPr>
                <w:rFonts w:eastAsia="仿宋_GB2312"/>
                <w:color w:val="auto"/>
                <w:sz w:val="30"/>
                <w:szCs w:val="30"/>
                <w:highlight w:val="none"/>
              </w:rPr>
            </w:pPr>
          </w:p>
        </w:tc>
        <w:tc>
          <w:tcPr>
            <w:tcW w:w="1450" w:type="dxa"/>
          </w:tcPr>
          <w:p w14:paraId="0833769D">
            <w:pPr>
              <w:ind w:firstLine="2409"/>
              <w:rPr>
                <w:rFonts w:eastAsia="仿宋_GB2312"/>
                <w:color w:val="auto"/>
                <w:sz w:val="30"/>
                <w:szCs w:val="30"/>
                <w:highlight w:val="none"/>
              </w:rPr>
            </w:pPr>
          </w:p>
        </w:tc>
        <w:tc>
          <w:tcPr>
            <w:tcW w:w="1667" w:type="dxa"/>
          </w:tcPr>
          <w:p w14:paraId="395A0D6C">
            <w:pPr>
              <w:ind w:firstLine="2409"/>
              <w:rPr>
                <w:rFonts w:eastAsia="仿宋_GB2312"/>
                <w:color w:val="auto"/>
                <w:sz w:val="30"/>
                <w:szCs w:val="30"/>
                <w:highlight w:val="none"/>
              </w:rPr>
            </w:pPr>
          </w:p>
        </w:tc>
      </w:tr>
      <w:tr w14:paraId="2DC5B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9B24AE8">
            <w:pPr>
              <w:ind w:firstLine="2409"/>
              <w:rPr>
                <w:rFonts w:eastAsia="仿宋_GB2312"/>
                <w:color w:val="auto"/>
                <w:sz w:val="30"/>
                <w:szCs w:val="30"/>
                <w:highlight w:val="none"/>
              </w:rPr>
            </w:pPr>
          </w:p>
        </w:tc>
        <w:tc>
          <w:tcPr>
            <w:tcW w:w="1276" w:type="dxa"/>
          </w:tcPr>
          <w:p w14:paraId="47F0B026">
            <w:pPr>
              <w:ind w:firstLine="2409"/>
              <w:rPr>
                <w:rFonts w:eastAsia="仿宋_GB2312"/>
                <w:color w:val="auto"/>
                <w:sz w:val="30"/>
                <w:szCs w:val="30"/>
                <w:highlight w:val="none"/>
              </w:rPr>
            </w:pPr>
          </w:p>
        </w:tc>
        <w:tc>
          <w:tcPr>
            <w:tcW w:w="1450" w:type="dxa"/>
          </w:tcPr>
          <w:p w14:paraId="77A28408">
            <w:pPr>
              <w:ind w:firstLine="2409"/>
              <w:rPr>
                <w:rFonts w:eastAsia="仿宋_GB2312"/>
                <w:color w:val="auto"/>
                <w:sz w:val="30"/>
                <w:szCs w:val="30"/>
                <w:highlight w:val="none"/>
              </w:rPr>
            </w:pPr>
          </w:p>
        </w:tc>
        <w:tc>
          <w:tcPr>
            <w:tcW w:w="1243" w:type="dxa"/>
          </w:tcPr>
          <w:p w14:paraId="30B02C21">
            <w:pPr>
              <w:ind w:firstLine="2409"/>
              <w:rPr>
                <w:rFonts w:eastAsia="仿宋_GB2312"/>
                <w:color w:val="auto"/>
                <w:sz w:val="30"/>
                <w:szCs w:val="30"/>
                <w:highlight w:val="none"/>
              </w:rPr>
            </w:pPr>
          </w:p>
        </w:tc>
        <w:tc>
          <w:tcPr>
            <w:tcW w:w="1450" w:type="dxa"/>
          </w:tcPr>
          <w:p w14:paraId="7199C653">
            <w:pPr>
              <w:ind w:firstLine="2409"/>
              <w:rPr>
                <w:rFonts w:eastAsia="仿宋_GB2312"/>
                <w:color w:val="auto"/>
                <w:sz w:val="30"/>
                <w:szCs w:val="30"/>
                <w:highlight w:val="none"/>
              </w:rPr>
            </w:pPr>
          </w:p>
        </w:tc>
        <w:tc>
          <w:tcPr>
            <w:tcW w:w="1667" w:type="dxa"/>
          </w:tcPr>
          <w:p w14:paraId="335A6446">
            <w:pPr>
              <w:ind w:firstLine="2409"/>
              <w:rPr>
                <w:rFonts w:eastAsia="仿宋_GB2312"/>
                <w:color w:val="auto"/>
                <w:sz w:val="30"/>
                <w:szCs w:val="30"/>
                <w:highlight w:val="none"/>
              </w:rPr>
            </w:pPr>
          </w:p>
        </w:tc>
      </w:tr>
      <w:tr w14:paraId="55309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4173E6E">
            <w:pPr>
              <w:ind w:firstLine="2409"/>
              <w:rPr>
                <w:rFonts w:eastAsia="仿宋_GB2312"/>
                <w:color w:val="auto"/>
                <w:sz w:val="30"/>
                <w:szCs w:val="30"/>
                <w:highlight w:val="none"/>
              </w:rPr>
            </w:pPr>
          </w:p>
        </w:tc>
        <w:tc>
          <w:tcPr>
            <w:tcW w:w="1276" w:type="dxa"/>
          </w:tcPr>
          <w:p w14:paraId="5AC2BF2D">
            <w:pPr>
              <w:ind w:firstLine="2409"/>
              <w:rPr>
                <w:rFonts w:eastAsia="仿宋_GB2312"/>
                <w:color w:val="auto"/>
                <w:sz w:val="30"/>
                <w:szCs w:val="30"/>
                <w:highlight w:val="none"/>
              </w:rPr>
            </w:pPr>
          </w:p>
        </w:tc>
        <w:tc>
          <w:tcPr>
            <w:tcW w:w="1450" w:type="dxa"/>
          </w:tcPr>
          <w:p w14:paraId="7C2D0A8B">
            <w:pPr>
              <w:ind w:firstLine="2409"/>
              <w:rPr>
                <w:rFonts w:eastAsia="仿宋_GB2312"/>
                <w:color w:val="auto"/>
                <w:sz w:val="30"/>
                <w:szCs w:val="30"/>
                <w:highlight w:val="none"/>
              </w:rPr>
            </w:pPr>
          </w:p>
        </w:tc>
        <w:tc>
          <w:tcPr>
            <w:tcW w:w="1243" w:type="dxa"/>
          </w:tcPr>
          <w:p w14:paraId="66FA7798">
            <w:pPr>
              <w:ind w:firstLine="2409"/>
              <w:rPr>
                <w:rFonts w:eastAsia="仿宋_GB2312"/>
                <w:color w:val="auto"/>
                <w:sz w:val="30"/>
                <w:szCs w:val="30"/>
                <w:highlight w:val="none"/>
              </w:rPr>
            </w:pPr>
          </w:p>
        </w:tc>
        <w:tc>
          <w:tcPr>
            <w:tcW w:w="1450" w:type="dxa"/>
          </w:tcPr>
          <w:p w14:paraId="31CB0139">
            <w:pPr>
              <w:ind w:firstLine="2409"/>
              <w:rPr>
                <w:rFonts w:eastAsia="仿宋_GB2312"/>
                <w:color w:val="auto"/>
                <w:sz w:val="30"/>
                <w:szCs w:val="30"/>
                <w:highlight w:val="none"/>
              </w:rPr>
            </w:pPr>
          </w:p>
        </w:tc>
        <w:tc>
          <w:tcPr>
            <w:tcW w:w="1667" w:type="dxa"/>
          </w:tcPr>
          <w:p w14:paraId="53FABCF9">
            <w:pPr>
              <w:ind w:firstLine="2409"/>
              <w:rPr>
                <w:rFonts w:eastAsia="仿宋_GB2312"/>
                <w:color w:val="auto"/>
                <w:sz w:val="30"/>
                <w:szCs w:val="30"/>
                <w:highlight w:val="none"/>
              </w:rPr>
            </w:pPr>
          </w:p>
        </w:tc>
      </w:tr>
      <w:tr w14:paraId="4195D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347A477">
            <w:pPr>
              <w:ind w:firstLine="2409"/>
              <w:rPr>
                <w:rFonts w:eastAsia="仿宋_GB2312"/>
                <w:color w:val="auto"/>
                <w:sz w:val="30"/>
                <w:szCs w:val="30"/>
                <w:highlight w:val="none"/>
              </w:rPr>
            </w:pPr>
          </w:p>
        </w:tc>
        <w:tc>
          <w:tcPr>
            <w:tcW w:w="1276" w:type="dxa"/>
          </w:tcPr>
          <w:p w14:paraId="2E7D46F8">
            <w:pPr>
              <w:ind w:firstLine="2409"/>
              <w:rPr>
                <w:rFonts w:eastAsia="仿宋_GB2312"/>
                <w:color w:val="auto"/>
                <w:sz w:val="30"/>
                <w:szCs w:val="30"/>
                <w:highlight w:val="none"/>
              </w:rPr>
            </w:pPr>
          </w:p>
        </w:tc>
        <w:tc>
          <w:tcPr>
            <w:tcW w:w="1450" w:type="dxa"/>
          </w:tcPr>
          <w:p w14:paraId="1718547D">
            <w:pPr>
              <w:ind w:firstLine="2409"/>
              <w:rPr>
                <w:rFonts w:eastAsia="仿宋_GB2312"/>
                <w:color w:val="auto"/>
                <w:sz w:val="30"/>
                <w:szCs w:val="30"/>
                <w:highlight w:val="none"/>
              </w:rPr>
            </w:pPr>
          </w:p>
        </w:tc>
        <w:tc>
          <w:tcPr>
            <w:tcW w:w="1243" w:type="dxa"/>
          </w:tcPr>
          <w:p w14:paraId="1B6E0253">
            <w:pPr>
              <w:ind w:firstLine="2409"/>
              <w:rPr>
                <w:rFonts w:eastAsia="仿宋_GB2312"/>
                <w:color w:val="auto"/>
                <w:sz w:val="30"/>
                <w:szCs w:val="30"/>
                <w:highlight w:val="none"/>
              </w:rPr>
            </w:pPr>
          </w:p>
        </w:tc>
        <w:tc>
          <w:tcPr>
            <w:tcW w:w="1450" w:type="dxa"/>
          </w:tcPr>
          <w:p w14:paraId="665BE57E">
            <w:pPr>
              <w:ind w:firstLine="2409"/>
              <w:rPr>
                <w:rFonts w:eastAsia="仿宋_GB2312"/>
                <w:color w:val="auto"/>
                <w:sz w:val="30"/>
                <w:szCs w:val="30"/>
                <w:highlight w:val="none"/>
              </w:rPr>
            </w:pPr>
          </w:p>
        </w:tc>
        <w:tc>
          <w:tcPr>
            <w:tcW w:w="1667" w:type="dxa"/>
          </w:tcPr>
          <w:p w14:paraId="6E800D94">
            <w:pPr>
              <w:ind w:firstLine="2409"/>
              <w:rPr>
                <w:rFonts w:eastAsia="仿宋_GB2312"/>
                <w:color w:val="auto"/>
                <w:sz w:val="30"/>
                <w:szCs w:val="30"/>
                <w:highlight w:val="none"/>
              </w:rPr>
            </w:pPr>
          </w:p>
        </w:tc>
      </w:tr>
      <w:tr w14:paraId="7AD8D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D1E3D30">
            <w:pPr>
              <w:ind w:firstLine="2409"/>
              <w:rPr>
                <w:rFonts w:eastAsia="仿宋_GB2312"/>
                <w:color w:val="auto"/>
                <w:sz w:val="30"/>
                <w:szCs w:val="30"/>
                <w:highlight w:val="none"/>
              </w:rPr>
            </w:pPr>
          </w:p>
        </w:tc>
        <w:tc>
          <w:tcPr>
            <w:tcW w:w="1276" w:type="dxa"/>
          </w:tcPr>
          <w:p w14:paraId="7C1E1B9F">
            <w:pPr>
              <w:ind w:firstLine="2409"/>
              <w:rPr>
                <w:rFonts w:eastAsia="仿宋_GB2312"/>
                <w:color w:val="auto"/>
                <w:sz w:val="30"/>
                <w:szCs w:val="30"/>
                <w:highlight w:val="none"/>
              </w:rPr>
            </w:pPr>
          </w:p>
        </w:tc>
        <w:tc>
          <w:tcPr>
            <w:tcW w:w="1450" w:type="dxa"/>
          </w:tcPr>
          <w:p w14:paraId="2A16A404">
            <w:pPr>
              <w:ind w:firstLine="2409"/>
              <w:rPr>
                <w:rFonts w:eastAsia="仿宋_GB2312"/>
                <w:color w:val="auto"/>
                <w:sz w:val="30"/>
                <w:szCs w:val="30"/>
                <w:highlight w:val="none"/>
              </w:rPr>
            </w:pPr>
          </w:p>
        </w:tc>
        <w:tc>
          <w:tcPr>
            <w:tcW w:w="1243" w:type="dxa"/>
          </w:tcPr>
          <w:p w14:paraId="419EEDAB">
            <w:pPr>
              <w:ind w:firstLine="2409"/>
              <w:rPr>
                <w:rFonts w:eastAsia="仿宋_GB2312"/>
                <w:color w:val="auto"/>
                <w:sz w:val="30"/>
                <w:szCs w:val="30"/>
                <w:highlight w:val="none"/>
              </w:rPr>
            </w:pPr>
          </w:p>
        </w:tc>
        <w:tc>
          <w:tcPr>
            <w:tcW w:w="1450" w:type="dxa"/>
          </w:tcPr>
          <w:p w14:paraId="09108627">
            <w:pPr>
              <w:ind w:firstLine="2409"/>
              <w:rPr>
                <w:rFonts w:eastAsia="仿宋_GB2312"/>
                <w:color w:val="auto"/>
                <w:sz w:val="30"/>
                <w:szCs w:val="30"/>
                <w:highlight w:val="none"/>
              </w:rPr>
            </w:pPr>
          </w:p>
        </w:tc>
        <w:tc>
          <w:tcPr>
            <w:tcW w:w="1667" w:type="dxa"/>
          </w:tcPr>
          <w:p w14:paraId="59F72F27">
            <w:pPr>
              <w:ind w:firstLine="2409"/>
              <w:rPr>
                <w:rFonts w:eastAsia="仿宋_GB2312"/>
                <w:color w:val="auto"/>
                <w:sz w:val="30"/>
                <w:szCs w:val="30"/>
                <w:highlight w:val="none"/>
              </w:rPr>
            </w:pPr>
          </w:p>
        </w:tc>
      </w:tr>
      <w:tr w14:paraId="1CBFA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B18B7BB">
            <w:pPr>
              <w:ind w:firstLine="2409"/>
              <w:rPr>
                <w:rFonts w:eastAsia="仿宋_GB2312"/>
                <w:color w:val="auto"/>
                <w:sz w:val="30"/>
                <w:szCs w:val="30"/>
                <w:highlight w:val="none"/>
              </w:rPr>
            </w:pPr>
          </w:p>
        </w:tc>
        <w:tc>
          <w:tcPr>
            <w:tcW w:w="1276" w:type="dxa"/>
          </w:tcPr>
          <w:p w14:paraId="2E4D6783">
            <w:pPr>
              <w:ind w:firstLine="2409"/>
              <w:rPr>
                <w:rFonts w:eastAsia="仿宋_GB2312"/>
                <w:color w:val="auto"/>
                <w:sz w:val="30"/>
                <w:szCs w:val="30"/>
                <w:highlight w:val="none"/>
              </w:rPr>
            </w:pPr>
          </w:p>
        </w:tc>
        <w:tc>
          <w:tcPr>
            <w:tcW w:w="1450" w:type="dxa"/>
          </w:tcPr>
          <w:p w14:paraId="6A88D9B0">
            <w:pPr>
              <w:ind w:firstLine="2409"/>
              <w:rPr>
                <w:rFonts w:eastAsia="仿宋_GB2312"/>
                <w:color w:val="auto"/>
                <w:sz w:val="30"/>
                <w:szCs w:val="30"/>
                <w:highlight w:val="none"/>
              </w:rPr>
            </w:pPr>
          </w:p>
        </w:tc>
        <w:tc>
          <w:tcPr>
            <w:tcW w:w="1243" w:type="dxa"/>
          </w:tcPr>
          <w:p w14:paraId="1F14319F">
            <w:pPr>
              <w:ind w:firstLine="2409"/>
              <w:rPr>
                <w:rFonts w:eastAsia="仿宋_GB2312"/>
                <w:color w:val="auto"/>
                <w:sz w:val="30"/>
                <w:szCs w:val="30"/>
                <w:highlight w:val="none"/>
              </w:rPr>
            </w:pPr>
          </w:p>
        </w:tc>
        <w:tc>
          <w:tcPr>
            <w:tcW w:w="1450" w:type="dxa"/>
          </w:tcPr>
          <w:p w14:paraId="64C05DD4">
            <w:pPr>
              <w:ind w:firstLine="2409"/>
              <w:rPr>
                <w:rFonts w:eastAsia="仿宋_GB2312"/>
                <w:color w:val="auto"/>
                <w:sz w:val="30"/>
                <w:szCs w:val="30"/>
                <w:highlight w:val="none"/>
              </w:rPr>
            </w:pPr>
          </w:p>
        </w:tc>
        <w:tc>
          <w:tcPr>
            <w:tcW w:w="1667" w:type="dxa"/>
          </w:tcPr>
          <w:p w14:paraId="42DC6947">
            <w:pPr>
              <w:ind w:firstLine="2409"/>
              <w:rPr>
                <w:rFonts w:eastAsia="仿宋_GB2312"/>
                <w:color w:val="auto"/>
                <w:sz w:val="30"/>
                <w:szCs w:val="30"/>
                <w:highlight w:val="none"/>
              </w:rPr>
            </w:pPr>
          </w:p>
        </w:tc>
      </w:tr>
    </w:tbl>
    <w:p w14:paraId="002DA2C0">
      <w:pPr>
        <w:spacing w:line="440" w:lineRule="exact"/>
        <w:ind w:firstLine="2409"/>
        <w:rPr>
          <w:rFonts w:eastAsia="仿宋_GB2312"/>
          <w:color w:val="auto"/>
          <w:sz w:val="30"/>
          <w:szCs w:val="30"/>
          <w:highlight w:val="none"/>
        </w:rPr>
      </w:pPr>
    </w:p>
    <w:p w14:paraId="71C94EBA">
      <w:pPr>
        <w:spacing w:line="440" w:lineRule="exact"/>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w:t>
      </w:r>
      <w:bookmarkStart w:id="1114" w:name="_Toc296891055"/>
      <w:bookmarkStart w:id="1115" w:name="_Toc296891267"/>
      <w:bookmarkStart w:id="1116" w:name="_Toc296346728"/>
      <w:bookmarkStart w:id="1117" w:name="_Toc296944566"/>
      <w:bookmarkStart w:id="1118" w:name="_Toc296347226"/>
      <w:bookmarkStart w:id="1119" w:name="_Toc296503227"/>
      <w:bookmarkStart w:id="1120" w:name="_Toc267261698"/>
      <w:r>
        <w:rPr>
          <w:rFonts w:eastAsia="仿宋_GB2312"/>
          <w:color w:val="auto"/>
          <w:sz w:val="30"/>
          <w:szCs w:val="30"/>
          <w:highlight w:val="none"/>
        </w:rPr>
        <w:t>件5：</w:t>
      </w:r>
    </w:p>
    <w:bookmarkEnd w:id="1114"/>
    <w:bookmarkEnd w:id="1115"/>
    <w:bookmarkEnd w:id="1116"/>
    <w:bookmarkEnd w:id="1117"/>
    <w:bookmarkEnd w:id="1118"/>
    <w:bookmarkEnd w:id="1119"/>
    <w:bookmarkEnd w:id="1120"/>
    <w:p w14:paraId="52DE3181">
      <w:pPr>
        <w:spacing w:before="158" w:beforeLines="50" w:after="158" w:afterLines="50" w:line="440" w:lineRule="exact"/>
        <w:ind w:firstLine="2409"/>
        <w:jc w:val="center"/>
        <w:rPr>
          <w:rFonts w:eastAsia="黑体"/>
          <w:color w:val="auto"/>
          <w:sz w:val="30"/>
          <w:szCs w:val="30"/>
          <w:highlight w:val="none"/>
        </w:rPr>
      </w:pPr>
      <w:r>
        <w:rPr>
          <w:rFonts w:eastAsia="黑体"/>
          <w:color w:val="auto"/>
          <w:sz w:val="30"/>
          <w:szCs w:val="30"/>
          <w:highlight w:val="none"/>
        </w:rPr>
        <w:t>承包人用于本工程施工的机械设备表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716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311DF45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序号</w:t>
            </w:r>
          </w:p>
        </w:tc>
        <w:tc>
          <w:tcPr>
            <w:tcW w:w="1418" w:type="dxa"/>
            <w:tcBorders>
              <w:top w:val="single" w:color="auto" w:sz="12" w:space="0"/>
              <w:bottom w:val="double" w:color="auto" w:sz="6" w:space="0"/>
            </w:tcBorders>
            <w:vAlign w:val="center"/>
          </w:tcPr>
          <w:p w14:paraId="653446B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机械或设备名称</w:t>
            </w:r>
          </w:p>
        </w:tc>
        <w:tc>
          <w:tcPr>
            <w:tcW w:w="850" w:type="dxa"/>
            <w:tcBorders>
              <w:top w:val="single" w:color="auto" w:sz="12" w:space="0"/>
              <w:bottom w:val="double" w:color="auto" w:sz="6" w:space="0"/>
            </w:tcBorders>
            <w:vAlign w:val="center"/>
          </w:tcPr>
          <w:p w14:paraId="218A87E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规格型号</w:t>
            </w:r>
          </w:p>
        </w:tc>
        <w:tc>
          <w:tcPr>
            <w:tcW w:w="1058" w:type="dxa"/>
            <w:tcBorders>
              <w:top w:val="single" w:color="auto" w:sz="12" w:space="0"/>
              <w:bottom w:val="double" w:color="auto" w:sz="6" w:space="0"/>
            </w:tcBorders>
            <w:vAlign w:val="center"/>
          </w:tcPr>
          <w:p w14:paraId="5A8D123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数量</w:t>
            </w:r>
          </w:p>
        </w:tc>
        <w:tc>
          <w:tcPr>
            <w:tcW w:w="880" w:type="dxa"/>
            <w:tcBorders>
              <w:top w:val="single" w:color="auto" w:sz="12" w:space="0"/>
              <w:bottom w:val="double" w:color="auto" w:sz="6" w:space="0"/>
            </w:tcBorders>
            <w:vAlign w:val="center"/>
          </w:tcPr>
          <w:p w14:paraId="7101C67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产地</w:t>
            </w:r>
          </w:p>
        </w:tc>
        <w:tc>
          <w:tcPr>
            <w:tcW w:w="1020" w:type="dxa"/>
            <w:tcBorders>
              <w:top w:val="single" w:color="auto" w:sz="12" w:space="0"/>
              <w:bottom w:val="double" w:color="auto" w:sz="6" w:space="0"/>
            </w:tcBorders>
            <w:vAlign w:val="center"/>
          </w:tcPr>
          <w:p w14:paraId="6C288DD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制造年份</w:t>
            </w:r>
          </w:p>
        </w:tc>
        <w:tc>
          <w:tcPr>
            <w:tcW w:w="1480" w:type="dxa"/>
            <w:tcBorders>
              <w:top w:val="single" w:color="auto" w:sz="12" w:space="0"/>
              <w:bottom w:val="double" w:color="auto" w:sz="6" w:space="0"/>
            </w:tcBorders>
            <w:vAlign w:val="center"/>
          </w:tcPr>
          <w:p w14:paraId="6AD54DA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额定功率(kW)</w:t>
            </w:r>
          </w:p>
        </w:tc>
        <w:tc>
          <w:tcPr>
            <w:tcW w:w="1020" w:type="dxa"/>
            <w:tcBorders>
              <w:top w:val="single" w:color="auto" w:sz="12" w:space="0"/>
              <w:bottom w:val="double" w:color="auto" w:sz="6" w:space="0"/>
            </w:tcBorders>
            <w:vAlign w:val="center"/>
          </w:tcPr>
          <w:p w14:paraId="14122CC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生产能力</w:t>
            </w:r>
          </w:p>
        </w:tc>
        <w:tc>
          <w:tcPr>
            <w:tcW w:w="921" w:type="dxa"/>
            <w:tcBorders>
              <w:top w:val="single" w:color="auto" w:sz="12" w:space="0"/>
              <w:bottom w:val="double" w:color="auto" w:sz="6" w:space="0"/>
            </w:tcBorders>
            <w:vAlign w:val="center"/>
          </w:tcPr>
          <w:p w14:paraId="184CD86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备注</w:t>
            </w:r>
          </w:p>
        </w:tc>
      </w:tr>
      <w:tr w14:paraId="798D1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06A60B29">
            <w:pPr>
              <w:pStyle w:val="25"/>
              <w:keepNext/>
              <w:spacing w:after="0" w:line="440" w:lineRule="exact"/>
              <w:ind w:left="63" w:right="63" w:firstLine="2409"/>
              <w:rPr>
                <w:rFonts w:eastAsia="仿宋_GB2312"/>
                <w:color w:val="auto"/>
                <w:sz w:val="30"/>
                <w:szCs w:val="30"/>
                <w:highlight w:val="none"/>
              </w:rPr>
            </w:pPr>
          </w:p>
        </w:tc>
        <w:tc>
          <w:tcPr>
            <w:tcW w:w="1418" w:type="dxa"/>
            <w:tcBorders>
              <w:top w:val="double" w:color="auto" w:sz="6" w:space="0"/>
              <w:bottom w:val="single" w:color="auto" w:sz="6" w:space="0"/>
            </w:tcBorders>
            <w:vAlign w:val="center"/>
          </w:tcPr>
          <w:p w14:paraId="2B06D6D9">
            <w:pPr>
              <w:pStyle w:val="25"/>
              <w:keepNext/>
              <w:spacing w:after="0" w:line="440" w:lineRule="exact"/>
              <w:ind w:left="63" w:right="63" w:firstLine="2409"/>
              <w:rPr>
                <w:rFonts w:eastAsia="仿宋_GB2312"/>
                <w:color w:val="auto"/>
                <w:sz w:val="30"/>
                <w:szCs w:val="30"/>
                <w:highlight w:val="none"/>
              </w:rPr>
            </w:pPr>
          </w:p>
        </w:tc>
        <w:tc>
          <w:tcPr>
            <w:tcW w:w="850" w:type="dxa"/>
            <w:tcBorders>
              <w:top w:val="double" w:color="auto" w:sz="6" w:space="0"/>
              <w:bottom w:val="single" w:color="auto" w:sz="6" w:space="0"/>
            </w:tcBorders>
            <w:vAlign w:val="center"/>
          </w:tcPr>
          <w:p w14:paraId="406D0A17">
            <w:pPr>
              <w:pStyle w:val="25"/>
              <w:keepNext/>
              <w:spacing w:after="0" w:line="440" w:lineRule="exact"/>
              <w:ind w:left="63" w:right="63" w:firstLine="2409"/>
              <w:rPr>
                <w:rFonts w:eastAsia="仿宋_GB2312"/>
                <w:color w:val="auto"/>
                <w:sz w:val="30"/>
                <w:szCs w:val="30"/>
                <w:highlight w:val="none"/>
              </w:rPr>
            </w:pPr>
          </w:p>
        </w:tc>
        <w:tc>
          <w:tcPr>
            <w:tcW w:w="1058" w:type="dxa"/>
            <w:tcBorders>
              <w:top w:val="double" w:color="auto" w:sz="6" w:space="0"/>
              <w:bottom w:val="single" w:color="auto" w:sz="6" w:space="0"/>
            </w:tcBorders>
            <w:vAlign w:val="center"/>
          </w:tcPr>
          <w:p w14:paraId="3228E43B">
            <w:pPr>
              <w:pStyle w:val="25"/>
              <w:keepNext/>
              <w:spacing w:after="0" w:line="440" w:lineRule="exact"/>
              <w:ind w:left="63" w:right="63" w:firstLine="2409"/>
              <w:rPr>
                <w:rFonts w:eastAsia="仿宋_GB2312"/>
                <w:color w:val="auto"/>
                <w:sz w:val="30"/>
                <w:szCs w:val="30"/>
                <w:highlight w:val="none"/>
              </w:rPr>
            </w:pPr>
          </w:p>
        </w:tc>
        <w:tc>
          <w:tcPr>
            <w:tcW w:w="880" w:type="dxa"/>
            <w:tcBorders>
              <w:top w:val="double" w:color="auto" w:sz="6" w:space="0"/>
              <w:bottom w:val="single" w:color="auto" w:sz="6" w:space="0"/>
            </w:tcBorders>
            <w:vAlign w:val="center"/>
          </w:tcPr>
          <w:p w14:paraId="65C87709">
            <w:pPr>
              <w:pStyle w:val="25"/>
              <w:keepNext/>
              <w:spacing w:after="0" w:line="440" w:lineRule="exact"/>
              <w:ind w:left="63" w:right="63" w:firstLine="2409"/>
              <w:rPr>
                <w:rFonts w:eastAsia="仿宋_GB2312"/>
                <w:color w:val="auto"/>
                <w:sz w:val="30"/>
                <w:szCs w:val="30"/>
                <w:highlight w:val="none"/>
              </w:rPr>
            </w:pPr>
          </w:p>
        </w:tc>
        <w:tc>
          <w:tcPr>
            <w:tcW w:w="1020" w:type="dxa"/>
            <w:tcBorders>
              <w:top w:val="double" w:color="auto" w:sz="6" w:space="0"/>
              <w:bottom w:val="single" w:color="auto" w:sz="6" w:space="0"/>
            </w:tcBorders>
            <w:vAlign w:val="center"/>
          </w:tcPr>
          <w:p w14:paraId="568B78AC">
            <w:pPr>
              <w:pStyle w:val="25"/>
              <w:keepNext/>
              <w:spacing w:after="0" w:line="440" w:lineRule="exact"/>
              <w:ind w:left="63" w:right="63" w:firstLine="2409"/>
              <w:rPr>
                <w:rFonts w:eastAsia="仿宋_GB2312"/>
                <w:color w:val="auto"/>
                <w:sz w:val="30"/>
                <w:szCs w:val="30"/>
                <w:highlight w:val="none"/>
              </w:rPr>
            </w:pPr>
          </w:p>
        </w:tc>
        <w:tc>
          <w:tcPr>
            <w:tcW w:w="1480" w:type="dxa"/>
            <w:tcBorders>
              <w:top w:val="double" w:color="auto" w:sz="6" w:space="0"/>
              <w:bottom w:val="single" w:color="auto" w:sz="6" w:space="0"/>
            </w:tcBorders>
            <w:vAlign w:val="center"/>
          </w:tcPr>
          <w:p w14:paraId="3FA1479C">
            <w:pPr>
              <w:pStyle w:val="25"/>
              <w:keepNext/>
              <w:spacing w:after="0" w:line="440" w:lineRule="exact"/>
              <w:ind w:left="63" w:right="63" w:firstLine="2409"/>
              <w:rPr>
                <w:rFonts w:eastAsia="仿宋_GB2312"/>
                <w:color w:val="auto"/>
                <w:sz w:val="30"/>
                <w:szCs w:val="30"/>
                <w:highlight w:val="none"/>
              </w:rPr>
            </w:pPr>
          </w:p>
        </w:tc>
        <w:tc>
          <w:tcPr>
            <w:tcW w:w="1020" w:type="dxa"/>
            <w:tcBorders>
              <w:top w:val="double" w:color="auto" w:sz="6" w:space="0"/>
              <w:bottom w:val="single" w:color="auto" w:sz="6" w:space="0"/>
            </w:tcBorders>
            <w:vAlign w:val="center"/>
          </w:tcPr>
          <w:p w14:paraId="2944FF72">
            <w:pPr>
              <w:pStyle w:val="25"/>
              <w:keepNext/>
              <w:spacing w:after="0" w:line="440" w:lineRule="exact"/>
              <w:ind w:left="63" w:right="63" w:firstLine="2409"/>
              <w:rPr>
                <w:rFonts w:eastAsia="仿宋_GB2312"/>
                <w:color w:val="auto"/>
                <w:sz w:val="30"/>
                <w:szCs w:val="30"/>
                <w:highlight w:val="none"/>
              </w:rPr>
            </w:pPr>
          </w:p>
        </w:tc>
        <w:tc>
          <w:tcPr>
            <w:tcW w:w="921" w:type="dxa"/>
            <w:tcBorders>
              <w:top w:val="double" w:color="auto" w:sz="6" w:space="0"/>
              <w:bottom w:val="single" w:color="auto" w:sz="6" w:space="0"/>
            </w:tcBorders>
            <w:vAlign w:val="center"/>
          </w:tcPr>
          <w:p w14:paraId="57086EBC">
            <w:pPr>
              <w:pStyle w:val="25"/>
              <w:keepNext/>
              <w:spacing w:after="0" w:line="440" w:lineRule="exact"/>
              <w:ind w:left="63" w:right="63" w:firstLine="2409"/>
              <w:rPr>
                <w:rFonts w:eastAsia="仿宋_GB2312"/>
                <w:color w:val="auto"/>
                <w:sz w:val="30"/>
                <w:szCs w:val="30"/>
                <w:highlight w:val="none"/>
              </w:rPr>
            </w:pPr>
          </w:p>
        </w:tc>
      </w:tr>
      <w:tr w14:paraId="6ABE8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34A84EBC">
            <w:pPr>
              <w:pStyle w:val="25"/>
              <w:keepNext/>
              <w:spacing w:after="0" w:line="440" w:lineRule="exact"/>
              <w:ind w:left="63" w:right="63" w:firstLine="2409"/>
              <w:rPr>
                <w:rFonts w:eastAsia="仿宋_GB2312"/>
                <w:color w:val="auto"/>
                <w:sz w:val="30"/>
                <w:szCs w:val="30"/>
                <w:highlight w:val="none"/>
              </w:rPr>
            </w:pPr>
          </w:p>
        </w:tc>
        <w:tc>
          <w:tcPr>
            <w:tcW w:w="1418" w:type="dxa"/>
            <w:tcBorders>
              <w:top w:val="nil"/>
            </w:tcBorders>
            <w:vAlign w:val="center"/>
          </w:tcPr>
          <w:p w14:paraId="37E15ED6">
            <w:pPr>
              <w:pStyle w:val="25"/>
              <w:keepNext/>
              <w:spacing w:after="0" w:line="440" w:lineRule="exact"/>
              <w:ind w:left="63" w:right="63" w:firstLine="2409"/>
              <w:rPr>
                <w:rFonts w:eastAsia="仿宋_GB2312"/>
                <w:color w:val="auto"/>
                <w:sz w:val="30"/>
                <w:szCs w:val="30"/>
                <w:highlight w:val="none"/>
              </w:rPr>
            </w:pPr>
          </w:p>
        </w:tc>
        <w:tc>
          <w:tcPr>
            <w:tcW w:w="850" w:type="dxa"/>
            <w:tcBorders>
              <w:top w:val="nil"/>
            </w:tcBorders>
            <w:vAlign w:val="center"/>
          </w:tcPr>
          <w:p w14:paraId="5BFFF7BB">
            <w:pPr>
              <w:pStyle w:val="25"/>
              <w:keepNext/>
              <w:spacing w:after="0" w:line="440" w:lineRule="exact"/>
              <w:ind w:left="63" w:right="63" w:firstLine="2409"/>
              <w:rPr>
                <w:rFonts w:eastAsia="仿宋_GB2312"/>
                <w:color w:val="auto"/>
                <w:sz w:val="30"/>
                <w:szCs w:val="30"/>
                <w:highlight w:val="none"/>
              </w:rPr>
            </w:pPr>
          </w:p>
        </w:tc>
        <w:tc>
          <w:tcPr>
            <w:tcW w:w="1058" w:type="dxa"/>
            <w:tcBorders>
              <w:top w:val="nil"/>
            </w:tcBorders>
            <w:vAlign w:val="center"/>
          </w:tcPr>
          <w:p w14:paraId="05CF9F6C">
            <w:pPr>
              <w:pStyle w:val="25"/>
              <w:keepNext/>
              <w:spacing w:after="0" w:line="440" w:lineRule="exact"/>
              <w:ind w:left="63" w:right="63" w:firstLine="2409"/>
              <w:rPr>
                <w:rFonts w:eastAsia="仿宋_GB2312"/>
                <w:color w:val="auto"/>
                <w:sz w:val="30"/>
                <w:szCs w:val="30"/>
                <w:highlight w:val="none"/>
              </w:rPr>
            </w:pPr>
          </w:p>
        </w:tc>
        <w:tc>
          <w:tcPr>
            <w:tcW w:w="880" w:type="dxa"/>
            <w:tcBorders>
              <w:top w:val="nil"/>
            </w:tcBorders>
            <w:vAlign w:val="center"/>
          </w:tcPr>
          <w:p w14:paraId="0923A796">
            <w:pPr>
              <w:pStyle w:val="25"/>
              <w:keepNext/>
              <w:spacing w:after="0" w:line="440" w:lineRule="exact"/>
              <w:ind w:left="63" w:right="63" w:firstLine="2409"/>
              <w:rPr>
                <w:rFonts w:eastAsia="仿宋_GB2312"/>
                <w:color w:val="auto"/>
                <w:sz w:val="30"/>
                <w:szCs w:val="30"/>
                <w:highlight w:val="none"/>
              </w:rPr>
            </w:pPr>
          </w:p>
        </w:tc>
        <w:tc>
          <w:tcPr>
            <w:tcW w:w="1020" w:type="dxa"/>
            <w:tcBorders>
              <w:top w:val="nil"/>
            </w:tcBorders>
            <w:vAlign w:val="center"/>
          </w:tcPr>
          <w:p w14:paraId="37E0E58F">
            <w:pPr>
              <w:pStyle w:val="25"/>
              <w:keepNext/>
              <w:spacing w:after="0" w:line="440" w:lineRule="exact"/>
              <w:ind w:left="63" w:right="63" w:firstLine="2409"/>
              <w:rPr>
                <w:rFonts w:eastAsia="仿宋_GB2312"/>
                <w:color w:val="auto"/>
                <w:sz w:val="30"/>
                <w:szCs w:val="30"/>
                <w:highlight w:val="none"/>
              </w:rPr>
            </w:pPr>
          </w:p>
        </w:tc>
        <w:tc>
          <w:tcPr>
            <w:tcW w:w="1480" w:type="dxa"/>
            <w:tcBorders>
              <w:top w:val="nil"/>
            </w:tcBorders>
            <w:vAlign w:val="center"/>
          </w:tcPr>
          <w:p w14:paraId="49D35E0A">
            <w:pPr>
              <w:pStyle w:val="25"/>
              <w:keepNext/>
              <w:spacing w:after="0" w:line="440" w:lineRule="exact"/>
              <w:ind w:left="63" w:right="63" w:firstLine="2409"/>
              <w:rPr>
                <w:rFonts w:eastAsia="仿宋_GB2312"/>
                <w:color w:val="auto"/>
                <w:sz w:val="30"/>
                <w:szCs w:val="30"/>
                <w:highlight w:val="none"/>
              </w:rPr>
            </w:pPr>
          </w:p>
        </w:tc>
        <w:tc>
          <w:tcPr>
            <w:tcW w:w="1020" w:type="dxa"/>
            <w:tcBorders>
              <w:top w:val="nil"/>
            </w:tcBorders>
            <w:vAlign w:val="center"/>
          </w:tcPr>
          <w:p w14:paraId="4CCB7D39">
            <w:pPr>
              <w:pStyle w:val="25"/>
              <w:keepNext/>
              <w:spacing w:after="0" w:line="440" w:lineRule="exact"/>
              <w:ind w:left="63" w:right="63" w:firstLine="2409"/>
              <w:rPr>
                <w:rFonts w:eastAsia="仿宋_GB2312"/>
                <w:color w:val="auto"/>
                <w:sz w:val="30"/>
                <w:szCs w:val="30"/>
                <w:highlight w:val="none"/>
              </w:rPr>
            </w:pPr>
          </w:p>
        </w:tc>
        <w:tc>
          <w:tcPr>
            <w:tcW w:w="921" w:type="dxa"/>
            <w:tcBorders>
              <w:top w:val="nil"/>
            </w:tcBorders>
            <w:vAlign w:val="center"/>
          </w:tcPr>
          <w:p w14:paraId="358FDA82">
            <w:pPr>
              <w:pStyle w:val="25"/>
              <w:keepNext/>
              <w:spacing w:after="0" w:line="440" w:lineRule="exact"/>
              <w:ind w:left="63" w:right="63" w:firstLine="2409"/>
              <w:rPr>
                <w:rFonts w:eastAsia="仿宋_GB2312"/>
                <w:color w:val="auto"/>
                <w:sz w:val="30"/>
                <w:szCs w:val="30"/>
                <w:highlight w:val="none"/>
              </w:rPr>
            </w:pPr>
          </w:p>
        </w:tc>
      </w:tr>
      <w:tr w14:paraId="61BF6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B86DAE2">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6F87D269">
            <w:pPr>
              <w:pStyle w:val="25"/>
              <w:keepNext/>
              <w:spacing w:after="0" w:line="440" w:lineRule="exact"/>
              <w:ind w:left="63" w:right="63" w:firstLine="2409"/>
              <w:rPr>
                <w:rFonts w:eastAsia="仿宋_GB2312"/>
                <w:color w:val="auto"/>
                <w:sz w:val="30"/>
                <w:szCs w:val="30"/>
                <w:highlight w:val="none"/>
              </w:rPr>
            </w:pPr>
          </w:p>
        </w:tc>
        <w:tc>
          <w:tcPr>
            <w:tcW w:w="850" w:type="dxa"/>
            <w:vAlign w:val="center"/>
          </w:tcPr>
          <w:p w14:paraId="489FFCD5">
            <w:pPr>
              <w:pStyle w:val="25"/>
              <w:keepNext/>
              <w:spacing w:after="0" w:line="440" w:lineRule="exact"/>
              <w:ind w:left="63" w:right="63" w:firstLine="2409"/>
              <w:rPr>
                <w:rFonts w:eastAsia="仿宋_GB2312"/>
                <w:color w:val="auto"/>
                <w:sz w:val="30"/>
                <w:szCs w:val="30"/>
                <w:highlight w:val="none"/>
              </w:rPr>
            </w:pPr>
          </w:p>
        </w:tc>
        <w:tc>
          <w:tcPr>
            <w:tcW w:w="1058" w:type="dxa"/>
            <w:vAlign w:val="center"/>
          </w:tcPr>
          <w:p w14:paraId="3CB3466E">
            <w:pPr>
              <w:pStyle w:val="25"/>
              <w:keepNext/>
              <w:spacing w:after="0" w:line="440" w:lineRule="exact"/>
              <w:ind w:left="63" w:right="63" w:firstLine="2409"/>
              <w:rPr>
                <w:rFonts w:eastAsia="仿宋_GB2312"/>
                <w:color w:val="auto"/>
                <w:sz w:val="30"/>
                <w:szCs w:val="30"/>
                <w:highlight w:val="none"/>
              </w:rPr>
            </w:pPr>
          </w:p>
        </w:tc>
        <w:tc>
          <w:tcPr>
            <w:tcW w:w="880" w:type="dxa"/>
            <w:vAlign w:val="center"/>
          </w:tcPr>
          <w:p w14:paraId="44A1B5A3">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0AC21997">
            <w:pPr>
              <w:pStyle w:val="25"/>
              <w:keepNext/>
              <w:spacing w:after="0" w:line="440" w:lineRule="exact"/>
              <w:ind w:left="63" w:right="63" w:firstLine="2409"/>
              <w:rPr>
                <w:rFonts w:eastAsia="仿宋_GB2312"/>
                <w:color w:val="auto"/>
                <w:sz w:val="30"/>
                <w:szCs w:val="30"/>
                <w:highlight w:val="none"/>
              </w:rPr>
            </w:pPr>
          </w:p>
        </w:tc>
        <w:tc>
          <w:tcPr>
            <w:tcW w:w="1480" w:type="dxa"/>
            <w:vAlign w:val="center"/>
          </w:tcPr>
          <w:p w14:paraId="535C747F">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1CEE0049">
            <w:pPr>
              <w:pStyle w:val="25"/>
              <w:keepNext/>
              <w:spacing w:after="0" w:line="440" w:lineRule="exact"/>
              <w:ind w:left="63" w:right="63" w:firstLine="2409"/>
              <w:rPr>
                <w:rFonts w:eastAsia="仿宋_GB2312"/>
                <w:color w:val="auto"/>
                <w:sz w:val="30"/>
                <w:szCs w:val="30"/>
                <w:highlight w:val="none"/>
              </w:rPr>
            </w:pPr>
          </w:p>
        </w:tc>
        <w:tc>
          <w:tcPr>
            <w:tcW w:w="921" w:type="dxa"/>
            <w:vAlign w:val="center"/>
          </w:tcPr>
          <w:p w14:paraId="718DA351">
            <w:pPr>
              <w:pStyle w:val="25"/>
              <w:keepNext/>
              <w:spacing w:after="0" w:line="440" w:lineRule="exact"/>
              <w:ind w:left="63" w:right="63" w:firstLine="2409"/>
              <w:rPr>
                <w:rFonts w:eastAsia="仿宋_GB2312"/>
                <w:color w:val="auto"/>
                <w:sz w:val="30"/>
                <w:szCs w:val="30"/>
                <w:highlight w:val="none"/>
              </w:rPr>
            </w:pPr>
          </w:p>
        </w:tc>
      </w:tr>
      <w:tr w14:paraId="2AA45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5E4DA27">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3791B5A1">
            <w:pPr>
              <w:pStyle w:val="25"/>
              <w:keepNext/>
              <w:spacing w:after="0" w:line="440" w:lineRule="exact"/>
              <w:ind w:left="63" w:right="63" w:firstLine="2409"/>
              <w:rPr>
                <w:rFonts w:eastAsia="仿宋_GB2312"/>
                <w:color w:val="auto"/>
                <w:sz w:val="30"/>
                <w:szCs w:val="30"/>
                <w:highlight w:val="none"/>
              </w:rPr>
            </w:pPr>
          </w:p>
        </w:tc>
        <w:tc>
          <w:tcPr>
            <w:tcW w:w="850" w:type="dxa"/>
            <w:vAlign w:val="center"/>
          </w:tcPr>
          <w:p w14:paraId="6BF1A273">
            <w:pPr>
              <w:pStyle w:val="25"/>
              <w:keepNext/>
              <w:spacing w:after="0" w:line="440" w:lineRule="exact"/>
              <w:ind w:left="63" w:right="63" w:firstLine="2409"/>
              <w:rPr>
                <w:rFonts w:eastAsia="仿宋_GB2312"/>
                <w:color w:val="auto"/>
                <w:sz w:val="30"/>
                <w:szCs w:val="30"/>
                <w:highlight w:val="none"/>
              </w:rPr>
            </w:pPr>
          </w:p>
        </w:tc>
        <w:tc>
          <w:tcPr>
            <w:tcW w:w="1058" w:type="dxa"/>
            <w:vAlign w:val="center"/>
          </w:tcPr>
          <w:p w14:paraId="2FF20220">
            <w:pPr>
              <w:pStyle w:val="25"/>
              <w:keepNext/>
              <w:spacing w:after="0" w:line="440" w:lineRule="exact"/>
              <w:ind w:left="63" w:right="63" w:firstLine="2409"/>
              <w:rPr>
                <w:rFonts w:eastAsia="仿宋_GB2312"/>
                <w:color w:val="auto"/>
                <w:sz w:val="30"/>
                <w:szCs w:val="30"/>
                <w:highlight w:val="none"/>
              </w:rPr>
            </w:pPr>
          </w:p>
        </w:tc>
        <w:tc>
          <w:tcPr>
            <w:tcW w:w="880" w:type="dxa"/>
            <w:vAlign w:val="center"/>
          </w:tcPr>
          <w:p w14:paraId="72485246">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5B8940AA">
            <w:pPr>
              <w:pStyle w:val="25"/>
              <w:keepNext/>
              <w:spacing w:after="0" w:line="440" w:lineRule="exact"/>
              <w:ind w:left="63" w:right="63" w:firstLine="2409"/>
              <w:rPr>
                <w:rFonts w:eastAsia="仿宋_GB2312"/>
                <w:color w:val="auto"/>
                <w:sz w:val="30"/>
                <w:szCs w:val="30"/>
                <w:highlight w:val="none"/>
              </w:rPr>
            </w:pPr>
          </w:p>
        </w:tc>
        <w:tc>
          <w:tcPr>
            <w:tcW w:w="1480" w:type="dxa"/>
            <w:vAlign w:val="center"/>
          </w:tcPr>
          <w:p w14:paraId="3B828FB3">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1ACFACFB">
            <w:pPr>
              <w:pStyle w:val="25"/>
              <w:keepNext/>
              <w:spacing w:after="0" w:line="440" w:lineRule="exact"/>
              <w:ind w:left="63" w:right="63" w:firstLine="2409"/>
              <w:rPr>
                <w:rFonts w:eastAsia="仿宋_GB2312"/>
                <w:color w:val="auto"/>
                <w:sz w:val="30"/>
                <w:szCs w:val="30"/>
                <w:highlight w:val="none"/>
              </w:rPr>
            </w:pPr>
          </w:p>
        </w:tc>
        <w:tc>
          <w:tcPr>
            <w:tcW w:w="921" w:type="dxa"/>
            <w:vAlign w:val="center"/>
          </w:tcPr>
          <w:p w14:paraId="2C2BE2B1">
            <w:pPr>
              <w:pStyle w:val="25"/>
              <w:keepNext/>
              <w:spacing w:after="0" w:line="440" w:lineRule="exact"/>
              <w:ind w:left="63" w:right="63" w:firstLine="2409"/>
              <w:rPr>
                <w:rFonts w:eastAsia="仿宋_GB2312"/>
                <w:color w:val="auto"/>
                <w:sz w:val="30"/>
                <w:szCs w:val="30"/>
                <w:highlight w:val="none"/>
              </w:rPr>
            </w:pPr>
          </w:p>
        </w:tc>
      </w:tr>
      <w:tr w14:paraId="454B9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E459E6B">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4FDB5E83">
            <w:pPr>
              <w:pStyle w:val="25"/>
              <w:keepNext/>
              <w:spacing w:after="0" w:line="440" w:lineRule="exact"/>
              <w:ind w:left="63" w:right="63" w:firstLine="2409"/>
              <w:rPr>
                <w:rFonts w:eastAsia="仿宋_GB2312"/>
                <w:color w:val="auto"/>
                <w:sz w:val="30"/>
                <w:szCs w:val="30"/>
                <w:highlight w:val="none"/>
              </w:rPr>
            </w:pPr>
          </w:p>
        </w:tc>
        <w:tc>
          <w:tcPr>
            <w:tcW w:w="850" w:type="dxa"/>
            <w:vAlign w:val="center"/>
          </w:tcPr>
          <w:p w14:paraId="2DC5BA4E">
            <w:pPr>
              <w:pStyle w:val="25"/>
              <w:keepNext/>
              <w:spacing w:after="0" w:line="440" w:lineRule="exact"/>
              <w:ind w:left="63" w:right="63" w:firstLine="2409"/>
              <w:rPr>
                <w:rFonts w:eastAsia="仿宋_GB2312"/>
                <w:color w:val="auto"/>
                <w:sz w:val="30"/>
                <w:szCs w:val="30"/>
                <w:highlight w:val="none"/>
              </w:rPr>
            </w:pPr>
          </w:p>
        </w:tc>
        <w:tc>
          <w:tcPr>
            <w:tcW w:w="1058" w:type="dxa"/>
            <w:vAlign w:val="center"/>
          </w:tcPr>
          <w:p w14:paraId="15891FB3">
            <w:pPr>
              <w:pStyle w:val="25"/>
              <w:keepNext/>
              <w:spacing w:after="0" w:line="440" w:lineRule="exact"/>
              <w:ind w:left="63" w:right="63" w:firstLine="2409"/>
              <w:rPr>
                <w:rFonts w:eastAsia="仿宋_GB2312"/>
                <w:color w:val="auto"/>
                <w:sz w:val="30"/>
                <w:szCs w:val="30"/>
                <w:highlight w:val="none"/>
              </w:rPr>
            </w:pPr>
          </w:p>
        </w:tc>
        <w:tc>
          <w:tcPr>
            <w:tcW w:w="880" w:type="dxa"/>
            <w:vAlign w:val="center"/>
          </w:tcPr>
          <w:p w14:paraId="4891D5F1">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1DC95612">
            <w:pPr>
              <w:pStyle w:val="25"/>
              <w:keepNext/>
              <w:spacing w:after="0" w:line="440" w:lineRule="exact"/>
              <w:ind w:left="63" w:right="63" w:firstLine="2409"/>
              <w:rPr>
                <w:rFonts w:eastAsia="仿宋_GB2312"/>
                <w:color w:val="auto"/>
                <w:sz w:val="30"/>
                <w:szCs w:val="30"/>
                <w:highlight w:val="none"/>
              </w:rPr>
            </w:pPr>
          </w:p>
        </w:tc>
        <w:tc>
          <w:tcPr>
            <w:tcW w:w="1480" w:type="dxa"/>
            <w:vAlign w:val="center"/>
          </w:tcPr>
          <w:p w14:paraId="4FF7AA02">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6B41F4C7">
            <w:pPr>
              <w:pStyle w:val="25"/>
              <w:keepNext/>
              <w:spacing w:after="0" w:line="440" w:lineRule="exact"/>
              <w:ind w:left="63" w:right="63" w:firstLine="2409"/>
              <w:rPr>
                <w:rFonts w:eastAsia="仿宋_GB2312"/>
                <w:color w:val="auto"/>
                <w:sz w:val="30"/>
                <w:szCs w:val="30"/>
                <w:highlight w:val="none"/>
              </w:rPr>
            </w:pPr>
          </w:p>
        </w:tc>
        <w:tc>
          <w:tcPr>
            <w:tcW w:w="921" w:type="dxa"/>
            <w:vAlign w:val="center"/>
          </w:tcPr>
          <w:p w14:paraId="5C585F44">
            <w:pPr>
              <w:pStyle w:val="25"/>
              <w:keepNext/>
              <w:spacing w:after="0" w:line="440" w:lineRule="exact"/>
              <w:ind w:left="63" w:right="63" w:firstLine="2409"/>
              <w:rPr>
                <w:rFonts w:eastAsia="仿宋_GB2312"/>
                <w:color w:val="auto"/>
                <w:sz w:val="30"/>
                <w:szCs w:val="30"/>
                <w:highlight w:val="none"/>
              </w:rPr>
            </w:pPr>
          </w:p>
        </w:tc>
      </w:tr>
      <w:tr w14:paraId="28E56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144FF5C">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4F050F1D">
            <w:pPr>
              <w:pStyle w:val="25"/>
              <w:keepNext/>
              <w:spacing w:after="0" w:line="440" w:lineRule="exact"/>
              <w:ind w:left="63" w:right="63" w:firstLine="2409"/>
              <w:rPr>
                <w:rFonts w:eastAsia="仿宋_GB2312"/>
                <w:color w:val="auto"/>
                <w:sz w:val="30"/>
                <w:szCs w:val="30"/>
                <w:highlight w:val="none"/>
              </w:rPr>
            </w:pPr>
          </w:p>
        </w:tc>
        <w:tc>
          <w:tcPr>
            <w:tcW w:w="850" w:type="dxa"/>
            <w:vAlign w:val="center"/>
          </w:tcPr>
          <w:p w14:paraId="1021A933">
            <w:pPr>
              <w:pStyle w:val="25"/>
              <w:keepNext/>
              <w:spacing w:after="0" w:line="440" w:lineRule="exact"/>
              <w:ind w:left="63" w:right="63" w:firstLine="2409"/>
              <w:rPr>
                <w:rFonts w:eastAsia="仿宋_GB2312"/>
                <w:color w:val="auto"/>
                <w:sz w:val="30"/>
                <w:szCs w:val="30"/>
                <w:highlight w:val="none"/>
              </w:rPr>
            </w:pPr>
          </w:p>
        </w:tc>
        <w:tc>
          <w:tcPr>
            <w:tcW w:w="1058" w:type="dxa"/>
            <w:vAlign w:val="center"/>
          </w:tcPr>
          <w:p w14:paraId="7664CA6A">
            <w:pPr>
              <w:pStyle w:val="25"/>
              <w:keepNext/>
              <w:spacing w:after="0" w:line="440" w:lineRule="exact"/>
              <w:ind w:left="63" w:right="63" w:firstLine="2409"/>
              <w:rPr>
                <w:rFonts w:eastAsia="仿宋_GB2312"/>
                <w:color w:val="auto"/>
                <w:sz w:val="30"/>
                <w:szCs w:val="30"/>
                <w:highlight w:val="none"/>
              </w:rPr>
            </w:pPr>
          </w:p>
        </w:tc>
        <w:tc>
          <w:tcPr>
            <w:tcW w:w="880" w:type="dxa"/>
            <w:vAlign w:val="center"/>
          </w:tcPr>
          <w:p w14:paraId="13B629E4">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4E71BA29">
            <w:pPr>
              <w:pStyle w:val="25"/>
              <w:keepNext/>
              <w:spacing w:after="0" w:line="440" w:lineRule="exact"/>
              <w:ind w:left="63" w:right="63" w:firstLine="2409"/>
              <w:rPr>
                <w:rFonts w:eastAsia="仿宋_GB2312"/>
                <w:color w:val="auto"/>
                <w:sz w:val="30"/>
                <w:szCs w:val="30"/>
                <w:highlight w:val="none"/>
              </w:rPr>
            </w:pPr>
          </w:p>
        </w:tc>
        <w:tc>
          <w:tcPr>
            <w:tcW w:w="1480" w:type="dxa"/>
            <w:vAlign w:val="center"/>
          </w:tcPr>
          <w:p w14:paraId="7BFFA8C8">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19FB0475">
            <w:pPr>
              <w:pStyle w:val="25"/>
              <w:keepNext/>
              <w:spacing w:after="0" w:line="440" w:lineRule="exact"/>
              <w:ind w:left="63" w:right="63" w:firstLine="2409"/>
              <w:rPr>
                <w:rFonts w:eastAsia="仿宋_GB2312"/>
                <w:color w:val="auto"/>
                <w:sz w:val="30"/>
                <w:szCs w:val="30"/>
                <w:highlight w:val="none"/>
              </w:rPr>
            </w:pPr>
          </w:p>
        </w:tc>
        <w:tc>
          <w:tcPr>
            <w:tcW w:w="921" w:type="dxa"/>
            <w:vAlign w:val="center"/>
          </w:tcPr>
          <w:p w14:paraId="4DE6C376">
            <w:pPr>
              <w:pStyle w:val="25"/>
              <w:keepNext/>
              <w:spacing w:after="0" w:line="440" w:lineRule="exact"/>
              <w:ind w:left="63" w:right="63" w:firstLine="2409"/>
              <w:rPr>
                <w:rFonts w:eastAsia="仿宋_GB2312"/>
                <w:color w:val="auto"/>
                <w:sz w:val="30"/>
                <w:szCs w:val="30"/>
                <w:highlight w:val="none"/>
              </w:rPr>
            </w:pPr>
          </w:p>
        </w:tc>
      </w:tr>
      <w:tr w14:paraId="3F523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2A99386">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3E8D3839">
            <w:pPr>
              <w:pStyle w:val="25"/>
              <w:keepNext/>
              <w:spacing w:after="0" w:line="440" w:lineRule="exact"/>
              <w:ind w:left="63" w:right="63" w:firstLine="2409"/>
              <w:rPr>
                <w:rFonts w:eastAsia="仿宋_GB2312"/>
                <w:color w:val="auto"/>
                <w:sz w:val="30"/>
                <w:szCs w:val="30"/>
                <w:highlight w:val="none"/>
              </w:rPr>
            </w:pPr>
          </w:p>
        </w:tc>
        <w:tc>
          <w:tcPr>
            <w:tcW w:w="850" w:type="dxa"/>
            <w:vAlign w:val="center"/>
          </w:tcPr>
          <w:p w14:paraId="4AB2B38F">
            <w:pPr>
              <w:pStyle w:val="25"/>
              <w:keepNext/>
              <w:spacing w:after="0" w:line="440" w:lineRule="exact"/>
              <w:ind w:left="63" w:right="63" w:firstLine="2409"/>
              <w:rPr>
                <w:rFonts w:eastAsia="仿宋_GB2312"/>
                <w:color w:val="auto"/>
                <w:sz w:val="30"/>
                <w:szCs w:val="30"/>
                <w:highlight w:val="none"/>
              </w:rPr>
            </w:pPr>
          </w:p>
        </w:tc>
        <w:tc>
          <w:tcPr>
            <w:tcW w:w="1058" w:type="dxa"/>
            <w:vAlign w:val="center"/>
          </w:tcPr>
          <w:p w14:paraId="449F3F0E">
            <w:pPr>
              <w:pStyle w:val="25"/>
              <w:keepNext/>
              <w:spacing w:after="0" w:line="440" w:lineRule="exact"/>
              <w:ind w:left="63" w:right="63" w:firstLine="2409"/>
              <w:rPr>
                <w:rFonts w:eastAsia="仿宋_GB2312"/>
                <w:color w:val="auto"/>
                <w:sz w:val="30"/>
                <w:szCs w:val="30"/>
                <w:highlight w:val="none"/>
              </w:rPr>
            </w:pPr>
          </w:p>
        </w:tc>
        <w:tc>
          <w:tcPr>
            <w:tcW w:w="880" w:type="dxa"/>
            <w:vAlign w:val="center"/>
          </w:tcPr>
          <w:p w14:paraId="2C42C837">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1907AE70">
            <w:pPr>
              <w:pStyle w:val="25"/>
              <w:keepNext/>
              <w:spacing w:after="0" w:line="440" w:lineRule="exact"/>
              <w:ind w:left="63" w:right="63" w:firstLine="2409"/>
              <w:rPr>
                <w:rFonts w:eastAsia="仿宋_GB2312"/>
                <w:color w:val="auto"/>
                <w:sz w:val="30"/>
                <w:szCs w:val="30"/>
                <w:highlight w:val="none"/>
              </w:rPr>
            </w:pPr>
          </w:p>
        </w:tc>
        <w:tc>
          <w:tcPr>
            <w:tcW w:w="1480" w:type="dxa"/>
            <w:vAlign w:val="center"/>
          </w:tcPr>
          <w:p w14:paraId="56BBCAF7">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7D663C1F">
            <w:pPr>
              <w:pStyle w:val="25"/>
              <w:keepNext/>
              <w:spacing w:after="0" w:line="440" w:lineRule="exact"/>
              <w:ind w:left="63" w:right="63" w:firstLine="2409"/>
              <w:rPr>
                <w:rFonts w:eastAsia="仿宋_GB2312"/>
                <w:color w:val="auto"/>
                <w:sz w:val="30"/>
                <w:szCs w:val="30"/>
                <w:highlight w:val="none"/>
              </w:rPr>
            </w:pPr>
          </w:p>
        </w:tc>
        <w:tc>
          <w:tcPr>
            <w:tcW w:w="921" w:type="dxa"/>
            <w:vAlign w:val="center"/>
          </w:tcPr>
          <w:p w14:paraId="561D5BA9">
            <w:pPr>
              <w:pStyle w:val="25"/>
              <w:keepNext/>
              <w:spacing w:after="0" w:line="440" w:lineRule="exact"/>
              <w:ind w:left="63" w:right="63" w:firstLine="2409"/>
              <w:rPr>
                <w:rFonts w:eastAsia="仿宋_GB2312"/>
                <w:color w:val="auto"/>
                <w:sz w:val="30"/>
                <w:szCs w:val="30"/>
                <w:highlight w:val="none"/>
              </w:rPr>
            </w:pPr>
          </w:p>
        </w:tc>
      </w:tr>
      <w:tr w14:paraId="08F26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0762020">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5EBB3FEB">
            <w:pPr>
              <w:pStyle w:val="25"/>
              <w:keepNext/>
              <w:spacing w:after="0" w:line="440" w:lineRule="exact"/>
              <w:ind w:left="63" w:right="63" w:firstLine="2409"/>
              <w:rPr>
                <w:rFonts w:eastAsia="仿宋_GB2312"/>
                <w:color w:val="auto"/>
                <w:sz w:val="30"/>
                <w:szCs w:val="30"/>
                <w:highlight w:val="none"/>
              </w:rPr>
            </w:pPr>
          </w:p>
        </w:tc>
        <w:tc>
          <w:tcPr>
            <w:tcW w:w="850" w:type="dxa"/>
            <w:vAlign w:val="center"/>
          </w:tcPr>
          <w:p w14:paraId="50900179">
            <w:pPr>
              <w:pStyle w:val="25"/>
              <w:keepNext/>
              <w:spacing w:after="0" w:line="440" w:lineRule="exact"/>
              <w:ind w:left="63" w:right="63" w:firstLine="2409"/>
              <w:rPr>
                <w:rFonts w:eastAsia="仿宋_GB2312"/>
                <w:color w:val="auto"/>
                <w:sz w:val="30"/>
                <w:szCs w:val="30"/>
                <w:highlight w:val="none"/>
              </w:rPr>
            </w:pPr>
          </w:p>
        </w:tc>
        <w:tc>
          <w:tcPr>
            <w:tcW w:w="1058" w:type="dxa"/>
            <w:vAlign w:val="center"/>
          </w:tcPr>
          <w:p w14:paraId="3F955666">
            <w:pPr>
              <w:pStyle w:val="25"/>
              <w:keepNext/>
              <w:spacing w:after="0" w:line="440" w:lineRule="exact"/>
              <w:ind w:left="63" w:right="63" w:firstLine="2409"/>
              <w:rPr>
                <w:rFonts w:eastAsia="仿宋_GB2312"/>
                <w:color w:val="auto"/>
                <w:sz w:val="30"/>
                <w:szCs w:val="30"/>
                <w:highlight w:val="none"/>
              </w:rPr>
            </w:pPr>
          </w:p>
        </w:tc>
        <w:tc>
          <w:tcPr>
            <w:tcW w:w="880" w:type="dxa"/>
            <w:vAlign w:val="center"/>
          </w:tcPr>
          <w:p w14:paraId="5F205FEB">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780CA48B">
            <w:pPr>
              <w:pStyle w:val="25"/>
              <w:keepNext/>
              <w:spacing w:after="0" w:line="440" w:lineRule="exact"/>
              <w:ind w:left="63" w:right="63" w:firstLine="2409"/>
              <w:rPr>
                <w:rFonts w:eastAsia="仿宋_GB2312"/>
                <w:color w:val="auto"/>
                <w:sz w:val="30"/>
                <w:szCs w:val="30"/>
                <w:highlight w:val="none"/>
              </w:rPr>
            </w:pPr>
          </w:p>
        </w:tc>
        <w:tc>
          <w:tcPr>
            <w:tcW w:w="1480" w:type="dxa"/>
            <w:vAlign w:val="center"/>
          </w:tcPr>
          <w:p w14:paraId="18115119">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6B60F56F">
            <w:pPr>
              <w:pStyle w:val="25"/>
              <w:keepNext/>
              <w:spacing w:after="0" w:line="440" w:lineRule="exact"/>
              <w:ind w:left="63" w:right="63" w:firstLine="2409"/>
              <w:rPr>
                <w:rFonts w:eastAsia="仿宋_GB2312"/>
                <w:color w:val="auto"/>
                <w:sz w:val="30"/>
                <w:szCs w:val="30"/>
                <w:highlight w:val="none"/>
              </w:rPr>
            </w:pPr>
          </w:p>
        </w:tc>
        <w:tc>
          <w:tcPr>
            <w:tcW w:w="921" w:type="dxa"/>
            <w:vAlign w:val="center"/>
          </w:tcPr>
          <w:p w14:paraId="01B49CDD">
            <w:pPr>
              <w:pStyle w:val="25"/>
              <w:keepNext/>
              <w:spacing w:after="0" w:line="440" w:lineRule="exact"/>
              <w:ind w:left="63" w:right="63" w:firstLine="2409"/>
              <w:rPr>
                <w:rFonts w:eastAsia="仿宋_GB2312"/>
                <w:color w:val="auto"/>
                <w:sz w:val="30"/>
                <w:szCs w:val="30"/>
                <w:highlight w:val="none"/>
              </w:rPr>
            </w:pPr>
          </w:p>
        </w:tc>
      </w:tr>
      <w:tr w14:paraId="07F44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7A78C58">
            <w:pPr>
              <w:ind w:firstLine="2409"/>
              <w:rPr>
                <w:rFonts w:eastAsia="仿宋_GB2312"/>
                <w:color w:val="auto"/>
                <w:sz w:val="30"/>
                <w:szCs w:val="30"/>
                <w:highlight w:val="none"/>
              </w:rPr>
            </w:pPr>
          </w:p>
        </w:tc>
        <w:tc>
          <w:tcPr>
            <w:tcW w:w="1418" w:type="dxa"/>
          </w:tcPr>
          <w:p w14:paraId="51BFEDF7">
            <w:pPr>
              <w:ind w:firstLine="2409"/>
              <w:rPr>
                <w:rFonts w:eastAsia="仿宋_GB2312"/>
                <w:color w:val="auto"/>
                <w:sz w:val="30"/>
                <w:szCs w:val="30"/>
                <w:highlight w:val="none"/>
              </w:rPr>
            </w:pPr>
          </w:p>
        </w:tc>
        <w:tc>
          <w:tcPr>
            <w:tcW w:w="850" w:type="dxa"/>
          </w:tcPr>
          <w:p w14:paraId="4B18FDC3">
            <w:pPr>
              <w:ind w:firstLine="2409"/>
              <w:rPr>
                <w:rFonts w:eastAsia="仿宋_GB2312"/>
                <w:color w:val="auto"/>
                <w:sz w:val="30"/>
                <w:szCs w:val="30"/>
                <w:highlight w:val="none"/>
              </w:rPr>
            </w:pPr>
          </w:p>
        </w:tc>
        <w:tc>
          <w:tcPr>
            <w:tcW w:w="1058" w:type="dxa"/>
          </w:tcPr>
          <w:p w14:paraId="18CC044C">
            <w:pPr>
              <w:ind w:firstLine="2409"/>
              <w:rPr>
                <w:rFonts w:eastAsia="仿宋_GB2312"/>
                <w:color w:val="auto"/>
                <w:sz w:val="30"/>
                <w:szCs w:val="30"/>
                <w:highlight w:val="none"/>
              </w:rPr>
            </w:pPr>
          </w:p>
        </w:tc>
        <w:tc>
          <w:tcPr>
            <w:tcW w:w="880" w:type="dxa"/>
          </w:tcPr>
          <w:p w14:paraId="65CDA502">
            <w:pPr>
              <w:ind w:firstLine="2409"/>
              <w:rPr>
                <w:rFonts w:eastAsia="仿宋_GB2312"/>
                <w:color w:val="auto"/>
                <w:sz w:val="30"/>
                <w:szCs w:val="30"/>
                <w:highlight w:val="none"/>
              </w:rPr>
            </w:pPr>
          </w:p>
        </w:tc>
        <w:tc>
          <w:tcPr>
            <w:tcW w:w="1020" w:type="dxa"/>
          </w:tcPr>
          <w:p w14:paraId="1D402FEB">
            <w:pPr>
              <w:ind w:firstLine="2409"/>
              <w:rPr>
                <w:rFonts w:eastAsia="仿宋_GB2312"/>
                <w:color w:val="auto"/>
                <w:sz w:val="30"/>
                <w:szCs w:val="30"/>
                <w:highlight w:val="none"/>
              </w:rPr>
            </w:pPr>
          </w:p>
        </w:tc>
        <w:tc>
          <w:tcPr>
            <w:tcW w:w="1480" w:type="dxa"/>
          </w:tcPr>
          <w:p w14:paraId="427B1D51">
            <w:pPr>
              <w:ind w:firstLine="2409"/>
              <w:rPr>
                <w:rFonts w:eastAsia="仿宋_GB2312"/>
                <w:color w:val="auto"/>
                <w:sz w:val="30"/>
                <w:szCs w:val="30"/>
                <w:highlight w:val="none"/>
              </w:rPr>
            </w:pPr>
          </w:p>
        </w:tc>
        <w:tc>
          <w:tcPr>
            <w:tcW w:w="1020" w:type="dxa"/>
          </w:tcPr>
          <w:p w14:paraId="08208931">
            <w:pPr>
              <w:ind w:firstLine="2409"/>
              <w:rPr>
                <w:rFonts w:eastAsia="仿宋_GB2312"/>
                <w:color w:val="auto"/>
                <w:sz w:val="30"/>
                <w:szCs w:val="30"/>
                <w:highlight w:val="none"/>
              </w:rPr>
            </w:pPr>
          </w:p>
        </w:tc>
        <w:tc>
          <w:tcPr>
            <w:tcW w:w="921" w:type="dxa"/>
          </w:tcPr>
          <w:p w14:paraId="633BCB54">
            <w:pPr>
              <w:ind w:firstLine="2409"/>
              <w:rPr>
                <w:rFonts w:eastAsia="仿宋_GB2312"/>
                <w:color w:val="auto"/>
                <w:sz w:val="30"/>
                <w:szCs w:val="30"/>
                <w:highlight w:val="none"/>
              </w:rPr>
            </w:pPr>
          </w:p>
        </w:tc>
      </w:tr>
      <w:tr w14:paraId="34CF4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26132D6">
            <w:pPr>
              <w:pStyle w:val="25"/>
              <w:keepNext/>
              <w:spacing w:after="0" w:line="440" w:lineRule="exact"/>
              <w:ind w:left="63" w:right="63" w:firstLine="2409"/>
              <w:rPr>
                <w:rFonts w:eastAsia="仿宋_GB2312"/>
                <w:color w:val="auto"/>
                <w:sz w:val="30"/>
                <w:szCs w:val="30"/>
                <w:highlight w:val="none"/>
              </w:rPr>
            </w:pPr>
          </w:p>
        </w:tc>
        <w:tc>
          <w:tcPr>
            <w:tcW w:w="1418" w:type="dxa"/>
            <w:vAlign w:val="center"/>
          </w:tcPr>
          <w:p w14:paraId="25E8179B">
            <w:pPr>
              <w:pStyle w:val="25"/>
              <w:keepNext/>
              <w:spacing w:after="0" w:line="440" w:lineRule="exact"/>
              <w:ind w:left="63" w:right="63" w:firstLine="2409"/>
              <w:rPr>
                <w:rFonts w:eastAsia="仿宋_GB2312"/>
                <w:color w:val="auto"/>
                <w:sz w:val="30"/>
                <w:szCs w:val="30"/>
                <w:highlight w:val="none"/>
              </w:rPr>
            </w:pPr>
          </w:p>
        </w:tc>
        <w:tc>
          <w:tcPr>
            <w:tcW w:w="850" w:type="dxa"/>
            <w:vAlign w:val="center"/>
          </w:tcPr>
          <w:p w14:paraId="53DE634F">
            <w:pPr>
              <w:pStyle w:val="25"/>
              <w:keepNext/>
              <w:spacing w:after="0" w:line="440" w:lineRule="exact"/>
              <w:ind w:left="63" w:right="63" w:firstLine="2409"/>
              <w:rPr>
                <w:rFonts w:eastAsia="仿宋_GB2312"/>
                <w:color w:val="auto"/>
                <w:sz w:val="30"/>
                <w:szCs w:val="30"/>
                <w:highlight w:val="none"/>
              </w:rPr>
            </w:pPr>
          </w:p>
        </w:tc>
        <w:tc>
          <w:tcPr>
            <w:tcW w:w="1058" w:type="dxa"/>
            <w:vAlign w:val="center"/>
          </w:tcPr>
          <w:p w14:paraId="1594AAEA">
            <w:pPr>
              <w:pStyle w:val="25"/>
              <w:keepNext/>
              <w:spacing w:after="0" w:line="440" w:lineRule="exact"/>
              <w:ind w:left="63" w:right="63" w:firstLine="2409"/>
              <w:rPr>
                <w:rFonts w:eastAsia="仿宋_GB2312"/>
                <w:color w:val="auto"/>
                <w:sz w:val="30"/>
                <w:szCs w:val="30"/>
                <w:highlight w:val="none"/>
              </w:rPr>
            </w:pPr>
          </w:p>
        </w:tc>
        <w:tc>
          <w:tcPr>
            <w:tcW w:w="880" w:type="dxa"/>
            <w:vAlign w:val="center"/>
          </w:tcPr>
          <w:p w14:paraId="036D84FD">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1B93974F">
            <w:pPr>
              <w:pStyle w:val="25"/>
              <w:keepNext/>
              <w:spacing w:after="0" w:line="440" w:lineRule="exact"/>
              <w:ind w:left="63" w:right="63" w:firstLine="2409"/>
              <w:rPr>
                <w:rFonts w:eastAsia="仿宋_GB2312"/>
                <w:color w:val="auto"/>
                <w:sz w:val="30"/>
                <w:szCs w:val="30"/>
                <w:highlight w:val="none"/>
              </w:rPr>
            </w:pPr>
          </w:p>
        </w:tc>
        <w:tc>
          <w:tcPr>
            <w:tcW w:w="1480" w:type="dxa"/>
            <w:vAlign w:val="center"/>
          </w:tcPr>
          <w:p w14:paraId="08206A6C">
            <w:pPr>
              <w:pStyle w:val="25"/>
              <w:keepNext/>
              <w:spacing w:after="0" w:line="440" w:lineRule="exact"/>
              <w:ind w:left="63" w:right="63" w:firstLine="2409"/>
              <w:rPr>
                <w:rFonts w:eastAsia="仿宋_GB2312"/>
                <w:color w:val="auto"/>
                <w:sz w:val="30"/>
                <w:szCs w:val="30"/>
                <w:highlight w:val="none"/>
              </w:rPr>
            </w:pPr>
          </w:p>
        </w:tc>
        <w:tc>
          <w:tcPr>
            <w:tcW w:w="1020" w:type="dxa"/>
            <w:vAlign w:val="center"/>
          </w:tcPr>
          <w:p w14:paraId="5E9F77F7">
            <w:pPr>
              <w:pStyle w:val="25"/>
              <w:keepNext/>
              <w:spacing w:after="0" w:line="440" w:lineRule="exact"/>
              <w:ind w:left="63" w:right="63" w:firstLine="2409"/>
              <w:rPr>
                <w:rFonts w:eastAsia="仿宋_GB2312"/>
                <w:color w:val="auto"/>
                <w:sz w:val="30"/>
                <w:szCs w:val="30"/>
                <w:highlight w:val="none"/>
              </w:rPr>
            </w:pPr>
          </w:p>
        </w:tc>
        <w:tc>
          <w:tcPr>
            <w:tcW w:w="921" w:type="dxa"/>
            <w:vAlign w:val="center"/>
          </w:tcPr>
          <w:p w14:paraId="26CA2A8E">
            <w:pPr>
              <w:pStyle w:val="25"/>
              <w:keepNext/>
              <w:spacing w:after="0" w:line="440" w:lineRule="exact"/>
              <w:ind w:left="63" w:right="63" w:firstLine="2409"/>
              <w:rPr>
                <w:rFonts w:eastAsia="仿宋_GB2312"/>
                <w:color w:val="auto"/>
                <w:sz w:val="30"/>
                <w:szCs w:val="30"/>
                <w:highlight w:val="none"/>
              </w:rPr>
            </w:pPr>
          </w:p>
        </w:tc>
      </w:tr>
      <w:tr w14:paraId="387CB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F96E745">
            <w:pPr>
              <w:ind w:firstLine="2409"/>
              <w:rPr>
                <w:rFonts w:eastAsia="仿宋_GB2312"/>
                <w:color w:val="auto"/>
                <w:sz w:val="30"/>
                <w:szCs w:val="30"/>
                <w:highlight w:val="none"/>
              </w:rPr>
            </w:pPr>
          </w:p>
        </w:tc>
        <w:tc>
          <w:tcPr>
            <w:tcW w:w="1418" w:type="dxa"/>
          </w:tcPr>
          <w:p w14:paraId="2B32F71E">
            <w:pPr>
              <w:ind w:firstLine="2409"/>
              <w:rPr>
                <w:rFonts w:eastAsia="仿宋_GB2312"/>
                <w:color w:val="auto"/>
                <w:sz w:val="30"/>
                <w:szCs w:val="30"/>
                <w:highlight w:val="none"/>
              </w:rPr>
            </w:pPr>
          </w:p>
        </w:tc>
        <w:tc>
          <w:tcPr>
            <w:tcW w:w="850" w:type="dxa"/>
          </w:tcPr>
          <w:p w14:paraId="5D3F0473">
            <w:pPr>
              <w:ind w:firstLine="2409"/>
              <w:rPr>
                <w:rFonts w:eastAsia="仿宋_GB2312"/>
                <w:color w:val="auto"/>
                <w:sz w:val="30"/>
                <w:szCs w:val="30"/>
                <w:highlight w:val="none"/>
              </w:rPr>
            </w:pPr>
          </w:p>
        </w:tc>
        <w:tc>
          <w:tcPr>
            <w:tcW w:w="1058" w:type="dxa"/>
          </w:tcPr>
          <w:p w14:paraId="559AA5B7">
            <w:pPr>
              <w:ind w:firstLine="2409"/>
              <w:rPr>
                <w:rFonts w:eastAsia="仿宋_GB2312"/>
                <w:color w:val="auto"/>
                <w:sz w:val="30"/>
                <w:szCs w:val="30"/>
                <w:highlight w:val="none"/>
              </w:rPr>
            </w:pPr>
          </w:p>
        </w:tc>
        <w:tc>
          <w:tcPr>
            <w:tcW w:w="880" w:type="dxa"/>
          </w:tcPr>
          <w:p w14:paraId="28D43393">
            <w:pPr>
              <w:ind w:firstLine="2409"/>
              <w:rPr>
                <w:rFonts w:eastAsia="仿宋_GB2312"/>
                <w:color w:val="auto"/>
                <w:sz w:val="30"/>
                <w:szCs w:val="30"/>
                <w:highlight w:val="none"/>
              </w:rPr>
            </w:pPr>
          </w:p>
        </w:tc>
        <w:tc>
          <w:tcPr>
            <w:tcW w:w="1020" w:type="dxa"/>
          </w:tcPr>
          <w:p w14:paraId="6FCB5CED">
            <w:pPr>
              <w:ind w:firstLine="2409"/>
              <w:rPr>
                <w:rFonts w:eastAsia="仿宋_GB2312"/>
                <w:color w:val="auto"/>
                <w:sz w:val="30"/>
                <w:szCs w:val="30"/>
                <w:highlight w:val="none"/>
              </w:rPr>
            </w:pPr>
          </w:p>
        </w:tc>
        <w:tc>
          <w:tcPr>
            <w:tcW w:w="1480" w:type="dxa"/>
          </w:tcPr>
          <w:p w14:paraId="67B8D7B9">
            <w:pPr>
              <w:ind w:firstLine="2409"/>
              <w:rPr>
                <w:rFonts w:eastAsia="仿宋_GB2312"/>
                <w:color w:val="auto"/>
                <w:sz w:val="30"/>
                <w:szCs w:val="30"/>
                <w:highlight w:val="none"/>
              </w:rPr>
            </w:pPr>
          </w:p>
        </w:tc>
        <w:tc>
          <w:tcPr>
            <w:tcW w:w="1020" w:type="dxa"/>
          </w:tcPr>
          <w:p w14:paraId="3938B624">
            <w:pPr>
              <w:ind w:firstLine="2409"/>
              <w:rPr>
                <w:rFonts w:eastAsia="仿宋_GB2312"/>
                <w:color w:val="auto"/>
                <w:sz w:val="30"/>
                <w:szCs w:val="30"/>
                <w:highlight w:val="none"/>
              </w:rPr>
            </w:pPr>
          </w:p>
        </w:tc>
        <w:tc>
          <w:tcPr>
            <w:tcW w:w="921" w:type="dxa"/>
          </w:tcPr>
          <w:p w14:paraId="4FB04610">
            <w:pPr>
              <w:ind w:firstLine="2409"/>
              <w:rPr>
                <w:rFonts w:eastAsia="仿宋_GB2312"/>
                <w:color w:val="auto"/>
                <w:sz w:val="30"/>
                <w:szCs w:val="30"/>
                <w:highlight w:val="none"/>
              </w:rPr>
            </w:pPr>
          </w:p>
        </w:tc>
      </w:tr>
      <w:tr w14:paraId="0B07B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457D7BC">
            <w:pPr>
              <w:ind w:firstLine="2409"/>
              <w:rPr>
                <w:rFonts w:eastAsia="仿宋_GB2312"/>
                <w:color w:val="auto"/>
                <w:sz w:val="30"/>
                <w:szCs w:val="30"/>
                <w:highlight w:val="none"/>
              </w:rPr>
            </w:pPr>
          </w:p>
        </w:tc>
        <w:tc>
          <w:tcPr>
            <w:tcW w:w="1418" w:type="dxa"/>
          </w:tcPr>
          <w:p w14:paraId="58FC1658">
            <w:pPr>
              <w:ind w:firstLine="2409"/>
              <w:rPr>
                <w:rFonts w:eastAsia="仿宋_GB2312"/>
                <w:color w:val="auto"/>
                <w:sz w:val="30"/>
                <w:szCs w:val="30"/>
                <w:highlight w:val="none"/>
              </w:rPr>
            </w:pPr>
          </w:p>
        </w:tc>
        <w:tc>
          <w:tcPr>
            <w:tcW w:w="850" w:type="dxa"/>
          </w:tcPr>
          <w:p w14:paraId="59F22002">
            <w:pPr>
              <w:ind w:firstLine="2409"/>
              <w:rPr>
                <w:rFonts w:eastAsia="仿宋_GB2312"/>
                <w:color w:val="auto"/>
                <w:sz w:val="30"/>
                <w:szCs w:val="30"/>
                <w:highlight w:val="none"/>
              </w:rPr>
            </w:pPr>
          </w:p>
        </w:tc>
        <w:tc>
          <w:tcPr>
            <w:tcW w:w="1058" w:type="dxa"/>
          </w:tcPr>
          <w:p w14:paraId="38C2D819">
            <w:pPr>
              <w:ind w:firstLine="2409"/>
              <w:rPr>
                <w:rFonts w:eastAsia="仿宋_GB2312"/>
                <w:color w:val="auto"/>
                <w:sz w:val="30"/>
                <w:szCs w:val="30"/>
                <w:highlight w:val="none"/>
              </w:rPr>
            </w:pPr>
          </w:p>
        </w:tc>
        <w:tc>
          <w:tcPr>
            <w:tcW w:w="880" w:type="dxa"/>
          </w:tcPr>
          <w:p w14:paraId="25E91C16">
            <w:pPr>
              <w:ind w:firstLine="2409"/>
              <w:rPr>
                <w:rFonts w:eastAsia="仿宋_GB2312"/>
                <w:color w:val="auto"/>
                <w:sz w:val="30"/>
                <w:szCs w:val="30"/>
                <w:highlight w:val="none"/>
              </w:rPr>
            </w:pPr>
          </w:p>
        </w:tc>
        <w:tc>
          <w:tcPr>
            <w:tcW w:w="1020" w:type="dxa"/>
          </w:tcPr>
          <w:p w14:paraId="7AE74C22">
            <w:pPr>
              <w:ind w:firstLine="2409"/>
              <w:rPr>
                <w:rFonts w:eastAsia="仿宋_GB2312"/>
                <w:color w:val="auto"/>
                <w:sz w:val="30"/>
                <w:szCs w:val="30"/>
                <w:highlight w:val="none"/>
              </w:rPr>
            </w:pPr>
          </w:p>
        </w:tc>
        <w:tc>
          <w:tcPr>
            <w:tcW w:w="1480" w:type="dxa"/>
          </w:tcPr>
          <w:p w14:paraId="1660B3E2">
            <w:pPr>
              <w:ind w:firstLine="2409"/>
              <w:rPr>
                <w:rFonts w:eastAsia="仿宋_GB2312"/>
                <w:color w:val="auto"/>
                <w:sz w:val="30"/>
                <w:szCs w:val="30"/>
                <w:highlight w:val="none"/>
              </w:rPr>
            </w:pPr>
          </w:p>
        </w:tc>
        <w:tc>
          <w:tcPr>
            <w:tcW w:w="1020" w:type="dxa"/>
          </w:tcPr>
          <w:p w14:paraId="16E19E93">
            <w:pPr>
              <w:ind w:firstLine="2409"/>
              <w:rPr>
                <w:rFonts w:eastAsia="仿宋_GB2312"/>
                <w:color w:val="auto"/>
                <w:sz w:val="30"/>
                <w:szCs w:val="30"/>
                <w:highlight w:val="none"/>
              </w:rPr>
            </w:pPr>
          </w:p>
        </w:tc>
        <w:tc>
          <w:tcPr>
            <w:tcW w:w="921" w:type="dxa"/>
          </w:tcPr>
          <w:p w14:paraId="688D2D17">
            <w:pPr>
              <w:ind w:firstLine="2409"/>
              <w:rPr>
                <w:rFonts w:eastAsia="仿宋_GB2312"/>
                <w:color w:val="auto"/>
                <w:sz w:val="30"/>
                <w:szCs w:val="30"/>
                <w:highlight w:val="none"/>
              </w:rPr>
            </w:pPr>
          </w:p>
        </w:tc>
      </w:tr>
      <w:tr w14:paraId="66CB9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19DE6B6">
            <w:pPr>
              <w:ind w:firstLine="2409"/>
              <w:rPr>
                <w:rFonts w:eastAsia="仿宋_GB2312"/>
                <w:color w:val="auto"/>
                <w:sz w:val="30"/>
                <w:szCs w:val="30"/>
                <w:highlight w:val="none"/>
              </w:rPr>
            </w:pPr>
          </w:p>
        </w:tc>
        <w:tc>
          <w:tcPr>
            <w:tcW w:w="1418" w:type="dxa"/>
          </w:tcPr>
          <w:p w14:paraId="61A8B90B">
            <w:pPr>
              <w:ind w:firstLine="2409"/>
              <w:rPr>
                <w:rFonts w:eastAsia="仿宋_GB2312"/>
                <w:color w:val="auto"/>
                <w:sz w:val="30"/>
                <w:szCs w:val="30"/>
                <w:highlight w:val="none"/>
              </w:rPr>
            </w:pPr>
          </w:p>
        </w:tc>
        <w:tc>
          <w:tcPr>
            <w:tcW w:w="850" w:type="dxa"/>
          </w:tcPr>
          <w:p w14:paraId="20CFCE8A">
            <w:pPr>
              <w:ind w:firstLine="2409"/>
              <w:rPr>
                <w:rFonts w:eastAsia="仿宋_GB2312"/>
                <w:color w:val="auto"/>
                <w:sz w:val="30"/>
                <w:szCs w:val="30"/>
                <w:highlight w:val="none"/>
              </w:rPr>
            </w:pPr>
          </w:p>
        </w:tc>
        <w:tc>
          <w:tcPr>
            <w:tcW w:w="1058" w:type="dxa"/>
          </w:tcPr>
          <w:p w14:paraId="5F333B0E">
            <w:pPr>
              <w:ind w:firstLine="2409"/>
              <w:rPr>
                <w:rFonts w:eastAsia="仿宋_GB2312"/>
                <w:color w:val="auto"/>
                <w:sz w:val="30"/>
                <w:szCs w:val="30"/>
                <w:highlight w:val="none"/>
              </w:rPr>
            </w:pPr>
          </w:p>
        </w:tc>
        <w:tc>
          <w:tcPr>
            <w:tcW w:w="880" w:type="dxa"/>
          </w:tcPr>
          <w:p w14:paraId="4B6D6765">
            <w:pPr>
              <w:ind w:firstLine="2409"/>
              <w:rPr>
                <w:rFonts w:eastAsia="仿宋_GB2312"/>
                <w:color w:val="auto"/>
                <w:sz w:val="30"/>
                <w:szCs w:val="30"/>
                <w:highlight w:val="none"/>
              </w:rPr>
            </w:pPr>
          </w:p>
        </w:tc>
        <w:tc>
          <w:tcPr>
            <w:tcW w:w="1020" w:type="dxa"/>
          </w:tcPr>
          <w:p w14:paraId="3F246954">
            <w:pPr>
              <w:ind w:firstLine="2409"/>
              <w:rPr>
                <w:rFonts w:eastAsia="仿宋_GB2312"/>
                <w:color w:val="auto"/>
                <w:sz w:val="30"/>
                <w:szCs w:val="30"/>
                <w:highlight w:val="none"/>
              </w:rPr>
            </w:pPr>
          </w:p>
        </w:tc>
        <w:tc>
          <w:tcPr>
            <w:tcW w:w="1480" w:type="dxa"/>
          </w:tcPr>
          <w:p w14:paraId="72E99AF9">
            <w:pPr>
              <w:ind w:firstLine="2409"/>
              <w:rPr>
                <w:rFonts w:eastAsia="仿宋_GB2312"/>
                <w:color w:val="auto"/>
                <w:sz w:val="30"/>
                <w:szCs w:val="30"/>
                <w:highlight w:val="none"/>
              </w:rPr>
            </w:pPr>
          </w:p>
        </w:tc>
        <w:tc>
          <w:tcPr>
            <w:tcW w:w="1020" w:type="dxa"/>
          </w:tcPr>
          <w:p w14:paraId="06EB2C09">
            <w:pPr>
              <w:ind w:firstLine="2409"/>
              <w:rPr>
                <w:rFonts w:eastAsia="仿宋_GB2312"/>
                <w:color w:val="auto"/>
                <w:sz w:val="30"/>
                <w:szCs w:val="30"/>
                <w:highlight w:val="none"/>
              </w:rPr>
            </w:pPr>
          </w:p>
        </w:tc>
        <w:tc>
          <w:tcPr>
            <w:tcW w:w="921" w:type="dxa"/>
          </w:tcPr>
          <w:p w14:paraId="07050634">
            <w:pPr>
              <w:ind w:firstLine="2409"/>
              <w:rPr>
                <w:rFonts w:eastAsia="仿宋_GB2312"/>
                <w:color w:val="auto"/>
                <w:sz w:val="30"/>
                <w:szCs w:val="30"/>
                <w:highlight w:val="none"/>
              </w:rPr>
            </w:pPr>
          </w:p>
        </w:tc>
      </w:tr>
      <w:tr w14:paraId="59F67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C645D8F">
            <w:pPr>
              <w:ind w:firstLine="2409"/>
              <w:rPr>
                <w:rFonts w:eastAsia="仿宋_GB2312"/>
                <w:color w:val="auto"/>
                <w:sz w:val="30"/>
                <w:szCs w:val="30"/>
                <w:highlight w:val="none"/>
              </w:rPr>
            </w:pPr>
          </w:p>
        </w:tc>
        <w:tc>
          <w:tcPr>
            <w:tcW w:w="1418" w:type="dxa"/>
          </w:tcPr>
          <w:p w14:paraId="2165F870">
            <w:pPr>
              <w:ind w:firstLine="2409"/>
              <w:rPr>
                <w:rFonts w:eastAsia="仿宋_GB2312"/>
                <w:color w:val="auto"/>
                <w:sz w:val="30"/>
                <w:szCs w:val="30"/>
                <w:highlight w:val="none"/>
              </w:rPr>
            </w:pPr>
          </w:p>
        </w:tc>
        <w:tc>
          <w:tcPr>
            <w:tcW w:w="850" w:type="dxa"/>
          </w:tcPr>
          <w:p w14:paraId="5FF8B115">
            <w:pPr>
              <w:ind w:firstLine="2409"/>
              <w:rPr>
                <w:rFonts w:eastAsia="仿宋_GB2312"/>
                <w:color w:val="auto"/>
                <w:sz w:val="30"/>
                <w:szCs w:val="30"/>
                <w:highlight w:val="none"/>
              </w:rPr>
            </w:pPr>
          </w:p>
        </w:tc>
        <w:tc>
          <w:tcPr>
            <w:tcW w:w="1058" w:type="dxa"/>
          </w:tcPr>
          <w:p w14:paraId="62AE6F02">
            <w:pPr>
              <w:ind w:firstLine="2409"/>
              <w:rPr>
                <w:rFonts w:eastAsia="仿宋_GB2312"/>
                <w:color w:val="auto"/>
                <w:sz w:val="30"/>
                <w:szCs w:val="30"/>
                <w:highlight w:val="none"/>
              </w:rPr>
            </w:pPr>
          </w:p>
        </w:tc>
        <w:tc>
          <w:tcPr>
            <w:tcW w:w="880" w:type="dxa"/>
          </w:tcPr>
          <w:p w14:paraId="58E58DA5">
            <w:pPr>
              <w:ind w:firstLine="2409"/>
              <w:rPr>
                <w:rFonts w:eastAsia="仿宋_GB2312"/>
                <w:color w:val="auto"/>
                <w:sz w:val="30"/>
                <w:szCs w:val="30"/>
                <w:highlight w:val="none"/>
              </w:rPr>
            </w:pPr>
          </w:p>
        </w:tc>
        <w:tc>
          <w:tcPr>
            <w:tcW w:w="1020" w:type="dxa"/>
          </w:tcPr>
          <w:p w14:paraId="7977DEAF">
            <w:pPr>
              <w:ind w:firstLine="2409"/>
              <w:rPr>
                <w:rFonts w:eastAsia="仿宋_GB2312"/>
                <w:color w:val="auto"/>
                <w:sz w:val="30"/>
                <w:szCs w:val="30"/>
                <w:highlight w:val="none"/>
              </w:rPr>
            </w:pPr>
          </w:p>
        </w:tc>
        <w:tc>
          <w:tcPr>
            <w:tcW w:w="1480" w:type="dxa"/>
          </w:tcPr>
          <w:p w14:paraId="06A6E76C">
            <w:pPr>
              <w:ind w:firstLine="2409"/>
              <w:rPr>
                <w:rFonts w:eastAsia="仿宋_GB2312"/>
                <w:color w:val="auto"/>
                <w:sz w:val="30"/>
                <w:szCs w:val="30"/>
                <w:highlight w:val="none"/>
              </w:rPr>
            </w:pPr>
          </w:p>
        </w:tc>
        <w:tc>
          <w:tcPr>
            <w:tcW w:w="1020" w:type="dxa"/>
          </w:tcPr>
          <w:p w14:paraId="4C08D9D9">
            <w:pPr>
              <w:ind w:firstLine="2409"/>
              <w:rPr>
                <w:rFonts w:eastAsia="仿宋_GB2312"/>
                <w:color w:val="auto"/>
                <w:sz w:val="30"/>
                <w:szCs w:val="30"/>
                <w:highlight w:val="none"/>
              </w:rPr>
            </w:pPr>
          </w:p>
        </w:tc>
        <w:tc>
          <w:tcPr>
            <w:tcW w:w="921" w:type="dxa"/>
          </w:tcPr>
          <w:p w14:paraId="0A9A3BD8">
            <w:pPr>
              <w:ind w:firstLine="2409"/>
              <w:rPr>
                <w:rFonts w:eastAsia="仿宋_GB2312"/>
                <w:color w:val="auto"/>
                <w:sz w:val="30"/>
                <w:szCs w:val="30"/>
                <w:highlight w:val="none"/>
              </w:rPr>
            </w:pPr>
          </w:p>
        </w:tc>
      </w:tr>
      <w:tr w14:paraId="564E2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E5C3100">
            <w:pPr>
              <w:ind w:firstLine="2409"/>
              <w:rPr>
                <w:rFonts w:eastAsia="仿宋_GB2312"/>
                <w:color w:val="auto"/>
                <w:sz w:val="30"/>
                <w:szCs w:val="30"/>
                <w:highlight w:val="none"/>
              </w:rPr>
            </w:pPr>
          </w:p>
        </w:tc>
        <w:tc>
          <w:tcPr>
            <w:tcW w:w="1418" w:type="dxa"/>
          </w:tcPr>
          <w:p w14:paraId="11D0C410">
            <w:pPr>
              <w:ind w:firstLine="2409"/>
              <w:rPr>
                <w:rFonts w:eastAsia="仿宋_GB2312"/>
                <w:color w:val="auto"/>
                <w:sz w:val="30"/>
                <w:szCs w:val="30"/>
                <w:highlight w:val="none"/>
              </w:rPr>
            </w:pPr>
          </w:p>
        </w:tc>
        <w:tc>
          <w:tcPr>
            <w:tcW w:w="850" w:type="dxa"/>
          </w:tcPr>
          <w:p w14:paraId="10FE6558">
            <w:pPr>
              <w:ind w:firstLine="2409"/>
              <w:rPr>
                <w:rFonts w:eastAsia="仿宋_GB2312"/>
                <w:color w:val="auto"/>
                <w:sz w:val="30"/>
                <w:szCs w:val="30"/>
                <w:highlight w:val="none"/>
              </w:rPr>
            </w:pPr>
          </w:p>
        </w:tc>
        <w:tc>
          <w:tcPr>
            <w:tcW w:w="1058" w:type="dxa"/>
          </w:tcPr>
          <w:p w14:paraId="0A82980B">
            <w:pPr>
              <w:ind w:firstLine="2409"/>
              <w:rPr>
                <w:rFonts w:eastAsia="仿宋_GB2312"/>
                <w:color w:val="auto"/>
                <w:sz w:val="30"/>
                <w:szCs w:val="30"/>
                <w:highlight w:val="none"/>
              </w:rPr>
            </w:pPr>
          </w:p>
        </w:tc>
        <w:tc>
          <w:tcPr>
            <w:tcW w:w="880" w:type="dxa"/>
          </w:tcPr>
          <w:p w14:paraId="4F0FA4E1">
            <w:pPr>
              <w:ind w:firstLine="2409"/>
              <w:rPr>
                <w:rFonts w:eastAsia="仿宋_GB2312"/>
                <w:color w:val="auto"/>
                <w:sz w:val="30"/>
                <w:szCs w:val="30"/>
                <w:highlight w:val="none"/>
              </w:rPr>
            </w:pPr>
          </w:p>
        </w:tc>
        <w:tc>
          <w:tcPr>
            <w:tcW w:w="1020" w:type="dxa"/>
          </w:tcPr>
          <w:p w14:paraId="26351F23">
            <w:pPr>
              <w:ind w:firstLine="2409"/>
              <w:rPr>
                <w:rFonts w:eastAsia="仿宋_GB2312"/>
                <w:color w:val="auto"/>
                <w:sz w:val="30"/>
                <w:szCs w:val="30"/>
                <w:highlight w:val="none"/>
              </w:rPr>
            </w:pPr>
          </w:p>
        </w:tc>
        <w:tc>
          <w:tcPr>
            <w:tcW w:w="1480" w:type="dxa"/>
          </w:tcPr>
          <w:p w14:paraId="5EF83B8F">
            <w:pPr>
              <w:ind w:firstLine="2409"/>
              <w:rPr>
                <w:rFonts w:eastAsia="仿宋_GB2312"/>
                <w:color w:val="auto"/>
                <w:sz w:val="30"/>
                <w:szCs w:val="30"/>
                <w:highlight w:val="none"/>
              </w:rPr>
            </w:pPr>
          </w:p>
        </w:tc>
        <w:tc>
          <w:tcPr>
            <w:tcW w:w="1020" w:type="dxa"/>
          </w:tcPr>
          <w:p w14:paraId="7411BF7A">
            <w:pPr>
              <w:ind w:firstLine="2409"/>
              <w:rPr>
                <w:rFonts w:eastAsia="仿宋_GB2312"/>
                <w:color w:val="auto"/>
                <w:sz w:val="30"/>
                <w:szCs w:val="30"/>
                <w:highlight w:val="none"/>
              </w:rPr>
            </w:pPr>
          </w:p>
        </w:tc>
        <w:tc>
          <w:tcPr>
            <w:tcW w:w="921" w:type="dxa"/>
          </w:tcPr>
          <w:p w14:paraId="67EBA60D">
            <w:pPr>
              <w:ind w:firstLine="2409"/>
              <w:rPr>
                <w:rFonts w:eastAsia="仿宋_GB2312"/>
                <w:color w:val="auto"/>
                <w:sz w:val="30"/>
                <w:szCs w:val="30"/>
                <w:highlight w:val="none"/>
              </w:rPr>
            </w:pPr>
          </w:p>
        </w:tc>
      </w:tr>
      <w:tr w14:paraId="41F17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06BB4D0">
            <w:pPr>
              <w:ind w:firstLine="2409"/>
              <w:rPr>
                <w:rFonts w:eastAsia="仿宋_GB2312"/>
                <w:color w:val="auto"/>
                <w:sz w:val="30"/>
                <w:szCs w:val="30"/>
                <w:highlight w:val="none"/>
              </w:rPr>
            </w:pPr>
          </w:p>
        </w:tc>
        <w:tc>
          <w:tcPr>
            <w:tcW w:w="1418" w:type="dxa"/>
          </w:tcPr>
          <w:p w14:paraId="0F043A33">
            <w:pPr>
              <w:ind w:firstLine="2409"/>
              <w:rPr>
                <w:rFonts w:eastAsia="仿宋_GB2312"/>
                <w:color w:val="auto"/>
                <w:sz w:val="30"/>
                <w:szCs w:val="30"/>
                <w:highlight w:val="none"/>
              </w:rPr>
            </w:pPr>
          </w:p>
        </w:tc>
        <w:tc>
          <w:tcPr>
            <w:tcW w:w="850" w:type="dxa"/>
          </w:tcPr>
          <w:p w14:paraId="30397791">
            <w:pPr>
              <w:ind w:firstLine="2409"/>
              <w:rPr>
                <w:rFonts w:eastAsia="仿宋_GB2312"/>
                <w:color w:val="auto"/>
                <w:sz w:val="30"/>
                <w:szCs w:val="30"/>
                <w:highlight w:val="none"/>
              </w:rPr>
            </w:pPr>
          </w:p>
        </w:tc>
        <w:tc>
          <w:tcPr>
            <w:tcW w:w="1058" w:type="dxa"/>
          </w:tcPr>
          <w:p w14:paraId="27ACC2A1">
            <w:pPr>
              <w:ind w:firstLine="2409"/>
              <w:rPr>
                <w:rFonts w:eastAsia="仿宋_GB2312"/>
                <w:color w:val="auto"/>
                <w:sz w:val="30"/>
                <w:szCs w:val="30"/>
                <w:highlight w:val="none"/>
              </w:rPr>
            </w:pPr>
          </w:p>
        </w:tc>
        <w:tc>
          <w:tcPr>
            <w:tcW w:w="880" w:type="dxa"/>
          </w:tcPr>
          <w:p w14:paraId="29B362DF">
            <w:pPr>
              <w:ind w:firstLine="2409"/>
              <w:rPr>
                <w:rFonts w:eastAsia="仿宋_GB2312"/>
                <w:color w:val="auto"/>
                <w:sz w:val="30"/>
                <w:szCs w:val="30"/>
                <w:highlight w:val="none"/>
              </w:rPr>
            </w:pPr>
          </w:p>
        </w:tc>
        <w:tc>
          <w:tcPr>
            <w:tcW w:w="1020" w:type="dxa"/>
          </w:tcPr>
          <w:p w14:paraId="61E4CA52">
            <w:pPr>
              <w:ind w:firstLine="2409"/>
              <w:rPr>
                <w:rFonts w:eastAsia="仿宋_GB2312"/>
                <w:color w:val="auto"/>
                <w:sz w:val="30"/>
                <w:szCs w:val="30"/>
                <w:highlight w:val="none"/>
              </w:rPr>
            </w:pPr>
          </w:p>
        </w:tc>
        <w:tc>
          <w:tcPr>
            <w:tcW w:w="1480" w:type="dxa"/>
          </w:tcPr>
          <w:p w14:paraId="2132864E">
            <w:pPr>
              <w:ind w:firstLine="2409"/>
              <w:rPr>
                <w:rFonts w:eastAsia="仿宋_GB2312"/>
                <w:color w:val="auto"/>
                <w:sz w:val="30"/>
                <w:szCs w:val="30"/>
                <w:highlight w:val="none"/>
              </w:rPr>
            </w:pPr>
          </w:p>
        </w:tc>
        <w:tc>
          <w:tcPr>
            <w:tcW w:w="1020" w:type="dxa"/>
          </w:tcPr>
          <w:p w14:paraId="2A5721FF">
            <w:pPr>
              <w:ind w:firstLine="2409"/>
              <w:rPr>
                <w:rFonts w:eastAsia="仿宋_GB2312"/>
                <w:color w:val="auto"/>
                <w:sz w:val="30"/>
                <w:szCs w:val="30"/>
                <w:highlight w:val="none"/>
              </w:rPr>
            </w:pPr>
          </w:p>
        </w:tc>
        <w:tc>
          <w:tcPr>
            <w:tcW w:w="921" w:type="dxa"/>
          </w:tcPr>
          <w:p w14:paraId="6BC00E4C">
            <w:pPr>
              <w:ind w:firstLine="2409"/>
              <w:rPr>
                <w:rFonts w:eastAsia="仿宋_GB2312"/>
                <w:color w:val="auto"/>
                <w:sz w:val="30"/>
                <w:szCs w:val="30"/>
                <w:highlight w:val="none"/>
              </w:rPr>
            </w:pPr>
          </w:p>
        </w:tc>
      </w:tr>
      <w:tr w14:paraId="32154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69EC088">
            <w:pPr>
              <w:ind w:firstLine="2409"/>
              <w:rPr>
                <w:rFonts w:eastAsia="仿宋_GB2312"/>
                <w:color w:val="auto"/>
                <w:sz w:val="30"/>
                <w:szCs w:val="30"/>
                <w:highlight w:val="none"/>
              </w:rPr>
            </w:pPr>
          </w:p>
        </w:tc>
        <w:tc>
          <w:tcPr>
            <w:tcW w:w="1418" w:type="dxa"/>
          </w:tcPr>
          <w:p w14:paraId="734D2115">
            <w:pPr>
              <w:ind w:firstLine="2409"/>
              <w:rPr>
                <w:rFonts w:eastAsia="仿宋_GB2312"/>
                <w:color w:val="auto"/>
                <w:sz w:val="30"/>
                <w:szCs w:val="30"/>
                <w:highlight w:val="none"/>
              </w:rPr>
            </w:pPr>
          </w:p>
        </w:tc>
        <w:tc>
          <w:tcPr>
            <w:tcW w:w="850" w:type="dxa"/>
          </w:tcPr>
          <w:p w14:paraId="70FB103F">
            <w:pPr>
              <w:ind w:firstLine="2409"/>
              <w:rPr>
                <w:rFonts w:eastAsia="仿宋_GB2312"/>
                <w:color w:val="auto"/>
                <w:sz w:val="30"/>
                <w:szCs w:val="30"/>
                <w:highlight w:val="none"/>
              </w:rPr>
            </w:pPr>
          </w:p>
        </w:tc>
        <w:tc>
          <w:tcPr>
            <w:tcW w:w="1058" w:type="dxa"/>
          </w:tcPr>
          <w:p w14:paraId="6AAB3732">
            <w:pPr>
              <w:ind w:firstLine="2409"/>
              <w:rPr>
                <w:rFonts w:eastAsia="仿宋_GB2312"/>
                <w:color w:val="auto"/>
                <w:sz w:val="30"/>
                <w:szCs w:val="30"/>
                <w:highlight w:val="none"/>
              </w:rPr>
            </w:pPr>
          </w:p>
        </w:tc>
        <w:tc>
          <w:tcPr>
            <w:tcW w:w="880" w:type="dxa"/>
          </w:tcPr>
          <w:p w14:paraId="4571722C">
            <w:pPr>
              <w:ind w:firstLine="2409"/>
              <w:rPr>
                <w:rFonts w:eastAsia="仿宋_GB2312"/>
                <w:color w:val="auto"/>
                <w:sz w:val="30"/>
                <w:szCs w:val="30"/>
                <w:highlight w:val="none"/>
              </w:rPr>
            </w:pPr>
          </w:p>
        </w:tc>
        <w:tc>
          <w:tcPr>
            <w:tcW w:w="1020" w:type="dxa"/>
          </w:tcPr>
          <w:p w14:paraId="2C35E93D">
            <w:pPr>
              <w:ind w:firstLine="2409"/>
              <w:rPr>
                <w:rFonts w:eastAsia="仿宋_GB2312"/>
                <w:color w:val="auto"/>
                <w:sz w:val="30"/>
                <w:szCs w:val="30"/>
                <w:highlight w:val="none"/>
              </w:rPr>
            </w:pPr>
          </w:p>
        </w:tc>
        <w:tc>
          <w:tcPr>
            <w:tcW w:w="1480" w:type="dxa"/>
          </w:tcPr>
          <w:p w14:paraId="2B41882D">
            <w:pPr>
              <w:ind w:firstLine="2409"/>
              <w:rPr>
                <w:rFonts w:eastAsia="仿宋_GB2312"/>
                <w:color w:val="auto"/>
                <w:sz w:val="30"/>
                <w:szCs w:val="30"/>
                <w:highlight w:val="none"/>
              </w:rPr>
            </w:pPr>
          </w:p>
        </w:tc>
        <w:tc>
          <w:tcPr>
            <w:tcW w:w="1020" w:type="dxa"/>
          </w:tcPr>
          <w:p w14:paraId="0C11F6F9">
            <w:pPr>
              <w:ind w:firstLine="2409"/>
              <w:rPr>
                <w:rFonts w:eastAsia="仿宋_GB2312"/>
                <w:color w:val="auto"/>
                <w:sz w:val="30"/>
                <w:szCs w:val="30"/>
                <w:highlight w:val="none"/>
              </w:rPr>
            </w:pPr>
          </w:p>
        </w:tc>
        <w:tc>
          <w:tcPr>
            <w:tcW w:w="921" w:type="dxa"/>
          </w:tcPr>
          <w:p w14:paraId="283C7305">
            <w:pPr>
              <w:ind w:firstLine="2409"/>
              <w:rPr>
                <w:rFonts w:eastAsia="仿宋_GB2312"/>
                <w:color w:val="auto"/>
                <w:sz w:val="30"/>
                <w:szCs w:val="30"/>
                <w:highlight w:val="none"/>
              </w:rPr>
            </w:pPr>
          </w:p>
        </w:tc>
      </w:tr>
      <w:tr w14:paraId="0CDE3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4923398">
            <w:pPr>
              <w:ind w:firstLine="2409"/>
              <w:rPr>
                <w:rFonts w:eastAsia="仿宋_GB2312"/>
                <w:color w:val="auto"/>
                <w:sz w:val="30"/>
                <w:szCs w:val="30"/>
                <w:highlight w:val="none"/>
              </w:rPr>
            </w:pPr>
          </w:p>
        </w:tc>
        <w:tc>
          <w:tcPr>
            <w:tcW w:w="1418" w:type="dxa"/>
          </w:tcPr>
          <w:p w14:paraId="27D24B80">
            <w:pPr>
              <w:ind w:firstLine="2409"/>
              <w:rPr>
                <w:rFonts w:eastAsia="仿宋_GB2312"/>
                <w:color w:val="auto"/>
                <w:sz w:val="30"/>
                <w:szCs w:val="30"/>
                <w:highlight w:val="none"/>
              </w:rPr>
            </w:pPr>
          </w:p>
        </w:tc>
        <w:tc>
          <w:tcPr>
            <w:tcW w:w="850" w:type="dxa"/>
          </w:tcPr>
          <w:p w14:paraId="49A73BF3">
            <w:pPr>
              <w:ind w:firstLine="2409"/>
              <w:rPr>
                <w:rFonts w:eastAsia="仿宋_GB2312"/>
                <w:color w:val="auto"/>
                <w:sz w:val="30"/>
                <w:szCs w:val="30"/>
                <w:highlight w:val="none"/>
              </w:rPr>
            </w:pPr>
          </w:p>
        </w:tc>
        <w:tc>
          <w:tcPr>
            <w:tcW w:w="1058" w:type="dxa"/>
          </w:tcPr>
          <w:p w14:paraId="2FB3B9F0">
            <w:pPr>
              <w:ind w:firstLine="2409"/>
              <w:rPr>
                <w:rFonts w:eastAsia="仿宋_GB2312"/>
                <w:color w:val="auto"/>
                <w:sz w:val="30"/>
                <w:szCs w:val="30"/>
                <w:highlight w:val="none"/>
              </w:rPr>
            </w:pPr>
          </w:p>
        </w:tc>
        <w:tc>
          <w:tcPr>
            <w:tcW w:w="880" w:type="dxa"/>
          </w:tcPr>
          <w:p w14:paraId="1CF0EBCE">
            <w:pPr>
              <w:ind w:firstLine="2409"/>
              <w:rPr>
                <w:rFonts w:eastAsia="仿宋_GB2312"/>
                <w:color w:val="auto"/>
                <w:sz w:val="30"/>
                <w:szCs w:val="30"/>
                <w:highlight w:val="none"/>
              </w:rPr>
            </w:pPr>
          </w:p>
        </w:tc>
        <w:tc>
          <w:tcPr>
            <w:tcW w:w="1020" w:type="dxa"/>
          </w:tcPr>
          <w:p w14:paraId="6192F97A">
            <w:pPr>
              <w:ind w:firstLine="2409"/>
              <w:rPr>
                <w:rFonts w:eastAsia="仿宋_GB2312"/>
                <w:color w:val="auto"/>
                <w:sz w:val="30"/>
                <w:szCs w:val="30"/>
                <w:highlight w:val="none"/>
              </w:rPr>
            </w:pPr>
          </w:p>
        </w:tc>
        <w:tc>
          <w:tcPr>
            <w:tcW w:w="1480" w:type="dxa"/>
          </w:tcPr>
          <w:p w14:paraId="5E79ADA3">
            <w:pPr>
              <w:ind w:firstLine="2409"/>
              <w:rPr>
                <w:rFonts w:eastAsia="仿宋_GB2312"/>
                <w:color w:val="auto"/>
                <w:sz w:val="30"/>
                <w:szCs w:val="30"/>
                <w:highlight w:val="none"/>
              </w:rPr>
            </w:pPr>
          </w:p>
        </w:tc>
        <w:tc>
          <w:tcPr>
            <w:tcW w:w="1020" w:type="dxa"/>
          </w:tcPr>
          <w:p w14:paraId="7D072AC4">
            <w:pPr>
              <w:ind w:firstLine="2409"/>
              <w:rPr>
                <w:rFonts w:eastAsia="仿宋_GB2312"/>
                <w:color w:val="auto"/>
                <w:sz w:val="30"/>
                <w:szCs w:val="30"/>
                <w:highlight w:val="none"/>
              </w:rPr>
            </w:pPr>
          </w:p>
        </w:tc>
        <w:tc>
          <w:tcPr>
            <w:tcW w:w="921" w:type="dxa"/>
          </w:tcPr>
          <w:p w14:paraId="17009844">
            <w:pPr>
              <w:ind w:firstLine="2409"/>
              <w:rPr>
                <w:rFonts w:eastAsia="仿宋_GB2312"/>
                <w:color w:val="auto"/>
                <w:sz w:val="30"/>
                <w:szCs w:val="30"/>
                <w:highlight w:val="none"/>
              </w:rPr>
            </w:pPr>
          </w:p>
        </w:tc>
      </w:tr>
      <w:tr w14:paraId="668A5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38978BD">
            <w:pPr>
              <w:ind w:firstLine="2409"/>
              <w:rPr>
                <w:rFonts w:eastAsia="仿宋_GB2312"/>
                <w:color w:val="auto"/>
                <w:sz w:val="30"/>
                <w:szCs w:val="30"/>
                <w:highlight w:val="none"/>
              </w:rPr>
            </w:pPr>
          </w:p>
        </w:tc>
        <w:tc>
          <w:tcPr>
            <w:tcW w:w="1418" w:type="dxa"/>
          </w:tcPr>
          <w:p w14:paraId="0BE9D3CA">
            <w:pPr>
              <w:ind w:firstLine="2409"/>
              <w:rPr>
                <w:rFonts w:eastAsia="仿宋_GB2312"/>
                <w:color w:val="auto"/>
                <w:sz w:val="30"/>
                <w:szCs w:val="30"/>
                <w:highlight w:val="none"/>
              </w:rPr>
            </w:pPr>
          </w:p>
        </w:tc>
        <w:tc>
          <w:tcPr>
            <w:tcW w:w="850" w:type="dxa"/>
          </w:tcPr>
          <w:p w14:paraId="246E99CB">
            <w:pPr>
              <w:ind w:firstLine="2409"/>
              <w:rPr>
                <w:rFonts w:eastAsia="仿宋_GB2312"/>
                <w:color w:val="auto"/>
                <w:sz w:val="30"/>
                <w:szCs w:val="30"/>
                <w:highlight w:val="none"/>
              </w:rPr>
            </w:pPr>
          </w:p>
        </w:tc>
        <w:tc>
          <w:tcPr>
            <w:tcW w:w="1058" w:type="dxa"/>
          </w:tcPr>
          <w:p w14:paraId="420EB712">
            <w:pPr>
              <w:ind w:firstLine="2409"/>
              <w:rPr>
                <w:rFonts w:eastAsia="仿宋_GB2312"/>
                <w:color w:val="auto"/>
                <w:sz w:val="30"/>
                <w:szCs w:val="30"/>
                <w:highlight w:val="none"/>
              </w:rPr>
            </w:pPr>
          </w:p>
        </w:tc>
        <w:tc>
          <w:tcPr>
            <w:tcW w:w="880" w:type="dxa"/>
          </w:tcPr>
          <w:p w14:paraId="4991FB77">
            <w:pPr>
              <w:ind w:firstLine="2409"/>
              <w:rPr>
                <w:rFonts w:eastAsia="仿宋_GB2312"/>
                <w:color w:val="auto"/>
                <w:sz w:val="30"/>
                <w:szCs w:val="30"/>
                <w:highlight w:val="none"/>
              </w:rPr>
            </w:pPr>
          </w:p>
        </w:tc>
        <w:tc>
          <w:tcPr>
            <w:tcW w:w="1020" w:type="dxa"/>
          </w:tcPr>
          <w:p w14:paraId="0068DA7A">
            <w:pPr>
              <w:ind w:firstLine="2409"/>
              <w:rPr>
                <w:rFonts w:eastAsia="仿宋_GB2312"/>
                <w:color w:val="auto"/>
                <w:sz w:val="30"/>
                <w:szCs w:val="30"/>
                <w:highlight w:val="none"/>
              </w:rPr>
            </w:pPr>
          </w:p>
        </w:tc>
        <w:tc>
          <w:tcPr>
            <w:tcW w:w="1480" w:type="dxa"/>
          </w:tcPr>
          <w:p w14:paraId="5192306B">
            <w:pPr>
              <w:ind w:firstLine="2409"/>
              <w:rPr>
                <w:rFonts w:eastAsia="仿宋_GB2312"/>
                <w:color w:val="auto"/>
                <w:sz w:val="30"/>
                <w:szCs w:val="30"/>
                <w:highlight w:val="none"/>
              </w:rPr>
            </w:pPr>
          </w:p>
        </w:tc>
        <w:tc>
          <w:tcPr>
            <w:tcW w:w="1020" w:type="dxa"/>
          </w:tcPr>
          <w:p w14:paraId="70585841">
            <w:pPr>
              <w:ind w:firstLine="2409"/>
              <w:rPr>
                <w:rFonts w:eastAsia="仿宋_GB2312"/>
                <w:color w:val="auto"/>
                <w:sz w:val="30"/>
                <w:szCs w:val="30"/>
                <w:highlight w:val="none"/>
              </w:rPr>
            </w:pPr>
          </w:p>
        </w:tc>
        <w:tc>
          <w:tcPr>
            <w:tcW w:w="921" w:type="dxa"/>
          </w:tcPr>
          <w:p w14:paraId="083EA69C">
            <w:pPr>
              <w:ind w:firstLine="2409"/>
              <w:rPr>
                <w:rFonts w:eastAsia="仿宋_GB2312"/>
                <w:color w:val="auto"/>
                <w:sz w:val="30"/>
                <w:szCs w:val="30"/>
                <w:highlight w:val="none"/>
              </w:rPr>
            </w:pPr>
          </w:p>
        </w:tc>
      </w:tr>
    </w:tbl>
    <w:p w14:paraId="6565A32A">
      <w:pPr>
        <w:spacing w:line="440" w:lineRule="exact"/>
        <w:rPr>
          <w:rFonts w:eastAsia="黑体"/>
          <w:color w:val="auto"/>
          <w:sz w:val="30"/>
          <w:szCs w:val="30"/>
          <w:highlight w:val="none"/>
        </w:rPr>
      </w:pPr>
      <w:r>
        <w:rPr>
          <w:rFonts w:eastAsia="仿宋_GB2312"/>
          <w:color w:val="auto"/>
          <w:sz w:val="30"/>
          <w:szCs w:val="30"/>
          <w:highlight w:val="none"/>
        </w:rPr>
        <w:t>附</w:t>
      </w:r>
      <w:bookmarkStart w:id="1121" w:name="_Toc296346729"/>
      <w:bookmarkStart w:id="1122" w:name="_Toc296503228"/>
      <w:bookmarkStart w:id="1123" w:name="_Toc267261699"/>
      <w:bookmarkStart w:id="1124" w:name="_Toc296891268"/>
      <w:bookmarkStart w:id="1125" w:name="_Toc296347227"/>
      <w:bookmarkStart w:id="1126" w:name="_Toc296944567"/>
      <w:bookmarkStart w:id="1127" w:name="_Toc296891056"/>
      <w:r>
        <w:rPr>
          <w:rFonts w:eastAsia="仿宋_GB2312"/>
          <w:color w:val="auto"/>
          <w:sz w:val="30"/>
          <w:szCs w:val="30"/>
          <w:highlight w:val="none"/>
        </w:rPr>
        <w:t>件6：</w:t>
      </w:r>
    </w:p>
    <w:bookmarkEnd w:id="1121"/>
    <w:bookmarkEnd w:id="1122"/>
    <w:bookmarkEnd w:id="1123"/>
    <w:bookmarkEnd w:id="1124"/>
    <w:bookmarkEnd w:id="1125"/>
    <w:bookmarkEnd w:id="1126"/>
    <w:bookmarkEnd w:id="1127"/>
    <w:p w14:paraId="07317786">
      <w:pPr>
        <w:spacing w:before="158" w:beforeLines="50" w:after="158" w:afterLines="50" w:line="440" w:lineRule="exact"/>
        <w:ind w:firstLine="2409"/>
        <w:jc w:val="both"/>
        <w:rPr>
          <w:rFonts w:eastAsia="黑体"/>
          <w:color w:val="auto"/>
          <w:sz w:val="30"/>
          <w:szCs w:val="30"/>
          <w:highlight w:val="none"/>
        </w:rPr>
      </w:pPr>
      <w:r>
        <w:rPr>
          <w:rFonts w:eastAsia="黑体"/>
          <w:color w:val="auto"/>
          <w:sz w:val="30"/>
          <w:szCs w:val="30"/>
          <w:highlight w:val="none"/>
        </w:rPr>
        <w:t>承包人主要施工管理人员表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7210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FC30D6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名    称</w:t>
            </w:r>
          </w:p>
        </w:tc>
        <w:tc>
          <w:tcPr>
            <w:tcW w:w="1418" w:type="dxa"/>
            <w:tcBorders>
              <w:top w:val="single" w:color="auto" w:sz="12" w:space="0"/>
              <w:bottom w:val="double" w:color="auto" w:sz="6" w:space="0"/>
            </w:tcBorders>
            <w:vAlign w:val="center"/>
          </w:tcPr>
          <w:p w14:paraId="48E6B57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姓名</w:t>
            </w:r>
          </w:p>
        </w:tc>
        <w:tc>
          <w:tcPr>
            <w:tcW w:w="1134" w:type="dxa"/>
            <w:tcBorders>
              <w:top w:val="single" w:color="auto" w:sz="12" w:space="0"/>
              <w:bottom w:val="double" w:color="auto" w:sz="6" w:space="0"/>
            </w:tcBorders>
            <w:vAlign w:val="center"/>
          </w:tcPr>
          <w:p w14:paraId="55CD3A4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12" w:space="0"/>
              <w:bottom w:val="double" w:color="auto" w:sz="6" w:space="0"/>
            </w:tcBorders>
            <w:vAlign w:val="center"/>
          </w:tcPr>
          <w:p w14:paraId="3D42772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r>
              <w:rPr>
                <w:rFonts w:eastAsia="仿宋_GB2312"/>
                <w:color w:val="auto"/>
                <w:sz w:val="30"/>
                <w:szCs w:val="30"/>
                <w:highlight w:val="none"/>
              </w:rPr>
              <w:t>职称</w:t>
            </w:r>
          </w:p>
        </w:tc>
        <w:tc>
          <w:tcPr>
            <w:tcW w:w="4252" w:type="dxa"/>
            <w:tcBorders>
              <w:top w:val="single" w:color="auto" w:sz="12" w:space="0"/>
              <w:bottom w:val="double" w:color="auto" w:sz="6" w:space="0"/>
            </w:tcBorders>
            <w:vAlign w:val="center"/>
          </w:tcPr>
          <w:p w14:paraId="39E23BE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r>
              <w:rPr>
                <w:rFonts w:eastAsia="仿宋_GB2312"/>
                <w:color w:val="auto"/>
                <w:sz w:val="30"/>
                <w:szCs w:val="30"/>
                <w:highlight w:val="none"/>
              </w:rPr>
              <w:t>主要资历、经验及承担过的项目</w:t>
            </w:r>
          </w:p>
        </w:tc>
      </w:tr>
      <w:tr w14:paraId="7A4C5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0A51AC5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一、总部人员</w:t>
            </w:r>
          </w:p>
        </w:tc>
      </w:tr>
      <w:tr w14:paraId="77D64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CF87AE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项目主管</w:t>
            </w:r>
          </w:p>
        </w:tc>
        <w:tc>
          <w:tcPr>
            <w:tcW w:w="1418" w:type="dxa"/>
            <w:tcBorders>
              <w:top w:val="nil"/>
            </w:tcBorders>
            <w:vAlign w:val="center"/>
          </w:tcPr>
          <w:p w14:paraId="438F0C5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tcBorders>
              <w:top w:val="nil"/>
            </w:tcBorders>
            <w:vAlign w:val="center"/>
          </w:tcPr>
          <w:p w14:paraId="61D9301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tcBorders>
              <w:top w:val="nil"/>
            </w:tcBorders>
            <w:vAlign w:val="center"/>
          </w:tcPr>
          <w:p w14:paraId="6416849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tcBorders>
              <w:top w:val="nil"/>
            </w:tcBorders>
            <w:vAlign w:val="center"/>
          </w:tcPr>
          <w:p w14:paraId="4EE9BBC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7DD50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73AB821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vAlign w:val="center"/>
          </w:tcPr>
          <w:p w14:paraId="15ABD5E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7C38BA8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2758CA2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1450E10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4F23B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F83714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其他人员</w:t>
            </w:r>
          </w:p>
        </w:tc>
        <w:tc>
          <w:tcPr>
            <w:tcW w:w="1418" w:type="dxa"/>
            <w:vAlign w:val="center"/>
          </w:tcPr>
          <w:p w14:paraId="209E5A7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760213D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48C04CA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1448FD2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3E919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7DA1AD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vAlign w:val="center"/>
          </w:tcPr>
          <w:p w14:paraId="7543A16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3E95138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781B647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4DEAAA3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28972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72EDD1D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二、现场人员</w:t>
            </w:r>
          </w:p>
        </w:tc>
      </w:tr>
      <w:tr w14:paraId="1992E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92A971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项目经理</w:t>
            </w:r>
          </w:p>
        </w:tc>
        <w:tc>
          <w:tcPr>
            <w:tcW w:w="1418" w:type="dxa"/>
            <w:vAlign w:val="center"/>
          </w:tcPr>
          <w:p w14:paraId="01F3A78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7B6F7D4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7F26CBD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0E66D1F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13CA3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3BEF3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项目副经理</w:t>
            </w:r>
          </w:p>
        </w:tc>
        <w:tc>
          <w:tcPr>
            <w:tcW w:w="1418" w:type="dxa"/>
            <w:vAlign w:val="center"/>
          </w:tcPr>
          <w:p w14:paraId="1D552D0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67AE59A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26B19D1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06E4D4F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675C4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F469AB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技术负责人</w:t>
            </w:r>
          </w:p>
        </w:tc>
        <w:tc>
          <w:tcPr>
            <w:tcW w:w="1418" w:type="dxa"/>
            <w:vAlign w:val="center"/>
          </w:tcPr>
          <w:p w14:paraId="62AA1F4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337F5EA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385F27C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3585C17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519C1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A9F062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造价管理</w:t>
            </w:r>
          </w:p>
        </w:tc>
        <w:tc>
          <w:tcPr>
            <w:tcW w:w="1418" w:type="dxa"/>
            <w:vAlign w:val="center"/>
          </w:tcPr>
          <w:p w14:paraId="21BC74A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55D47DD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53EB8F8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0EEDBDE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37089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CAE553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质量管理</w:t>
            </w:r>
          </w:p>
        </w:tc>
        <w:tc>
          <w:tcPr>
            <w:tcW w:w="1418" w:type="dxa"/>
            <w:vAlign w:val="center"/>
          </w:tcPr>
          <w:p w14:paraId="7708BAE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24F6531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18DE248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1D2BDEA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707ED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FB996A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材料管理</w:t>
            </w:r>
          </w:p>
        </w:tc>
        <w:tc>
          <w:tcPr>
            <w:tcW w:w="1418" w:type="dxa"/>
            <w:vAlign w:val="center"/>
          </w:tcPr>
          <w:p w14:paraId="6DD61F1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4A72E68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3502C5F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4670CD4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0687F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E4398E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计划管理</w:t>
            </w:r>
          </w:p>
        </w:tc>
        <w:tc>
          <w:tcPr>
            <w:tcW w:w="1418" w:type="dxa"/>
            <w:vAlign w:val="center"/>
          </w:tcPr>
          <w:p w14:paraId="124DEFE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52F9087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36C5D89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5F1367F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39372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A25DB8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安全管理</w:t>
            </w:r>
          </w:p>
        </w:tc>
        <w:tc>
          <w:tcPr>
            <w:tcW w:w="1418" w:type="dxa"/>
            <w:vAlign w:val="center"/>
          </w:tcPr>
          <w:p w14:paraId="0963566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42F6AC7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0C44606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36320D5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51DB8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138667F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其他人员</w:t>
            </w:r>
          </w:p>
        </w:tc>
        <w:tc>
          <w:tcPr>
            <w:tcW w:w="1418" w:type="dxa"/>
            <w:vAlign w:val="center"/>
          </w:tcPr>
          <w:p w14:paraId="264F899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545EEA7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58555A9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5D81A67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3720B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E0436F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Borders>
              <w:bottom w:val="nil"/>
            </w:tcBorders>
            <w:vAlign w:val="center"/>
          </w:tcPr>
          <w:p w14:paraId="32BD449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tcBorders>
              <w:bottom w:val="nil"/>
            </w:tcBorders>
            <w:vAlign w:val="center"/>
          </w:tcPr>
          <w:p w14:paraId="21FC80B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tcBorders>
              <w:bottom w:val="nil"/>
            </w:tcBorders>
            <w:vAlign w:val="center"/>
          </w:tcPr>
          <w:p w14:paraId="6EE2A0A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tcBorders>
              <w:bottom w:val="nil"/>
            </w:tcBorders>
            <w:vAlign w:val="center"/>
          </w:tcPr>
          <w:p w14:paraId="07392A8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70A38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E32751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vAlign w:val="center"/>
          </w:tcPr>
          <w:p w14:paraId="70C274E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6F0CA14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52932FE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73A0888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44A18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C0455F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vAlign w:val="center"/>
          </w:tcPr>
          <w:p w14:paraId="5D62E6B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363A736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7B69ACE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201AF12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7D3A6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511B00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vAlign w:val="center"/>
          </w:tcPr>
          <w:p w14:paraId="129A974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4FAAEC2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6B32F1E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1C7630C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645CA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446E164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Borders>
              <w:bottom w:val="single" w:color="auto" w:sz="12" w:space="0"/>
            </w:tcBorders>
            <w:vAlign w:val="center"/>
          </w:tcPr>
          <w:p w14:paraId="4E5869B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tcBorders>
              <w:bottom w:val="single" w:color="auto" w:sz="12" w:space="0"/>
            </w:tcBorders>
            <w:vAlign w:val="center"/>
          </w:tcPr>
          <w:p w14:paraId="30DBA05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tcBorders>
              <w:bottom w:val="single" w:color="auto" w:sz="12" w:space="0"/>
            </w:tcBorders>
            <w:vAlign w:val="center"/>
          </w:tcPr>
          <w:p w14:paraId="74A2F8C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tcBorders>
              <w:bottom w:val="single" w:color="auto" w:sz="12" w:space="0"/>
            </w:tcBorders>
            <w:vAlign w:val="center"/>
          </w:tcPr>
          <w:p w14:paraId="2B2FD07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bl>
    <w:p w14:paraId="52AEE008">
      <w:pPr>
        <w:spacing w:line="440" w:lineRule="exact"/>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w:t>
      </w:r>
      <w:bookmarkStart w:id="1128" w:name="_Toc296891269"/>
      <w:bookmarkStart w:id="1129" w:name="_Toc296944568"/>
      <w:bookmarkStart w:id="1130" w:name="_Toc296503229"/>
      <w:bookmarkStart w:id="1131" w:name="_Toc296347228"/>
      <w:bookmarkStart w:id="1132" w:name="_Toc296891057"/>
      <w:bookmarkStart w:id="1133" w:name="_Toc296346730"/>
      <w:r>
        <w:rPr>
          <w:rFonts w:eastAsia="仿宋_GB2312"/>
          <w:color w:val="auto"/>
          <w:sz w:val="30"/>
          <w:szCs w:val="30"/>
          <w:highlight w:val="none"/>
        </w:rPr>
        <w:t>件7：</w:t>
      </w:r>
    </w:p>
    <w:bookmarkEnd w:id="1128"/>
    <w:bookmarkEnd w:id="1129"/>
    <w:bookmarkEnd w:id="1130"/>
    <w:bookmarkEnd w:id="1131"/>
    <w:bookmarkEnd w:id="1132"/>
    <w:bookmarkEnd w:id="1133"/>
    <w:p w14:paraId="19D58660">
      <w:pPr>
        <w:spacing w:before="158" w:beforeLines="50" w:after="158" w:afterLines="50" w:line="440" w:lineRule="exact"/>
        <w:ind w:firstLine="2409"/>
        <w:jc w:val="both"/>
        <w:rPr>
          <w:rFonts w:eastAsia="黑体"/>
          <w:color w:val="auto"/>
          <w:sz w:val="30"/>
          <w:szCs w:val="30"/>
          <w:highlight w:val="none"/>
        </w:rPr>
      </w:pPr>
      <w:r>
        <w:rPr>
          <w:rFonts w:eastAsia="黑体"/>
          <w:color w:val="auto"/>
          <w:sz w:val="30"/>
          <w:szCs w:val="30"/>
          <w:highlight w:val="none"/>
        </w:rPr>
        <w:t>分包人主要施工管理人员表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AF98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2F90C0D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名    称</w:t>
            </w:r>
          </w:p>
        </w:tc>
        <w:tc>
          <w:tcPr>
            <w:tcW w:w="1418" w:type="dxa"/>
            <w:tcBorders>
              <w:top w:val="single" w:color="auto" w:sz="12" w:space="0"/>
              <w:bottom w:val="double" w:color="auto" w:sz="6" w:space="0"/>
            </w:tcBorders>
            <w:vAlign w:val="center"/>
          </w:tcPr>
          <w:p w14:paraId="5F42687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姓名</w:t>
            </w:r>
          </w:p>
        </w:tc>
        <w:tc>
          <w:tcPr>
            <w:tcW w:w="1134" w:type="dxa"/>
            <w:tcBorders>
              <w:top w:val="single" w:color="auto" w:sz="12" w:space="0"/>
              <w:bottom w:val="double" w:color="auto" w:sz="6" w:space="0"/>
            </w:tcBorders>
            <w:vAlign w:val="center"/>
          </w:tcPr>
          <w:p w14:paraId="11ADB8A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12" w:space="0"/>
              <w:bottom w:val="double" w:color="auto" w:sz="6" w:space="0"/>
            </w:tcBorders>
            <w:vAlign w:val="center"/>
          </w:tcPr>
          <w:p w14:paraId="5092A7D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r>
              <w:rPr>
                <w:rFonts w:eastAsia="仿宋_GB2312"/>
                <w:color w:val="auto"/>
                <w:sz w:val="30"/>
                <w:szCs w:val="30"/>
                <w:highlight w:val="none"/>
              </w:rPr>
              <w:t>职称</w:t>
            </w:r>
          </w:p>
        </w:tc>
        <w:tc>
          <w:tcPr>
            <w:tcW w:w="4252" w:type="dxa"/>
            <w:tcBorders>
              <w:top w:val="single" w:color="auto" w:sz="12" w:space="0"/>
              <w:bottom w:val="double" w:color="auto" w:sz="6" w:space="0"/>
            </w:tcBorders>
            <w:vAlign w:val="center"/>
          </w:tcPr>
          <w:p w14:paraId="253D47D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r>
              <w:rPr>
                <w:rFonts w:eastAsia="仿宋_GB2312"/>
                <w:color w:val="auto"/>
                <w:sz w:val="30"/>
                <w:szCs w:val="30"/>
                <w:highlight w:val="none"/>
              </w:rPr>
              <w:t>主要资历、经验及承担过的项目</w:t>
            </w:r>
          </w:p>
        </w:tc>
      </w:tr>
      <w:tr w14:paraId="3C874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12720DC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一、总部人员</w:t>
            </w:r>
          </w:p>
        </w:tc>
      </w:tr>
      <w:tr w14:paraId="4C5FF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DFE008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项目主管</w:t>
            </w:r>
          </w:p>
        </w:tc>
        <w:tc>
          <w:tcPr>
            <w:tcW w:w="1418" w:type="dxa"/>
            <w:tcBorders>
              <w:top w:val="nil"/>
            </w:tcBorders>
            <w:vAlign w:val="center"/>
          </w:tcPr>
          <w:p w14:paraId="04671A4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tcBorders>
              <w:top w:val="nil"/>
            </w:tcBorders>
            <w:vAlign w:val="center"/>
          </w:tcPr>
          <w:p w14:paraId="0267EA7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tcBorders>
              <w:top w:val="nil"/>
            </w:tcBorders>
            <w:vAlign w:val="center"/>
          </w:tcPr>
          <w:p w14:paraId="679A947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tcBorders>
              <w:top w:val="nil"/>
            </w:tcBorders>
            <w:vAlign w:val="center"/>
          </w:tcPr>
          <w:p w14:paraId="303DC29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1840D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17F18BC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vAlign w:val="center"/>
          </w:tcPr>
          <w:p w14:paraId="288CB9D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39C372A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1A127E4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5283758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2A5BA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AE0BC4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其他人员</w:t>
            </w:r>
          </w:p>
        </w:tc>
        <w:tc>
          <w:tcPr>
            <w:tcW w:w="1418" w:type="dxa"/>
            <w:vAlign w:val="center"/>
          </w:tcPr>
          <w:p w14:paraId="6AA2C4C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0164FFB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1AB299A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50BE29E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37EE9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8620EC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vAlign w:val="center"/>
          </w:tcPr>
          <w:p w14:paraId="04DD8DB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42913E8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5919881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4387485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3A233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6B6B3F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二、现场人员</w:t>
            </w:r>
          </w:p>
        </w:tc>
      </w:tr>
      <w:tr w14:paraId="17426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32CC20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项目经理</w:t>
            </w:r>
          </w:p>
        </w:tc>
        <w:tc>
          <w:tcPr>
            <w:tcW w:w="1418" w:type="dxa"/>
            <w:vAlign w:val="center"/>
          </w:tcPr>
          <w:p w14:paraId="171C315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2F9D329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3CA9B05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54DF581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0B013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C9DDD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项目副经理</w:t>
            </w:r>
          </w:p>
        </w:tc>
        <w:tc>
          <w:tcPr>
            <w:tcW w:w="1418" w:type="dxa"/>
            <w:vAlign w:val="center"/>
          </w:tcPr>
          <w:p w14:paraId="0050F3B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3CA2DFE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4F7405F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3114EE2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4757E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854304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技术负责人</w:t>
            </w:r>
          </w:p>
        </w:tc>
        <w:tc>
          <w:tcPr>
            <w:tcW w:w="1418" w:type="dxa"/>
            <w:vAlign w:val="center"/>
          </w:tcPr>
          <w:p w14:paraId="60CD2BB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3A14265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320EA26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767A27D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6DB8C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2D9956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造价管理</w:t>
            </w:r>
          </w:p>
        </w:tc>
        <w:tc>
          <w:tcPr>
            <w:tcW w:w="1418" w:type="dxa"/>
            <w:vAlign w:val="center"/>
          </w:tcPr>
          <w:p w14:paraId="40461D1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5CD7A2F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57930DB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3F81B2E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6C904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405A5C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质量管理</w:t>
            </w:r>
          </w:p>
        </w:tc>
        <w:tc>
          <w:tcPr>
            <w:tcW w:w="1418" w:type="dxa"/>
            <w:vAlign w:val="center"/>
          </w:tcPr>
          <w:p w14:paraId="47B5B97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2198822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72C5613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193049E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2D00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603EFD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材料管理</w:t>
            </w:r>
          </w:p>
        </w:tc>
        <w:tc>
          <w:tcPr>
            <w:tcW w:w="1418" w:type="dxa"/>
            <w:vAlign w:val="center"/>
          </w:tcPr>
          <w:p w14:paraId="10158EE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2617445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65A5F8C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2B45BA1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26FB3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7EB383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计划管理</w:t>
            </w:r>
          </w:p>
        </w:tc>
        <w:tc>
          <w:tcPr>
            <w:tcW w:w="1418" w:type="dxa"/>
            <w:vAlign w:val="center"/>
          </w:tcPr>
          <w:p w14:paraId="35D8A51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5342610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34907B0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25CC3AD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46D9B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F9984E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安全管理</w:t>
            </w:r>
          </w:p>
        </w:tc>
        <w:tc>
          <w:tcPr>
            <w:tcW w:w="1418" w:type="dxa"/>
            <w:vAlign w:val="center"/>
          </w:tcPr>
          <w:p w14:paraId="0F8C419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12BC6BF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618681C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002C843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73696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28750B4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其他人员</w:t>
            </w:r>
          </w:p>
        </w:tc>
        <w:tc>
          <w:tcPr>
            <w:tcW w:w="1418" w:type="dxa"/>
            <w:vAlign w:val="center"/>
          </w:tcPr>
          <w:p w14:paraId="2D3EA59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57647DC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453A444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675999A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531D1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E5944C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Borders>
              <w:bottom w:val="nil"/>
            </w:tcBorders>
            <w:vAlign w:val="center"/>
          </w:tcPr>
          <w:p w14:paraId="31B168A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tcBorders>
              <w:bottom w:val="nil"/>
            </w:tcBorders>
            <w:vAlign w:val="center"/>
          </w:tcPr>
          <w:p w14:paraId="7E07C18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tcBorders>
              <w:bottom w:val="nil"/>
            </w:tcBorders>
            <w:vAlign w:val="center"/>
          </w:tcPr>
          <w:p w14:paraId="0A97439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tcBorders>
              <w:bottom w:val="nil"/>
            </w:tcBorders>
            <w:vAlign w:val="center"/>
          </w:tcPr>
          <w:p w14:paraId="6809981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6089B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DB6EA1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vAlign w:val="center"/>
          </w:tcPr>
          <w:p w14:paraId="0D3FFD0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6AD9D81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4244DF0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672DBBC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63955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EDCA1C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vAlign w:val="center"/>
          </w:tcPr>
          <w:p w14:paraId="113813E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2F5F99D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019DDE0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205B248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23674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23EDED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vAlign w:val="center"/>
          </w:tcPr>
          <w:p w14:paraId="70F88CA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vAlign w:val="center"/>
          </w:tcPr>
          <w:p w14:paraId="0A39419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vAlign w:val="center"/>
          </w:tcPr>
          <w:p w14:paraId="5195B34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vAlign w:val="center"/>
          </w:tcPr>
          <w:p w14:paraId="770C06A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r w14:paraId="5CB9A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4CE0F27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Borders>
              <w:bottom w:val="single" w:color="auto" w:sz="12" w:space="0"/>
            </w:tcBorders>
            <w:vAlign w:val="center"/>
          </w:tcPr>
          <w:p w14:paraId="6CC1D26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134" w:type="dxa"/>
            <w:tcBorders>
              <w:bottom w:val="single" w:color="auto" w:sz="12" w:space="0"/>
            </w:tcBorders>
            <w:vAlign w:val="center"/>
          </w:tcPr>
          <w:p w14:paraId="62B2D00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1134" w:type="dxa"/>
            <w:tcBorders>
              <w:bottom w:val="single" w:color="auto" w:sz="12" w:space="0"/>
            </w:tcBorders>
            <w:vAlign w:val="center"/>
          </w:tcPr>
          <w:p w14:paraId="00E479F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c>
          <w:tcPr>
            <w:tcW w:w="4252" w:type="dxa"/>
            <w:tcBorders>
              <w:bottom w:val="single" w:color="auto" w:sz="12" w:space="0"/>
            </w:tcBorders>
            <w:vAlign w:val="center"/>
          </w:tcPr>
          <w:p w14:paraId="58269F4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 w:val="30"/>
                <w:szCs w:val="30"/>
                <w:highlight w:val="none"/>
              </w:rPr>
            </w:pPr>
          </w:p>
        </w:tc>
      </w:tr>
    </w:tbl>
    <w:p w14:paraId="5A7E655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eastAsia="黑体"/>
          <w:color w:val="auto"/>
          <w:sz w:val="30"/>
          <w:szCs w:val="30"/>
          <w:highlight w:val="none"/>
        </w:rPr>
      </w:pPr>
      <w:r>
        <w:rPr>
          <w:rFonts w:eastAsia="仿宋_GB2312"/>
          <w:color w:val="auto"/>
          <w:sz w:val="30"/>
          <w:szCs w:val="30"/>
          <w:highlight w:val="none"/>
        </w:rPr>
        <w:br w:type="page"/>
      </w:r>
      <w:bookmarkStart w:id="1134" w:name="_Toc267261701"/>
      <w:r>
        <w:rPr>
          <w:rFonts w:eastAsia="仿宋_GB2312"/>
          <w:color w:val="auto"/>
          <w:sz w:val="30"/>
          <w:szCs w:val="30"/>
          <w:highlight w:val="none"/>
        </w:rPr>
        <w:t>附</w:t>
      </w:r>
      <w:bookmarkStart w:id="1135" w:name="_Toc296346732"/>
      <w:bookmarkStart w:id="1136" w:name="_Toc296891271"/>
      <w:bookmarkStart w:id="1137" w:name="_Toc296944570"/>
      <w:bookmarkStart w:id="1138" w:name="_Toc296503231"/>
      <w:bookmarkStart w:id="1139" w:name="_Toc296347230"/>
      <w:bookmarkStart w:id="1140" w:name="_Toc296891059"/>
      <w:r>
        <w:rPr>
          <w:rFonts w:eastAsia="仿宋_GB2312"/>
          <w:color w:val="auto"/>
          <w:sz w:val="30"/>
          <w:szCs w:val="30"/>
          <w:highlight w:val="none"/>
        </w:rPr>
        <w:t>件8：</w:t>
      </w:r>
    </w:p>
    <w:bookmarkEnd w:id="1134"/>
    <w:bookmarkEnd w:id="1135"/>
    <w:bookmarkEnd w:id="1136"/>
    <w:bookmarkEnd w:id="1137"/>
    <w:bookmarkEnd w:id="1138"/>
    <w:bookmarkEnd w:id="1139"/>
    <w:bookmarkEnd w:id="1140"/>
    <w:p w14:paraId="3E03651F">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ind w:firstLine="0" w:firstLineChars="0"/>
        <w:jc w:val="center"/>
        <w:textAlignment w:val="auto"/>
        <w:rPr>
          <w:rFonts w:eastAsia="黑体"/>
          <w:color w:val="auto"/>
          <w:sz w:val="24"/>
          <w:szCs w:val="24"/>
          <w:highlight w:val="none"/>
        </w:rPr>
      </w:pPr>
      <w:r>
        <w:rPr>
          <w:rFonts w:eastAsia="黑体"/>
          <w:color w:val="auto"/>
          <w:sz w:val="24"/>
          <w:szCs w:val="24"/>
          <w:highlight w:val="none"/>
        </w:rPr>
        <w:t>履约担保</w:t>
      </w:r>
    </w:p>
    <w:p w14:paraId="234B22E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eastAsia="仿宋_GB2312"/>
          <w:color w:val="auto"/>
          <w:sz w:val="24"/>
          <w:szCs w:val="24"/>
          <w:highlight w:val="none"/>
        </w:rPr>
      </w:pPr>
      <w:r>
        <w:rPr>
          <w:rFonts w:eastAsia="仿宋_GB2312"/>
          <w:color w:val="auto"/>
          <w:sz w:val="24"/>
          <w:szCs w:val="24"/>
          <w:highlight w:val="none"/>
          <w:u w:val="single"/>
        </w:rPr>
        <w:t xml:space="preserve">             </w:t>
      </w:r>
      <w:r>
        <w:rPr>
          <w:rFonts w:eastAsia="仿宋_GB2312"/>
          <w:color w:val="auto"/>
          <w:sz w:val="24"/>
          <w:szCs w:val="24"/>
          <w:highlight w:val="none"/>
          <w:u w:val="single"/>
        </w:rPr>
        <w:tab/>
      </w:r>
      <w:r>
        <w:rPr>
          <w:rFonts w:eastAsia="仿宋_GB2312"/>
          <w:color w:val="auto"/>
          <w:sz w:val="24"/>
          <w:szCs w:val="24"/>
          <w:highlight w:val="none"/>
        </w:rPr>
        <w:t>（发包人名称）：</w:t>
      </w:r>
    </w:p>
    <w:p w14:paraId="14873DE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eastAsia="仿宋_GB2312"/>
          <w:color w:val="auto"/>
          <w:sz w:val="24"/>
          <w:szCs w:val="24"/>
          <w:highlight w:val="none"/>
        </w:rPr>
      </w:pPr>
    </w:p>
    <w:p w14:paraId="235DB6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eastAsia="仿宋_GB2312"/>
          <w:color w:val="auto"/>
          <w:sz w:val="24"/>
          <w:szCs w:val="24"/>
          <w:highlight w:val="none"/>
        </w:rPr>
      </w:pPr>
      <w:r>
        <w:rPr>
          <w:rFonts w:eastAsia="仿宋_GB2312"/>
          <w:color w:val="auto"/>
          <w:sz w:val="24"/>
          <w:szCs w:val="24"/>
          <w:highlight w:val="none"/>
        </w:rPr>
        <w:t>鉴于</w:t>
      </w:r>
      <w:r>
        <w:rPr>
          <w:rFonts w:eastAsia="仿宋_GB2312"/>
          <w:color w:val="auto"/>
          <w:sz w:val="24"/>
          <w:szCs w:val="24"/>
          <w:highlight w:val="none"/>
          <w:u w:val="single"/>
        </w:rPr>
        <w:t xml:space="preserve">                </w:t>
      </w:r>
      <w:r>
        <w:rPr>
          <w:rFonts w:eastAsia="仿宋_GB2312"/>
          <w:color w:val="auto"/>
          <w:sz w:val="24"/>
          <w:szCs w:val="24"/>
          <w:highlight w:val="none"/>
        </w:rPr>
        <w:t>（发包人名称，以下简称“发包人”）与</w:t>
      </w:r>
    </w:p>
    <w:p w14:paraId="5D30586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eastAsia="仿宋_GB2312"/>
          <w:color w:val="auto"/>
          <w:sz w:val="24"/>
          <w:szCs w:val="24"/>
          <w:highlight w:val="none"/>
        </w:rPr>
      </w:pPr>
      <w:r>
        <w:rPr>
          <w:rFonts w:eastAsia="仿宋_GB2312"/>
          <w:color w:val="auto"/>
          <w:sz w:val="24"/>
          <w:szCs w:val="24"/>
          <w:highlight w:val="non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（承包人名称）（以下称“承包人”）于</w:t>
      </w:r>
      <w:r>
        <w:rPr>
          <w:rFonts w:eastAsia="仿宋_GB2312"/>
          <w:color w:val="auto"/>
          <w:sz w:val="24"/>
          <w:szCs w:val="24"/>
          <w:highlight w:val="none"/>
          <w:u w:val="single"/>
        </w:rPr>
        <w:t xml:space="preserve">    </w:t>
      </w:r>
      <w:r>
        <w:rPr>
          <w:rFonts w:eastAsia="仿宋_GB2312"/>
          <w:color w:val="auto"/>
          <w:sz w:val="24"/>
          <w:szCs w:val="24"/>
          <w:highlight w:val="none"/>
        </w:rPr>
        <w:t>年</w:t>
      </w:r>
      <w:r>
        <w:rPr>
          <w:rFonts w:eastAsia="仿宋_GB2312"/>
          <w:color w:val="auto"/>
          <w:sz w:val="24"/>
          <w:szCs w:val="24"/>
          <w:highlight w:val="none"/>
          <w:u w:val="single"/>
        </w:rPr>
        <w:t xml:space="preserve">   </w:t>
      </w:r>
      <w:r>
        <w:rPr>
          <w:rFonts w:eastAsia="仿宋_GB2312"/>
          <w:color w:val="auto"/>
          <w:sz w:val="24"/>
          <w:szCs w:val="24"/>
          <w:highlight w:val="none"/>
        </w:rPr>
        <w:t>月</w:t>
      </w:r>
      <w:r>
        <w:rPr>
          <w:rFonts w:eastAsia="仿宋_GB2312"/>
          <w:color w:val="auto"/>
          <w:sz w:val="24"/>
          <w:szCs w:val="24"/>
          <w:highlight w:val="none"/>
          <w:u w:val="single"/>
        </w:rPr>
        <w:t xml:space="preserve">   </w:t>
      </w:r>
      <w:r>
        <w:rPr>
          <w:rFonts w:eastAsia="仿宋_GB2312"/>
          <w:color w:val="auto"/>
          <w:sz w:val="24"/>
          <w:szCs w:val="24"/>
          <w:highlight w:val="none"/>
        </w:rPr>
        <w:t>日就</w:t>
      </w:r>
      <w:r>
        <w:rPr>
          <w:rFonts w:eastAsia="仿宋_GB2312"/>
          <w:color w:val="auto"/>
          <w:sz w:val="24"/>
          <w:szCs w:val="24"/>
          <w:highlight w:val="none"/>
          <w:u w:val="single"/>
        </w:rPr>
        <w:t xml:space="preserve">                         </w:t>
      </w:r>
      <w:r>
        <w:rPr>
          <w:rFonts w:eastAsia="仿宋_GB2312"/>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22BCF8FC">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1. 担保金额人民币（大写）</w:t>
      </w:r>
      <w:r>
        <w:rPr>
          <w:rFonts w:eastAsia="仿宋_GB2312"/>
          <w:color w:val="auto"/>
          <w:sz w:val="24"/>
          <w:szCs w:val="24"/>
          <w:highlight w:val="none"/>
          <w:u w:val="single"/>
        </w:rPr>
        <w:t xml:space="preserve">                 </w:t>
      </w:r>
      <w:r>
        <w:rPr>
          <w:rFonts w:eastAsia="仿宋_GB2312"/>
          <w:color w:val="auto"/>
          <w:sz w:val="24"/>
          <w:szCs w:val="24"/>
          <w:highlight w:val="none"/>
        </w:rPr>
        <w:t>元（¥</w:t>
      </w:r>
      <w:r>
        <w:rPr>
          <w:rFonts w:eastAsia="仿宋_GB2312"/>
          <w:color w:val="auto"/>
          <w:sz w:val="24"/>
          <w:szCs w:val="24"/>
          <w:highlight w:val="none"/>
          <w:u w:val="single"/>
        </w:rPr>
        <w:t xml:space="preserve">             </w:t>
      </w:r>
      <w:r>
        <w:rPr>
          <w:rFonts w:eastAsia="仿宋_GB2312"/>
          <w:color w:val="auto"/>
          <w:sz w:val="24"/>
          <w:szCs w:val="24"/>
          <w:highlight w:val="none"/>
        </w:rPr>
        <w:t>）。</w:t>
      </w:r>
    </w:p>
    <w:p w14:paraId="46A8958B">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2. 担保有效期自你方与承包人签订的合同生效之日起至你方签发或应签发工程接收证书之日止。</w:t>
      </w:r>
    </w:p>
    <w:p w14:paraId="4C7DBF9A">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0F2C4313">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4. 你方和承包人按合同约定变更合同时，我方承担本担保规定的义务不变。</w:t>
      </w:r>
    </w:p>
    <w:p w14:paraId="3015F85C">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5. 因本保函发生的纠纷，可由双方协商解决，协商不成的，任何一方均可提请</w:t>
      </w:r>
      <w:r>
        <w:rPr>
          <w:rFonts w:eastAsia="仿宋_GB2312"/>
          <w:color w:val="auto"/>
          <w:sz w:val="24"/>
          <w:szCs w:val="24"/>
          <w:highlight w:val="none"/>
          <w:u w:val="single"/>
        </w:rPr>
        <w:t xml:space="preserve">        </w:t>
      </w:r>
      <w:r>
        <w:rPr>
          <w:rFonts w:eastAsia="仿宋_GB2312"/>
          <w:color w:val="auto"/>
          <w:sz w:val="24"/>
          <w:szCs w:val="24"/>
          <w:highlight w:val="none"/>
        </w:rPr>
        <w:t>仲裁委员会仲裁。</w:t>
      </w:r>
    </w:p>
    <w:p w14:paraId="55E5ADB3">
      <w:pPr>
        <w:spacing w:line="360" w:lineRule="auto"/>
        <w:ind w:firstLine="480" w:firstLineChars="200"/>
        <w:rPr>
          <w:rFonts w:eastAsia="仿宋_GB2312"/>
          <w:color w:val="auto"/>
          <w:sz w:val="24"/>
          <w:szCs w:val="24"/>
          <w:highlight w:val="none"/>
        </w:rPr>
      </w:pPr>
      <w:r>
        <w:rPr>
          <w:rFonts w:eastAsia="仿宋_GB2312"/>
          <w:color w:val="auto"/>
          <w:sz w:val="24"/>
          <w:szCs w:val="24"/>
          <w:highlight w:val="none"/>
        </w:rPr>
        <w:t>6. 本保函自我方法定代表人（或其授权代理人）签字并加盖公章之日起生效。</w:t>
      </w:r>
    </w:p>
    <w:p w14:paraId="6745826B">
      <w:pPr>
        <w:spacing w:line="360" w:lineRule="auto"/>
        <w:ind w:firstLine="1928"/>
        <w:rPr>
          <w:rFonts w:eastAsia="仿宋_GB2312"/>
          <w:color w:val="auto"/>
          <w:sz w:val="24"/>
          <w:szCs w:val="24"/>
          <w:highlight w:val="none"/>
        </w:rPr>
      </w:pPr>
    </w:p>
    <w:p w14:paraId="70A92D44">
      <w:pPr>
        <w:spacing w:line="360" w:lineRule="auto"/>
        <w:ind w:firstLine="1928"/>
        <w:rPr>
          <w:rFonts w:eastAsia="仿宋_GB2312"/>
          <w:color w:val="auto"/>
          <w:sz w:val="24"/>
          <w:szCs w:val="24"/>
          <w:highlight w:val="none"/>
        </w:rPr>
      </w:pPr>
      <w:r>
        <w:rPr>
          <w:rFonts w:eastAsia="仿宋_GB2312"/>
          <w:color w:val="auto"/>
          <w:sz w:val="24"/>
          <w:szCs w:val="24"/>
          <w:highlight w:val="none"/>
        </w:rPr>
        <w:t>担 保 人：</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（盖单位章）</w:t>
      </w:r>
    </w:p>
    <w:p w14:paraId="253A8736">
      <w:pPr>
        <w:spacing w:line="360" w:lineRule="auto"/>
        <w:ind w:firstLine="1928"/>
        <w:rPr>
          <w:rFonts w:eastAsia="仿宋_GB2312"/>
          <w:color w:val="auto"/>
          <w:sz w:val="24"/>
          <w:szCs w:val="24"/>
          <w:highlight w:val="none"/>
        </w:rPr>
      </w:pPr>
      <w:r>
        <w:rPr>
          <w:rFonts w:eastAsia="仿宋_GB2312"/>
          <w:color w:val="auto"/>
          <w:sz w:val="24"/>
          <w:szCs w:val="24"/>
          <w:highlight w:val="none"/>
        </w:rPr>
        <w:t>法定代表人或其委托代理人：</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（签字）</w:t>
      </w:r>
    </w:p>
    <w:p w14:paraId="5161DFAF">
      <w:pPr>
        <w:spacing w:line="360" w:lineRule="auto"/>
        <w:ind w:firstLine="1928"/>
        <w:rPr>
          <w:rFonts w:eastAsia="仿宋_GB2312"/>
          <w:color w:val="auto"/>
          <w:sz w:val="24"/>
          <w:szCs w:val="24"/>
          <w:highlight w:val="none"/>
        </w:rPr>
      </w:pPr>
      <w:r>
        <w:rPr>
          <w:rFonts w:eastAsia="仿宋_GB2312"/>
          <w:color w:val="auto"/>
          <w:sz w:val="24"/>
          <w:szCs w:val="24"/>
          <w:highlight w:val="none"/>
        </w:rPr>
        <w:t>地    址：</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32CF17D7">
      <w:pPr>
        <w:spacing w:line="360" w:lineRule="auto"/>
        <w:ind w:firstLine="1928"/>
        <w:rPr>
          <w:rFonts w:eastAsia="仿宋_GB2312"/>
          <w:color w:val="auto"/>
          <w:sz w:val="24"/>
          <w:szCs w:val="24"/>
          <w:highlight w:val="none"/>
        </w:rPr>
      </w:pPr>
      <w:r>
        <w:rPr>
          <w:rFonts w:eastAsia="仿宋_GB2312"/>
          <w:color w:val="auto"/>
          <w:sz w:val="24"/>
          <w:szCs w:val="24"/>
          <w:highlight w:val="none"/>
        </w:rPr>
        <w:t>邮政编码：</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4DD24FB9">
      <w:pPr>
        <w:spacing w:line="360" w:lineRule="auto"/>
        <w:ind w:firstLine="1928"/>
        <w:rPr>
          <w:rFonts w:eastAsia="仿宋_GB2312"/>
          <w:color w:val="auto"/>
          <w:sz w:val="24"/>
          <w:szCs w:val="24"/>
          <w:highlight w:val="none"/>
          <w:u w:val="single"/>
        </w:rPr>
      </w:pPr>
      <w:r>
        <w:rPr>
          <w:rFonts w:eastAsia="仿宋_GB2312"/>
          <w:color w:val="auto"/>
          <w:sz w:val="24"/>
          <w:szCs w:val="24"/>
          <w:highlight w:val="none"/>
        </w:rPr>
        <w:t>电    话：</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18494407">
      <w:pPr>
        <w:spacing w:line="360" w:lineRule="auto"/>
        <w:ind w:firstLine="1928"/>
        <w:rPr>
          <w:rFonts w:eastAsia="仿宋_GB2312"/>
          <w:color w:val="auto"/>
          <w:sz w:val="24"/>
          <w:szCs w:val="24"/>
          <w:highlight w:val="none"/>
        </w:rPr>
      </w:pPr>
      <w:r>
        <w:rPr>
          <w:rFonts w:eastAsia="仿宋_GB2312"/>
          <w:color w:val="auto"/>
          <w:sz w:val="24"/>
          <w:szCs w:val="24"/>
          <w:highlight w:val="none"/>
        </w:rPr>
        <w:t>传    真：</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4DC36F86">
      <w:pPr>
        <w:spacing w:line="360" w:lineRule="auto"/>
        <w:ind w:firstLine="1928"/>
        <w:jc w:val="left"/>
        <w:rPr>
          <w:rFonts w:eastAsia="仿宋_GB2312"/>
          <w:color w:val="auto"/>
          <w:sz w:val="24"/>
          <w:szCs w:val="24"/>
          <w:highlight w:val="none"/>
          <w:u w:val="single"/>
        </w:rPr>
      </w:pPr>
    </w:p>
    <w:p w14:paraId="5D9A3D3F">
      <w:pPr>
        <w:spacing w:line="360" w:lineRule="auto"/>
        <w:ind w:left="1519" w:hanging="1519" w:hangingChars="633"/>
        <w:rPr>
          <w:rFonts w:eastAsia="仿宋_GB2312"/>
          <w:color w:val="auto"/>
          <w:sz w:val="24"/>
          <w:szCs w:val="24"/>
          <w:highlight w:val="none"/>
        </w:rPr>
      </w:pPr>
      <w:r>
        <w:rPr>
          <w:rFonts w:eastAsia="仿宋_GB2312"/>
          <w:color w:val="auto"/>
          <w:sz w:val="24"/>
          <w:szCs w:val="24"/>
          <w:highlight w:val="none"/>
        </w:rPr>
        <w:t xml:space="preserve">             </w:t>
      </w:r>
      <w:r>
        <w:rPr>
          <w:rFonts w:hint="eastAsia" w:eastAsia="仿宋_GB2312"/>
          <w:color w:val="auto"/>
          <w:sz w:val="24"/>
          <w:szCs w:val="24"/>
          <w:highlight w:val="non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年</w:t>
      </w:r>
      <w:r>
        <w:rPr>
          <w:rFonts w:eastAsia="仿宋_GB2312"/>
          <w:color w:val="auto"/>
          <w:sz w:val="24"/>
          <w:szCs w:val="24"/>
          <w:highlight w:val="none"/>
          <w:u w:val="single"/>
        </w:rPr>
        <w:t xml:space="preserve">        </w:t>
      </w:r>
      <w:r>
        <w:rPr>
          <w:rFonts w:eastAsia="仿宋_GB2312"/>
          <w:color w:val="auto"/>
          <w:sz w:val="24"/>
          <w:szCs w:val="24"/>
          <w:highlight w:val="none"/>
        </w:rPr>
        <w:t>月</w:t>
      </w:r>
      <w:r>
        <w:rPr>
          <w:rFonts w:eastAsia="仿宋_GB2312"/>
          <w:color w:val="auto"/>
          <w:sz w:val="24"/>
          <w:szCs w:val="24"/>
          <w:highlight w:val="none"/>
          <w:u w:val="single"/>
        </w:rPr>
        <w:t xml:space="preserve">        </w:t>
      </w:r>
      <w:r>
        <w:rPr>
          <w:rFonts w:eastAsia="仿宋_GB2312"/>
          <w:color w:val="auto"/>
          <w:sz w:val="24"/>
          <w:szCs w:val="24"/>
          <w:highlight w:val="none"/>
        </w:rPr>
        <w:t>日</w:t>
      </w:r>
    </w:p>
    <w:p w14:paraId="012C845D">
      <w:pPr>
        <w:spacing w:line="360" w:lineRule="auto"/>
        <w:ind w:left="1519" w:hanging="1519" w:hangingChars="633"/>
        <w:rPr>
          <w:rFonts w:eastAsia="仿宋_GB2312"/>
          <w:color w:val="auto"/>
          <w:sz w:val="24"/>
          <w:szCs w:val="24"/>
          <w:highlight w:val="none"/>
        </w:rPr>
      </w:pPr>
    </w:p>
    <w:p w14:paraId="23DE9B8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eastAsia="黑体"/>
          <w:color w:val="auto"/>
          <w:sz w:val="30"/>
          <w:szCs w:val="30"/>
          <w:highlight w:val="none"/>
        </w:rPr>
      </w:pPr>
      <w:r>
        <w:rPr>
          <w:rFonts w:eastAsia="仿宋_GB2312"/>
          <w:color w:val="auto"/>
          <w:sz w:val="30"/>
          <w:szCs w:val="30"/>
          <w:highlight w:val="none"/>
        </w:rPr>
        <w:t>附</w:t>
      </w:r>
      <w:bookmarkStart w:id="1141" w:name="_Toc296347231"/>
      <w:bookmarkStart w:id="1142" w:name="_Toc296891272"/>
      <w:bookmarkStart w:id="1143" w:name="_Toc267261702"/>
      <w:bookmarkStart w:id="1144" w:name="_Toc296503232"/>
      <w:bookmarkStart w:id="1145" w:name="_Toc296944571"/>
      <w:bookmarkStart w:id="1146" w:name="_Toc296891060"/>
      <w:bookmarkStart w:id="1147" w:name="_Toc296346733"/>
      <w:r>
        <w:rPr>
          <w:rFonts w:eastAsia="仿宋_GB2312"/>
          <w:color w:val="auto"/>
          <w:sz w:val="30"/>
          <w:szCs w:val="30"/>
          <w:highlight w:val="none"/>
        </w:rPr>
        <w:t>件9 ：</w:t>
      </w:r>
    </w:p>
    <w:bookmarkEnd w:id="1141"/>
    <w:bookmarkEnd w:id="1142"/>
    <w:bookmarkEnd w:id="1143"/>
    <w:bookmarkEnd w:id="1144"/>
    <w:bookmarkEnd w:id="1145"/>
    <w:bookmarkEnd w:id="1146"/>
    <w:bookmarkEnd w:id="1147"/>
    <w:p w14:paraId="2E018FA5">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ind w:firstLine="0" w:firstLineChars="0"/>
        <w:jc w:val="center"/>
        <w:textAlignment w:val="auto"/>
        <w:rPr>
          <w:rFonts w:eastAsia="黑体"/>
          <w:color w:val="auto"/>
          <w:sz w:val="24"/>
          <w:szCs w:val="24"/>
          <w:highlight w:val="none"/>
        </w:rPr>
      </w:pPr>
      <w:r>
        <w:rPr>
          <w:rFonts w:eastAsia="黑体"/>
          <w:color w:val="auto"/>
          <w:sz w:val="24"/>
          <w:szCs w:val="24"/>
          <w:highlight w:val="none"/>
        </w:rPr>
        <w:t>预付款担保</w:t>
      </w:r>
    </w:p>
    <w:p w14:paraId="0CF066C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eastAsia="仿宋_GB2312"/>
          <w:color w:val="auto"/>
          <w:sz w:val="24"/>
          <w:szCs w:val="24"/>
          <w:highlight w:val="none"/>
        </w:rPr>
      </w:pPr>
      <w:r>
        <w:rPr>
          <w:rFonts w:eastAsia="仿宋_GB2312"/>
          <w:color w:val="auto"/>
          <w:sz w:val="24"/>
          <w:szCs w:val="24"/>
          <w:highlight w:val="none"/>
          <w:u w:val="single"/>
        </w:rPr>
        <w:t xml:space="preserve">            </w:t>
      </w:r>
      <w:r>
        <w:rPr>
          <w:rFonts w:eastAsia="仿宋_GB2312"/>
          <w:color w:val="auto"/>
          <w:sz w:val="24"/>
          <w:szCs w:val="24"/>
          <w:highlight w:val="none"/>
          <w:u w:val="single"/>
        </w:rPr>
        <w:tab/>
      </w:r>
      <w:r>
        <w:rPr>
          <w:rFonts w:eastAsia="仿宋_GB2312"/>
          <w:color w:val="auto"/>
          <w:sz w:val="24"/>
          <w:szCs w:val="24"/>
          <w:highlight w:val="none"/>
          <w:u w:val="single"/>
        </w:rPr>
        <w:tab/>
      </w:r>
      <w:r>
        <w:rPr>
          <w:rFonts w:eastAsia="仿宋_GB2312"/>
          <w:color w:val="auto"/>
          <w:sz w:val="24"/>
          <w:szCs w:val="24"/>
          <w:highlight w:val="none"/>
          <w:u w:val="single"/>
        </w:rPr>
        <w:t xml:space="preserve"> </w:t>
      </w:r>
      <w:r>
        <w:rPr>
          <w:rFonts w:eastAsia="仿宋_GB2312"/>
          <w:color w:val="auto"/>
          <w:sz w:val="24"/>
          <w:szCs w:val="24"/>
          <w:highlight w:val="none"/>
        </w:rPr>
        <w:t xml:space="preserve"> （发包人名称）：</w:t>
      </w:r>
    </w:p>
    <w:p w14:paraId="7DA29F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eastAsia="仿宋_GB2312"/>
          <w:color w:val="auto"/>
          <w:sz w:val="24"/>
          <w:szCs w:val="24"/>
          <w:highlight w:val="none"/>
        </w:rPr>
      </w:pPr>
    </w:p>
    <w:p w14:paraId="62D233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eastAsia="仿宋_GB2312"/>
          <w:color w:val="auto"/>
          <w:sz w:val="24"/>
          <w:szCs w:val="24"/>
          <w:highlight w:val="none"/>
        </w:rPr>
      </w:pPr>
      <w:r>
        <w:rPr>
          <w:rFonts w:eastAsia="仿宋_GB2312"/>
          <w:color w:val="auto"/>
          <w:sz w:val="24"/>
          <w:szCs w:val="24"/>
          <w:highlight w:val="none"/>
        </w:rPr>
        <w:t>根据</w:t>
      </w:r>
      <w:r>
        <w:rPr>
          <w:rFonts w:eastAsia="仿宋_GB2312"/>
          <w:color w:val="auto"/>
          <w:sz w:val="24"/>
          <w:szCs w:val="24"/>
          <w:highlight w:val="none"/>
          <w:u w:val="single"/>
        </w:rPr>
        <w:t xml:space="preserve">                 </w:t>
      </w:r>
      <w:r>
        <w:rPr>
          <w:rFonts w:eastAsia="仿宋_GB2312"/>
          <w:color w:val="auto"/>
          <w:sz w:val="24"/>
          <w:szCs w:val="24"/>
          <w:highlight w:val="none"/>
        </w:rPr>
        <w:t>（承包人名称）（以下称</w:t>
      </w:r>
      <w:r>
        <w:rPr>
          <w:rFonts w:hint="eastAsia" w:eastAsia="仿宋_GB2312"/>
          <w:color w:val="auto"/>
          <w:sz w:val="24"/>
          <w:szCs w:val="24"/>
          <w:highlight w:val="none"/>
        </w:rPr>
        <w:t>“</w:t>
      </w:r>
      <w:r>
        <w:rPr>
          <w:rFonts w:eastAsia="仿宋_GB2312"/>
          <w:color w:val="auto"/>
          <w:sz w:val="24"/>
          <w:szCs w:val="24"/>
          <w:highlight w:val="none"/>
        </w:rPr>
        <w:t>承包人</w:t>
      </w:r>
      <w:r>
        <w:rPr>
          <w:rFonts w:hint="eastAsia" w:eastAsia="仿宋_GB2312"/>
          <w:color w:val="auto"/>
          <w:sz w:val="24"/>
          <w:szCs w:val="24"/>
          <w:highlight w:val="none"/>
        </w:rPr>
        <w:t>”</w:t>
      </w:r>
      <w:r>
        <w:rPr>
          <w:rFonts w:eastAsia="仿宋_GB2312"/>
          <w:color w:val="auto"/>
          <w:sz w:val="24"/>
          <w:szCs w:val="24"/>
          <w:highlight w:val="none"/>
        </w:rPr>
        <w:t>）与</w:t>
      </w:r>
    </w:p>
    <w:p w14:paraId="35142ED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eastAsia="仿宋_GB2312"/>
          <w:color w:val="auto"/>
          <w:sz w:val="24"/>
          <w:szCs w:val="24"/>
          <w:highlight w:val="none"/>
        </w:rPr>
      </w:pPr>
      <w:r>
        <w:rPr>
          <w:rFonts w:eastAsia="仿宋_GB2312"/>
          <w:color w:val="auto"/>
          <w:sz w:val="24"/>
          <w:szCs w:val="24"/>
          <w:highlight w:val="none"/>
          <w:u w:val="single"/>
        </w:rPr>
        <w:t xml:space="preserve">                        </w:t>
      </w:r>
      <w:r>
        <w:rPr>
          <w:rFonts w:eastAsia="仿宋_GB2312"/>
          <w:color w:val="auto"/>
          <w:sz w:val="24"/>
          <w:szCs w:val="24"/>
          <w:highlight w:val="none"/>
        </w:rPr>
        <w:t>（发包人名称）（以下简称</w:t>
      </w:r>
      <w:r>
        <w:rPr>
          <w:rFonts w:hint="eastAsia" w:eastAsia="仿宋_GB2312"/>
          <w:color w:val="auto"/>
          <w:sz w:val="24"/>
          <w:szCs w:val="24"/>
          <w:highlight w:val="none"/>
        </w:rPr>
        <w:t>“</w:t>
      </w:r>
      <w:r>
        <w:rPr>
          <w:rFonts w:eastAsia="仿宋_GB2312"/>
          <w:color w:val="auto"/>
          <w:sz w:val="24"/>
          <w:szCs w:val="24"/>
          <w:highlight w:val="none"/>
        </w:rPr>
        <w:t>发包人</w:t>
      </w:r>
      <w:r>
        <w:rPr>
          <w:rFonts w:hint="eastAsia" w:eastAsia="仿宋_GB2312"/>
          <w:color w:val="auto"/>
          <w:sz w:val="24"/>
          <w:szCs w:val="24"/>
          <w:highlight w:val="none"/>
        </w:rPr>
        <w:t>”</w:t>
      </w:r>
      <w:r>
        <w:rPr>
          <w:rFonts w:eastAsia="仿宋_GB2312"/>
          <w:color w:val="auto"/>
          <w:sz w:val="24"/>
          <w:szCs w:val="24"/>
          <w:highlight w:val="none"/>
        </w:rPr>
        <w:t>）</w:t>
      </w:r>
    </w:p>
    <w:p w14:paraId="625699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eastAsia="仿宋_GB2312"/>
          <w:color w:val="auto"/>
          <w:sz w:val="24"/>
          <w:szCs w:val="24"/>
          <w:highlight w:val="none"/>
        </w:rPr>
      </w:pPr>
      <w:r>
        <w:rPr>
          <w:rFonts w:eastAsia="仿宋_GB2312"/>
          <w:color w:val="auto"/>
          <w:sz w:val="24"/>
          <w:szCs w:val="24"/>
          <w:highlight w:val="none"/>
        </w:rPr>
        <w:t>于</w:t>
      </w:r>
      <w:r>
        <w:rPr>
          <w:rFonts w:eastAsia="仿宋_GB2312"/>
          <w:color w:val="auto"/>
          <w:sz w:val="24"/>
          <w:szCs w:val="24"/>
          <w:highlight w:val="none"/>
          <w:u w:val="single"/>
        </w:rPr>
        <w:t xml:space="preserve">     </w:t>
      </w:r>
      <w:r>
        <w:rPr>
          <w:rFonts w:eastAsia="仿宋_GB2312"/>
          <w:color w:val="auto"/>
          <w:sz w:val="24"/>
          <w:szCs w:val="24"/>
          <w:highlight w:val="none"/>
        </w:rPr>
        <w:t>年</w:t>
      </w:r>
      <w:r>
        <w:rPr>
          <w:rFonts w:eastAsia="仿宋_GB2312"/>
          <w:color w:val="auto"/>
          <w:sz w:val="24"/>
          <w:szCs w:val="24"/>
          <w:highlight w:val="none"/>
          <w:u w:val="single"/>
        </w:rPr>
        <w:t xml:space="preserve">    </w:t>
      </w:r>
      <w:r>
        <w:rPr>
          <w:rFonts w:eastAsia="仿宋_GB2312"/>
          <w:color w:val="auto"/>
          <w:sz w:val="24"/>
          <w:szCs w:val="24"/>
          <w:highlight w:val="none"/>
        </w:rPr>
        <w:t>月</w:t>
      </w:r>
      <w:r>
        <w:rPr>
          <w:rFonts w:eastAsia="仿宋_GB2312"/>
          <w:color w:val="auto"/>
          <w:sz w:val="24"/>
          <w:szCs w:val="24"/>
          <w:highlight w:val="none"/>
          <w:u w:val="single"/>
        </w:rPr>
        <w:t xml:space="preserve">    </w:t>
      </w:r>
      <w:r>
        <w:rPr>
          <w:rFonts w:eastAsia="仿宋_GB2312"/>
          <w:color w:val="auto"/>
          <w:sz w:val="24"/>
          <w:szCs w:val="24"/>
          <w:highlight w:val="none"/>
        </w:rPr>
        <w:t>日签订的</w:t>
      </w:r>
      <w:r>
        <w:rPr>
          <w:rFonts w:eastAsia="仿宋_GB2312"/>
          <w:color w:val="auto"/>
          <w:sz w:val="24"/>
          <w:szCs w:val="24"/>
          <w:highlight w:val="none"/>
          <w:u w:val="single"/>
        </w:rPr>
        <w:t xml:space="preserve">                   </w:t>
      </w:r>
      <w:r>
        <w:rPr>
          <w:rFonts w:eastAsia="仿宋_GB2312"/>
          <w:color w:val="auto"/>
          <w:sz w:val="24"/>
          <w:szCs w:val="24"/>
          <w:highlight w:val="none"/>
        </w:rPr>
        <w:t>（工程名称）《建设工程施工合同》，承包人按约定的金额向</w:t>
      </w:r>
      <w:r>
        <w:rPr>
          <w:rFonts w:hint="eastAsia" w:eastAsia="仿宋_GB2312"/>
          <w:color w:val="auto"/>
          <w:sz w:val="24"/>
          <w:szCs w:val="24"/>
          <w:highlight w:val="none"/>
        </w:rPr>
        <w:t>你方</w:t>
      </w:r>
      <w:r>
        <w:rPr>
          <w:rFonts w:eastAsia="仿宋_GB2312"/>
          <w:color w:val="auto"/>
          <w:sz w:val="24"/>
          <w:szCs w:val="24"/>
          <w:highlight w:val="none"/>
        </w:rPr>
        <w:t>提交一份预付款担保，即有权得到</w:t>
      </w:r>
      <w:r>
        <w:rPr>
          <w:rFonts w:hint="eastAsia" w:eastAsia="仿宋_GB2312"/>
          <w:color w:val="auto"/>
          <w:sz w:val="24"/>
          <w:szCs w:val="24"/>
          <w:highlight w:val="none"/>
        </w:rPr>
        <w:t>你方</w:t>
      </w:r>
      <w:r>
        <w:rPr>
          <w:rFonts w:eastAsia="仿宋_GB2312"/>
          <w:color w:val="auto"/>
          <w:sz w:val="24"/>
          <w:szCs w:val="24"/>
          <w:highlight w:val="none"/>
        </w:rPr>
        <w:t>支付相等金额的预付款。我方愿意就你方提供给承包人的预付款</w:t>
      </w:r>
      <w:r>
        <w:rPr>
          <w:rFonts w:hint="eastAsia" w:eastAsia="仿宋_GB2312"/>
          <w:color w:val="auto"/>
          <w:sz w:val="24"/>
          <w:szCs w:val="24"/>
          <w:highlight w:val="none"/>
        </w:rPr>
        <w:t>为承包人</w:t>
      </w:r>
      <w:r>
        <w:rPr>
          <w:rFonts w:eastAsia="仿宋_GB2312"/>
          <w:color w:val="auto"/>
          <w:sz w:val="24"/>
          <w:szCs w:val="24"/>
          <w:highlight w:val="none"/>
        </w:rPr>
        <w:t>提供连带责任担保。</w:t>
      </w:r>
    </w:p>
    <w:p w14:paraId="2F52169B">
      <w:pPr>
        <w:spacing w:line="360" w:lineRule="auto"/>
        <w:ind w:firstLine="480" w:firstLineChars="200"/>
        <w:rPr>
          <w:rFonts w:eastAsia="仿宋_GB2312"/>
          <w:color w:val="auto"/>
          <w:sz w:val="24"/>
          <w:szCs w:val="24"/>
          <w:highlight w:val="none"/>
        </w:rPr>
      </w:pPr>
      <w:r>
        <w:rPr>
          <w:rFonts w:hint="eastAsia" w:eastAsia="仿宋_GB2312"/>
          <w:color w:val="auto"/>
          <w:sz w:val="24"/>
          <w:szCs w:val="24"/>
          <w:highlight w:val="none"/>
        </w:rPr>
        <w:t xml:space="preserve">1. </w:t>
      </w:r>
      <w:r>
        <w:rPr>
          <w:rFonts w:eastAsia="仿宋_GB2312"/>
          <w:color w:val="auto"/>
          <w:sz w:val="24"/>
          <w:szCs w:val="24"/>
          <w:highlight w:val="none"/>
        </w:rPr>
        <w:t>担保金额人民币（大写）</w:t>
      </w:r>
      <w:r>
        <w:rPr>
          <w:rFonts w:eastAsia="仿宋_GB2312"/>
          <w:color w:val="auto"/>
          <w:sz w:val="24"/>
          <w:szCs w:val="24"/>
          <w:highlight w:val="none"/>
          <w:u w:val="single"/>
        </w:rPr>
        <w:t xml:space="preserve">                </w:t>
      </w:r>
      <w:r>
        <w:rPr>
          <w:rFonts w:hint="eastAsia" w:eastAsia="仿宋_GB2312"/>
          <w:color w:val="auto"/>
          <w:sz w:val="24"/>
          <w:szCs w:val="24"/>
          <w:highlight w:val="none"/>
        </w:rPr>
        <w:t>元</w:t>
      </w:r>
      <w:r>
        <w:rPr>
          <w:rFonts w:eastAsia="仿宋_GB2312"/>
          <w:color w:val="auto"/>
          <w:sz w:val="24"/>
          <w:szCs w:val="24"/>
          <w:highlight w:val="none"/>
        </w:rPr>
        <w:t>（¥</w:t>
      </w:r>
      <w:r>
        <w:rPr>
          <w:rFonts w:eastAsia="仿宋_GB2312"/>
          <w:color w:val="auto"/>
          <w:sz w:val="24"/>
          <w:szCs w:val="24"/>
          <w:highlight w:val="none"/>
          <w:u w:val="single"/>
        </w:rPr>
        <w:t xml:space="preserve">             </w:t>
      </w:r>
      <w:r>
        <w:rPr>
          <w:rFonts w:eastAsia="仿宋_GB2312"/>
          <w:color w:val="auto"/>
          <w:sz w:val="24"/>
          <w:szCs w:val="24"/>
          <w:highlight w:val="none"/>
        </w:rPr>
        <w:t>）。</w:t>
      </w:r>
    </w:p>
    <w:p w14:paraId="7B39F7D8">
      <w:pPr>
        <w:spacing w:line="360" w:lineRule="auto"/>
        <w:ind w:firstLine="480" w:firstLineChars="200"/>
        <w:rPr>
          <w:rFonts w:eastAsia="仿宋_GB2312"/>
          <w:color w:val="auto"/>
          <w:sz w:val="24"/>
          <w:szCs w:val="24"/>
          <w:highlight w:val="none"/>
        </w:rPr>
      </w:pPr>
      <w:r>
        <w:rPr>
          <w:rFonts w:hint="eastAsia" w:eastAsia="仿宋_GB2312"/>
          <w:color w:val="auto"/>
          <w:sz w:val="24"/>
          <w:szCs w:val="24"/>
          <w:highlight w:val="none"/>
        </w:rPr>
        <w:t xml:space="preserve">2. </w:t>
      </w:r>
      <w:r>
        <w:rPr>
          <w:rFonts w:eastAsia="仿宋_GB2312"/>
          <w:color w:val="auto"/>
          <w:sz w:val="24"/>
          <w:szCs w:val="24"/>
          <w:highlight w:val="none"/>
        </w:rPr>
        <w:t>担保有效期自预付款支付给承包人起生效，至</w:t>
      </w:r>
      <w:r>
        <w:rPr>
          <w:rFonts w:hint="eastAsia" w:eastAsia="仿宋_GB2312"/>
          <w:color w:val="auto"/>
          <w:sz w:val="24"/>
          <w:szCs w:val="24"/>
          <w:highlight w:val="none"/>
        </w:rPr>
        <w:t>你方</w:t>
      </w:r>
      <w:r>
        <w:rPr>
          <w:rFonts w:eastAsia="仿宋_GB2312"/>
          <w:color w:val="auto"/>
          <w:sz w:val="24"/>
          <w:szCs w:val="24"/>
          <w:highlight w:val="none"/>
        </w:rPr>
        <w:t>签发的</w:t>
      </w:r>
      <w:r>
        <w:rPr>
          <w:rFonts w:hint="eastAsia" w:eastAsia="仿宋_GB2312"/>
          <w:color w:val="auto"/>
          <w:sz w:val="24"/>
          <w:szCs w:val="24"/>
          <w:highlight w:val="none"/>
        </w:rPr>
        <w:t>进</w:t>
      </w:r>
      <w:r>
        <w:rPr>
          <w:rFonts w:eastAsia="仿宋_GB2312"/>
          <w:color w:val="auto"/>
          <w:sz w:val="24"/>
          <w:szCs w:val="24"/>
          <w:highlight w:val="none"/>
        </w:rPr>
        <w:t>度款支付证书说明已完全扣清止。</w:t>
      </w:r>
    </w:p>
    <w:p w14:paraId="79E61ADE">
      <w:pPr>
        <w:spacing w:line="360" w:lineRule="auto"/>
        <w:ind w:firstLine="480" w:firstLineChars="200"/>
        <w:rPr>
          <w:rFonts w:eastAsia="仿宋_GB2312"/>
          <w:color w:val="auto"/>
          <w:sz w:val="24"/>
          <w:szCs w:val="24"/>
          <w:highlight w:val="none"/>
        </w:rPr>
      </w:pPr>
      <w:r>
        <w:rPr>
          <w:rFonts w:hint="eastAsia" w:eastAsia="仿宋_GB2312"/>
          <w:color w:val="auto"/>
          <w:sz w:val="24"/>
          <w:szCs w:val="24"/>
          <w:highlight w:val="none"/>
        </w:rPr>
        <w:t xml:space="preserve">3. </w:t>
      </w:r>
      <w:r>
        <w:rPr>
          <w:rFonts w:eastAsia="仿宋_GB2312"/>
          <w:color w:val="auto"/>
          <w:sz w:val="24"/>
          <w:szCs w:val="24"/>
          <w:highlight w:val="none"/>
        </w:rPr>
        <w:t>在本保函有效期内，因承包人违反合同约定的义务而要求</w:t>
      </w:r>
      <w:r>
        <w:rPr>
          <w:rFonts w:hint="eastAsia" w:eastAsia="仿宋_GB2312"/>
          <w:color w:val="auto"/>
          <w:sz w:val="24"/>
          <w:szCs w:val="24"/>
          <w:highlight w:val="none"/>
        </w:rPr>
        <w:t>收</w:t>
      </w:r>
      <w:r>
        <w:rPr>
          <w:rFonts w:eastAsia="仿宋_GB2312"/>
          <w:color w:val="auto"/>
          <w:sz w:val="24"/>
          <w:szCs w:val="24"/>
          <w:highlight w:val="none"/>
        </w:rPr>
        <w:t>回预付款时，我方在收到你方的书面通知后，在７天内无条件支付。但本保函的担保金额，在任何时候不应超过预付款金额减去</w:t>
      </w:r>
      <w:r>
        <w:rPr>
          <w:rFonts w:hint="eastAsia" w:eastAsia="仿宋_GB2312"/>
          <w:color w:val="auto"/>
          <w:sz w:val="24"/>
          <w:szCs w:val="24"/>
          <w:highlight w:val="none"/>
        </w:rPr>
        <w:t>你方</w:t>
      </w:r>
      <w:r>
        <w:rPr>
          <w:rFonts w:eastAsia="仿宋_GB2312"/>
          <w:color w:val="auto"/>
          <w:sz w:val="24"/>
          <w:szCs w:val="24"/>
          <w:highlight w:val="none"/>
        </w:rPr>
        <w:t>按合同约定在向承包人签发的进度款支付证书中扣除的金额。</w:t>
      </w:r>
    </w:p>
    <w:p w14:paraId="0BA1AB2A">
      <w:pPr>
        <w:spacing w:line="360" w:lineRule="auto"/>
        <w:ind w:firstLine="480" w:firstLineChars="200"/>
        <w:rPr>
          <w:rFonts w:eastAsia="仿宋_GB2312"/>
          <w:color w:val="auto"/>
          <w:sz w:val="24"/>
          <w:szCs w:val="24"/>
          <w:highlight w:val="none"/>
        </w:rPr>
      </w:pPr>
      <w:r>
        <w:rPr>
          <w:rFonts w:hint="eastAsia" w:eastAsia="仿宋_GB2312"/>
          <w:color w:val="auto"/>
          <w:sz w:val="24"/>
          <w:szCs w:val="24"/>
          <w:highlight w:val="none"/>
        </w:rPr>
        <w:t>4. 你方</w:t>
      </w:r>
      <w:r>
        <w:rPr>
          <w:rFonts w:eastAsia="仿宋_GB2312"/>
          <w:color w:val="auto"/>
          <w:sz w:val="24"/>
          <w:szCs w:val="24"/>
          <w:highlight w:val="none"/>
        </w:rPr>
        <w:t>和承包人按合同约定变更合同时，我方承担本保函规定的义务不变。</w:t>
      </w:r>
    </w:p>
    <w:p w14:paraId="54302F1E">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5. </w:t>
      </w:r>
      <w:r>
        <w:rPr>
          <w:rFonts w:eastAsia="仿宋_GB2312"/>
          <w:color w:val="auto"/>
          <w:sz w:val="24"/>
          <w:szCs w:val="24"/>
          <w:highlight w:val="none"/>
        </w:rPr>
        <w:t>因本保函发生的纠纷，可由双方协商解决，协商不成的，任何一方均可提请</w:t>
      </w:r>
      <w:r>
        <w:rPr>
          <w:rFonts w:eastAsia="仿宋_GB2312"/>
          <w:color w:val="auto"/>
          <w:sz w:val="24"/>
          <w:szCs w:val="24"/>
          <w:highlight w:val="none"/>
          <w:u w:val="single"/>
        </w:rPr>
        <w:t xml:space="preserve">        </w:t>
      </w:r>
      <w:r>
        <w:rPr>
          <w:rFonts w:eastAsia="仿宋_GB2312"/>
          <w:color w:val="auto"/>
          <w:sz w:val="24"/>
          <w:szCs w:val="24"/>
          <w:highlight w:val="none"/>
        </w:rPr>
        <w:t>仲裁委员会仲裁。</w:t>
      </w:r>
    </w:p>
    <w:p w14:paraId="578C68F7">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6. </w:t>
      </w:r>
      <w:r>
        <w:rPr>
          <w:rFonts w:eastAsia="仿宋_GB2312"/>
          <w:color w:val="auto"/>
          <w:sz w:val="24"/>
          <w:szCs w:val="24"/>
          <w:highlight w:val="none"/>
        </w:rPr>
        <w:t>本保函自我方法定代表人（或其授权代理人）签字并加盖公章之日起生效。</w:t>
      </w:r>
    </w:p>
    <w:p w14:paraId="40A3A81E">
      <w:pPr>
        <w:spacing w:line="360" w:lineRule="auto"/>
        <w:ind w:firstLine="1928"/>
        <w:rPr>
          <w:rFonts w:eastAsia="仿宋_GB2312"/>
          <w:color w:val="auto"/>
          <w:sz w:val="24"/>
          <w:szCs w:val="24"/>
          <w:highlight w:val="none"/>
        </w:rPr>
      </w:pPr>
    </w:p>
    <w:p w14:paraId="61755F50">
      <w:pPr>
        <w:spacing w:line="360" w:lineRule="auto"/>
        <w:ind w:firstLine="1928"/>
        <w:rPr>
          <w:rFonts w:eastAsia="仿宋_GB2312"/>
          <w:color w:val="auto"/>
          <w:sz w:val="24"/>
          <w:szCs w:val="24"/>
          <w:highlight w:val="none"/>
        </w:rPr>
      </w:pPr>
    </w:p>
    <w:p w14:paraId="6ED666C9">
      <w:pPr>
        <w:spacing w:line="360" w:lineRule="auto"/>
        <w:ind w:firstLine="1928"/>
        <w:rPr>
          <w:rFonts w:eastAsia="仿宋_GB2312"/>
          <w:color w:val="auto"/>
          <w:sz w:val="24"/>
          <w:szCs w:val="24"/>
          <w:highlight w:val="none"/>
        </w:rPr>
      </w:pPr>
      <w:r>
        <w:rPr>
          <w:rFonts w:eastAsia="仿宋_GB2312"/>
          <w:color w:val="auto"/>
          <w:sz w:val="24"/>
          <w:szCs w:val="24"/>
          <w:highlight w:val="none"/>
        </w:rPr>
        <w:t>担保人：</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（盖单位章）</w:t>
      </w:r>
    </w:p>
    <w:p w14:paraId="32322E59">
      <w:pPr>
        <w:spacing w:line="360" w:lineRule="auto"/>
        <w:ind w:firstLine="1928"/>
        <w:rPr>
          <w:rFonts w:eastAsia="仿宋_GB2312"/>
          <w:color w:val="auto"/>
          <w:sz w:val="24"/>
          <w:szCs w:val="24"/>
          <w:highlight w:val="none"/>
        </w:rPr>
      </w:pPr>
      <w:r>
        <w:rPr>
          <w:rFonts w:eastAsia="仿宋_GB2312"/>
          <w:color w:val="auto"/>
          <w:sz w:val="24"/>
          <w:szCs w:val="24"/>
          <w:highlight w:val="none"/>
        </w:rPr>
        <w:t>法定代表人或其委托代理人：</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（签字）</w:t>
      </w:r>
    </w:p>
    <w:p w14:paraId="4A28D397">
      <w:pPr>
        <w:spacing w:line="360" w:lineRule="auto"/>
        <w:ind w:firstLine="1928"/>
        <w:rPr>
          <w:rFonts w:eastAsia="仿宋_GB2312"/>
          <w:color w:val="auto"/>
          <w:sz w:val="24"/>
          <w:szCs w:val="24"/>
          <w:highlight w:val="none"/>
        </w:rPr>
      </w:pPr>
      <w:r>
        <w:rPr>
          <w:rFonts w:eastAsia="仿宋_GB2312"/>
          <w:color w:val="auto"/>
          <w:sz w:val="24"/>
          <w:szCs w:val="24"/>
          <w:highlight w:val="none"/>
        </w:rPr>
        <w:t>地    址：</w:t>
      </w:r>
      <w:r>
        <w:rPr>
          <w:rFonts w:eastAsia="仿宋_GB2312"/>
          <w:color w:val="auto"/>
          <w:sz w:val="24"/>
          <w:szCs w:val="24"/>
          <w:highlight w:val="none"/>
          <w:u w:val="single"/>
        </w:rPr>
        <w:tab/>
      </w:r>
      <w:r>
        <w:rPr>
          <w:rFonts w:eastAsia="仿宋_GB2312"/>
          <w:color w:val="auto"/>
          <w:sz w:val="24"/>
          <w:szCs w:val="24"/>
          <w:highlight w:val="none"/>
          <w:u w:val="single"/>
        </w:rPr>
        <w:tab/>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ab/>
      </w:r>
      <w:r>
        <w:rPr>
          <w:rFonts w:eastAsia="仿宋_GB2312"/>
          <w:color w:val="auto"/>
          <w:sz w:val="24"/>
          <w:szCs w:val="24"/>
          <w:highlight w:val="none"/>
          <w:u w:val="single"/>
        </w:rPr>
        <w:tab/>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ab/>
      </w:r>
      <w:r>
        <w:rPr>
          <w:rFonts w:eastAsia="仿宋_GB2312"/>
          <w:color w:val="auto"/>
          <w:sz w:val="24"/>
          <w:szCs w:val="24"/>
          <w:highlight w:val="none"/>
          <w:u w:val="single"/>
        </w:rPr>
        <w:tab/>
      </w:r>
      <w:r>
        <w:rPr>
          <w:rFonts w:eastAsia="仿宋_GB2312"/>
          <w:color w:val="auto"/>
          <w:sz w:val="24"/>
          <w:szCs w:val="24"/>
          <w:highlight w:val="none"/>
          <w:u w:val="single"/>
        </w:rPr>
        <w:tab/>
      </w:r>
    </w:p>
    <w:p w14:paraId="1B4A17BB">
      <w:pPr>
        <w:spacing w:line="360" w:lineRule="auto"/>
        <w:ind w:firstLine="1928"/>
        <w:rPr>
          <w:rFonts w:eastAsia="仿宋_GB2312"/>
          <w:color w:val="auto"/>
          <w:sz w:val="24"/>
          <w:szCs w:val="24"/>
          <w:highlight w:val="none"/>
          <w:u w:val="single"/>
        </w:rPr>
      </w:pPr>
      <w:r>
        <w:rPr>
          <w:rFonts w:eastAsia="仿宋_GB2312"/>
          <w:color w:val="auto"/>
          <w:sz w:val="24"/>
          <w:szCs w:val="24"/>
          <w:highlight w:val="none"/>
        </w:rPr>
        <w:t>邮政编码：</w:t>
      </w:r>
      <w:r>
        <w:rPr>
          <w:rFonts w:eastAsia="仿宋_GB2312"/>
          <w:color w:val="auto"/>
          <w:sz w:val="24"/>
          <w:szCs w:val="24"/>
          <w:highlight w:val="none"/>
          <w:u w:val="single"/>
        </w:rPr>
        <w:tab/>
      </w:r>
      <w:r>
        <w:rPr>
          <w:rFonts w:eastAsia="仿宋_GB2312"/>
          <w:color w:val="auto"/>
          <w:sz w:val="24"/>
          <w:szCs w:val="24"/>
          <w:highlight w:val="none"/>
          <w:u w:val="single"/>
        </w:rPr>
        <w:tab/>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ab/>
      </w:r>
      <w:r>
        <w:rPr>
          <w:rFonts w:eastAsia="仿宋_GB2312"/>
          <w:color w:val="auto"/>
          <w:sz w:val="24"/>
          <w:szCs w:val="24"/>
          <w:highlight w:val="none"/>
          <w:u w:val="single"/>
        </w:rPr>
        <w:tab/>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ab/>
      </w:r>
      <w:r>
        <w:rPr>
          <w:rFonts w:eastAsia="仿宋_GB2312"/>
          <w:color w:val="auto"/>
          <w:sz w:val="24"/>
          <w:szCs w:val="24"/>
          <w:highlight w:val="none"/>
          <w:u w:val="single"/>
        </w:rPr>
        <w:tab/>
      </w:r>
      <w:r>
        <w:rPr>
          <w:rFonts w:eastAsia="仿宋_GB2312"/>
          <w:color w:val="auto"/>
          <w:sz w:val="24"/>
          <w:szCs w:val="24"/>
          <w:highlight w:val="none"/>
          <w:u w:val="single"/>
        </w:rPr>
        <w:tab/>
      </w:r>
    </w:p>
    <w:p w14:paraId="047D2C8A">
      <w:pPr>
        <w:spacing w:line="360" w:lineRule="auto"/>
        <w:ind w:firstLine="1928"/>
        <w:rPr>
          <w:rFonts w:eastAsia="仿宋_GB2312"/>
          <w:color w:val="auto"/>
          <w:sz w:val="24"/>
          <w:szCs w:val="24"/>
          <w:highlight w:val="none"/>
          <w:u w:val="single"/>
        </w:rPr>
      </w:pPr>
      <w:r>
        <w:rPr>
          <w:rFonts w:eastAsia="仿宋_GB2312"/>
          <w:color w:val="auto"/>
          <w:sz w:val="24"/>
          <w:szCs w:val="24"/>
          <w:highlight w:val="none"/>
        </w:rPr>
        <w:t>电    话：</w:t>
      </w:r>
      <w:r>
        <w:rPr>
          <w:rFonts w:eastAsia="仿宋_GB2312"/>
          <w:color w:val="auto"/>
          <w:sz w:val="24"/>
          <w:szCs w:val="24"/>
          <w:highlight w:val="none"/>
          <w:u w:val="single"/>
        </w:rPr>
        <w:tab/>
      </w:r>
      <w:r>
        <w:rPr>
          <w:rFonts w:eastAsia="仿宋_GB2312"/>
          <w:color w:val="auto"/>
          <w:sz w:val="24"/>
          <w:szCs w:val="24"/>
          <w:highlight w:val="none"/>
          <w:u w:val="single"/>
        </w:rPr>
        <w:tab/>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ab/>
      </w:r>
      <w:r>
        <w:rPr>
          <w:rFonts w:eastAsia="仿宋_GB2312"/>
          <w:color w:val="auto"/>
          <w:sz w:val="24"/>
          <w:szCs w:val="24"/>
          <w:highlight w:val="none"/>
          <w:u w:val="single"/>
        </w:rPr>
        <w:tab/>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ab/>
      </w:r>
      <w:r>
        <w:rPr>
          <w:rFonts w:eastAsia="仿宋_GB2312"/>
          <w:color w:val="auto"/>
          <w:sz w:val="24"/>
          <w:szCs w:val="24"/>
          <w:highlight w:val="none"/>
          <w:u w:val="single"/>
        </w:rPr>
        <w:tab/>
      </w:r>
      <w:r>
        <w:rPr>
          <w:rFonts w:eastAsia="仿宋_GB2312"/>
          <w:color w:val="auto"/>
          <w:sz w:val="24"/>
          <w:szCs w:val="24"/>
          <w:highlight w:val="none"/>
          <w:u w:val="single"/>
        </w:rPr>
        <w:tab/>
      </w:r>
    </w:p>
    <w:p w14:paraId="5122682C">
      <w:pPr>
        <w:spacing w:line="360" w:lineRule="auto"/>
        <w:ind w:firstLine="1928"/>
        <w:rPr>
          <w:rFonts w:eastAsia="仿宋_GB2312"/>
          <w:color w:val="auto"/>
          <w:sz w:val="24"/>
          <w:szCs w:val="24"/>
          <w:highlight w:val="none"/>
          <w:u w:val="single"/>
        </w:rPr>
      </w:pPr>
      <w:r>
        <w:rPr>
          <w:rFonts w:eastAsia="仿宋_GB2312"/>
          <w:color w:val="auto"/>
          <w:sz w:val="24"/>
          <w:szCs w:val="24"/>
          <w:highlight w:val="none"/>
        </w:rPr>
        <w:t>传    真：</w:t>
      </w:r>
      <w:r>
        <w:rPr>
          <w:rFonts w:eastAsia="仿宋_GB2312"/>
          <w:color w:val="auto"/>
          <w:sz w:val="24"/>
          <w:szCs w:val="24"/>
          <w:highlight w:val="none"/>
          <w:u w:val="single"/>
        </w:rPr>
        <w:tab/>
      </w:r>
      <w:r>
        <w:rPr>
          <w:rFonts w:eastAsia="仿宋_GB2312"/>
          <w:color w:val="auto"/>
          <w:sz w:val="24"/>
          <w:szCs w:val="24"/>
          <w:highlight w:val="none"/>
          <w:u w:val="single"/>
        </w:rPr>
        <w:tab/>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ab/>
      </w:r>
      <w:r>
        <w:rPr>
          <w:rFonts w:eastAsia="仿宋_GB2312"/>
          <w:color w:val="auto"/>
          <w:sz w:val="24"/>
          <w:szCs w:val="24"/>
          <w:highlight w:val="none"/>
          <w:u w:val="single"/>
        </w:rPr>
        <w:tab/>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ab/>
      </w:r>
      <w:r>
        <w:rPr>
          <w:rFonts w:eastAsia="仿宋_GB2312"/>
          <w:color w:val="auto"/>
          <w:sz w:val="24"/>
          <w:szCs w:val="24"/>
          <w:highlight w:val="none"/>
          <w:u w:val="single"/>
        </w:rPr>
        <w:tab/>
      </w:r>
      <w:r>
        <w:rPr>
          <w:rFonts w:eastAsia="仿宋_GB2312"/>
          <w:color w:val="auto"/>
          <w:sz w:val="24"/>
          <w:szCs w:val="24"/>
          <w:highlight w:val="none"/>
          <w:u w:val="single"/>
        </w:rPr>
        <w:tab/>
      </w:r>
    </w:p>
    <w:p w14:paraId="3003491C">
      <w:pPr>
        <w:spacing w:line="360" w:lineRule="auto"/>
        <w:ind w:firstLine="1928"/>
        <w:rPr>
          <w:rFonts w:eastAsia="仿宋_GB2312"/>
          <w:color w:val="auto"/>
          <w:sz w:val="24"/>
          <w:szCs w:val="24"/>
          <w:highlight w:val="none"/>
        </w:rPr>
      </w:pPr>
      <w:r>
        <w:rPr>
          <w:rFonts w:eastAsia="仿宋_GB2312"/>
          <w:color w:val="auto"/>
          <w:sz w:val="24"/>
          <w:szCs w:val="24"/>
          <w:highlight w:val="non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年</w:t>
      </w:r>
      <w:r>
        <w:rPr>
          <w:rFonts w:eastAsia="仿宋_GB2312"/>
          <w:color w:val="auto"/>
          <w:sz w:val="24"/>
          <w:szCs w:val="24"/>
          <w:highlight w:val="none"/>
          <w:u w:val="single"/>
        </w:rPr>
        <w:t xml:space="preserve">      </w:t>
      </w:r>
      <w:r>
        <w:rPr>
          <w:rFonts w:eastAsia="仿宋_GB2312"/>
          <w:color w:val="auto"/>
          <w:sz w:val="24"/>
          <w:szCs w:val="24"/>
          <w:highlight w:val="none"/>
        </w:rPr>
        <w:t>月</w:t>
      </w:r>
      <w:r>
        <w:rPr>
          <w:rFonts w:eastAsia="仿宋_GB2312"/>
          <w:color w:val="auto"/>
          <w:sz w:val="24"/>
          <w:szCs w:val="24"/>
          <w:highlight w:val="none"/>
          <w:u w:val="single"/>
        </w:rPr>
        <w:t xml:space="preserve">      </w:t>
      </w:r>
      <w:r>
        <w:rPr>
          <w:rFonts w:eastAsia="仿宋_GB2312"/>
          <w:color w:val="auto"/>
          <w:sz w:val="24"/>
          <w:szCs w:val="24"/>
          <w:highlight w:val="none"/>
        </w:rPr>
        <w:t>日</w:t>
      </w:r>
    </w:p>
    <w:p w14:paraId="09188AF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eastAsia="黑体"/>
          <w:color w:val="auto"/>
          <w:sz w:val="30"/>
          <w:szCs w:val="30"/>
          <w:highlight w:val="none"/>
        </w:rPr>
      </w:pPr>
      <w:r>
        <w:rPr>
          <w:rFonts w:eastAsia="仿宋_GB2312"/>
          <w:b/>
          <w:color w:val="auto"/>
          <w:sz w:val="30"/>
          <w:szCs w:val="30"/>
          <w:highlight w:val="none"/>
        </w:rPr>
        <w:br w:type="page"/>
      </w:r>
      <w:r>
        <w:rPr>
          <w:rFonts w:eastAsia="仿宋_GB2312"/>
          <w:color w:val="auto"/>
          <w:sz w:val="30"/>
          <w:szCs w:val="30"/>
          <w:highlight w:val="none"/>
        </w:rPr>
        <w:t>附</w:t>
      </w:r>
      <w:bookmarkStart w:id="1148" w:name="_Toc296503233"/>
      <w:bookmarkStart w:id="1149" w:name="_Toc296891273"/>
      <w:bookmarkStart w:id="1150" w:name="_Toc296346734"/>
      <w:bookmarkStart w:id="1151" w:name="_Toc296944572"/>
      <w:bookmarkStart w:id="1152" w:name="_Toc296891061"/>
      <w:bookmarkStart w:id="1153" w:name="_Toc296347232"/>
      <w:r>
        <w:rPr>
          <w:rFonts w:eastAsia="仿宋_GB2312"/>
          <w:color w:val="auto"/>
          <w:sz w:val="30"/>
          <w:szCs w:val="30"/>
          <w:highlight w:val="none"/>
        </w:rPr>
        <w:t xml:space="preserve">件10: </w:t>
      </w:r>
      <w:r>
        <w:rPr>
          <w:rFonts w:eastAsia="黑体"/>
          <w:color w:val="auto"/>
          <w:sz w:val="30"/>
          <w:szCs w:val="30"/>
          <w:highlight w:val="none"/>
        </w:rPr>
        <w:t xml:space="preserve"> </w:t>
      </w:r>
    </w:p>
    <w:bookmarkEnd w:id="1148"/>
    <w:bookmarkEnd w:id="1149"/>
    <w:bookmarkEnd w:id="1150"/>
    <w:bookmarkEnd w:id="1151"/>
    <w:bookmarkEnd w:id="1152"/>
    <w:bookmarkEnd w:id="1153"/>
    <w:p w14:paraId="0D971C3E">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ind w:firstLine="0" w:firstLineChars="0"/>
        <w:jc w:val="center"/>
        <w:textAlignment w:val="auto"/>
        <w:rPr>
          <w:rFonts w:eastAsia="黑体"/>
          <w:color w:val="auto"/>
          <w:sz w:val="24"/>
          <w:szCs w:val="24"/>
          <w:highlight w:val="none"/>
        </w:rPr>
      </w:pPr>
      <w:r>
        <w:rPr>
          <w:rFonts w:eastAsia="黑体"/>
          <w:color w:val="auto"/>
          <w:sz w:val="24"/>
          <w:szCs w:val="24"/>
          <w:highlight w:val="none"/>
        </w:rPr>
        <w:t>支付担保</w:t>
      </w:r>
    </w:p>
    <w:p w14:paraId="79231E15">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eastAsia="仿宋_GB2312"/>
          <w:color w:val="auto"/>
          <w:sz w:val="24"/>
          <w:szCs w:val="24"/>
          <w:highlight w:val="none"/>
        </w:rPr>
      </w:pPr>
      <w:r>
        <w:rPr>
          <w:rFonts w:eastAsia="仿宋_GB2312"/>
          <w:color w:val="auto"/>
          <w:sz w:val="24"/>
          <w:szCs w:val="24"/>
          <w:highlight w:val="none"/>
          <w:u w:val="single"/>
        </w:rPr>
        <w:t xml:space="preserve">             </w:t>
      </w:r>
      <w:r>
        <w:rPr>
          <w:rFonts w:eastAsia="仿宋_GB2312"/>
          <w:color w:val="auto"/>
          <w:sz w:val="24"/>
          <w:szCs w:val="24"/>
          <w:highlight w:val="none"/>
        </w:rPr>
        <w:t>（承包人）：</w:t>
      </w:r>
    </w:p>
    <w:p w14:paraId="5346083C">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eastAsia="仿宋_GB2312"/>
          <w:color w:val="auto"/>
          <w:sz w:val="24"/>
          <w:szCs w:val="24"/>
          <w:highlight w:val="none"/>
        </w:rPr>
      </w:pPr>
    </w:p>
    <w:p w14:paraId="40B6C25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eastAsia="仿宋_GB2312"/>
          <w:color w:val="auto"/>
          <w:sz w:val="24"/>
          <w:szCs w:val="24"/>
          <w:highlight w:val="none"/>
        </w:rPr>
      </w:pPr>
      <w:r>
        <w:rPr>
          <w:rFonts w:eastAsia="仿宋_GB2312"/>
          <w:color w:val="auto"/>
          <w:sz w:val="24"/>
          <w:szCs w:val="24"/>
          <w:highlight w:val="none"/>
        </w:rPr>
        <w:t>鉴于你方作为承包人已经与</w:t>
      </w:r>
      <w:r>
        <w:rPr>
          <w:rFonts w:eastAsia="仿宋_GB2312"/>
          <w:color w:val="auto"/>
          <w:sz w:val="24"/>
          <w:szCs w:val="24"/>
          <w:highlight w:val="none"/>
          <w:u w:val="single"/>
        </w:rPr>
        <w:t xml:space="preserve">             </w:t>
      </w:r>
      <w:r>
        <w:rPr>
          <w:rFonts w:eastAsia="仿宋_GB2312"/>
          <w:color w:val="auto"/>
          <w:sz w:val="24"/>
          <w:szCs w:val="24"/>
          <w:highlight w:val="none"/>
        </w:rPr>
        <w:t>（发包人名称）（以下称</w:t>
      </w:r>
      <w:r>
        <w:rPr>
          <w:rFonts w:hint="eastAsia" w:eastAsia="仿宋_GB2312"/>
          <w:color w:val="auto"/>
          <w:sz w:val="24"/>
          <w:szCs w:val="24"/>
          <w:highlight w:val="none"/>
        </w:rPr>
        <w:t>“</w:t>
      </w:r>
      <w:r>
        <w:rPr>
          <w:rFonts w:eastAsia="仿宋_GB2312"/>
          <w:color w:val="auto"/>
          <w:sz w:val="24"/>
          <w:szCs w:val="24"/>
          <w:highlight w:val="none"/>
        </w:rPr>
        <w:t>发包人</w:t>
      </w:r>
      <w:r>
        <w:rPr>
          <w:rFonts w:hint="eastAsia" w:eastAsia="仿宋_GB2312"/>
          <w:color w:val="auto"/>
          <w:sz w:val="24"/>
          <w:szCs w:val="24"/>
          <w:highlight w:val="none"/>
        </w:rPr>
        <w:t>”</w:t>
      </w:r>
      <w:r>
        <w:rPr>
          <w:rFonts w:eastAsia="仿宋_GB2312"/>
          <w:color w:val="auto"/>
          <w:sz w:val="24"/>
          <w:szCs w:val="24"/>
          <w:highlight w:val="none"/>
        </w:rPr>
        <w:t>）于</w:t>
      </w:r>
      <w:r>
        <w:rPr>
          <w:rFonts w:eastAsia="仿宋_GB2312"/>
          <w:color w:val="auto"/>
          <w:sz w:val="24"/>
          <w:szCs w:val="24"/>
          <w:highlight w:val="none"/>
          <w:u w:val="single"/>
        </w:rPr>
        <w:t xml:space="preserve">   </w:t>
      </w:r>
      <w:r>
        <w:rPr>
          <w:rFonts w:eastAsia="仿宋_GB2312"/>
          <w:color w:val="auto"/>
          <w:sz w:val="24"/>
          <w:szCs w:val="24"/>
          <w:highlight w:val="none"/>
        </w:rPr>
        <w:t>年</w:t>
      </w:r>
      <w:r>
        <w:rPr>
          <w:rFonts w:eastAsia="仿宋_GB2312"/>
          <w:color w:val="auto"/>
          <w:sz w:val="24"/>
          <w:szCs w:val="24"/>
          <w:highlight w:val="none"/>
          <w:u w:val="single"/>
        </w:rPr>
        <w:t xml:space="preserve">   </w:t>
      </w:r>
      <w:r>
        <w:rPr>
          <w:rFonts w:eastAsia="仿宋_GB2312"/>
          <w:color w:val="auto"/>
          <w:sz w:val="24"/>
          <w:szCs w:val="24"/>
          <w:highlight w:val="none"/>
        </w:rPr>
        <w:t>月</w:t>
      </w:r>
      <w:r>
        <w:rPr>
          <w:rFonts w:eastAsia="仿宋_GB2312"/>
          <w:color w:val="auto"/>
          <w:sz w:val="24"/>
          <w:szCs w:val="24"/>
          <w:highlight w:val="none"/>
          <w:u w:val="single"/>
        </w:rPr>
        <w:t xml:space="preserve">    </w:t>
      </w:r>
      <w:r>
        <w:rPr>
          <w:rFonts w:eastAsia="仿宋_GB2312"/>
          <w:color w:val="auto"/>
          <w:sz w:val="24"/>
          <w:szCs w:val="24"/>
          <w:highlight w:val="none"/>
        </w:rPr>
        <w:t>日签订了</w:t>
      </w:r>
      <w:r>
        <w:rPr>
          <w:rFonts w:eastAsia="仿宋_GB2312"/>
          <w:color w:val="auto"/>
          <w:sz w:val="24"/>
          <w:szCs w:val="24"/>
          <w:highlight w:val="none"/>
          <w:u w:val="single"/>
        </w:rPr>
        <w:t xml:space="preserve">             </w:t>
      </w:r>
      <w:r>
        <w:rPr>
          <w:rFonts w:eastAsia="仿宋_GB2312"/>
          <w:color w:val="auto"/>
          <w:sz w:val="24"/>
          <w:szCs w:val="24"/>
          <w:highlight w:val="none"/>
        </w:rPr>
        <w:t>（工程名称）《建设工程施工合同》（以下称</w:t>
      </w:r>
      <w:r>
        <w:rPr>
          <w:rFonts w:hint="eastAsia" w:eastAsia="仿宋_GB2312"/>
          <w:color w:val="auto"/>
          <w:sz w:val="24"/>
          <w:szCs w:val="24"/>
          <w:highlight w:val="none"/>
        </w:rPr>
        <w:t>“</w:t>
      </w:r>
      <w:r>
        <w:rPr>
          <w:rFonts w:eastAsia="仿宋_GB2312"/>
          <w:color w:val="auto"/>
          <w:sz w:val="24"/>
          <w:szCs w:val="24"/>
          <w:highlight w:val="none"/>
        </w:rPr>
        <w:t>主合同</w:t>
      </w:r>
      <w:r>
        <w:rPr>
          <w:rFonts w:hint="eastAsia" w:eastAsia="仿宋_GB2312"/>
          <w:color w:val="auto"/>
          <w:sz w:val="24"/>
          <w:szCs w:val="24"/>
          <w:highlight w:val="none"/>
        </w:rPr>
        <w:t>”</w:t>
      </w:r>
      <w:r>
        <w:rPr>
          <w:rFonts w:eastAsia="仿宋_GB2312"/>
          <w:color w:val="auto"/>
          <w:sz w:val="24"/>
          <w:szCs w:val="24"/>
          <w:highlight w:val="none"/>
        </w:rPr>
        <w:t>），应发包人的申请，我方愿就发包人履行主合同约定的工程款支付义务以保证的方式向你方提供如下担保：</w:t>
      </w:r>
    </w:p>
    <w:p w14:paraId="3E4A1D3B">
      <w:pPr>
        <w:spacing w:line="360" w:lineRule="auto"/>
        <w:ind w:firstLine="480" w:firstLineChars="200"/>
        <w:jc w:val="left"/>
        <w:rPr>
          <w:rFonts w:eastAsia="黑体"/>
          <w:color w:val="auto"/>
          <w:sz w:val="24"/>
          <w:szCs w:val="24"/>
          <w:highlight w:val="none"/>
        </w:rPr>
      </w:pPr>
      <w:r>
        <w:rPr>
          <w:rFonts w:eastAsia="黑体"/>
          <w:color w:val="auto"/>
          <w:sz w:val="24"/>
          <w:szCs w:val="24"/>
          <w:highlight w:val="none"/>
        </w:rPr>
        <w:t>一、保证的范围及保证金额</w:t>
      </w:r>
    </w:p>
    <w:p w14:paraId="3C503EEB">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1. </w:t>
      </w:r>
      <w:r>
        <w:rPr>
          <w:rFonts w:eastAsia="仿宋_GB2312"/>
          <w:color w:val="auto"/>
          <w:sz w:val="24"/>
          <w:szCs w:val="24"/>
          <w:highlight w:val="none"/>
        </w:rPr>
        <w:t>我方的保证范围是主合同约定的工程款。</w:t>
      </w:r>
    </w:p>
    <w:p w14:paraId="6D8A9915">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2. </w:t>
      </w:r>
      <w:r>
        <w:rPr>
          <w:rFonts w:eastAsia="仿宋_GB2312"/>
          <w:color w:val="auto"/>
          <w:sz w:val="24"/>
          <w:szCs w:val="24"/>
          <w:highlight w:val="none"/>
        </w:rPr>
        <w:t>本保函所称主合同约定的工程款是指主合同约定的除工程质量保证金以外的合同价款。</w:t>
      </w:r>
    </w:p>
    <w:p w14:paraId="791FA10D">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3. </w:t>
      </w:r>
      <w:r>
        <w:rPr>
          <w:rFonts w:eastAsia="仿宋_GB2312"/>
          <w:color w:val="auto"/>
          <w:sz w:val="24"/>
          <w:szCs w:val="24"/>
          <w:highlight w:val="none"/>
        </w:rPr>
        <w:t>我方保证的金额是主合同约定的工程款的</w:t>
      </w:r>
      <w:r>
        <w:rPr>
          <w:rFonts w:eastAsia="仿宋_GB2312"/>
          <w:color w:val="auto"/>
          <w:sz w:val="24"/>
          <w:szCs w:val="24"/>
          <w:highlight w:val="none"/>
          <w:u w:val="single"/>
        </w:rPr>
        <w:t xml:space="preserve">      </w:t>
      </w:r>
      <w:r>
        <w:rPr>
          <w:rFonts w:eastAsia="仿宋_GB2312"/>
          <w:color w:val="auto"/>
          <w:sz w:val="24"/>
          <w:szCs w:val="24"/>
          <w:highlight w:val="none"/>
        </w:rPr>
        <w:t>%，数额最高不超过人民币元（大写：</w:t>
      </w:r>
      <w:r>
        <w:rPr>
          <w:rFonts w:eastAsia="仿宋_GB2312"/>
          <w:color w:val="auto"/>
          <w:sz w:val="24"/>
          <w:szCs w:val="24"/>
          <w:highlight w:val="none"/>
          <w:u w:val="single"/>
        </w:rPr>
        <w:t xml:space="preserve">        </w:t>
      </w:r>
      <w:r>
        <w:rPr>
          <w:rFonts w:eastAsia="仿宋_GB2312"/>
          <w:color w:val="auto"/>
          <w:sz w:val="24"/>
          <w:szCs w:val="24"/>
          <w:highlight w:val="none"/>
        </w:rPr>
        <w:t>）。</w:t>
      </w:r>
    </w:p>
    <w:p w14:paraId="4D727B9D">
      <w:pPr>
        <w:spacing w:line="360" w:lineRule="auto"/>
        <w:ind w:firstLine="480" w:firstLineChars="200"/>
        <w:jc w:val="left"/>
        <w:rPr>
          <w:rFonts w:eastAsia="黑体"/>
          <w:color w:val="auto"/>
          <w:sz w:val="24"/>
          <w:szCs w:val="24"/>
          <w:highlight w:val="none"/>
        </w:rPr>
      </w:pPr>
      <w:r>
        <w:rPr>
          <w:rFonts w:eastAsia="黑体"/>
          <w:color w:val="auto"/>
          <w:sz w:val="24"/>
          <w:szCs w:val="24"/>
          <w:highlight w:val="none"/>
        </w:rPr>
        <w:t>二、保证的方式及保证期间</w:t>
      </w:r>
    </w:p>
    <w:p w14:paraId="3BFD14AC">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1. </w:t>
      </w:r>
      <w:r>
        <w:rPr>
          <w:rFonts w:eastAsia="仿宋_GB2312"/>
          <w:color w:val="auto"/>
          <w:sz w:val="24"/>
          <w:szCs w:val="24"/>
          <w:highlight w:val="none"/>
        </w:rPr>
        <w:t>我方保证的方式为：连带责任保证。</w:t>
      </w:r>
    </w:p>
    <w:p w14:paraId="770ECDC4">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2. </w:t>
      </w:r>
      <w:r>
        <w:rPr>
          <w:rFonts w:eastAsia="仿宋_GB2312"/>
          <w:color w:val="auto"/>
          <w:sz w:val="24"/>
          <w:szCs w:val="24"/>
          <w:highlight w:val="none"/>
        </w:rPr>
        <w:t>我方保证的期间为：自本合同生效之日起至主合同约定的工程款支付完毕之日后</w:t>
      </w:r>
      <w:r>
        <w:rPr>
          <w:rFonts w:eastAsia="仿宋_GB2312"/>
          <w:color w:val="auto"/>
          <w:sz w:val="24"/>
          <w:szCs w:val="24"/>
          <w:highlight w:val="none"/>
          <w:u w:val="single"/>
        </w:rPr>
        <w:t xml:space="preserve">    </w:t>
      </w:r>
      <w:r>
        <w:rPr>
          <w:rFonts w:eastAsia="仿宋_GB2312"/>
          <w:color w:val="auto"/>
          <w:sz w:val="24"/>
          <w:szCs w:val="24"/>
          <w:highlight w:val="none"/>
        </w:rPr>
        <w:t>日内。</w:t>
      </w:r>
    </w:p>
    <w:p w14:paraId="0DF8DCC1">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3. </w:t>
      </w:r>
      <w:r>
        <w:rPr>
          <w:rFonts w:eastAsia="仿宋_GB2312"/>
          <w:color w:val="auto"/>
          <w:sz w:val="24"/>
          <w:szCs w:val="24"/>
          <w:highlight w:val="none"/>
        </w:rPr>
        <w:t>你方与发包人协议变更工程款支付日期的，经我方书面同意后，保证期间按照变更后的支付日期做相应调整。</w:t>
      </w:r>
    </w:p>
    <w:p w14:paraId="1F399808">
      <w:pPr>
        <w:spacing w:line="360" w:lineRule="auto"/>
        <w:ind w:firstLine="480" w:firstLineChars="200"/>
        <w:jc w:val="left"/>
        <w:rPr>
          <w:rFonts w:eastAsia="黑体"/>
          <w:color w:val="auto"/>
          <w:sz w:val="24"/>
          <w:szCs w:val="24"/>
          <w:highlight w:val="none"/>
        </w:rPr>
      </w:pPr>
      <w:r>
        <w:rPr>
          <w:rFonts w:eastAsia="黑体"/>
          <w:color w:val="auto"/>
          <w:sz w:val="24"/>
          <w:szCs w:val="24"/>
          <w:highlight w:val="none"/>
        </w:rPr>
        <w:t>三、承担保证责任的形式</w:t>
      </w:r>
    </w:p>
    <w:p w14:paraId="7F8A1C0E">
      <w:pPr>
        <w:spacing w:line="360" w:lineRule="auto"/>
        <w:ind w:firstLine="480" w:firstLineChars="200"/>
        <w:jc w:val="left"/>
        <w:rPr>
          <w:rFonts w:eastAsia="仿宋_GB2312"/>
          <w:color w:val="auto"/>
          <w:sz w:val="24"/>
          <w:szCs w:val="24"/>
          <w:highlight w:val="none"/>
        </w:rPr>
      </w:pPr>
      <w:r>
        <w:rPr>
          <w:rFonts w:eastAsia="仿宋_GB2312"/>
          <w:color w:val="auto"/>
          <w:sz w:val="24"/>
          <w:szCs w:val="24"/>
          <w:highlight w:val="none"/>
        </w:rPr>
        <w:t>我方承担保证责任的形式是代为支付。发包人未按主合同约定向你方支付工程款的，由我方在保证金额内代为支付。</w:t>
      </w:r>
    </w:p>
    <w:p w14:paraId="70634B48">
      <w:pPr>
        <w:spacing w:line="360" w:lineRule="auto"/>
        <w:ind w:firstLine="480" w:firstLineChars="200"/>
        <w:jc w:val="left"/>
        <w:rPr>
          <w:rFonts w:eastAsia="黑体"/>
          <w:color w:val="auto"/>
          <w:sz w:val="24"/>
          <w:szCs w:val="24"/>
          <w:highlight w:val="none"/>
        </w:rPr>
      </w:pPr>
      <w:r>
        <w:rPr>
          <w:rFonts w:eastAsia="黑体"/>
          <w:color w:val="auto"/>
          <w:sz w:val="24"/>
          <w:szCs w:val="24"/>
          <w:highlight w:val="none"/>
        </w:rPr>
        <w:t>四、代偿的安排</w:t>
      </w:r>
    </w:p>
    <w:p w14:paraId="2C4BEF49">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1. </w:t>
      </w:r>
      <w:r>
        <w:rPr>
          <w:rFonts w:eastAsia="仿宋_GB2312"/>
          <w:color w:val="auto"/>
          <w:sz w:val="24"/>
          <w:szCs w:val="24"/>
          <w:highlight w:val="none"/>
        </w:rPr>
        <w:t>你方要求我方承担保证责任的，应向我方发出书面索赔通知及发包人未支付主合同约定工程款的证明材料。索赔通知应写明要求索赔的金额，支付款项应到达的账号。</w:t>
      </w:r>
    </w:p>
    <w:p w14:paraId="78278D2C">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2. </w:t>
      </w:r>
      <w:r>
        <w:rPr>
          <w:rFonts w:eastAsia="仿宋_GB2312"/>
          <w:color w:val="auto"/>
          <w:sz w:val="24"/>
          <w:szCs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205FC008">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3. </w:t>
      </w:r>
      <w:r>
        <w:rPr>
          <w:rFonts w:eastAsia="仿宋_GB2312"/>
          <w:color w:val="auto"/>
          <w:sz w:val="24"/>
          <w:szCs w:val="24"/>
          <w:highlight w:val="none"/>
        </w:rPr>
        <w:t>我方收到你方的书面索赔通知及相应的证明材料后７天内无条件支付。</w:t>
      </w:r>
    </w:p>
    <w:p w14:paraId="1456ADE1">
      <w:pPr>
        <w:spacing w:line="360" w:lineRule="auto"/>
        <w:ind w:firstLine="480" w:firstLineChars="200"/>
        <w:jc w:val="left"/>
        <w:rPr>
          <w:rFonts w:eastAsia="黑体"/>
          <w:color w:val="auto"/>
          <w:sz w:val="24"/>
          <w:szCs w:val="24"/>
          <w:highlight w:val="none"/>
        </w:rPr>
      </w:pPr>
      <w:r>
        <w:rPr>
          <w:rFonts w:eastAsia="黑体"/>
          <w:color w:val="auto"/>
          <w:sz w:val="24"/>
          <w:szCs w:val="24"/>
          <w:highlight w:val="none"/>
        </w:rPr>
        <w:t>五、保证责任的解除</w:t>
      </w:r>
    </w:p>
    <w:p w14:paraId="5C594257">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1. </w:t>
      </w:r>
      <w:r>
        <w:rPr>
          <w:rFonts w:eastAsia="仿宋_GB2312"/>
          <w:color w:val="auto"/>
          <w:sz w:val="24"/>
          <w:szCs w:val="24"/>
          <w:highlight w:val="none"/>
        </w:rPr>
        <w:t>在本保函承诺的保证期间内，你方未书面向我方主张保证责任的，自保证期间届满次日起，我方保证责任解除。</w:t>
      </w:r>
    </w:p>
    <w:p w14:paraId="6752E6E2">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2. </w:t>
      </w:r>
      <w:r>
        <w:rPr>
          <w:rFonts w:eastAsia="仿宋_GB2312"/>
          <w:color w:val="auto"/>
          <w:sz w:val="24"/>
          <w:szCs w:val="24"/>
          <w:highlight w:val="none"/>
        </w:rPr>
        <w:t>发包人按主合同约定履行了工程款的全部支付义务的，自本保函承诺的保证期间届满次日起，我方保证责任解除。</w:t>
      </w:r>
    </w:p>
    <w:p w14:paraId="72705FCA">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3. </w:t>
      </w:r>
      <w:r>
        <w:rPr>
          <w:rFonts w:eastAsia="仿宋_GB2312"/>
          <w:color w:val="auto"/>
          <w:sz w:val="24"/>
          <w:szCs w:val="24"/>
          <w:highlight w:val="none"/>
        </w:rPr>
        <w:t>我方按照本保函向你方履行保证责任所支付金额达到本保函保证金额时，自我方向你方支付（支付款项从我方账户划出）之日起，保证责任即解除。</w:t>
      </w:r>
    </w:p>
    <w:p w14:paraId="5C17B39B">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4. </w:t>
      </w:r>
      <w:r>
        <w:rPr>
          <w:rFonts w:eastAsia="仿宋_GB2312"/>
          <w:color w:val="auto"/>
          <w:sz w:val="24"/>
          <w:szCs w:val="24"/>
          <w:highlight w:val="none"/>
        </w:rPr>
        <w:t>按照法律法规的规定或出现应解除我方保证责任的其他情形的，我方在本保函项下的保证责任亦解除。</w:t>
      </w:r>
    </w:p>
    <w:p w14:paraId="14521874">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5. </w:t>
      </w:r>
      <w:r>
        <w:rPr>
          <w:rFonts w:eastAsia="仿宋_GB2312"/>
          <w:color w:val="auto"/>
          <w:sz w:val="24"/>
          <w:szCs w:val="24"/>
          <w:highlight w:val="none"/>
        </w:rPr>
        <w:t>我方解除保证责任后，你方应自我方保证责任解除之日起</w:t>
      </w:r>
      <w:r>
        <w:rPr>
          <w:rFonts w:hint="eastAsia" w:eastAsia="仿宋_GB2312"/>
          <w:color w:val="auto"/>
          <w:sz w:val="24"/>
          <w:szCs w:val="24"/>
          <w:highlight w:val="none"/>
          <w:u w:val="single"/>
        </w:rPr>
        <w:t xml:space="preserve">  </w:t>
      </w:r>
      <w:r>
        <w:rPr>
          <w:rFonts w:eastAsia="仿宋_GB2312"/>
          <w:color w:val="auto"/>
          <w:sz w:val="24"/>
          <w:szCs w:val="24"/>
          <w:highlight w:val="none"/>
        </w:rPr>
        <w:t>个工作日内，将本保函原件返还我方。</w:t>
      </w:r>
    </w:p>
    <w:p w14:paraId="2C80D722">
      <w:pPr>
        <w:spacing w:line="360" w:lineRule="auto"/>
        <w:ind w:firstLine="480" w:firstLineChars="200"/>
        <w:jc w:val="left"/>
        <w:rPr>
          <w:rFonts w:eastAsia="黑体"/>
          <w:color w:val="auto"/>
          <w:sz w:val="24"/>
          <w:szCs w:val="24"/>
          <w:highlight w:val="none"/>
        </w:rPr>
      </w:pPr>
      <w:r>
        <w:rPr>
          <w:rFonts w:eastAsia="黑体"/>
          <w:color w:val="auto"/>
          <w:sz w:val="24"/>
          <w:szCs w:val="24"/>
          <w:highlight w:val="none"/>
        </w:rPr>
        <w:t>六、免责条款</w:t>
      </w:r>
    </w:p>
    <w:p w14:paraId="65CA07A5">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1. </w:t>
      </w:r>
      <w:r>
        <w:rPr>
          <w:rFonts w:eastAsia="仿宋_GB2312"/>
          <w:color w:val="auto"/>
          <w:sz w:val="24"/>
          <w:szCs w:val="24"/>
          <w:highlight w:val="none"/>
        </w:rPr>
        <w:t>因你方违约致使发包人不能履行义务的，我方不承担保证责任。</w:t>
      </w:r>
    </w:p>
    <w:p w14:paraId="12942C0C">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2. </w:t>
      </w:r>
      <w:r>
        <w:rPr>
          <w:rFonts w:eastAsia="仿宋_GB2312"/>
          <w:color w:val="auto"/>
          <w:sz w:val="24"/>
          <w:szCs w:val="24"/>
          <w:highlight w:val="none"/>
        </w:rPr>
        <w:t>依照法律法规的规定或你方与发包人的另行约定，免除发包人部分或全部义务的，我方亦免除其相应的保证责任。</w:t>
      </w:r>
    </w:p>
    <w:p w14:paraId="596A7970">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3. </w:t>
      </w:r>
      <w:r>
        <w:rPr>
          <w:rFonts w:eastAsia="仿宋_GB2312"/>
          <w:color w:val="auto"/>
          <w:sz w:val="24"/>
          <w:szCs w:val="24"/>
          <w:highlight w:val="none"/>
        </w:rPr>
        <w:t>你方与发包人协议变更主合同的，如加重发包人责任致使我方保证责任加重的，需征得我方书面同意，否则我方不再承担因此而加重部分的保证责任，但主合同第10条</w:t>
      </w:r>
      <w:r>
        <w:rPr>
          <w:rFonts w:hint="eastAsia" w:eastAsia="仿宋_GB2312"/>
          <w:color w:val="auto"/>
          <w:sz w:val="24"/>
          <w:szCs w:val="24"/>
          <w:highlight w:val="none"/>
        </w:rPr>
        <w:t>〔</w:t>
      </w:r>
      <w:r>
        <w:rPr>
          <w:rFonts w:eastAsia="仿宋_GB2312"/>
          <w:color w:val="auto"/>
          <w:sz w:val="24"/>
          <w:szCs w:val="24"/>
          <w:highlight w:val="none"/>
        </w:rPr>
        <w:t>变更</w:t>
      </w:r>
      <w:r>
        <w:rPr>
          <w:rFonts w:hint="eastAsia" w:eastAsia="仿宋_GB2312"/>
          <w:color w:val="auto"/>
          <w:sz w:val="24"/>
          <w:szCs w:val="24"/>
          <w:highlight w:val="none"/>
        </w:rPr>
        <w:t>〕</w:t>
      </w:r>
      <w:r>
        <w:rPr>
          <w:rFonts w:eastAsia="仿宋_GB2312"/>
          <w:color w:val="auto"/>
          <w:sz w:val="24"/>
          <w:szCs w:val="24"/>
          <w:highlight w:val="none"/>
        </w:rPr>
        <w:t>约定的变更不受本款限制。</w:t>
      </w:r>
    </w:p>
    <w:p w14:paraId="64C1968D">
      <w:pPr>
        <w:spacing w:line="360" w:lineRule="auto"/>
        <w:ind w:firstLine="480" w:firstLineChars="200"/>
        <w:jc w:val="left"/>
        <w:rPr>
          <w:rFonts w:eastAsia="仿宋_GB2312"/>
          <w:color w:val="auto"/>
          <w:sz w:val="24"/>
          <w:szCs w:val="24"/>
          <w:highlight w:val="none"/>
        </w:rPr>
      </w:pPr>
      <w:r>
        <w:rPr>
          <w:rFonts w:hint="eastAsia" w:eastAsia="仿宋_GB2312"/>
          <w:color w:val="auto"/>
          <w:sz w:val="24"/>
          <w:szCs w:val="24"/>
          <w:highlight w:val="none"/>
        </w:rPr>
        <w:t xml:space="preserve">4. </w:t>
      </w:r>
      <w:r>
        <w:rPr>
          <w:rFonts w:eastAsia="仿宋_GB2312"/>
          <w:color w:val="auto"/>
          <w:sz w:val="24"/>
          <w:szCs w:val="24"/>
          <w:highlight w:val="none"/>
        </w:rPr>
        <w:t>因不可抗力造成发包人不能履行义务的，我方不承担保证责任。</w:t>
      </w:r>
    </w:p>
    <w:p w14:paraId="71B98965">
      <w:pPr>
        <w:spacing w:line="360" w:lineRule="auto"/>
        <w:ind w:firstLine="480" w:firstLineChars="200"/>
        <w:jc w:val="left"/>
        <w:rPr>
          <w:rFonts w:eastAsia="黑体"/>
          <w:color w:val="auto"/>
          <w:sz w:val="24"/>
          <w:szCs w:val="24"/>
          <w:highlight w:val="none"/>
        </w:rPr>
      </w:pPr>
      <w:r>
        <w:rPr>
          <w:rFonts w:eastAsia="黑体"/>
          <w:color w:val="auto"/>
          <w:sz w:val="24"/>
          <w:szCs w:val="24"/>
          <w:highlight w:val="none"/>
        </w:rPr>
        <w:t>七、争议解决</w:t>
      </w:r>
    </w:p>
    <w:p w14:paraId="75D8D04A">
      <w:pPr>
        <w:spacing w:after="120" w:line="360" w:lineRule="auto"/>
        <w:ind w:firstLine="480" w:firstLineChars="200"/>
        <w:rPr>
          <w:rFonts w:eastAsia="黑体"/>
          <w:color w:val="auto"/>
          <w:sz w:val="24"/>
          <w:szCs w:val="24"/>
          <w:highlight w:val="none"/>
        </w:rPr>
      </w:pPr>
      <w:r>
        <w:rPr>
          <w:rFonts w:eastAsia="仿宋_GB2312"/>
          <w:color w:val="auto"/>
          <w:sz w:val="24"/>
          <w:szCs w:val="24"/>
          <w:highlight w:val="none"/>
        </w:rPr>
        <w:t>因本保函</w:t>
      </w:r>
      <w:r>
        <w:rPr>
          <w:rFonts w:hint="eastAsia" w:eastAsia="仿宋_GB2312"/>
          <w:color w:val="auto"/>
          <w:sz w:val="24"/>
          <w:szCs w:val="24"/>
          <w:highlight w:val="none"/>
        </w:rPr>
        <w:t>或本保函相关事项</w:t>
      </w:r>
      <w:r>
        <w:rPr>
          <w:rFonts w:eastAsia="仿宋_GB2312"/>
          <w:color w:val="auto"/>
          <w:sz w:val="24"/>
          <w:szCs w:val="24"/>
          <w:highlight w:val="none"/>
        </w:rPr>
        <w:t>发生的纠纷，可由双方协商解决，协商不成的，按下列第</w:t>
      </w:r>
      <w:r>
        <w:rPr>
          <w:rFonts w:eastAsia="仿宋_GB2312"/>
          <w:color w:val="auto"/>
          <w:sz w:val="24"/>
          <w:szCs w:val="24"/>
          <w:highlight w:val="none"/>
          <w:u w:val="single"/>
        </w:rPr>
        <w:t xml:space="preserve">     </w:t>
      </w:r>
      <w:r>
        <w:rPr>
          <w:rFonts w:eastAsia="仿宋_GB2312"/>
          <w:color w:val="auto"/>
          <w:sz w:val="24"/>
          <w:szCs w:val="24"/>
          <w:highlight w:val="none"/>
        </w:rPr>
        <w:t>种方式</w:t>
      </w:r>
      <w:r>
        <w:rPr>
          <w:rFonts w:hint="eastAsia" w:eastAsia="仿宋_GB2312"/>
          <w:color w:val="auto"/>
          <w:sz w:val="24"/>
          <w:szCs w:val="24"/>
          <w:highlight w:val="none"/>
        </w:rPr>
        <w:t>解</w:t>
      </w:r>
      <w:r>
        <w:rPr>
          <w:rFonts w:eastAsia="仿宋_GB2312"/>
          <w:color w:val="auto"/>
          <w:sz w:val="24"/>
          <w:szCs w:val="24"/>
          <w:highlight w:val="none"/>
        </w:rPr>
        <w:t>决：</w:t>
      </w:r>
    </w:p>
    <w:p w14:paraId="19BB969B">
      <w:pPr>
        <w:spacing w:line="360" w:lineRule="auto"/>
        <w:ind w:firstLine="480" w:firstLineChars="200"/>
        <w:jc w:val="left"/>
        <w:rPr>
          <w:rFonts w:eastAsia="仿宋_GB2312"/>
          <w:color w:val="auto"/>
          <w:sz w:val="24"/>
          <w:szCs w:val="24"/>
          <w:highlight w:val="none"/>
        </w:rPr>
      </w:pPr>
      <w:r>
        <w:rPr>
          <w:rFonts w:eastAsia="仿宋_GB2312"/>
          <w:color w:val="auto"/>
          <w:sz w:val="24"/>
          <w:szCs w:val="24"/>
          <w:highlight w:val="none"/>
        </w:rPr>
        <w:t>（1）向</w:t>
      </w:r>
      <w:r>
        <w:rPr>
          <w:rFonts w:eastAsia="仿宋_GB2312"/>
          <w:color w:val="auto"/>
          <w:sz w:val="24"/>
          <w:szCs w:val="24"/>
          <w:highlight w:val="none"/>
          <w:u w:val="single"/>
        </w:rPr>
        <w:t xml:space="preserve">                     </w:t>
      </w:r>
      <w:r>
        <w:rPr>
          <w:rFonts w:eastAsia="仿宋_GB2312"/>
          <w:color w:val="auto"/>
          <w:sz w:val="24"/>
          <w:szCs w:val="24"/>
          <w:highlight w:val="none"/>
        </w:rPr>
        <w:t>仲裁委员会申请仲裁；</w:t>
      </w:r>
    </w:p>
    <w:p w14:paraId="4C8D6531">
      <w:pPr>
        <w:spacing w:line="360" w:lineRule="auto"/>
        <w:ind w:firstLine="480" w:firstLineChars="200"/>
        <w:jc w:val="left"/>
        <w:rPr>
          <w:rFonts w:eastAsia="仿宋_GB2312"/>
          <w:color w:val="auto"/>
          <w:sz w:val="24"/>
          <w:szCs w:val="24"/>
          <w:highlight w:val="none"/>
        </w:rPr>
      </w:pPr>
      <w:r>
        <w:rPr>
          <w:rFonts w:eastAsia="仿宋_GB2312"/>
          <w:color w:val="auto"/>
          <w:sz w:val="24"/>
          <w:szCs w:val="24"/>
          <w:highlight w:val="none"/>
        </w:rPr>
        <w:t>（2）向</w:t>
      </w:r>
      <w:r>
        <w:rPr>
          <w:rFonts w:eastAsia="仿宋_GB2312"/>
          <w:color w:val="auto"/>
          <w:sz w:val="24"/>
          <w:szCs w:val="24"/>
          <w:highlight w:val="none"/>
          <w:u w:val="single"/>
        </w:rPr>
        <w:t xml:space="preserve">                     </w:t>
      </w:r>
      <w:r>
        <w:rPr>
          <w:rFonts w:eastAsia="仿宋_GB2312"/>
          <w:color w:val="auto"/>
          <w:sz w:val="24"/>
          <w:szCs w:val="24"/>
          <w:highlight w:val="none"/>
        </w:rPr>
        <w:t>人民法院起诉。</w:t>
      </w:r>
    </w:p>
    <w:p w14:paraId="676FDB12">
      <w:pPr>
        <w:spacing w:line="360" w:lineRule="auto"/>
        <w:ind w:firstLine="480" w:firstLineChars="200"/>
        <w:jc w:val="left"/>
        <w:rPr>
          <w:rFonts w:eastAsia="黑体"/>
          <w:color w:val="auto"/>
          <w:sz w:val="24"/>
          <w:szCs w:val="24"/>
          <w:highlight w:val="none"/>
        </w:rPr>
      </w:pPr>
      <w:r>
        <w:rPr>
          <w:rFonts w:eastAsia="黑体"/>
          <w:color w:val="auto"/>
          <w:sz w:val="24"/>
          <w:szCs w:val="24"/>
          <w:highlight w:val="none"/>
        </w:rPr>
        <w:t>八、保函的生效</w:t>
      </w:r>
    </w:p>
    <w:p w14:paraId="49342C50">
      <w:pPr>
        <w:spacing w:line="360" w:lineRule="auto"/>
        <w:ind w:firstLine="480" w:firstLineChars="200"/>
        <w:jc w:val="left"/>
        <w:rPr>
          <w:rFonts w:eastAsia="仿宋_GB2312"/>
          <w:color w:val="auto"/>
          <w:sz w:val="24"/>
          <w:szCs w:val="24"/>
          <w:highlight w:val="none"/>
        </w:rPr>
      </w:pPr>
      <w:r>
        <w:rPr>
          <w:rFonts w:eastAsia="仿宋_GB2312"/>
          <w:color w:val="auto"/>
          <w:sz w:val="24"/>
          <w:szCs w:val="24"/>
          <w:highlight w:val="none"/>
        </w:rPr>
        <w:t>本保函自我方法定代表人（或其授权代理人）签字并加盖公章之日起生效。</w:t>
      </w:r>
    </w:p>
    <w:p w14:paraId="7194CCAE">
      <w:pPr>
        <w:spacing w:line="360" w:lineRule="auto"/>
        <w:ind w:firstLine="480" w:firstLineChars="200"/>
        <w:jc w:val="left"/>
        <w:rPr>
          <w:rFonts w:eastAsia="仿宋_GB2312"/>
          <w:color w:val="auto"/>
          <w:sz w:val="24"/>
          <w:szCs w:val="24"/>
          <w:highlight w:val="none"/>
        </w:rPr>
      </w:pPr>
    </w:p>
    <w:p w14:paraId="747D2452">
      <w:pPr>
        <w:spacing w:line="360" w:lineRule="auto"/>
        <w:ind w:right="600" w:firstLine="1928"/>
        <w:jc w:val="left"/>
        <w:rPr>
          <w:rFonts w:eastAsia="仿宋_GB2312"/>
          <w:color w:val="auto"/>
          <w:sz w:val="24"/>
          <w:szCs w:val="24"/>
          <w:highlight w:val="none"/>
        </w:rPr>
      </w:pPr>
    </w:p>
    <w:p w14:paraId="7FE75A64">
      <w:pPr>
        <w:spacing w:line="360" w:lineRule="auto"/>
        <w:ind w:right="600" w:firstLine="1928"/>
        <w:jc w:val="left"/>
        <w:rPr>
          <w:rFonts w:eastAsia="仿宋_GB2312"/>
          <w:color w:val="auto"/>
          <w:sz w:val="24"/>
          <w:szCs w:val="24"/>
          <w:highlight w:val="none"/>
        </w:rPr>
      </w:pPr>
      <w:r>
        <w:rPr>
          <w:rFonts w:eastAsia="仿宋_GB2312"/>
          <w:color w:val="auto"/>
          <w:sz w:val="24"/>
          <w:szCs w:val="24"/>
          <w:highlight w:val="none"/>
        </w:rPr>
        <w:t>担保人：</w:t>
      </w:r>
      <w:r>
        <w:rPr>
          <w:rFonts w:eastAsia="仿宋_GB2312"/>
          <w:color w:val="auto"/>
          <w:sz w:val="24"/>
          <w:szCs w:val="24"/>
          <w:highlight w:val="none"/>
          <w:u w:val="single"/>
        </w:rPr>
        <w:t xml:space="preserve">                                   </w:t>
      </w:r>
      <w:r>
        <w:rPr>
          <w:rFonts w:eastAsia="仿宋_GB2312"/>
          <w:color w:val="auto"/>
          <w:sz w:val="24"/>
          <w:szCs w:val="24"/>
          <w:highlight w:val="none"/>
        </w:rPr>
        <w:t>（盖章）</w:t>
      </w:r>
    </w:p>
    <w:p w14:paraId="6983B13A">
      <w:pPr>
        <w:spacing w:line="360" w:lineRule="auto"/>
        <w:ind w:right="1200" w:firstLine="1928"/>
        <w:rPr>
          <w:rFonts w:eastAsia="仿宋_GB2312"/>
          <w:color w:val="auto"/>
          <w:sz w:val="24"/>
          <w:szCs w:val="24"/>
          <w:highlight w:val="none"/>
        </w:rPr>
      </w:pPr>
      <w:r>
        <w:rPr>
          <w:rFonts w:eastAsia="仿宋_GB2312"/>
          <w:color w:val="auto"/>
          <w:sz w:val="24"/>
          <w:szCs w:val="24"/>
          <w:highlight w:val="none"/>
        </w:rPr>
        <w:t>法定代表人或委托代理人：</w:t>
      </w:r>
      <w:r>
        <w:rPr>
          <w:rFonts w:eastAsia="仿宋_GB2312"/>
          <w:color w:val="auto"/>
          <w:sz w:val="24"/>
          <w:szCs w:val="24"/>
          <w:highlight w:val="none"/>
          <w:u w:val="single"/>
        </w:rPr>
        <w:t xml:space="preserve">                   </w:t>
      </w:r>
      <w:r>
        <w:rPr>
          <w:rFonts w:eastAsia="仿宋_GB2312"/>
          <w:color w:val="auto"/>
          <w:sz w:val="24"/>
          <w:szCs w:val="24"/>
          <w:highlight w:val="none"/>
        </w:rPr>
        <w:t>（签字）</w:t>
      </w:r>
    </w:p>
    <w:p w14:paraId="7C32E47E">
      <w:pPr>
        <w:spacing w:line="360" w:lineRule="auto"/>
        <w:ind w:firstLine="1928"/>
        <w:jc w:val="left"/>
        <w:rPr>
          <w:rFonts w:eastAsia="仿宋_GB2312"/>
          <w:color w:val="auto"/>
          <w:sz w:val="24"/>
          <w:szCs w:val="24"/>
          <w:highlight w:val="none"/>
        </w:rPr>
      </w:pPr>
      <w:r>
        <w:rPr>
          <w:rFonts w:eastAsia="仿宋_GB2312"/>
          <w:color w:val="auto"/>
          <w:sz w:val="24"/>
          <w:szCs w:val="24"/>
          <w:highlight w:val="none"/>
        </w:rPr>
        <w:t>地    址：</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4774C197">
      <w:pPr>
        <w:spacing w:line="360" w:lineRule="auto"/>
        <w:ind w:firstLine="1928"/>
        <w:jc w:val="left"/>
        <w:rPr>
          <w:rFonts w:eastAsia="仿宋_GB2312"/>
          <w:color w:val="auto"/>
          <w:sz w:val="24"/>
          <w:szCs w:val="24"/>
          <w:highlight w:val="none"/>
        </w:rPr>
      </w:pPr>
      <w:r>
        <w:rPr>
          <w:rFonts w:eastAsia="仿宋_GB2312"/>
          <w:color w:val="auto"/>
          <w:sz w:val="24"/>
          <w:szCs w:val="24"/>
          <w:highlight w:val="none"/>
        </w:rPr>
        <w:t>邮政编码：</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65339598">
      <w:pPr>
        <w:spacing w:line="360" w:lineRule="auto"/>
        <w:ind w:firstLine="1928"/>
        <w:jc w:val="left"/>
        <w:rPr>
          <w:rFonts w:eastAsia="仿宋_GB2312"/>
          <w:color w:val="auto"/>
          <w:sz w:val="24"/>
          <w:szCs w:val="24"/>
          <w:highlight w:val="none"/>
        </w:rPr>
      </w:pPr>
      <w:r>
        <w:rPr>
          <w:rFonts w:eastAsia="仿宋_GB2312"/>
          <w:color w:val="auto"/>
          <w:sz w:val="24"/>
          <w:szCs w:val="24"/>
          <w:highlight w:val="none"/>
        </w:rPr>
        <w:t>传    真：</w:t>
      </w:r>
      <w:r>
        <w:rPr>
          <w:rFonts w:eastAsia="仿宋_GB2312"/>
          <w:color w:val="auto"/>
          <w:sz w:val="24"/>
          <w:szCs w:val="24"/>
          <w:highlight w:val="none"/>
          <w:u w:val="single"/>
        </w:rPr>
        <w:t xml:space="preserve">      </w:t>
      </w:r>
      <w:r>
        <w:rPr>
          <w:rFonts w:hint="eastAsia" w:eastAsia="仿宋_GB2312"/>
          <w:color w:val="auto"/>
          <w:sz w:val="24"/>
          <w:szCs w:val="24"/>
          <w:highlight w:val="none"/>
          <w:u w:val="single"/>
        </w:rPr>
        <w:t xml:space="preserve">        </w:t>
      </w:r>
      <w:r>
        <w:rPr>
          <w:rFonts w:eastAsia="仿宋_GB2312"/>
          <w:color w:val="auto"/>
          <w:sz w:val="24"/>
          <w:szCs w:val="24"/>
          <w:highlight w:val="none"/>
          <w:u w:val="single"/>
        </w:rPr>
        <w:t xml:space="preserve">                          </w:t>
      </w:r>
    </w:p>
    <w:p w14:paraId="06FEDCF6">
      <w:pPr>
        <w:spacing w:line="360" w:lineRule="auto"/>
        <w:ind w:right="150" w:firstLine="480" w:firstLineChars="200"/>
        <w:jc w:val="left"/>
        <w:rPr>
          <w:rFonts w:eastAsia="仿宋_GB2312"/>
          <w:color w:val="auto"/>
          <w:sz w:val="24"/>
          <w:szCs w:val="24"/>
          <w:highlight w:val="none"/>
          <w:u w:val="single"/>
        </w:rPr>
      </w:pPr>
    </w:p>
    <w:p w14:paraId="7A6F7CB1">
      <w:pPr>
        <w:spacing w:line="360" w:lineRule="auto"/>
        <w:ind w:right="150" w:firstLine="480" w:firstLineChars="200"/>
        <w:jc w:val="left"/>
        <w:rPr>
          <w:rFonts w:eastAsia="仿宋_GB2312"/>
          <w:color w:val="auto"/>
          <w:sz w:val="24"/>
          <w:szCs w:val="24"/>
          <w:highlight w:val="none"/>
        </w:rPr>
      </w:pPr>
      <w:r>
        <w:rPr>
          <w:rFonts w:eastAsia="仿宋_GB2312"/>
          <w:color w:val="auto"/>
          <w:sz w:val="24"/>
          <w:szCs w:val="24"/>
          <w:highlight w:val="none"/>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年</w:t>
      </w:r>
      <w:r>
        <w:rPr>
          <w:rFonts w:eastAsia="仿宋_GB2312"/>
          <w:color w:val="auto"/>
          <w:sz w:val="24"/>
          <w:szCs w:val="24"/>
          <w:highlight w:val="none"/>
          <w:u w:val="single"/>
        </w:rPr>
        <w:t xml:space="preserve">      </w:t>
      </w:r>
      <w:r>
        <w:rPr>
          <w:rFonts w:eastAsia="仿宋_GB2312"/>
          <w:color w:val="auto"/>
          <w:sz w:val="24"/>
          <w:szCs w:val="24"/>
          <w:highlight w:val="none"/>
        </w:rPr>
        <w:t>月</w:t>
      </w:r>
      <w:r>
        <w:rPr>
          <w:rFonts w:eastAsia="仿宋_GB2312"/>
          <w:color w:val="auto"/>
          <w:sz w:val="24"/>
          <w:szCs w:val="24"/>
          <w:highlight w:val="none"/>
          <w:u w:val="single"/>
        </w:rPr>
        <w:t xml:space="preserve">      </w:t>
      </w:r>
      <w:r>
        <w:rPr>
          <w:rFonts w:eastAsia="仿宋_GB2312"/>
          <w:color w:val="auto"/>
          <w:sz w:val="24"/>
          <w:szCs w:val="24"/>
          <w:highlight w:val="none"/>
        </w:rPr>
        <w:t>日</w:t>
      </w:r>
    </w:p>
    <w:p w14:paraId="220F7C67">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附件11：</w:t>
      </w:r>
    </w:p>
    <w:p w14:paraId="472436B0">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ind w:firstLine="0"/>
        <w:jc w:val="center"/>
        <w:textAlignment w:val="auto"/>
        <w:rPr>
          <w:rFonts w:eastAsia="黑体"/>
          <w:color w:val="auto"/>
          <w:sz w:val="30"/>
          <w:szCs w:val="30"/>
          <w:highlight w:val="none"/>
        </w:rPr>
      </w:pPr>
      <w:r>
        <w:rPr>
          <w:rFonts w:eastAsia="黑体"/>
          <w:color w:val="auto"/>
          <w:sz w:val="30"/>
          <w:szCs w:val="30"/>
          <w:highlight w:val="none"/>
        </w:rPr>
        <w:t>11-1：材料</w:t>
      </w:r>
      <w:r>
        <w:rPr>
          <w:rFonts w:hint="eastAsia" w:eastAsia="黑体"/>
          <w:color w:val="auto"/>
          <w:sz w:val="30"/>
          <w:szCs w:val="30"/>
          <w:highlight w:val="none"/>
        </w:rPr>
        <w:t>暂估价</w:t>
      </w:r>
      <w:r>
        <w:rPr>
          <w:rFonts w:eastAsia="黑体"/>
          <w:color w:val="auto"/>
          <w:sz w:val="30"/>
          <w:szCs w:val="30"/>
          <w:highlight w:val="none"/>
        </w:rPr>
        <w:t>表</w:t>
      </w:r>
    </w:p>
    <w:tbl>
      <w:tblPr>
        <w:tblStyle w:val="6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B7D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5352CB6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序号</w:t>
            </w:r>
          </w:p>
        </w:tc>
        <w:tc>
          <w:tcPr>
            <w:tcW w:w="1984" w:type="dxa"/>
            <w:tcBorders>
              <w:top w:val="single" w:color="auto" w:sz="12" w:space="0"/>
              <w:bottom w:val="double" w:color="auto" w:sz="6" w:space="0"/>
            </w:tcBorders>
          </w:tcPr>
          <w:p w14:paraId="2A52744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名称</w:t>
            </w:r>
          </w:p>
        </w:tc>
        <w:tc>
          <w:tcPr>
            <w:tcW w:w="851" w:type="dxa"/>
            <w:tcBorders>
              <w:top w:val="single" w:color="auto" w:sz="12" w:space="0"/>
              <w:bottom w:val="double" w:color="auto" w:sz="6" w:space="0"/>
            </w:tcBorders>
          </w:tcPr>
          <w:p w14:paraId="3844A32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单位</w:t>
            </w:r>
          </w:p>
        </w:tc>
        <w:tc>
          <w:tcPr>
            <w:tcW w:w="774" w:type="dxa"/>
            <w:tcBorders>
              <w:top w:val="single" w:color="auto" w:sz="12" w:space="0"/>
              <w:bottom w:val="double" w:color="auto" w:sz="6" w:space="0"/>
            </w:tcBorders>
          </w:tcPr>
          <w:p w14:paraId="3C34390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数量</w:t>
            </w:r>
          </w:p>
        </w:tc>
        <w:tc>
          <w:tcPr>
            <w:tcW w:w="1352" w:type="dxa"/>
            <w:tcBorders>
              <w:top w:val="single" w:color="auto" w:sz="12" w:space="0"/>
              <w:bottom w:val="double" w:color="auto" w:sz="6" w:space="0"/>
            </w:tcBorders>
          </w:tcPr>
          <w:p w14:paraId="3A7CB94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单价</w:t>
            </w:r>
            <w:r>
              <w:rPr>
                <w:rFonts w:hint="eastAsia" w:eastAsia="仿宋_GB2312"/>
                <w:color w:val="auto"/>
                <w:szCs w:val="30"/>
                <w:highlight w:val="none"/>
              </w:rPr>
              <w:t>（元）</w:t>
            </w:r>
          </w:p>
        </w:tc>
        <w:tc>
          <w:tcPr>
            <w:tcW w:w="1418" w:type="dxa"/>
            <w:tcBorders>
              <w:top w:val="single" w:color="auto" w:sz="12" w:space="0"/>
              <w:bottom w:val="double" w:color="auto" w:sz="6" w:space="0"/>
            </w:tcBorders>
          </w:tcPr>
          <w:p w14:paraId="5DDCBCA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合价</w:t>
            </w:r>
            <w:r>
              <w:rPr>
                <w:rFonts w:hint="eastAsia" w:eastAsia="仿宋_GB2312"/>
                <w:color w:val="auto"/>
                <w:szCs w:val="30"/>
                <w:highlight w:val="none"/>
              </w:rPr>
              <w:t>（元）</w:t>
            </w:r>
          </w:p>
        </w:tc>
        <w:tc>
          <w:tcPr>
            <w:tcW w:w="1701" w:type="dxa"/>
            <w:tcBorders>
              <w:top w:val="single" w:color="auto" w:sz="12" w:space="0"/>
              <w:bottom w:val="double" w:color="auto" w:sz="6" w:space="0"/>
            </w:tcBorders>
          </w:tcPr>
          <w:p w14:paraId="783EF13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备注</w:t>
            </w:r>
          </w:p>
        </w:tc>
      </w:tr>
      <w:tr w14:paraId="761F0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2483440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Borders>
              <w:top w:val="double" w:color="auto" w:sz="6" w:space="0"/>
              <w:bottom w:val="single" w:color="auto" w:sz="6" w:space="0"/>
            </w:tcBorders>
          </w:tcPr>
          <w:p w14:paraId="5AD4EE4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Borders>
              <w:top w:val="double" w:color="auto" w:sz="6" w:space="0"/>
              <w:bottom w:val="single" w:color="auto" w:sz="6" w:space="0"/>
            </w:tcBorders>
          </w:tcPr>
          <w:p w14:paraId="35C5BC5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Borders>
              <w:top w:val="double" w:color="auto" w:sz="6" w:space="0"/>
              <w:bottom w:val="single" w:color="auto" w:sz="6" w:space="0"/>
            </w:tcBorders>
          </w:tcPr>
          <w:p w14:paraId="7DD6FEF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Borders>
              <w:top w:val="double" w:color="auto" w:sz="6" w:space="0"/>
              <w:bottom w:val="single" w:color="auto" w:sz="6" w:space="0"/>
            </w:tcBorders>
          </w:tcPr>
          <w:p w14:paraId="3C002DC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Borders>
              <w:top w:val="double" w:color="auto" w:sz="6" w:space="0"/>
              <w:bottom w:val="single" w:color="auto" w:sz="6" w:space="0"/>
            </w:tcBorders>
          </w:tcPr>
          <w:p w14:paraId="6DE8583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Borders>
              <w:top w:val="double" w:color="auto" w:sz="6" w:space="0"/>
              <w:bottom w:val="single" w:color="auto" w:sz="6" w:space="0"/>
            </w:tcBorders>
          </w:tcPr>
          <w:p w14:paraId="058C658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373A8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1EC5910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Borders>
              <w:top w:val="nil"/>
            </w:tcBorders>
          </w:tcPr>
          <w:p w14:paraId="1C5951B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Borders>
              <w:top w:val="nil"/>
            </w:tcBorders>
          </w:tcPr>
          <w:p w14:paraId="29A1D99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Borders>
              <w:top w:val="nil"/>
            </w:tcBorders>
          </w:tcPr>
          <w:p w14:paraId="4124469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Borders>
              <w:top w:val="nil"/>
            </w:tcBorders>
          </w:tcPr>
          <w:p w14:paraId="27B53AE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Borders>
              <w:top w:val="nil"/>
            </w:tcBorders>
          </w:tcPr>
          <w:p w14:paraId="6EA1187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Borders>
              <w:top w:val="nil"/>
            </w:tcBorders>
          </w:tcPr>
          <w:p w14:paraId="35346CB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11DBB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B26898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7077A1F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388C6B7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7E03E16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75EA8A6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41CC599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5795333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4100A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36495DE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37A532B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5796E28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527E402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506FAE1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777BD9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77B0498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6EDDE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21D7C2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50316F5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138A124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32EC49A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2DD2119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EF98EB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76E5F46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0B9D9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1851E8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7AEFF8F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632F7EE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3024A6A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91A581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52B25B1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1F5E9C4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0722B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5D7EA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18CF886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6CB1C8A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7B6C006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7957E60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3C2165F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6851046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4F20C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9DA891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2FCB5E8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27F71D7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4E323AB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780277A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11B6572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1B3B5B0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611EC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3E3B6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6979676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7180F93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7BE4A2A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D415A4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1F304B4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1AC3B5B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01E1F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544CFB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6BE2234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5D6F6B3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1671583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15527FD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18FF1B9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0DD3654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5B187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3A6FC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3DDF8B8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43F971A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538A97F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6F4DFB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7B36073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62BF2C6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54AE6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39BC26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197CE33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6725CF5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308FD09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1842DD9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583CD44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30A8BED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7802C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6CDFB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65D0496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029DA66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7506768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13FE8F4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27CAC2F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28A5B44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7C67D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DACC8C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089E57C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3D9A219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5D0795D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70B455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567039A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2A61939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730D0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6BD8D2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20DE16B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031A781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297E161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65228DB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79A3345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051ADFE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0714E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550A0D1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7DA5882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5265BEC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2454942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5BC4C7C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27300F4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79C7F52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78F7E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47E94BF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5C14AFA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20A380D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3B92BCE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764D87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42D1D13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0654A98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18C9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89A8B6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3BE4017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3518C11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11B381A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2E82447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5688ECF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5DF8470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209B1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E4A7B6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5A6C90D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11FE001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5857619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2B474D1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964915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5229973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528EF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7FCBEE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3635D4E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4A367CE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2762D74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15EA8AF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1E16E4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2050B07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3AB18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193D04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2EAA726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5BF4039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3B3A320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429D707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2CF1254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3A2F112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4BAEF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873CF4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1DE35D6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3682783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464A498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2AF42D7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7482060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3B2D15E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57533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31B130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10B4AAD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7E09AFC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54AA14D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1BEDDC4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0F27C89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0447F37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64A13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D66980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53E2CDF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3F05120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4091ED2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394339F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312D7C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64EC9F1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39713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83E1EF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223662F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1B80506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2499B77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381F481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231D4C4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360358C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bl>
    <w:p w14:paraId="47DA9481">
      <w:pPr>
        <w:spacing w:before="158" w:beforeLines="50" w:after="158" w:afterLines="50" w:line="440" w:lineRule="exact"/>
        <w:ind w:firstLine="2409"/>
        <w:rPr>
          <w:rFonts w:eastAsia="黑体"/>
          <w:color w:val="auto"/>
          <w:sz w:val="30"/>
          <w:szCs w:val="30"/>
          <w:highlight w:val="none"/>
        </w:rPr>
      </w:pPr>
    </w:p>
    <w:p w14:paraId="277FE1D8">
      <w:pPr>
        <w:spacing w:before="158" w:beforeLines="50" w:after="158" w:afterLines="50" w:line="440" w:lineRule="exact"/>
        <w:jc w:val="both"/>
        <w:rPr>
          <w:rFonts w:eastAsia="黑体"/>
          <w:color w:val="auto"/>
          <w:sz w:val="30"/>
          <w:szCs w:val="30"/>
          <w:highlight w:val="none"/>
        </w:rPr>
      </w:pPr>
      <w:r>
        <w:rPr>
          <w:rFonts w:eastAsia="黑体"/>
          <w:color w:val="auto"/>
          <w:sz w:val="30"/>
          <w:szCs w:val="30"/>
          <w:highlight w:val="none"/>
        </w:rPr>
        <w:t>11-2：工程设备</w:t>
      </w:r>
      <w:r>
        <w:rPr>
          <w:rFonts w:hint="eastAsia" w:eastAsia="黑体"/>
          <w:color w:val="auto"/>
          <w:sz w:val="30"/>
          <w:szCs w:val="30"/>
          <w:highlight w:val="none"/>
        </w:rPr>
        <w:t>暂估价</w:t>
      </w:r>
      <w:r>
        <w:rPr>
          <w:rFonts w:eastAsia="黑体"/>
          <w:color w:val="auto"/>
          <w:sz w:val="30"/>
          <w:szCs w:val="30"/>
          <w:highlight w:val="none"/>
        </w:rPr>
        <w:t>表</w:t>
      </w:r>
    </w:p>
    <w:tbl>
      <w:tblPr>
        <w:tblStyle w:val="6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3DC0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7007F22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序号</w:t>
            </w:r>
          </w:p>
        </w:tc>
        <w:tc>
          <w:tcPr>
            <w:tcW w:w="1984" w:type="dxa"/>
            <w:tcBorders>
              <w:top w:val="single" w:color="auto" w:sz="12" w:space="0"/>
              <w:bottom w:val="double" w:color="auto" w:sz="6" w:space="0"/>
            </w:tcBorders>
          </w:tcPr>
          <w:p w14:paraId="7BE1EEC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名称</w:t>
            </w:r>
          </w:p>
        </w:tc>
        <w:tc>
          <w:tcPr>
            <w:tcW w:w="851" w:type="dxa"/>
            <w:tcBorders>
              <w:top w:val="single" w:color="auto" w:sz="12" w:space="0"/>
              <w:bottom w:val="double" w:color="auto" w:sz="6" w:space="0"/>
            </w:tcBorders>
          </w:tcPr>
          <w:p w14:paraId="25931B7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单位</w:t>
            </w:r>
          </w:p>
        </w:tc>
        <w:tc>
          <w:tcPr>
            <w:tcW w:w="774" w:type="dxa"/>
            <w:tcBorders>
              <w:top w:val="single" w:color="auto" w:sz="12" w:space="0"/>
              <w:bottom w:val="double" w:color="auto" w:sz="6" w:space="0"/>
            </w:tcBorders>
          </w:tcPr>
          <w:p w14:paraId="179295B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数量</w:t>
            </w:r>
          </w:p>
        </w:tc>
        <w:tc>
          <w:tcPr>
            <w:tcW w:w="1352" w:type="dxa"/>
            <w:tcBorders>
              <w:top w:val="single" w:color="auto" w:sz="12" w:space="0"/>
              <w:bottom w:val="double" w:color="auto" w:sz="6" w:space="0"/>
            </w:tcBorders>
          </w:tcPr>
          <w:p w14:paraId="6D85E79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单价</w:t>
            </w:r>
            <w:r>
              <w:rPr>
                <w:rFonts w:hint="eastAsia" w:eastAsia="仿宋_GB2312"/>
                <w:color w:val="auto"/>
                <w:szCs w:val="30"/>
                <w:highlight w:val="none"/>
              </w:rPr>
              <w:t>（元）</w:t>
            </w:r>
          </w:p>
        </w:tc>
        <w:tc>
          <w:tcPr>
            <w:tcW w:w="1418" w:type="dxa"/>
            <w:tcBorders>
              <w:top w:val="single" w:color="auto" w:sz="12" w:space="0"/>
              <w:bottom w:val="double" w:color="auto" w:sz="6" w:space="0"/>
            </w:tcBorders>
          </w:tcPr>
          <w:p w14:paraId="451182F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合价</w:t>
            </w:r>
            <w:r>
              <w:rPr>
                <w:rFonts w:hint="eastAsia" w:eastAsia="仿宋_GB2312"/>
                <w:color w:val="auto"/>
                <w:szCs w:val="30"/>
                <w:highlight w:val="none"/>
              </w:rPr>
              <w:t>（元）</w:t>
            </w:r>
          </w:p>
        </w:tc>
        <w:tc>
          <w:tcPr>
            <w:tcW w:w="1701" w:type="dxa"/>
            <w:tcBorders>
              <w:top w:val="single" w:color="auto" w:sz="12" w:space="0"/>
              <w:bottom w:val="double" w:color="auto" w:sz="6" w:space="0"/>
            </w:tcBorders>
          </w:tcPr>
          <w:p w14:paraId="4BD9F6C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备注</w:t>
            </w:r>
          </w:p>
        </w:tc>
      </w:tr>
      <w:tr w14:paraId="7C971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2AECAC6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Borders>
              <w:top w:val="double" w:color="auto" w:sz="6" w:space="0"/>
              <w:bottom w:val="single" w:color="auto" w:sz="6" w:space="0"/>
            </w:tcBorders>
          </w:tcPr>
          <w:p w14:paraId="549E88A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Borders>
              <w:top w:val="double" w:color="auto" w:sz="6" w:space="0"/>
              <w:bottom w:val="single" w:color="auto" w:sz="6" w:space="0"/>
            </w:tcBorders>
          </w:tcPr>
          <w:p w14:paraId="60ECCF4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Borders>
              <w:top w:val="double" w:color="auto" w:sz="6" w:space="0"/>
              <w:bottom w:val="single" w:color="auto" w:sz="6" w:space="0"/>
            </w:tcBorders>
          </w:tcPr>
          <w:p w14:paraId="77D8862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Borders>
              <w:top w:val="double" w:color="auto" w:sz="6" w:space="0"/>
              <w:bottom w:val="single" w:color="auto" w:sz="6" w:space="0"/>
            </w:tcBorders>
          </w:tcPr>
          <w:p w14:paraId="489F31D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Borders>
              <w:top w:val="double" w:color="auto" w:sz="6" w:space="0"/>
              <w:bottom w:val="single" w:color="auto" w:sz="6" w:space="0"/>
            </w:tcBorders>
          </w:tcPr>
          <w:p w14:paraId="1E484E2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Borders>
              <w:top w:val="double" w:color="auto" w:sz="6" w:space="0"/>
              <w:bottom w:val="single" w:color="auto" w:sz="6" w:space="0"/>
            </w:tcBorders>
          </w:tcPr>
          <w:p w14:paraId="56EA7BA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1C156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4B98933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Borders>
              <w:top w:val="nil"/>
            </w:tcBorders>
          </w:tcPr>
          <w:p w14:paraId="375527D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Borders>
              <w:top w:val="nil"/>
            </w:tcBorders>
          </w:tcPr>
          <w:p w14:paraId="58E6EC3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Borders>
              <w:top w:val="nil"/>
            </w:tcBorders>
          </w:tcPr>
          <w:p w14:paraId="2E00531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Borders>
              <w:top w:val="nil"/>
            </w:tcBorders>
          </w:tcPr>
          <w:p w14:paraId="5D808F2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Borders>
              <w:top w:val="nil"/>
            </w:tcBorders>
          </w:tcPr>
          <w:p w14:paraId="2800469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Borders>
              <w:top w:val="nil"/>
            </w:tcBorders>
          </w:tcPr>
          <w:p w14:paraId="2DA1325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20640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C25452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3CDACE6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312CE1D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21DFE2B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2508A35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576F819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6BCC870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52507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3973373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1418F69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1CB9DE7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2199727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16C9589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45592B8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08E8494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6F188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3A16D4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12EB035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5CEB9E2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561E586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6532C11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726360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3FF32D2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3BBE3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BB85F1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0B24B59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1A566F1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00EFAE8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607323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5D1EDC5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03F727C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23B99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C49945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7DCD973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532EF43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4B5CD1A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42E3D96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3A18D15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6523A68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33D14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24278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3D0C3C7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1979128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54C78DD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6996D0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46F8DCB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5439432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1DFB1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FC0A52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1C8CF97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674B803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5683392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333EE8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7A52595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443AC74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6655A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14:paraId="45F7E44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51FD84B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05D9ED5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1472588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1BA0E0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59B9E39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4B5DBE2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6DA65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E1E038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607AF9D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68D04B4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19E3F0C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5897E46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5622C19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0E69030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519E7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1D46A8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6D08AFD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014F88C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6340004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2958966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468E486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5B7C7B9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12F8C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65A489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10A03DE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6E726C8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36B9583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7F794D0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B8C0D3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76E38F2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17F76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D9D137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3E0137D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4FC80B2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486074B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3769738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381077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68080D6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75C9B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A8E82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52DFB51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6B338D7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33C72B6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7AD9F81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170FA87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4EBE4E2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545A3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157D1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116C432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015915A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51A12D8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2F5D00F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1DFAF66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3FCA70E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64F39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42F529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467F680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20C6CF3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0607BEA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7228FDE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29A26C5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5722967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58D64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E1473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3077362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6865FA3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2B3E089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5DBA00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5597285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22F2D4B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76F6D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FECD75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2C0F0CD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586D3A5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71644DC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3008EF9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1DD1A8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7A5055C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325A5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E45A8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31714DC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62C26ED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5822FEE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5198D03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E79671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42758AC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5A18D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FC9483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77E5061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282716C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7EA12D7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859833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D0BF1A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7E428C9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2AC2E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4FEEA6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4272A6F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437B304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67F7437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13E4373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35275D6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4235F34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6E6B2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356637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74323E4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468CA55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1CAF588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0DE380F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BD85D3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667D427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68178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EF4D30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3150BBD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0142EA1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7F1B5D0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57CCCC3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66C3CE0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00C386D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r w14:paraId="59FAB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0C0FF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984" w:type="dxa"/>
          </w:tcPr>
          <w:p w14:paraId="6BCE83F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851" w:type="dxa"/>
          </w:tcPr>
          <w:p w14:paraId="6CAAD01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774" w:type="dxa"/>
          </w:tcPr>
          <w:p w14:paraId="6FFDBEF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352" w:type="dxa"/>
          </w:tcPr>
          <w:p w14:paraId="74942E5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418" w:type="dxa"/>
          </w:tcPr>
          <w:p w14:paraId="73C2E8B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c>
          <w:tcPr>
            <w:tcW w:w="1701" w:type="dxa"/>
          </w:tcPr>
          <w:p w14:paraId="1766B35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p>
        </w:tc>
      </w:tr>
    </w:tbl>
    <w:p w14:paraId="017E0B1E">
      <w:pPr>
        <w:spacing w:line="440" w:lineRule="exact"/>
        <w:ind w:firstLine="2409"/>
        <w:rPr>
          <w:rFonts w:eastAsia="仿宋_GB2312"/>
          <w:color w:val="auto"/>
          <w:sz w:val="30"/>
          <w:szCs w:val="30"/>
          <w:highlight w:val="none"/>
        </w:rPr>
      </w:pPr>
    </w:p>
    <w:p w14:paraId="5B7D4142">
      <w:pPr>
        <w:spacing w:before="158" w:beforeLines="50" w:after="158" w:afterLines="50" w:line="440" w:lineRule="exact"/>
        <w:jc w:val="both"/>
        <w:rPr>
          <w:rFonts w:eastAsia="黑体"/>
          <w:color w:val="auto"/>
          <w:sz w:val="30"/>
          <w:szCs w:val="30"/>
          <w:highlight w:val="none"/>
        </w:rPr>
      </w:pPr>
      <w:r>
        <w:rPr>
          <w:rFonts w:eastAsia="仿宋_GB2312"/>
          <w:color w:val="auto"/>
          <w:sz w:val="30"/>
          <w:szCs w:val="30"/>
          <w:highlight w:val="none"/>
        </w:rPr>
        <w:br w:type="page"/>
      </w:r>
      <w:r>
        <w:rPr>
          <w:rFonts w:eastAsia="黑体"/>
          <w:color w:val="auto"/>
          <w:sz w:val="30"/>
          <w:szCs w:val="30"/>
          <w:highlight w:val="none"/>
        </w:rPr>
        <w:t>11-3：专业工程</w:t>
      </w:r>
      <w:r>
        <w:rPr>
          <w:rFonts w:hint="eastAsia" w:eastAsia="黑体"/>
          <w:color w:val="auto"/>
          <w:sz w:val="30"/>
          <w:szCs w:val="30"/>
          <w:highlight w:val="none"/>
        </w:rPr>
        <w:t>暂估价</w:t>
      </w:r>
      <w:r>
        <w:rPr>
          <w:rFonts w:eastAsia="黑体"/>
          <w:color w:val="auto"/>
          <w:sz w:val="30"/>
          <w:szCs w:val="30"/>
          <w:highlight w:val="none"/>
        </w:rPr>
        <w:t>表</w:t>
      </w:r>
    </w:p>
    <w:tbl>
      <w:tblPr>
        <w:tblStyle w:val="6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99D5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6F3D662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序号</w:t>
            </w:r>
          </w:p>
        </w:tc>
        <w:tc>
          <w:tcPr>
            <w:tcW w:w="1984" w:type="dxa"/>
            <w:tcBorders>
              <w:top w:val="single" w:color="auto" w:sz="12" w:space="0"/>
              <w:bottom w:val="double" w:color="auto" w:sz="6" w:space="0"/>
            </w:tcBorders>
          </w:tcPr>
          <w:p w14:paraId="2183ED8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专业工程名称</w:t>
            </w:r>
          </w:p>
        </w:tc>
        <w:tc>
          <w:tcPr>
            <w:tcW w:w="4678" w:type="dxa"/>
            <w:tcBorders>
              <w:top w:val="single" w:color="auto" w:sz="12" w:space="0"/>
              <w:bottom w:val="double" w:color="auto" w:sz="6" w:space="0"/>
            </w:tcBorders>
          </w:tcPr>
          <w:p w14:paraId="5D3C69D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工程内容</w:t>
            </w:r>
          </w:p>
        </w:tc>
        <w:tc>
          <w:tcPr>
            <w:tcW w:w="1276" w:type="dxa"/>
            <w:tcBorders>
              <w:top w:val="single" w:color="auto" w:sz="12" w:space="0"/>
              <w:bottom w:val="double" w:color="auto" w:sz="6" w:space="0"/>
            </w:tcBorders>
          </w:tcPr>
          <w:p w14:paraId="71B4A14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rFonts w:eastAsia="仿宋_GB2312"/>
                <w:color w:val="auto"/>
                <w:szCs w:val="30"/>
                <w:highlight w:val="none"/>
              </w:rPr>
            </w:pPr>
            <w:r>
              <w:rPr>
                <w:rFonts w:eastAsia="仿宋_GB2312"/>
                <w:color w:val="auto"/>
                <w:szCs w:val="30"/>
                <w:highlight w:val="none"/>
              </w:rPr>
              <w:t>金额</w:t>
            </w:r>
          </w:p>
        </w:tc>
      </w:tr>
      <w:tr w14:paraId="4CA5E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63F3534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Borders>
              <w:top w:val="double" w:color="auto" w:sz="6" w:space="0"/>
              <w:bottom w:val="single" w:color="auto" w:sz="6" w:space="0"/>
            </w:tcBorders>
          </w:tcPr>
          <w:p w14:paraId="08CF994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Borders>
              <w:top w:val="double" w:color="auto" w:sz="6" w:space="0"/>
              <w:bottom w:val="single" w:color="auto" w:sz="6" w:space="0"/>
            </w:tcBorders>
          </w:tcPr>
          <w:p w14:paraId="1F37E64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Borders>
              <w:top w:val="double" w:color="auto" w:sz="6" w:space="0"/>
              <w:bottom w:val="single" w:color="auto" w:sz="6" w:space="0"/>
            </w:tcBorders>
          </w:tcPr>
          <w:p w14:paraId="3E89EF1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6609D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13E0B0B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Borders>
              <w:top w:val="nil"/>
            </w:tcBorders>
          </w:tcPr>
          <w:p w14:paraId="2DE8A88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Borders>
              <w:top w:val="nil"/>
            </w:tcBorders>
          </w:tcPr>
          <w:p w14:paraId="5195745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Borders>
              <w:top w:val="nil"/>
            </w:tcBorders>
          </w:tcPr>
          <w:p w14:paraId="6D9E1EA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14742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2185C3F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Borders>
              <w:top w:val="nil"/>
            </w:tcBorders>
          </w:tcPr>
          <w:p w14:paraId="23BCC45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Borders>
              <w:top w:val="nil"/>
            </w:tcBorders>
          </w:tcPr>
          <w:p w14:paraId="1BC4E1A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Borders>
              <w:top w:val="nil"/>
            </w:tcBorders>
          </w:tcPr>
          <w:p w14:paraId="6B115EF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6F012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644CF5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58D225B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10FD249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5A7253A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42068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942733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2549BA4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187CE8D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0AFDB49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6A73A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086559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0C8E22A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43D50FC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5FCA2ED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61F1E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291913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557CACF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2B05672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0953766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5A3FF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922450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52BE1E8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62A6728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2685133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0DC33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2C205D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4866977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22CE91D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69BCDEF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24F1C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633C7B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5B80984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6F5DF65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02C043B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27590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96A61F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313D79C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1E76A05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47F1EE8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53DE9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CB503E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6762F44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5A4144D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14F9F2A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574A4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CC52E3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538AAD86">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0A2FDAB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68E5E9E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0DA04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7EB3D1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769413B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29C63F2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3572BBE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0E109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81F171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3BC5D2B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2F320FB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2E910F9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43A2B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D3FB5E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00324EF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250B15D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3552C6D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1F120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38B9F7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2E71BFE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5CDC87D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13542B6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12ED5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1E1C5C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1D6D537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0627AC7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3B10E9FD">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56486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696996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4A88679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6DFB4E9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5D02FA47">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35ED2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29923B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37FB136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3623D838">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182A9D9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23D9D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5B79EA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504DC003">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51CC030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1A9D693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56DEC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614117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7AEF924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53CC35C4">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5C37770B">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30DFD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CB1F2E2">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11BFADB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0177B7E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68D790E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2B159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7339BDA">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31EEB1A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2D21CA4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045AD121">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65FD1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6DCE2A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12F0E749">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3EE5864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065E2D50">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2D4B3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9F8E70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984" w:type="dxa"/>
          </w:tcPr>
          <w:p w14:paraId="1CC50F15">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4678" w:type="dxa"/>
          </w:tcPr>
          <w:p w14:paraId="4EE049EE">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c>
          <w:tcPr>
            <w:tcW w:w="1276" w:type="dxa"/>
          </w:tcPr>
          <w:p w14:paraId="0D811D3C">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p>
        </w:tc>
      </w:tr>
      <w:tr w14:paraId="1CB8E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3A9FBA3F">
            <w:pPr>
              <w:pStyle w:val="25"/>
              <w:keepNext/>
              <w:keepLines w:val="0"/>
              <w:pageBreakBefore w:val="0"/>
              <w:widowControl w:val="0"/>
              <w:kinsoku/>
              <w:wordWrap/>
              <w:overflowPunct/>
              <w:topLinePunct w:val="0"/>
              <w:autoSpaceDE/>
              <w:autoSpaceDN/>
              <w:bidi w:val="0"/>
              <w:adjustRightInd/>
              <w:snapToGrid/>
              <w:spacing w:after="0" w:line="440" w:lineRule="exact"/>
              <w:ind w:left="0" w:right="0" w:firstLine="0"/>
              <w:textAlignment w:val="auto"/>
              <w:rPr>
                <w:color w:val="auto"/>
                <w:sz w:val="21"/>
                <w:szCs w:val="21"/>
                <w:highlight w:val="none"/>
              </w:rPr>
            </w:pPr>
            <w:r>
              <w:rPr>
                <w:rFonts w:eastAsia="仿宋_GB2312"/>
                <w:color w:val="auto"/>
                <w:szCs w:val="30"/>
                <w:highlight w:val="none"/>
              </w:rPr>
              <w:t>小计：</w:t>
            </w:r>
          </w:p>
        </w:tc>
      </w:tr>
    </w:tbl>
    <w:p w14:paraId="7CAAA9B6">
      <w:pPr>
        <w:rPr>
          <w:rFonts w:eastAsia="仿宋_GB2312"/>
          <w:color w:val="auto"/>
          <w:sz w:val="30"/>
          <w:szCs w:val="30"/>
          <w:highlight w:val="none"/>
          <w:u w:val="double"/>
        </w:rPr>
      </w:pPr>
      <w:r>
        <w:rPr>
          <w:color w:val="auto"/>
          <w:highlight w:val="none"/>
        </w:rPr>
        <w:br w:type="page"/>
      </w:r>
      <w:r>
        <w:rPr>
          <w:rFonts w:hint="eastAsia" w:eastAsia="仿宋_GB2312"/>
          <w:color w:val="auto"/>
          <w:sz w:val="30"/>
          <w:szCs w:val="30"/>
          <w:highlight w:val="none"/>
        </w:rPr>
        <w:t>附件12：工程量清单</w:t>
      </w:r>
    </w:p>
    <w:p w14:paraId="3A3DA267">
      <w:pPr>
        <w:spacing w:line="400" w:lineRule="exact"/>
        <w:ind w:firstLine="2400"/>
        <w:jc w:val="center"/>
        <w:rPr>
          <w:rFonts w:ascii="宋体" w:hAnsi="宋体" w:cs="宋体"/>
          <w:b/>
          <w:bCs/>
          <w:color w:val="auto"/>
          <w:sz w:val="30"/>
          <w:szCs w:val="30"/>
          <w:highlight w:val="none"/>
        </w:rPr>
      </w:pPr>
    </w:p>
    <w:p w14:paraId="698C29D9">
      <w:pPr>
        <w:spacing w:line="400" w:lineRule="exact"/>
        <w:rPr>
          <w:rFonts w:ascii="宋体" w:hAnsi="宋体" w:cs="宋体"/>
          <w:color w:val="auto"/>
          <w:szCs w:val="21"/>
          <w:highlight w:val="none"/>
        </w:rPr>
      </w:pPr>
    </w:p>
    <w:p w14:paraId="412E6145">
      <w:pPr>
        <w:spacing w:line="400" w:lineRule="exact"/>
        <w:rPr>
          <w:rFonts w:ascii="宋体" w:hAnsi="宋体" w:cs="宋体"/>
          <w:color w:val="auto"/>
          <w:szCs w:val="21"/>
          <w:highlight w:val="none"/>
        </w:rPr>
      </w:pPr>
    </w:p>
    <w:p w14:paraId="2B565C13">
      <w:pPr>
        <w:spacing w:line="400" w:lineRule="exact"/>
        <w:rPr>
          <w:rFonts w:ascii="宋体" w:hAnsi="宋体" w:cs="宋体"/>
          <w:color w:val="auto"/>
          <w:szCs w:val="21"/>
          <w:highlight w:val="none"/>
        </w:rPr>
      </w:pPr>
    </w:p>
    <w:p w14:paraId="2B170DBC">
      <w:pPr>
        <w:ind w:firstLine="3534"/>
        <w:rPr>
          <w:rFonts w:ascii="宋体" w:cs="宋体"/>
          <w:color w:val="auto"/>
          <w:kern w:val="44"/>
          <w:sz w:val="44"/>
          <w:szCs w:val="44"/>
          <w:highlight w:val="none"/>
        </w:rPr>
      </w:pPr>
      <w:bookmarkStart w:id="1154" w:name="_Toc17075"/>
      <w:bookmarkStart w:id="1155" w:name="_Toc81341336"/>
      <w:r>
        <w:rPr>
          <w:rFonts w:ascii="宋体" w:cs="宋体"/>
          <w:color w:val="auto"/>
          <w:kern w:val="44"/>
          <w:sz w:val="44"/>
          <w:szCs w:val="44"/>
          <w:highlight w:val="none"/>
        </w:rPr>
        <w:br w:type="page"/>
      </w:r>
    </w:p>
    <w:p w14:paraId="2E76AE0E">
      <w:pPr>
        <w:pStyle w:val="2"/>
        <w:keepNext w:val="0"/>
        <w:keepLines w:val="0"/>
        <w:pageBreakBefore w:val="0"/>
        <w:widowControl w:val="0"/>
        <w:kinsoku/>
        <w:wordWrap/>
        <w:overflowPunct/>
        <w:topLinePunct w:val="0"/>
        <w:bidi w:val="0"/>
        <w:snapToGrid/>
        <w:ind w:firstLine="0"/>
        <w:textAlignment w:val="auto"/>
        <w:rPr>
          <w:rFonts w:ascii="宋体" w:hAnsi="宋体" w:eastAsia="宋体" w:cs="宋体"/>
          <w:bCs w:val="0"/>
          <w:color w:val="auto"/>
          <w:kern w:val="44"/>
          <w:sz w:val="44"/>
          <w:szCs w:val="44"/>
          <w:highlight w:val="none"/>
        </w:rPr>
      </w:pPr>
      <w:bookmarkStart w:id="1156" w:name="_Toc11824"/>
      <w:bookmarkStart w:id="1157" w:name="_Toc12465"/>
      <w:bookmarkStart w:id="1158" w:name="_Toc8471"/>
      <w:r>
        <w:rPr>
          <w:rFonts w:hint="eastAsia" w:ascii="宋体" w:hAnsi="宋体" w:eastAsia="宋体" w:cs="宋体"/>
          <w:color w:val="auto"/>
          <w:kern w:val="44"/>
          <w:sz w:val="44"/>
          <w:szCs w:val="44"/>
          <w:highlight w:val="none"/>
        </w:rPr>
        <w:t>第五章</w:t>
      </w:r>
      <w:r>
        <w:rPr>
          <w:rFonts w:ascii="宋体" w:hAnsi="宋体" w:eastAsia="宋体" w:cs="宋体"/>
          <w:color w:val="auto"/>
          <w:kern w:val="44"/>
          <w:sz w:val="44"/>
          <w:szCs w:val="44"/>
          <w:highlight w:val="none"/>
        </w:rPr>
        <w:t xml:space="preserve">  </w:t>
      </w:r>
      <w:r>
        <w:rPr>
          <w:rFonts w:hint="eastAsia" w:ascii="宋体" w:hAnsi="宋体" w:eastAsia="宋体" w:cs="宋体"/>
          <w:color w:val="auto"/>
          <w:kern w:val="44"/>
          <w:sz w:val="44"/>
          <w:szCs w:val="44"/>
          <w:highlight w:val="none"/>
        </w:rPr>
        <w:t>磋商响应文件格式</w:t>
      </w:r>
      <w:bookmarkEnd w:id="1154"/>
      <w:bookmarkEnd w:id="1155"/>
      <w:bookmarkEnd w:id="1156"/>
      <w:bookmarkEnd w:id="1157"/>
      <w:bookmarkEnd w:id="1158"/>
    </w:p>
    <w:p w14:paraId="1A0010E0">
      <w:pPr>
        <w:keepNext w:val="0"/>
        <w:keepLines w:val="0"/>
        <w:pageBreakBefore w:val="0"/>
        <w:widowControl w:val="0"/>
        <w:kinsoku/>
        <w:wordWrap/>
        <w:overflowPunct/>
        <w:topLinePunct w:val="0"/>
        <w:bidi w:val="0"/>
        <w:snapToGrid/>
        <w:spacing w:line="360" w:lineRule="auto"/>
        <w:ind w:firstLine="0"/>
        <w:jc w:val="center"/>
        <w:textAlignment w:val="auto"/>
        <w:rPr>
          <w:rFonts w:ascii="宋体" w:hAnsi="宋体" w:cs="宋体"/>
          <w:b/>
          <w:bCs/>
          <w:color w:val="auto"/>
          <w:sz w:val="24"/>
          <w:highlight w:val="none"/>
        </w:rPr>
      </w:pPr>
      <w:bookmarkStart w:id="1159" w:name="_Toc82338234"/>
      <w:bookmarkStart w:id="1160" w:name="_Toc211745566"/>
      <w:bookmarkStart w:id="1161" w:name="_Toc82873317"/>
    </w:p>
    <w:p w14:paraId="0F942749">
      <w:pPr>
        <w:keepNext w:val="0"/>
        <w:keepLines w:val="0"/>
        <w:pageBreakBefore w:val="0"/>
        <w:widowControl w:val="0"/>
        <w:kinsoku/>
        <w:wordWrap/>
        <w:overflowPunct/>
        <w:topLinePunct w:val="0"/>
        <w:bidi w:val="0"/>
        <w:snapToGrid/>
        <w:spacing w:line="360" w:lineRule="auto"/>
        <w:ind w:firstLine="0"/>
        <w:jc w:val="center"/>
        <w:textAlignment w:val="auto"/>
        <w:rPr>
          <w:rFonts w:ascii="宋体" w:cs="宋体"/>
          <w:b/>
          <w:bCs/>
          <w:color w:val="auto"/>
          <w:sz w:val="24"/>
          <w:highlight w:val="none"/>
        </w:rPr>
      </w:pPr>
      <w:r>
        <w:rPr>
          <w:rFonts w:hint="eastAsia" w:ascii="宋体" w:hAnsi="宋体" w:cs="宋体"/>
          <w:b/>
          <w:bCs/>
          <w:color w:val="auto"/>
          <w:sz w:val="24"/>
          <w:highlight w:val="none"/>
        </w:rPr>
        <w:t>（未提供格式的由供应商自拟）</w:t>
      </w:r>
    </w:p>
    <w:p w14:paraId="41B3E10E">
      <w:pPr>
        <w:pStyle w:val="634"/>
        <w:snapToGrid w:val="0"/>
        <w:spacing w:line="500" w:lineRule="exact"/>
        <w:rPr>
          <w:rFonts w:hAnsi="宋体" w:cs="宋体"/>
          <w:color w:val="auto"/>
          <w:spacing w:val="20"/>
          <w:sz w:val="30"/>
          <w:szCs w:val="30"/>
          <w:highlight w:val="none"/>
        </w:rPr>
      </w:pPr>
      <w:bookmarkStart w:id="1162" w:name="_Toc81341337"/>
      <w:bookmarkStart w:id="1163" w:name="_Toc20714"/>
      <w:bookmarkStart w:id="1164" w:name="_Toc66195380"/>
    </w:p>
    <w:p w14:paraId="2CCD9F24">
      <w:pPr>
        <w:rPr>
          <w:rFonts w:ascii="宋体" w:cs="宋体"/>
          <w:color w:val="auto"/>
          <w:highlight w:val="none"/>
        </w:rPr>
      </w:pPr>
      <w:r>
        <w:rPr>
          <w:rFonts w:ascii="宋体" w:cs="宋体"/>
          <w:color w:val="auto"/>
          <w:highlight w:val="none"/>
        </w:rPr>
        <w:br w:type="page"/>
      </w:r>
    </w:p>
    <w:p w14:paraId="675F05BD">
      <w:pPr>
        <w:widowControl/>
        <w:ind w:firstLine="2570"/>
        <w:jc w:val="left"/>
        <w:rPr>
          <w:color w:val="auto"/>
          <w:highlight w:val="none"/>
        </w:rPr>
      </w:pPr>
      <w:r>
        <w:rPr>
          <w:rFonts w:hint="eastAsia" w:ascii="宋体" w:hAnsi="宋体" w:cs="宋体"/>
          <w:b/>
          <w:bCs/>
          <w:color w:val="auto"/>
          <w:kern w:val="0"/>
          <w:sz w:val="32"/>
          <w:szCs w:val="32"/>
          <w:highlight w:val="none"/>
        </w:rPr>
        <w:t>一、资格文件部分格式</w:t>
      </w:r>
      <w:r>
        <w:rPr>
          <w:rFonts w:ascii="仿宋" w:hAnsi="仿宋" w:eastAsia="仿宋" w:cs="仿宋"/>
          <w:b/>
          <w:bCs/>
          <w:color w:val="auto"/>
          <w:kern w:val="0"/>
          <w:sz w:val="32"/>
          <w:szCs w:val="32"/>
          <w:highlight w:val="none"/>
        </w:rPr>
        <w:t xml:space="preserve"> </w:t>
      </w:r>
    </w:p>
    <w:p w14:paraId="436BFF73">
      <w:pPr>
        <w:widowControl/>
        <w:ind w:firstLine="2409"/>
        <w:jc w:val="left"/>
        <w:rPr>
          <w:rFonts w:ascii="仿宋" w:hAnsi="仿宋" w:eastAsia="仿宋" w:cs="仿宋"/>
          <w:color w:val="auto"/>
          <w:kern w:val="0"/>
          <w:sz w:val="30"/>
          <w:szCs w:val="30"/>
          <w:highlight w:val="none"/>
        </w:rPr>
      </w:pPr>
    </w:p>
    <w:p w14:paraId="2133A5D0">
      <w:pPr>
        <w:widowControl/>
        <w:ind w:firstLine="2409"/>
        <w:jc w:val="left"/>
        <w:rPr>
          <w:rFonts w:ascii="仿宋" w:hAnsi="仿宋" w:eastAsia="仿宋" w:cs="仿宋"/>
          <w:color w:val="auto"/>
          <w:kern w:val="0"/>
          <w:sz w:val="30"/>
          <w:szCs w:val="30"/>
          <w:highlight w:val="none"/>
        </w:rPr>
      </w:pPr>
    </w:p>
    <w:p w14:paraId="556CD788">
      <w:pPr>
        <w:keepNext w:val="0"/>
        <w:keepLines w:val="0"/>
        <w:pageBreakBefore w:val="0"/>
        <w:widowControl/>
        <w:kinsoku/>
        <w:wordWrap/>
        <w:overflowPunct/>
        <w:topLinePunct w:val="0"/>
        <w:autoSpaceDE/>
        <w:autoSpaceDN/>
        <w:bidi w:val="0"/>
        <w:adjustRightInd/>
        <w:snapToGrid/>
        <w:ind w:left="0" w:leftChars="0" w:firstLine="0"/>
        <w:textAlignment w:val="auto"/>
        <w:rPr>
          <w:rFonts w:ascii="宋体" w:cs="宋体"/>
          <w:color w:val="auto"/>
          <w:kern w:val="0"/>
          <w:sz w:val="28"/>
          <w:szCs w:val="28"/>
          <w:highlight w:val="none"/>
        </w:rPr>
      </w:pPr>
      <w:r>
        <w:rPr>
          <w:rFonts w:hint="eastAsia" w:ascii="宋体" w:hAnsi="宋体" w:cs="宋体"/>
          <w:color w:val="auto"/>
          <w:kern w:val="0"/>
          <w:sz w:val="28"/>
          <w:szCs w:val="28"/>
          <w:highlight w:val="none"/>
        </w:rPr>
        <w:t>项目名称：</w:t>
      </w:r>
    </w:p>
    <w:p w14:paraId="4B95545F">
      <w:pPr>
        <w:keepNext w:val="0"/>
        <w:keepLines w:val="0"/>
        <w:pageBreakBefore w:val="0"/>
        <w:widowControl/>
        <w:kinsoku/>
        <w:wordWrap/>
        <w:overflowPunct/>
        <w:topLinePunct w:val="0"/>
        <w:autoSpaceDE/>
        <w:autoSpaceDN/>
        <w:bidi w:val="0"/>
        <w:adjustRightInd/>
        <w:snapToGrid/>
        <w:ind w:left="0" w:leftChars="0" w:firstLine="0"/>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项目编号：</w:t>
      </w:r>
    </w:p>
    <w:p w14:paraId="3AD2A3CB">
      <w:pPr>
        <w:keepNext w:val="0"/>
        <w:keepLines w:val="0"/>
        <w:pageBreakBefore w:val="0"/>
        <w:widowControl/>
        <w:kinsoku/>
        <w:wordWrap/>
        <w:overflowPunct/>
        <w:topLinePunct w:val="0"/>
        <w:autoSpaceDE/>
        <w:autoSpaceDN/>
        <w:bidi w:val="0"/>
        <w:adjustRightInd/>
        <w:snapToGrid/>
        <w:ind w:left="0" w:leftChars="0" w:firstLine="0"/>
        <w:textAlignment w:val="auto"/>
        <w:rPr>
          <w:rFonts w:ascii="宋体" w:cs="宋体"/>
          <w:color w:val="auto"/>
          <w:sz w:val="28"/>
          <w:szCs w:val="28"/>
          <w:highlight w:val="none"/>
        </w:rPr>
      </w:pPr>
      <w:r>
        <w:rPr>
          <w:rFonts w:hint="eastAsia" w:ascii="宋体" w:hAnsi="宋体" w:cs="宋体"/>
          <w:color w:val="auto"/>
          <w:kern w:val="0"/>
          <w:sz w:val="28"/>
          <w:szCs w:val="28"/>
          <w:highlight w:val="none"/>
        </w:rPr>
        <w:t>包号：</w:t>
      </w:r>
    </w:p>
    <w:p w14:paraId="3DE27013">
      <w:pPr>
        <w:keepNext w:val="0"/>
        <w:keepLines w:val="0"/>
        <w:pageBreakBefore w:val="0"/>
        <w:widowControl/>
        <w:kinsoku/>
        <w:wordWrap/>
        <w:overflowPunct/>
        <w:topLinePunct w:val="0"/>
        <w:autoSpaceDE/>
        <w:autoSpaceDN/>
        <w:bidi w:val="0"/>
        <w:adjustRightInd/>
        <w:snapToGrid/>
        <w:ind w:left="0" w:leftChars="0" w:firstLine="0"/>
        <w:jc w:val="center"/>
        <w:textAlignment w:val="auto"/>
        <w:rPr>
          <w:rFonts w:ascii="宋体" w:cs="宋体"/>
          <w:color w:val="auto"/>
          <w:kern w:val="0"/>
          <w:sz w:val="72"/>
          <w:szCs w:val="72"/>
          <w:highlight w:val="none"/>
        </w:rPr>
      </w:pPr>
    </w:p>
    <w:p w14:paraId="32F24DC3">
      <w:pPr>
        <w:keepNext w:val="0"/>
        <w:keepLines w:val="0"/>
        <w:pageBreakBefore w:val="0"/>
        <w:widowControl/>
        <w:kinsoku/>
        <w:wordWrap/>
        <w:overflowPunct/>
        <w:topLinePunct w:val="0"/>
        <w:autoSpaceDE/>
        <w:autoSpaceDN/>
        <w:bidi w:val="0"/>
        <w:adjustRightInd/>
        <w:snapToGrid/>
        <w:ind w:left="0" w:leftChars="0" w:firstLine="0"/>
        <w:jc w:val="center"/>
        <w:textAlignment w:val="auto"/>
        <w:rPr>
          <w:rFonts w:ascii="宋体" w:cs="宋体"/>
          <w:b/>
          <w:bCs/>
          <w:color w:val="auto"/>
          <w:kern w:val="0"/>
          <w:sz w:val="84"/>
          <w:szCs w:val="84"/>
          <w:highlight w:val="none"/>
        </w:rPr>
      </w:pPr>
      <w:r>
        <w:rPr>
          <w:rFonts w:hint="eastAsia" w:ascii="宋体" w:hAnsi="宋体" w:cs="宋体"/>
          <w:b/>
          <w:bCs/>
          <w:color w:val="auto"/>
          <w:kern w:val="0"/>
          <w:sz w:val="84"/>
          <w:szCs w:val="84"/>
          <w:highlight w:val="none"/>
        </w:rPr>
        <w:t>响应文件</w:t>
      </w:r>
    </w:p>
    <w:p w14:paraId="149E08E9">
      <w:pPr>
        <w:keepNext w:val="0"/>
        <w:keepLines w:val="0"/>
        <w:pageBreakBefore w:val="0"/>
        <w:widowControl/>
        <w:kinsoku/>
        <w:wordWrap/>
        <w:overflowPunct/>
        <w:topLinePunct w:val="0"/>
        <w:autoSpaceDE/>
        <w:autoSpaceDN/>
        <w:bidi w:val="0"/>
        <w:adjustRightInd/>
        <w:snapToGrid/>
        <w:ind w:left="0" w:leftChars="0" w:firstLine="0"/>
        <w:jc w:val="center"/>
        <w:textAlignment w:val="auto"/>
        <w:rPr>
          <w:rFonts w:ascii="宋体" w:cs="宋体"/>
          <w:b/>
          <w:bCs/>
          <w:color w:val="auto"/>
          <w:sz w:val="96"/>
          <w:szCs w:val="96"/>
          <w:highlight w:val="none"/>
        </w:rPr>
      </w:pPr>
      <w:r>
        <w:rPr>
          <w:rFonts w:hint="eastAsia" w:ascii="宋体" w:hAnsi="宋体" w:cs="宋体"/>
          <w:b/>
          <w:bCs/>
          <w:color w:val="auto"/>
          <w:kern w:val="0"/>
          <w:sz w:val="84"/>
          <w:szCs w:val="84"/>
          <w:highlight w:val="none"/>
        </w:rPr>
        <w:t>（资格文件）</w:t>
      </w:r>
    </w:p>
    <w:p w14:paraId="0DC888AC">
      <w:pPr>
        <w:widowControl/>
        <w:ind w:firstLine="2249"/>
        <w:jc w:val="left"/>
        <w:rPr>
          <w:rFonts w:ascii="宋体" w:cs="宋体"/>
          <w:color w:val="auto"/>
          <w:kern w:val="0"/>
          <w:sz w:val="28"/>
          <w:szCs w:val="28"/>
          <w:highlight w:val="none"/>
        </w:rPr>
      </w:pPr>
    </w:p>
    <w:p w14:paraId="612FE089">
      <w:pPr>
        <w:widowControl/>
        <w:ind w:firstLine="2249"/>
        <w:jc w:val="left"/>
        <w:rPr>
          <w:rFonts w:ascii="宋体" w:cs="宋体"/>
          <w:color w:val="auto"/>
          <w:kern w:val="0"/>
          <w:sz w:val="28"/>
          <w:szCs w:val="28"/>
          <w:highlight w:val="none"/>
        </w:rPr>
      </w:pPr>
    </w:p>
    <w:p w14:paraId="04C5CE80">
      <w:pPr>
        <w:widowControl/>
        <w:ind w:firstLine="2249"/>
        <w:jc w:val="left"/>
        <w:rPr>
          <w:rFonts w:ascii="宋体" w:cs="宋体"/>
          <w:color w:val="auto"/>
          <w:kern w:val="0"/>
          <w:sz w:val="28"/>
          <w:szCs w:val="28"/>
          <w:highlight w:val="none"/>
        </w:rPr>
      </w:pPr>
    </w:p>
    <w:p w14:paraId="338FB91A">
      <w:pPr>
        <w:widowControl/>
        <w:ind w:firstLine="2249"/>
        <w:jc w:val="left"/>
        <w:rPr>
          <w:rFonts w:ascii="宋体" w:cs="宋体"/>
          <w:color w:val="auto"/>
          <w:kern w:val="0"/>
          <w:sz w:val="28"/>
          <w:szCs w:val="28"/>
          <w:highlight w:val="none"/>
        </w:rPr>
      </w:pPr>
    </w:p>
    <w:p w14:paraId="2BBCE18E">
      <w:pPr>
        <w:pStyle w:val="61"/>
        <w:ind w:firstLine="2240"/>
        <w:outlineLvl w:val="9"/>
        <w:rPr>
          <w:rFonts w:ascii="宋体" w:cs="宋体"/>
          <w:color w:val="auto"/>
          <w:kern w:val="0"/>
          <w:sz w:val="28"/>
          <w:szCs w:val="28"/>
          <w:highlight w:val="none"/>
        </w:rPr>
      </w:pPr>
    </w:p>
    <w:p w14:paraId="0825C687">
      <w:pPr>
        <w:rPr>
          <w:color w:val="auto"/>
          <w:highlight w:val="none"/>
        </w:rPr>
      </w:pPr>
    </w:p>
    <w:p w14:paraId="2C3DD687">
      <w:pPr>
        <w:widowControl/>
        <w:spacing w:line="360" w:lineRule="auto"/>
        <w:ind w:firstLine="2249"/>
        <w:rPr>
          <w:rFonts w:ascii="宋体" w:cs="宋体"/>
          <w:color w:val="auto"/>
          <w:sz w:val="28"/>
          <w:szCs w:val="28"/>
          <w:highlight w:val="none"/>
        </w:rPr>
      </w:pPr>
      <w:r>
        <w:rPr>
          <w:rFonts w:hint="eastAsia" w:ascii="宋体" w:hAnsi="宋体" w:cs="宋体"/>
          <w:color w:val="auto"/>
          <w:kern w:val="0"/>
          <w:sz w:val="28"/>
          <w:szCs w:val="28"/>
          <w:highlight w:val="none"/>
        </w:rPr>
        <w:t>磋商响应供应商</w:t>
      </w:r>
      <w:r>
        <w:rPr>
          <w:rFonts w:hint="eastAsia" w:ascii="宋体" w:hAnsi="宋体" w:cs="宋体"/>
          <w:b/>
          <w:bCs/>
          <w:color w:val="auto"/>
          <w:kern w:val="0"/>
          <w:sz w:val="28"/>
          <w:szCs w:val="28"/>
          <w:highlight w:val="none"/>
        </w:rPr>
        <w:t>（单位电子印章）</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 xml:space="preserve"> </w:t>
      </w:r>
    </w:p>
    <w:p w14:paraId="5B5BB655">
      <w:pPr>
        <w:widowControl/>
        <w:spacing w:line="360" w:lineRule="auto"/>
        <w:ind w:firstLine="2249"/>
        <w:rPr>
          <w:rFonts w:ascii="宋体" w:cs="宋体"/>
          <w:color w:val="auto"/>
          <w:sz w:val="28"/>
          <w:szCs w:val="28"/>
          <w:highlight w:val="none"/>
        </w:rPr>
      </w:pPr>
      <w:r>
        <w:rPr>
          <w:rFonts w:hint="eastAsia" w:ascii="宋体" w:hAnsi="宋体" w:cs="宋体"/>
          <w:color w:val="auto"/>
          <w:kern w:val="0"/>
          <w:sz w:val="28"/>
          <w:szCs w:val="28"/>
          <w:highlight w:val="none"/>
        </w:rPr>
        <w:t>磋商响应供应商地址：</w:t>
      </w:r>
      <w:r>
        <w:rPr>
          <w:rFonts w:ascii="宋体" w:hAnsi="宋体" w:cs="宋体"/>
          <w:color w:val="auto"/>
          <w:kern w:val="0"/>
          <w:sz w:val="28"/>
          <w:szCs w:val="28"/>
          <w:highlight w:val="none"/>
        </w:rPr>
        <w:t xml:space="preserve"> </w:t>
      </w:r>
    </w:p>
    <w:p w14:paraId="686ECB0B">
      <w:pPr>
        <w:widowControl/>
        <w:spacing w:line="360" w:lineRule="auto"/>
        <w:ind w:firstLine="2249"/>
        <w:rPr>
          <w:rFonts w:ascii="宋体" w:cs="宋体"/>
          <w:color w:val="auto"/>
          <w:sz w:val="28"/>
          <w:szCs w:val="28"/>
          <w:highlight w:val="none"/>
        </w:rPr>
      </w:pPr>
      <w:r>
        <w:rPr>
          <w:rFonts w:hint="eastAsia" w:ascii="宋体" w:hAnsi="宋体" w:cs="宋体"/>
          <w:color w:val="auto"/>
          <w:kern w:val="0"/>
          <w:sz w:val="28"/>
          <w:szCs w:val="28"/>
          <w:highlight w:val="none"/>
        </w:rPr>
        <w:t>磋商响应供应商联系电话：</w:t>
      </w:r>
    </w:p>
    <w:p w14:paraId="7D7061F9">
      <w:pPr>
        <w:widowControl/>
        <w:spacing w:line="360" w:lineRule="auto"/>
        <w:ind w:firstLine="2249"/>
        <w:jc w:val="both"/>
        <w:rPr>
          <w:rFonts w:ascii="宋体" w:cs="宋体"/>
          <w:color w:val="auto"/>
          <w:sz w:val="28"/>
          <w:szCs w:val="28"/>
          <w:highlight w:val="none"/>
        </w:rPr>
      </w:pPr>
      <w:r>
        <w:rPr>
          <w:rFonts w:hint="eastAsia" w:ascii="宋体" w:hAnsi="宋体" w:cs="宋体"/>
          <w:color w:val="auto"/>
          <w:kern w:val="0"/>
          <w:sz w:val="28"/>
          <w:szCs w:val="28"/>
          <w:highlight w:val="none"/>
        </w:rPr>
        <w:t>年</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月</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日</w:t>
      </w:r>
    </w:p>
    <w:p w14:paraId="5B6B8CC2">
      <w:pPr>
        <w:rPr>
          <w:rFonts w:ascii="宋体" w:cs="宋体"/>
          <w:color w:val="auto"/>
          <w:highlight w:val="none"/>
        </w:rPr>
      </w:pPr>
    </w:p>
    <w:bookmarkEnd w:id="1162"/>
    <w:bookmarkEnd w:id="1163"/>
    <w:bookmarkEnd w:id="1164"/>
    <w:p w14:paraId="4803DFB1">
      <w:pPr>
        <w:keepNext/>
        <w:keepLines/>
        <w:spacing w:line="360" w:lineRule="auto"/>
        <w:jc w:val="left"/>
        <w:outlineLvl w:val="4"/>
        <w:rPr>
          <w:rFonts w:ascii="宋体" w:cs="宋体"/>
          <w:b/>
          <w:bCs/>
          <w:color w:val="auto"/>
          <w:sz w:val="28"/>
          <w:szCs w:val="28"/>
          <w:highlight w:val="none"/>
        </w:rPr>
      </w:pPr>
      <w:r>
        <w:rPr>
          <w:rFonts w:hint="eastAsia" w:ascii="宋体" w:hAnsi="宋体" w:cs="宋体"/>
          <w:b/>
          <w:bCs/>
          <w:color w:val="auto"/>
          <w:sz w:val="28"/>
          <w:szCs w:val="28"/>
          <w:highlight w:val="none"/>
        </w:rPr>
        <w:t>1</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、“符合《中华人民共和国政府采购法》第二十二条的规定”的证明文件</w:t>
      </w:r>
    </w:p>
    <w:p w14:paraId="57A974BF">
      <w:pPr>
        <w:adjustRightInd w:val="0"/>
        <w:snapToGrid w:val="0"/>
        <w:spacing w:line="360" w:lineRule="auto"/>
        <w:rPr>
          <w:rFonts w:ascii="宋体" w:cs="宋体"/>
          <w:b/>
          <w:bCs/>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sz w:val="24"/>
          <w:szCs w:val="24"/>
          <w:highlight w:val="none"/>
        </w:rPr>
        <w:t>（1）营业执照（或事业单位法人证书或执业许可证或自然人有效身份证明）</w:t>
      </w:r>
    </w:p>
    <w:p w14:paraId="1AF0AF5C">
      <w:pPr>
        <w:adjustRightInd w:val="0"/>
        <w:snapToGrid w:val="0"/>
        <w:spacing w:line="360" w:lineRule="auto"/>
        <w:ind w:firstLine="1928"/>
        <w:jc w:val="both"/>
        <w:rPr>
          <w:rFonts w:ascii="宋体" w:cs="宋体"/>
          <w:b/>
          <w:color w:val="auto"/>
          <w:sz w:val="24"/>
          <w:szCs w:val="24"/>
          <w:highlight w:val="none"/>
        </w:rPr>
      </w:pPr>
      <w:r>
        <w:rPr>
          <w:rFonts w:hint="eastAsia" w:ascii="宋体" w:hAnsi="宋体" w:cs="宋体"/>
          <w:b/>
          <w:color w:val="auto"/>
          <w:sz w:val="24"/>
          <w:szCs w:val="24"/>
          <w:highlight w:val="none"/>
        </w:rPr>
        <w:t>营业执照等证明文件</w:t>
      </w:r>
    </w:p>
    <w:tbl>
      <w:tblPr>
        <w:tblStyle w:val="65"/>
        <w:tblW w:w="5000" w:type="pct"/>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autofit"/>
        <w:tblCellMar>
          <w:top w:w="0" w:type="dxa"/>
          <w:left w:w="108" w:type="dxa"/>
          <w:bottom w:w="0" w:type="dxa"/>
          <w:right w:w="108" w:type="dxa"/>
        </w:tblCellMar>
      </w:tblPr>
      <w:tblGrid>
        <w:gridCol w:w="9288"/>
      </w:tblGrid>
      <w:tr w14:paraId="0687518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8274" w:hRule="atLeast"/>
        </w:trPr>
        <w:tc>
          <w:tcPr>
            <w:tcW w:w="5000" w:type="pct"/>
            <w:noWrap/>
            <w:vAlign w:val="center"/>
          </w:tcPr>
          <w:p w14:paraId="1E842C73">
            <w:pPr>
              <w:adjustRightInd w:val="0"/>
              <w:snapToGrid w:val="0"/>
              <w:spacing w:line="560" w:lineRule="exact"/>
              <w:ind w:firstLine="1928"/>
              <w:jc w:val="center"/>
              <w:rPr>
                <w:rFonts w:ascii="宋体" w:hAnsi="宋体"/>
                <w:b/>
                <w:color w:val="auto"/>
                <w:sz w:val="24"/>
                <w:szCs w:val="24"/>
                <w:highlight w:val="none"/>
              </w:rPr>
            </w:pPr>
            <w:r>
              <w:rPr>
                <w:rFonts w:hint="eastAsia" w:ascii="宋体" w:hAnsi="宋体"/>
                <w:b/>
                <w:color w:val="auto"/>
                <w:sz w:val="24"/>
                <w:szCs w:val="24"/>
                <w:highlight w:val="none"/>
              </w:rPr>
              <w:t>具有独立承担民事责任的能力的信用承诺书</w:t>
            </w:r>
          </w:p>
          <w:p w14:paraId="4FA9EAF4">
            <w:pPr>
              <w:adjustRightInd w:val="0"/>
              <w:snapToGrid w:val="0"/>
              <w:spacing w:line="560" w:lineRule="exact"/>
              <w:rPr>
                <w:rFonts w:ascii="宋体" w:hAnsi="宋体"/>
                <w:bCs/>
                <w:color w:val="auto"/>
                <w:szCs w:val="21"/>
                <w:highlight w:val="none"/>
              </w:rPr>
            </w:pPr>
          </w:p>
          <w:p w14:paraId="44A76ECD">
            <w:pPr>
              <w:spacing w:before="317" w:beforeLines="100" w:line="560" w:lineRule="exact"/>
              <w:ind w:firstLine="1687"/>
              <w:rPr>
                <w:rFonts w:ascii="宋体" w:hAnsi="宋体" w:cs="仿宋"/>
                <w:b/>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汾西县机关事务服务中心</w:t>
            </w:r>
            <w:r>
              <w:rPr>
                <w:rFonts w:hint="eastAsia" w:ascii="宋体" w:hAnsi="宋体" w:cs="宋体"/>
                <w:b/>
                <w:bCs/>
                <w:color w:val="auto"/>
                <w:kern w:val="0"/>
                <w:szCs w:val="21"/>
                <w:highlight w:val="none"/>
                <w:lang w:bidi="ar"/>
              </w:rPr>
              <w:t>：</w:t>
            </w:r>
          </w:p>
          <w:p w14:paraId="66529858">
            <w:pPr>
              <w:spacing w:before="317" w:beforeLines="100" w:line="560" w:lineRule="exact"/>
              <w:ind w:firstLine="420" w:firstLineChars="200"/>
              <w:rPr>
                <w:rFonts w:ascii="宋体" w:hAnsi="宋体"/>
                <w:bCs/>
                <w:color w:val="auto"/>
                <w:szCs w:val="21"/>
                <w:highlight w:val="none"/>
              </w:rPr>
            </w:pPr>
            <w:r>
              <w:rPr>
                <w:rFonts w:hint="eastAsia" w:ascii="宋体" w:hAnsi="宋体"/>
                <w:bCs/>
                <w:color w:val="auto"/>
                <w:szCs w:val="21"/>
                <w:highlight w:val="none"/>
              </w:rPr>
              <w:t>我方参加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cs="宋体"/>
                <w:color w:val="auto"/>
                <w:kern w:val="0"/>
                <w:szCs w:val="21"/>
                <w:highlight w:val="none"/>
                <w:u w:val="single"/>
                <w:lang w:bidi="ar"/>
              </w:rPr>
              <w:t xml:space="preserve">[项目名称]    [项目编号] </w:t>
            </w:r>
            <w:r>
              <w:rPr>
                <w:rFonts w:ascii="宋体" w:hAnsi="宋体"/>
                <w:bCs/>
                <w:color w:val="auto"/>
                <w:szCs w:val="21"/>
                <w:highlight w:val="none"/>
                <w:u w:val="single"/>
              </w:rPr>
              <w:t xml:space="preserve">                            </w:t>
            </w:r>
            <w:r>
              <w:rPr>
                <w:rFonts w:hint="eastAsia" w:ascii="宋体" w:hAnsi="宋体"/>
                <w:bCs/>
                <w:color w:val="auto"/>
                <w:szCs w:val="21"/>
                <w:highlight w:val="none"/>
              </w:rPr>
              <w:t>的政府采购活动，依据</w:t>
            </w:r>
            <w:r>
              <w:rPr>
                <w:rFonts w:hint="eastAsia" w:ascii="宋体" w:hAnsi="宋体" w:cs="宋体"/>
                <w:color w:val="auto"/>
                <w:kern w:val="0"/>
                <w:szCs w:val="21"/>
                <w:highlight w:val="none"/>
                <w:lang w:bidi="ar"/>
              </w:rPr>
              <w:t>竞争性磋商</w:t>
            </w:r>
            <w:r>
              <w:rPr>
                <w:rFonts w:hint="eastAsia" w:ascii="宋体" w:hAnsi="宋体"/>
                <w:bCs/>
                <w:color w:val="auto"/>
                <w:szCs w:val="21"/>
                <w:highlight w:val="none"/>
              </w:rPr>
              <w:t>文件相关规定，郑重承诺：我方具有</w:t>
            </w:r>
            <w:r>
              <w:rPr>
                <w:rFonts w:hint="eastAsia" w:ascii="宋体" w:hAnsi="宋体" w:cs="仿宋"/>
                <w:color w:val="auto"/>
                <w:szCs w:val="21"/>
                <w:highlight w:val="none"/>
              </w:rPr>
              <w:t>独立承担民事责任能力</w:t>
            </w:r>
            <w:r>
              <w:rPr>
                <w:rFonts w:hint="eastAsia" w:ascii="宋体" w:hAnsi="宋体"/>
                <w:bCs/>
                <w:color w:val="auto"/>
                <w:szCs w:val="21"/>
                <w:highlight w:val="none"/>
              </w:rPr>
              <w:t>。</w:t>
            </w:r>
            <w:r>
              <w:rPr>
                <w:rFonts w:ascii="宋体" w:hAnsi="宋体"/>
                <w:color w:val="auto"/>
                <w:szCs w:val="21"/>
                <w:highlight w:val="none"/>
              </w:rPr>
              <w:t>如有虚假或隐瞒，愿意承担一切后果。</w:t>
            </w:r>
          </w:p>
          <w:p w14:paraId="09AB5B10">
            <w:pPr>
              <w:spacing w:line="560" w:lineRule="exact"/>
              <w:ind w:firstLine="420" w:firstLineChars="200"/>
              <w:rPr>
                <w:rFonts w:ascii="宋体" w:hAnsi="宋体"/>
                <w:bCs/>
                <w:color w:val="auto"/>
                <w:szCs w:val="21"/>
                <w:highlight w:val="none"/>
              </w:rPr>
            </w:pPr>
            <w:r>
              <w:rPr>
                <w:rFonts w:hint="eastAsia" w:ascii="宋体" w:hAnsi="宋体"/>
                <w:bCs/>
                <w:color w:val="auto"/>
                <w:szCs w:val="21"/>
                <w:highlight w:val="none"/>
              </w:rPr>
              <w:t>特此承诺。</w:t>
            </w:r>
          </w:p>
          <w:p w14:paraId="0DD1284B">
            <w:pPr>
              <w:spacing w:before="317" w:beforeLines="100" w:line="560" w:lineRule="exact"/>
              <w:ind w:firstLine="1687"/>
              <w:jc w:val="center"/>
              <w:rPr>
                <w:rFonts w:ascii="宋体" w:hAnsi="宋体"/>
                <w:color w:val="auto"/>
                <w:szCs w:val="21"/>
                <w:highlight w:val="none"/>
                <w:u w:val="single"/>
              </w:rPr>
            </w:pPr>
            <w:r>
              <w:rPr>
                <w:rFonts w:hint="eastAsia" w:ascii="宋体" w:hAnsi="宋体" w:cs="宋体"/>
                <w:b/>
                <w:bCs/>
                <w:color w:val="auto"/>
                <w:kern w:val="0"/>
                <w:szCs w:val="21"/>
                <w:highlight w:val="none"/>
                <w:lang w:bidi="ar"/>
              </w:rPr>
              <w:t xml:space="preserve">                              磋商响应供应商（单位电子印章） </w:t>
            </w:r>
            <w:r>
              <w:rPr>
                <w:rFonts w:hint="eastAsia" w:ascii="宋体" w:hAnsi="宋体"/>
                <w:color w:val="auto"/>
                <w:szCs w:val="21"/>
                <w:highlight w:val="none"/>
              </w:rPr>
              <w:t>：</w:t>
            </w:r>
          </w:p>
          <w:p w14:paraId="2C03708E">
            <w:pPr>
              <w:spacing w:line="560" w:lineRule="exact"/>
              <w:ind w:firstLine="1687"/>
              <w:jc w:val="center"/>
              <w:rPr>
                <w:rFonts w:ascii="宋体" w:hAnsi="宋体"/>
                <w:color w:val="auto"/>
                <w:szCs w:val="21"/>
                <w:highlight w:val="none"/>
              </w:rPr>
            </w:pPr>
            <w:r>
              <w:rPr>
                <w:rFonts w:hint="eastAsia" w:ascii="宋体" w:hAnsi="宋体" w:cs="宋体"/>
                <w:b/>
                <w:bCs/>
                <w:color w:val="auto"/>
                <w:kern w:val="0"/>
                <w:szCs w:val="21"/>
                <w:highlight w:val="none"/>
                <w:lang w:bidi="ar"/>
              </w:rPr>
              <w:t xml:space="preserve">                             日期：_______年___  月____日</w:t>
            </w:r>
          </w:p>
          <w:p w14:paraId="1B01D0FA">
            <w:pPr>
              <w:spacing w:line="360" w:lineRule="auto"/>
              <w:jc w:val="left"/>
              <w:rPr>
                <w:rFonts w:ascii="宋体" w:hAnsi="宋体" w:cs="宋体"/>
                <w:color w:val="auto"/>
                <w:szCs w:val="21"/>
                <w:highlight w:val="none"/>
              </w:rPr>
            </w:pPr>
          </w:p>
          <w:p w14:paraId="2FBAD50C">
            <w:pPr>
              <w:spacing w:line="360" w:lineRule="auto"/>
              <w:jc w:val="left"/>
              <w:rPr>
                <w:rFonts w:ascii="宋体" w:cs="宋体"/>
                <w:color w:val="auto"/>
                <w:szCs w:val="21"/>
                <w:highlight w:val="none"/>
              </w:rPr>
            </w:pPr>
            <w:r>
              <w:rPr>
                <w:rFonts w:hint="eastAsia" w:ascii="宋体" w:hAnsi="宋体" w:cs="宋体"/>
                <w:color w:val="auto"/>
                <w:szCs w:val="21"/>
                <w:highlight w:val="none"/>
              </w:rPr>
              <w:t>证明材料：营业执照（或事业单位法人证书或执业许可证或自然人有效身份证明）（提供复印件加盖磋商响应供应商公章）。</w:t>
            </w:r>
          </w:p>
          <w:p w14:paraId="2D8BF91D">
            <w:pPr>
              <w:spacing w:line="360" w:lineRule="auto"/>
              <w:jc w:val="left"/>
              <w:rPr>
                <w:rFonts w:ascii="宋体" w:cs="宋体"/>
                <w:color w:val="auto"/>
                <w:szCs w:val="21"/>
                <w:highlight w:val="none"/>
              </w:rPr>
            </w:pPr>
          </w:p>
          <w:p w14:paraId="6DE09983">
            <w:pPr>
              <w:spacing w:line="360" w:lineRule="auto"/>
              <w:jc w:val="left"/>
              <w:rPr>
                <w:rFonts w:ascii="宋体" w:cs="宋体"/>
                <w:color w:val="auto"/>
                <w:szCs w:val="21"/>
                <w:highlight w:val="none"/>
              </w:rPr>
            </w:pPr>
            <w:r>
              <w:rPr>
                <w:rFonts w:hint="eastAsia" w:ascii="宋体" w:hAnsi="宋体" w:cs="宋体"/>
                <w:color w:val="auto"/>
                <w:szCs w:val="21"/>
                <w:highlight w:val="none"/>
              </w:rPr>
              <w:t>提示和说明：</w:t>
            </w:r>
          </w:p>
          <w:p w14:paraId="5C6E1779">
            <w:pPr>
              <w:spacing w:line="360" w:lineRule="auto"/>
              <w:ind w:firstLine="317" w:firstLineChars="151"/>
              <w:jc w:val="left"/>
              <w:rPr>
                <w:rFonts w:ascii="宋体" w:cs="宋体"/>
                <w:i/>
                <w:color w:val="auto"/>
                <w:szCs w:val="21"/>
                <w:highlight w:val="none"/>
              </w:rPr>
            </w:pPr>
            <w:r>
              <w:rPr>
                <w:rFonts w:hint="eastAsia" w:ascii="宋体" w:hAnsi="宋体" w:cs="宋体"/>
                <w:color w:val="auto"/>
                <w:szCs w:val="21"/>
                <w:highlight w:val="none"/>
              </w:rPr>
              <w:t>企业或个体工商户提供有效的“营业执照”；事业单位提供有效的“事业单位法人证书”；非企业专业服务机构提供执业许可证等证明文件；自然人（中国公民）提供个人有效身份证明文件。</w:t>
            </w:r>
          </w:p>
        </w:tc>
      </w:tr>
    </w:tbl>
    <w:p w14:paraId="10506AD6">
      <w:pPr>
        <w:adjustRightInd w:val="0"/>
        <w:snapToGrid w:val="0"/>
        <w:spacing w:line="480" w:lineRule="auto"/>
        <w:rPr>
          <w:rFonts w:ascii="宋体" w:cs="宋体"/>
          <w:color w:val="auto"/>
          <w:highlight w:val="none"/>
        </w:rPr>
      </w:pPr>
    </w:p>
    <w:p w14:paraId="781F5AB2">
      <w:pPr>
        <w:adjustRightInd w:val="0"/>
        <w:snapToGrid w:val="0"/>
        <w:spacing w:line="480" w:lineRule="auto"/>
        <w:rPr>
          <w:rFonts w:ascii="宋体" w:cs="宋体"/>
          <w:color w:val="auto"/>
          <w:highlight w:val="none"/>
        </w:rPr>
      </w:pPr>
    </w:p>
    <w:p w14:paraId="65E75F64">
      <w:pPr>
        <w:ind w:firstLine="1928"/>
        <w:rPr>
          <w:rFonts w:ascii="宋体" w:cs="宋体"/>
          <w:b/>
          <w:color w:val="auto"/>
          <w:sz w:val="24"/>
          <w:highlight w:val="none"/>
        </w:rPr>
      </w:pPr>
      <w:r>
        <w:rPr>
          <w:rFonts w:ascii="宋体" w:cs="宋体"/>
          <w:b/>
          <w:color w:val="auto"/>
          <w:sz w:val="24"/>
          <w:highlight w:val="none"/>
        </w:rPr>
        <w:br w:type="page"/>
      </w:r>
    </w:p>
    <w:p w14:paraId="78435B90">
      <w:pPr>
        <w:widowControl/>
        <w:spacing w:line="360" w:lineRule="auto"/>
        <w:ind w:firstLine="482" w:firstLineChars="200"/>
        <w:jc w:val="left"/>
        <w:rPr>
          <w:rFonts w:ascii="宋体" w:hAnsi="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kern w:val="0"/>
          <w:sz w:val="24"/>
          <w:szCs w:val="24"/>
          <w:highlight w:val="none"/>
          <w:lang w:bidi="ar"/>
        </w:rPr>
        <w:t>（2）具有良好的商业信誉和健全的财务会计制度</w:t>
      </w:r>
    </w:p>
    <w:p w14:paraId="4B1C9427">
      <w:pPr>
        <w:widowControl/>
        <w:spacing w:line="360" w:lineRule="auto"/>
        <w:ind w:firstLine="482" w:firstLineChars="200"/>
        <w:jc w:val="center"/>
        <w:rPr>
          <w:rFonts w:ascii="宋体" w:hAnsi="宋体" w:cs="宋体"/>
          <w:b/>
          <w:bCs/>
          <w:color w:val="auto"/>
          <w:kern w:val="0"/>
          <w:sz w:val="24"/>
          <w:szCs w:val="24"/>
          <w:highlight w:val="none"/>
          <w:lang w:bidi="ar"/>
        </w:rPr>
      </w:pPr>
    </w:p>
    <w:p w14:paraId="226C8B4A">
      <w:pPr>
        <w:widowControl/>
        <w:spacing w:line="360" w:lineRule="auto"/>
        <w:ind w:firstLine="482" w:firstLineChars="200"/>
        <w:jc w:val="center"/>
        <w:rPr>
          <w:rFonts w:ascii="宋体" w:hAnsi="宋体" w:cs="宋体"/>
          <w:color w:val="auto"/>
          <w:sz w:val="24"/>
          <w:szCs w:val="24"/>
          <w:highlight w:val="none"/>
        </w:rPr>
      </w:pPr>
      <w:r>
        <w:rPr>
          <w:rFonts w:hint="eastAsia" w:ascii="宋体" w:hAnsi="宋体" w:cs="宋体"/>
          <w:b/>
          <w:bCs/>
          <w:color w:val="auto"/>
          <w:kern w:val="0"/>
          <w:sz w:val="24"/>
          <w:szCs w:val="24"/>
          <w:highlight w:val="none"/>
          <w:lang w:bidi="ar"/>
        </w:rPr>
        <w:t>具有良好的商业信誉和健全的财务会计制度的承诺函</w:t>
      </w:r>
    </w:p>
    <w:p w14:paraId="392857AC">
      <w:pPr>
        <w:widowControl/>
        <w:spacing w:line="360" w:lineRule="auto"/>
        <w:ind w:firstLine="422" w:firstLineChars="200"/>
        <w:jc w:val="left"/>
        <w:rPr>
          <w:rFonts w:ascii="宋体" w:hAnsi="宋体" w:cs="宋体"/>
          <w:b/>
          <w:bCs/>
          <w:color w:val="auto"/>
          <w:kern w:val="0"/>
          <w:szCs w:val="21"/>
          <w:highlight w:val="none"/>
          <w:lang w:bidi="ar"/>
        </w:rPr>
      </w:pPr>
    </w:p>
    <w:p w14:paraId="5BB82764">
      <w:pPr>
        <w:widowControl/>
        <w:spacing w:line="360" w:lineRule="auto"/>
        <w:ind w:firstLine="1687"/>
        <w:jc w:val="lef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汾西县机关事务服务中心</w:t>
      </w:r>
      <w:r>
        <w:rPr>
          <w:rFonts w:hint="eastAsia" w:ascii="宋体" w:hAnsi="宋体" w:cs="宋体"/>
          <w:b/>
          <w:bCs/>
          <w:color w:val="auto"/>
          <w:kern w:val="0"/>
          <w:szCs w:val="21"/>
          <w:highlight w:val="none"/>
          <w:lang w:bidi="ar"/>
        </w:rPr>
        <w:t>：</w:t>
      </w:r>
    </w:p>
    <w:p w14:paraId="42CC133A">
      <w:pPr>
        <w:widowControl/>
        <w:ind w:firstLine="422" w:firstLineChars="200"/>
        <w:jc w:val="left"/>
        <w:rPr>
          <w:rFonts w:ascii="宋体" w:hAnsi="宋体" w:cs="宋体"/>
          <w:b/>
          <w:bCs/>
          <w:color w:val="auto"/>
          <w:kern w:val="0"/>
          <w:szCs w:val="21"/>
          <w:highlight w:val="none"/>
          <w:lang w:bidi="ar"/>
        </w:rPr>
      </w:pPr>
    </w:p>
    <w:p w14:paraId="2A0A612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我方参加</w:t>
      </w:r>
      <w:r>
        <w:rPr>
          <w:rFonts w:hint="eastAsia" w:ascii="宋体" w:hAnsi="宋体" w:cs="宋体"/>
          <w:color w:val="auto"/>
          <w:kern w:val="0"/>
          <w:szCs w:val="21"/>
          <w:highlight w:val="none"/>
          <w:u w:val="single"/>
          <w:lang w:bidi="ar"/>
        </w:rPr>
        <w:t xml:space="preserve">[项目名称]    [项目编号]             </w:t>
      </w:r>
      <w:r>
        <w:rPr>
          <w:rFonts w:hint="eastAsia" w:ascii="宋体" w:hAnsi="宋体" w:cs="宋体"/>
          <w:color w:val="auto"/>
          <w:kern w:val="0"/>
          <w:szCs w:val="21"/>
          <w:highlight w:val="none"/>
          <w:lang w:bidi="ar"/>
        </w:rPr>
        <w:t xml:space="preserve">的政府采购活动，依据竞争性磋商文件相关规定，郑重承诺：我方具有良好的商业信誉和健全的财务会计制度的承诺函，符合本项目竞争性磋商文件规定的磋商响应供应商资格要求，如中标，我方将按我方磋商响应文件承诺，保证合同顺利履行。如有虚假或隐瞒，采购人可取消我方任何资格（投标/谈判/中标（成交）/签订合同），我方对此无任何异议，并愿意承担一切后果和责任。 </w:t>
      </w:r>
    </w:p>
    <w:p w14:paraId="6B3CE64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特此承诺 </w:t>
      </w:r>
    </w:p>
    <w:p w14:paraId="1A5B5A4F">
      <w:pPr>
        <w:widowControl/>
        <w:spacing w:line="360" w:lineRule="auto"/>
        <w:ind w:firstLine="2880"/>
        <w:jc w:val="left"/>
        <w:rPr>
          <w:rFonts w:ascii="宋体" w:hAnsi="宋体" w:cs="宋体"/>
          <w:b/>
          <w:bCs/>
          <w:color w:val="auto"/>
          <w:kern w:val="0"/>
          <w:szCs w:val="21"/>
          <w:highlight w:val="none"/>
          <w:lang w:bidi="ar"/>
        </w:rPr>
      </w:pPr>
    </w:p>
    <w:p w14:paraId="3DA44FCE">
      <w:pPr>
        <w:widowControl/>
        <w:wordWrap w:val="0"/>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kern w:val="0"/>
          <w:szCs w:val="21"/>
          <w:highlight w:val="none"/>
          <w:lang w:bidi="ar"/>
        </w:rPr>
        <w:t xml:space="preserve">磋商响应供应商（单位电子印章） ： ____________ </w:t>
      </w:r>
    </w:p>
    <w:p w14:paraId="63967A22">
      <w:pPr>
        <w:widowControl/>
        <w:wordWrap w:val="0"/>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kern w:val="0"/>
          <w:szCs w:val="21"/>
          <w:highlight w:val="none"/>
          <w:lang w:bidi="ar"/>
        </w:rPr>
        <w:t xml:space="preserve">日期：________年____月____日 </w:t>
      </w:r>
    </w:p>
    <w:p w14:paraId="1ED86490">
      <w:pPr>
        <w:pageBreakBefore/>
        <w:widowControl/>
        <w:spacing w:line="360" w:lineRule="auto"/>
        <w:ind w:firstLine="482" w:firstLineChars="200"/>
        <w:jc w:val="left"/>
        <w:rPr>
          <w:rFonts w:ascii="宋体" w:hAnsi="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kern w:val="0"/>
          <w:sz w:val="24"/>
          <w:szCs w:val="24"/>
          <w:highlight w:val="none"/>
          <w:lang w:bidi="ar"/>
        </w:rPr>
        <w:t>（3）具有履行合同所必需的设备和专业技术能力</w:t>
      </w:r>
    </w:p>
    <w:p w14:paraId="6E96A59A">
      <w:pPr>
        <w:widowControl/>
        <w:spacing w:line="360" w:lineRule="auto"/>
        <w:ind w:firstLine="482" w:firstLineChars="200"/>
        <w:jc w:val="center"/>
        <w:rPr>
          <w:rFonts w:ascii="宋体" w:hAnsi="宋体" w:cs="宋体"/>
          <w:b/>
          <w:bCs/>
          <w:color w:val="auto"/>
          <w:kern w:val="0"/>
          <w:sz w:val="24"/>
          <w:szCs w:val="24"/>
          <w:highlight w:val="none"/>
          <w:lang w:bidi="ar"/>
        </w:rPr>
      </w:pPr>
    </w:p>
    <w:p w14:paraId="245BF51D">
      <w:pPr>
        <w:widowControl/>
        <w:spacing w:line="360" w:lineRule="auto"/>
        <w:ind w:firstLine="482" w:firstLineChars="200"/>
        <w:jc w:val="center"/>
        <w:rPr>
          <w:rFonts w:ascii="宋体" w:hAnsi="宋体" w:cs="宋体"/>
          <w:color w:val="auto"/>
          <w:sz w:val="24"/>
          <w:szCs w:val="24"/>
          <w:highlight w:val="none"/>
        </w:rPr>
      </w:pPr>
      <w:r>
        <w:rPr>
          <w:rFonts w:hint="eastAsia" w:ascii="宋体" w:hAnsi="宋体" w:cs="宋体"/>
          <w:b/>
          <w:bCs/>
          <w:color w:val="auto"/>
          <w:kern w:val="0"/>
          <w:sz w:val="24"/>
          <w:szCs w:val="24"/>
          <w:highlight w:val="none"/>
          <w:lang w:bidi="ar"/>
        </w:rPr>
        <w:t>具有履行合同所必需的设备和专业技术能力的承诺函</w:t>
      </w:r>
    </w:p>
    <w:p w14:paraId="76D73039">
      <w:pPr>
        <w:widowControl/>
        <w:spacing w:line="360" w:lineRule="auto"/>
        <w:ind w:firstLine="422" w:firstLineChars="200"/>
        <w:jc w:val="left"/>
        <w:rPr>
          <w:rFonts w:ascii="宋体" w:hAnsi="宋体" w:cs="宋体"/>
          <w:b/>
          <w:bCs/>
          <w:color w:val="auto"/>
          <w:kern w:val="0"/>
          <w:szCs w:val="21"/>
          <w:highlight w:val="none"/>
          <w:lang w:bidi="ar"/>
        </w:rPr>
      </w:pPr>
    </w:p>
    <w:p w14:paraId="386200FB">
      <w:pPr>
        <w:widowControl/>
        <w:spacing w:line="360" w:lineRule="auto"/>
        <w:ind w:firstLine="1687"/>
        <w:jc w:val="lef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汾西县机关事务服务中心</w:t>
      </w:r>
      <w:r>
        <w:rPr>
          <w:rFonts w:hint="eastAsia" w:ascii="宋体" w:hAnsi="宋体" w:cs="宋体"/>
          <w:b/>
          <w:bCs/>
          <w:color w:val="auto"/>
          <w:kern w:val="0"/>
          <w:szCs w:val="21"/>
          <w:highlight w:val="none"/>
          <w:lang w:bidi="ar"/>
        </w:rPr>
        <w:t>：</w:t>
      </w:r>
    </w:p>
    <w:p w14:paraId="22CC63D8">
      <w:pPr>
        <w:widowControl/>
        <w:ind w:firstLine="422" w:firstLineChars="200"/>
        <w:jc w:val="left"/>
        <w:rPr>
          <w:rFonts w:ascii="宋体" w:hAnsi="宋体" w:cs="宋体"/>
          <w:b/>
          <w:bCs/>
          <w:color w:val="auto"/>
          <w:kern w:val="0"/>
          <w:szCs w:val="21"/>
          <w:highlight w:val="none"/>
          <w:lang w:bidi="ar"/>
        </w:rPr>
      </w:pPr>
    </w:p>
    <w:p w14:paraId="161F13F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我方郑重声明，我方具有履行</w:t>
      </w:r>
      <w:r>
        <w:rPr>
          <w:rFonts w:hint="eastAsia" w:ascii="宋体" w:hAnsi="宋体" w:cs="宋体"/>
          <w:color w:val="auto"/>
          <w:kern w:val="0"/>
          <w:szCs w:val="21"/>
          <w:highlight w:val="none"/>
          <w:u w:val="single"/>
          <w:lang w:bidi="ar"/>
        </w:rPr>
        <w:t xml:space="preserve">[项目名称]     [项目编号]       </w:t>
      </w:r>
      <w:r>
        <w:rPr>
          <w:rFonts w:hint="eastAsia" w:ascii="宋体" w:hAnsi="宋体" w:cs="宋体"/>
          <w:color w:val="auto"/>
          <w:kern w:val="0"/>
          <w:szCs w:val="21"/>
          <w:highlight w:val="none"/>
          <w:lang w:bidi="ar"/>
        </w:rPr>
        <w:t xml:space="preserve">合同所必需的设备和专业技术能力，如中标/成交，我方将按我方磋商响应文件承诺，保证合同顺利履行。如有虚假或隐瞒，愿意承担一切后果。 </w:t>
      </w:r>
    </w:p>
    <w:p w14:paraId="414D8A9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特此承诺 </w:t>
      </w:r>
    </w:p>
    <w:p w14:paraId="56CA0ACF">
      <w:pPr>
        <w:widowControl/>
        <w:spacing w:line="360" w:lineRule="auto"/>
        <w:ind w:firstLine="422" w:firstLineChars="200"/>
        <w:jc w:val="left"/>
        <w:rPr>
          <w:rFonts w:ascii="宋体" w:hAnsi="宋体" w:cs="宋体"/>
          <w:b/>
          <w:bCs/>
          <w:color w:val="auto"/>
          <w:kern w:val="0"/>
          <w:szCs w:val="21"/>
          <w:highlight w:val="none"/>
          <w:lang w:bidi="ar"/>
        </w:rPr>
      </w:pPr>
    </w:p>
    <w:p w14:paraId="200D8623">
      <w:pPr>
        <w:widowControl/>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kern w:val="0"/>
          <w:szCs w:val="21"/>
          <w:highlight w:val="none"/>
          <w:lang w:bidi="ar"/>
        </w:rPr>
        <w:t xml:space="preserve">磋商响应供应商（单位电子印章）：_______________________  </w:t>
      </w:r>
    </w:p>
    <w:p w14:paraId="41DFA583">
      <w:pPr>
        <w:widowControl/>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kern w:val="0"/>
          <w:szCs w:val="21"/>
          <w:highlight w:val="none"/>
          <w:lang w:bidi="ar"/>
        </w:rPr>
        <w:t xml:space="preserve">日期：________年____月____日 </w:t>
      </w:r>
    </w:p>
    <w:p w14:paraId="3BDD604B">
      <w:pPr>
        <w:pageBreakBefore/>
        <w:widowControl/>
        <w:spacing w:line="360" w:lineRule="auto"/>
        <w:ind w:firstLine="482" w:firstLineChars="200"/>
        <w:jc w:val="left"/>
        <w:rPr>
          <w:rFonts w:ascii="宋体" w:hAnsi="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kern w:val="0"/>
          <w:sz w:val="24"/>
          <w:szCs w:val="24"/>
          <w:highlight w:val="none"/>
          <w:lang w:bidi="ar"/>
        </w:rPr>
        <w:t xml:space="preserve">（4）依法缴纳税收和社会保障金的良好记录 </w:t>
      </w:r>
    </w:p>
    <w:p w14:paraId="36C3DE96">
      <w:pPr>
        <w:widowControl/>
        <w:ind w:firstLine="482" w:firstLineChars="200"/>
        <w:jc w:val="center"/>
        <w:rPr>
          <w:rFonts w:ascii="宋体" w:hAnsi="宋体" w:cs="宋体"/>
          <w:b/>
          <w:bCs/>
          <w:color w:val="auto"/>
          <w:kern w:val="0"/>
          <w:sz w:val="24"/>
          <w:szCs w:val="24"/>
          <w:highlight w:val="none"/>
          <w:lang w:bidi="ar"/>
        </w:rPr>
      </w:pPr>
    </w:p>
    <w:p w14:paraId="133EE2F5">
      <w:pPr>
        <w:widowControl/>
        <w:spacing w:line="360" w:lineRule="auto"/>
        <w:ind w:firstLine="482" w:firstLineChars="200"/>
        <w:jc w:val="center"/>
        <w:rPr>
          <w:rFonts w:ascii="宋体" w:hAnsi="宋体" w:cs="宋体"/>
          <w:color w:val="auto"/>
          <w:sz w:val="24"/>
          <w:szCs w:val="24"/>
          <w:highlight w:val="none"/>
        </w:rPr>
      </w:pPr>
      <w:r>
        <w:rPr>
          <w:rFonts w:hint="eastAsia" w:ascii="宋体" w:hAnsi="宋体" w:cs="宋体"/>
          <w:b/>
          <w:bCs/>
          <w:color w:val="auto"/>
          <w:kern w:val="0"/>
          <w:sz w:val="24"/>
          <w:szCs w:val="24"/>
          <w:highlight w:val="none"/>
          <w:lang w:bidi="ar"/>
        </w:rPr>
        <w:t>依法缴纳税收和社会保障金的承诺函</w:t>
      </w:r>
    </w:p>
    <w:p w14:paraId="6E9588E6">
      <w:pPr>
        <w:widowControl/>
        <w:ind w:firstLine="420" w:firstLineChars="200"/>
        <w:jc w:val="left"/>
        <w:rPr>
          <w:rFonts w:ascii="宋体" w:hAnsi="宋体" w:cs="宋体"/>
          <w:color w:val="auto"/>
          <w:szCs w:val="21"/>
          <w:highlight w:val="none"/>
        </w:rPr>
      </w:pPr>
    </w:p>
    <w:p w14:paraId="79B1CCB9">
      <w:pPr>
        <w:widowControl/>
        <w:spacing w:line="360" w:lineRule="auto"/>
        <w:ind w:firstLine="1687"/>
        <w:jc w:val="lef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汾西县机关事务服务中心</w:t>
      </w:r>
      <w:r>
        <w:rPr>
          <w:rFonts w:hint="eastAsia" w:ascii="宋体" w:hAnsi="宋体" w:cs="宋体"/>
          <w:b/>
          <w:bCs/>
          <w:color w:val="auto"/>
          <w:kern w:val="0"/>
          <w:szCs w:val="21"/>
          <w:highlight w:val="none"/>
          <w:lang w:bidi="ar"/>
        </w:rPr>
        <w:t>：</w:t>
      </w:r>
    </w:p>
    <w:p w14:paraId="3507C813">
      <w:pPr>
        <w:widowControl/>
        <w:ind w:firstLine="422" w:firstLineChars="200"/>
        <w:jc w:val="left"/>
        <w:rPr>
          <w:rFonts w:ascii="宋体" w:hAnsi="宋体" w:cs="宋体"/>
          <w:b/>
          <w:bCs/>
          <w:color w:val="auto"/>
          <w:kern w:val="0"/>
          <w:szCs w:val="21"/>
          <w:highlight w:val="none"/>
          <w:lang w:bidi="ar"/>
        </w:rPr>
      </w:pPr>
    </w:p>
    <w:p w14:paraId="069345E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我公司郑重声明，我公司严格依法缴纳税收和社会保障金本文件中所提供的相关材料均真实有效，不存在虚假、造假行为。 如有违反，愿承担一切责任。 </w:t>
      </w:r>
    </w:p>
    <w:p w14:paraId="5AEDE0A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特此承诺 </w:t>
      </w:r>
    </w:p>
    <w:p w14:paraId="72D01472">
      <w:pPr>
        <w:widowControl/>
        <w:spacing w:line="360" w:lineRule="auto"/>
        <w:ind w:firstLine="422" w:firstLineChars="200"/>
        <w:jc w:val="left"/>
        <w:rPr>
          <w:rFonts w:ascii="宋体" w:hAnsi="宋体" w:cs="宋体"/>
          <w:b/>
          <w:bCs/>
          <w:color w:val="auto"/>
          <w:kern w:val="0"/>
          <w:szCs w:val="21"/>
          <w:highlight w:val="none"/>
          <w:lang w:bidi="ar"/>
        </w:rPr>
      </w:pPr>
    </w:p>
    <w:p w14:paraId="33AD58F1">
      <w:pPr>
        <w:widowControl/>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kern w:val="0"/>
          <w:szCs w:val="21"/>
          <w:highlight w:val="none"/>
          <w:lang w:bidi="ar"/>
        </w:rPr>
        <w:t xml:space="preserve">磋商响应供应商（单位电子印章）：___________________ </w:t>
      </w:r>
    </w:p>
    <w:p w14:paraId="1C39F563">
      <w:pPr>
        <w:widowControl/>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kern w:val="0"/>
          <w:szCs w:val="21"/>
          <w:highlight w:val="none"/>
          <w:lang w:bidi="ar"/>
        </w:rPr>
        <w:t xml:space="preserve">日期：________年____月____日 </w:t>
      </w:r>
    </w:p>
    <w:p w14:paraId="768796A7">
      <w:pPr>
        <w:pageBreakBefore/>
        <w:widowControl/>
        <w:spacing w:line="360" w:lineRule="auto"/>
        <w:ind w:firstLine="482" w:firstLineChars="200"/>
        <w:jc w:val="left"/>
        <w:rPr>
          <w:rFonts w:ascii="宋体" w:hAnsi="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kern w:val="0"/>
          <w:sz w:val="24"/>
          <w:szCs w:val="24"/>
          <w:highlight w:val="none"/>
          <w:lang w:bidi="ar"/>
        </w:rPr>
        <w:t xml:space="preserve">（5）近三年内在经营活动中没有重大违法记录格式 </w:t>
      </w:r>
    </w:p>
    <w:p w14:paraId="4AAB6DA4">
      <w:pPr>
        <w:widowControl/>
        <w:ind w:firstLine="482" w:firstLineChars="200"/>
        <w:jc w:val="center"/>
        <w:rPr>
          <w:rFonts w:ascii="宋体" w:hAnsi="宋体" w:cs="宋体"/>
          <w:b/>
          <w:bCs/>
          <w:color w:val="auto"/>
          <w:kern w:val="0"/>
          <w:sz w:val="24"/>
          <w:szCs w:val="24"/>
          <w:highlight w:val="none"/>
          <w:lang w:bidi="ar"/>
        </w:rPr>
      </w:pPr>
    </w:p>
    <w:p w14:paraId="2D9A18DA">
      <w:pPr>
        <w:pBdr>
          <w:top w:val="none" w:color="auto" w:sz="0" w:space="1"/>
          <w:left w:val="none" w:color="auto" w:sz="0" w:space="4"/>
          <w:bottom w:val="none" w:color="auto" w:sz="0" w:space="1"/>
          <w:right w:val="none" w:color="auto" w:sz="0" w:space="4"/>
        </w:pBdr>
        <w:spacing w:before="317" w:beforeLines="100" w:after="317" w:afterLines="100" w:line="560" w:lineRule="exact"/>
        <w:ind w:left="482" w:hanging="482" w:hangingChars="200"/>
        <w:jc w:val="center"/>
        <w:rPr>
          <w:rFonts w:ascii="宋体" w:hAnsi="宋体" w:cs="宋体"/>
          <w:color w:val="auto"/>
          <w:sz w:val="24"/>
          <w:szCs w:val="24"/>
          <w:highlight w:val="none"/>
        </w:rPr>
      </w:pPr>
      <w:r>
        <w:rPr>
          <w:rFonts w:hint="eastAsia" w:ascii="宋体" w:hAnsi="宋体" w:cs="宋体"/>
          <w:b/>
          <w:bCs/>
          <w:color w:val="auto"/>
          <w:kern w:val="0"/>
          <w:sz w:val="24"/>
          <w:szCs w:val="24"/>
          <w:highlight w:val="none"/>
          <w:lang w:bidi="ar"/>
        </w:rPr>
        <w:t>参加本次采购活动前三年内在经营活动中没有重大违法记录</w:t>
      </w:r>
    </w:p>
    <w:p w14:paraId="0BB828BB">
      <w:pPr>
        <w:widowControl/>
        <w:jc w:val="left"/>
        <w:rPr>
          <w:rFonts w:ascii="宋体" w:hAnsi="宋体" w:cs="宋体"/>
          <w:color w:val="auto"/>
          <w:szCs w:val="21"/>
          <w:highlight w:val="none"/>
        </w:rPr>
      </w:pPr>
    </w:p>
    <w:p w14:paraId="32FF56FD">
      <w:pPr>
        <w:widowControl/>
        <w:spacing w:line="360" w:lineRule="auto"/>
        <w:ind w:firstLine="1687"/>
        <w:jc w:val="lef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汾西县机关事务服务中心</w:t>
      </w:r>
      <w:r>
        <w:rPr>
          <w:rFonts w:hint="eastAsia" w:ascii="宋体" w:hAnsi="宋体" w:cs="宋体"/>
          <w:b/>
          <w:bCs/>
          <w:color w:val="auto"/>
          <w:kern w:val="0"/>
          <w:szCs w:val="21"/>
          <w:highlight w:val="none"/>
          <w:lang w:bidi="ar"/>
        </w:rPr>
        <w:t>：</w:t>
      </w:r>
    </w:p>
    <w:p w14:paraId="08B90593">
      <w:pPr>
        <w:widowControl/>
        <w:ind w:firstLine="422" w:firstLineChars="200"/>
        <w:jc w:val="left"/>
        <w:rPr>
          <w:rFonts w:ascii="宋体" w:hAnsi="宋体" w:cs="宋体"/>
          <w:b/>
          <w:bCs/>
          <w:color w:val="auto"/>
          <w:kern w:val="0"/>
          <w:szCs w:val="21"/>
          <w:highlight w:val="none"/>
          <w:lang w:bidi="ar"/>
        </w:rPr>
      </w:pPr>
    </w:p>
    <w:p w14:paraId="3D178DD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我方</w:t>
      </w:r>
      <w:r>
        <w:rPr>
          <w:rFonts w:hint="eastAsia" w:ascii="宋体" w:hAnsi="宋体" w:cs="宋体"/>
          <w:color w:val="auto"/>
          <w:kern w:val="0"/>
          <w:szCs w:val="21"/>
          <w:highlight w:val="none"/>
          <w:u w:val="single"/>
          <w:lang w:bidi="ar"/>
        </w:rPr>
        <w:t xml:space="preserve">[项目名称]     [项目编号]   </w:t>
      </w:r>
      <w:r>
        <w:rPr>
          <w:rFonts w:hint="eastAsia" w:ascii="宋体" w:hAnsi="宋体" w:cs="宋体"/>
          <w:color w:val="auto"/>
          <w:kern w:val="0"/>
          <w:szCs w:val="21"/>
          <w:highlight w:val="none"/>
          <w:lang w:bidi="ar"/>
        </w:rPr>
        <w:t xml:space="preserve">在参加本政府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 </w:t>
      </w:r>
    </w:p>
    <w:p w14:paraId="4BA8C50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特此承诺 </w:t>
      </w:r>
    </w:p>
    <w:p w14:paraId="249C3EB1">
      <w:pPr>
        <w:widowControl/>
        <w:spacing w:line="360" w:lineRule="auto"/>
        <w:ind w:firstLine="422" w:firstLineChars="200"/>
        <w:jc w:val="left"/>
        <w:rPr>
          <w:rFonts w:ascii="宋体" w:hAnsi="宋体" w:cs="宋体"/>
          <w:b/>
          <w:bCs/>
          <w:color w:val="auto"/>
          <w:kern w:val="0"/>
          <w:szCs w:val="21"/>
          <w:highlight w:val="none"/>
          <w:lang w:bidi="ar"/>
        </w:rPr>
      </w:pPr>
    </w:p>
    <w:p w14:paraId="191DE445">
      <w:pPr>
        <w:widowControl/>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kern w:val="0"/>
          <w:szCs w:val="21"/>
          <w:highlight w:val="none"/>
          <w:lang w:bidi="ar"/>
        </w:rPr>
        <w:t xml:space="preserve">磋商响应供应商（单位电子印章）：_______________________ </w:t>
      </w:r>
    </w:p>
    <w:p w14:paraId="2ACAE7FC">
      <w:pPr>
        <w:widowControl/>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kern w:val="0"/>
          <w:szCs w:val="21"/>
          <w:highlight w:val="none"/>
          <w:lang w:bidi="ar"/>
        </w:rPr>
        <w:t xml:space="preserve">日期：________年____月____日 </w:t>
      </w:r>
    </w:p>
    <w:p w14:paraId="45327BDF">
      <w:pPr>
        <w:pageBreakBefore/>
        <w:widowControl/>
        <w:spacing w:line="360" w:lineRule="auto"/>
        <w:jc w:val="left"/>
        <w:rPr>
          <w:rFonts w:ascii="宋体" w:hAnsi="宋体" w:cs="宋体"/>
          <w:color w:val="auto"/>
          <w:sz w:val="24"/>
          <w:szCs w:val="24"/>
          <w:highlight w:val="none"/>
        </w:rPr>
      </w:pPr>
      <w:r>
        <w:rPr>
          <w:rFonts w:hint="eastAsia" w:ascii="宋体" w:hAnsi="宋体" w:cs="宋体"/>
          <w:b/>
          <w:bCs/>
          <w:color w:val="auto"/>
          <w:kern w:val="0"/>
          <w:sz w:val="24"/>
          <w:szCs w:val="24"/>
          <w:highlight w:val="none"/>
          <w:lang w:bidi="ar"/>
        </w:rPr>
        <w:t>2、未被“信用中国”（www.creditchina.gov.cn）列入失信被执行人、重大税收违法失信主体、</w:t>
      </w:r>
      <w:r>
        <w:rPr>
          <w:rFonts w:ascii="宋体" w:hAnsi="宋体" w:cs="宋体"/>
          <w:b/>
          <w:bCs/>
          <w:color w:val="auto"/>
          <w:kern w:val="0"/>
          <w:sz w:val="24"/>
          <w:szCs w:val="24"/>
          <w:highlight w:val="none"/>
          <w:lang w:bidi="ar"/>
        </w:rPr>
        <w:t>政府采购严重违法失信行为记录名单</w:t>
      </w:r>
      <w:r>
        <w:rPr>
          <w:rFonts w:hint="eastAsia" w:ascii="宋体" w:hAnsi="宋体" w:cs="宋体"/>
          <w:b/>
          <w:bCs/>
          <w:color w:val="auto"/>
          <w:kern w:val="0"/>
          <w:sz w:val="24"/>
          <w:szCs w:val="24"/>
          <w:highlight w:val="none"/>
          <w:lang w:bidi="ar"/>
        </w:rPr>
        <w:t xml:space="preserve">；未被中国政府采购网（www.ccgp.gov.cn）列入政府采购严重违法失信行为记录名单的证明材料 </w:t>
      </w:r>
    </w:p>
    <w:p w14:paraId="3CC7053C">
      <w:pPr>
        <w:widowControl/>
        <w:spacing w:line="360" w:lineRule="auto"/>
        <w:ind w:firstLine="482" w:firstLineChars="200"/>
        <w:jc w:val="center"/>
        <w:rPr>
          <w:rFonts w:ascii="宋体" w:hAnsi="宋体" w:cs="宋体"/>
          <w:b/>
          <w:bCs/>
          <w:color w:val="auto"/>
          <w:kern w:val="0"/>
          <w:sz w:val="24"/>
          <w:szCs w:val="24"/>
          <w:highlight w:val="none"/>
          <w:lang w:bidi="ar"/>
        </w:rPr>
      </w:pPr>
    </w:p>
    <w:p w14:paraId="3A20A5DD">
      <w:pPr>
        <w:widowControl/>
        <w:spacing w:line="360" w:lineRule="auto"/>
        <w:ind w:firstLine="482" w:firstLineChars="200"/>
        <w:jc w:val="center"/>
        <w:rPr>
          <w:rFonts w:ascii="宋体" w:hAnsi="宋体" w:cs="宋体"/>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
          <w:bCs/>
          <w:color w:val="auto"/>
          <w:kern w:val="0"/>
          <w:sz w:val="24"/>
          <w:szCs w:val="24"/>
          <w:highlight w:val="none"/>
          <w:lang w:bidi="ar"/>
        </w:rPr>
        <w:t>没有失信记录承诺函</w:t>
      </w:r>
    </w:p>
    <w:p w14:paraId="1187EBAD">
      <w:pPr>
        <w:widowControl/>
        <w:ind w:firstLine="1687"/>
        <w:jc w:val="lef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汾西县机关事务服务中心</w:t>
      </w:r>
      <w:r>
        <w:rPr>
          <w:rFonts w:hint="eastAsia" w:ascii="宋体" w:hAnsi="宋体" w:cs="宋体"/>
          <w:b/>
          <w:bCs/>
          <w:color w:val="auto"/>
          <w:kern w:val="0"/>
          <w:szCs w:val="21"/>
          <w:highlight w:val="none"/>
          <w:lang w:bidi="ar"/>
        </w:rPr>
        <w:t xml:space="preserve">： </w:t>
      </w:r>
    </w:p>
    <w:p w14:paraId="2668FDE7">
      <w:pPr>
        <w:widowControl/>
        <w:spacing w:line="360" w:lineRule="auto"/>
        <w:ind w:firstLine="422" w:firstLineChars="200"/>
        <w:jc w:val="left"/>
        <w:rPr>
          <w:rFonts w:ascii="宋体" w:hAnsi="宋体" w:cs="宋体"/>
          <w:b/>
          <w:bCs/>
          <w:color w:val="auto"/>
          <w:kern w:val="0"/>
          <w:szCs w:val="21"/>
          <w:highlight w:val="none"/>
          <w:lang w:bidi="ar"/>
        </w:rPr>
      </w:pPr>
    </w:p>
    <w:p w14:paraId="24E1474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到本项目磋商响应文件提交截止时间为止，我公司</w:t>
      </w:r>
      <w:r>
        <w:rPr>
          <w:rFonts w:hint="eastAsia" w:ascii="宋体" w:hAnsi="宋体" w:cs="宋体"/>
          <w:color w:val="auto"/>
          <w:szCs w:val="21"/>
          <w:highlight w:val="none"/>
        </w:rPr>
        <w:t>未被“信用中国”（www.creditchina.gov.cn）列入失信被执行人、重大税收违法失信主体、政府采购严重违法失信行为记录名单；未被中国政府采购网（www.ccgp.gov.cn）列入政府采购严重违法失信行为记录名单</w:t>
      </w:r>
      <w:r>
        <w:rPr>
          <w:rFonts w:hint="eastAsia" w:ascii="宋体" w:hAnsi="宋体" w:cs="宋体"/>
          <w:color w:val="auto"/>
          <w:kern w:val="0"/>
          <w:szCs w:val="21"/>
          <w:highlight w:val="none"/>
          <w:lang w:bidi="ar"/>
        </w:rPr>
        <w:t xml:space="preserve">。 我方已经清楚了解本次项目在竞争性磋商文件中有关“供应商信用 信息查询、存档与使用”的相关规定，同意由采购人或采购代理机构按采购文件规定对我方的信用信息记录进行统一查询，并以采购人或采购代理机构统一查询的结果为准。 </w:t>
      </w:r>
    </w:p>
    <w:p w14:paraId="7178701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我方上述承诺内容如有虚假或隐瞒，采购人可取消我方任何资格（投标/谈判/中标（成交）/签订合同），我方对此无任何异议，并愿意 承担一切后果和责任。 </w:t>
      </w:r>
    </w:p>
    <w:p w14:paraId="34721C5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特此承诺 </w:t>
      </w:r>
    </w:p>
    <w:p w14:paraId="18B72A87">
      <w:pPr>
        <w:widowControl/>
        <w:spacing w:line="360" w:lineRule="auto"/>
        <w:ind w:firstLine="420" w:firstLineChars="200"/>
        <w:jc w:val="left"/>
        <w:rPr>
          <w:rFonts w:ascii="宋体" w:hAnsi="宋体" w:cs="宋体"/>
          <w:color w:val="auto"/>
          <w:kern w:val="0"/>
          <w:szCs w:val="21"/>
          <w:highlight w:val="none"/>
          <w:lang w:bidi="ar"/>
        </w:rPr>
      </w:pPr>
    </w:p>
    <w:p w14:paraId="45E7317E">
      <w:pPr>
        <w:widowControl/>
        <w:spacing w:line="360" w:lineRule="auto"/>
        <w:ind w:firstLine="420" w:firstLineChars="200"/>
        <w:jc w:val="left"/>
        <w:rPr>
          <w:rFonts w:ascii="宋体" w:hAnsi="宋体" w:cs="宋体"/>
          <w:color w:val="auto"/>
          <w:kern w:val="0"/>
          <w:szCs w:val="21"/>
          <w:highlight w:val="none"/>
          <w:lang w:bidi="ar"/>
        </w:rPr>
      </w:pPr>
    </w:p>
    <w:p w14:paraId="51628E4E">
      <w:pPr>
        <w:widowControl/>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kern w:val="0"/>
          <w:szCs w:val="21"/>
          <w:highlight w:val="none"/>
          <w:lang w:bidi="ar"/>
        </w:rPr>
        <w:t xml:space="preserve">磋商响应供应商（单位电子印章）：______________________________ </w:t>
      </w:r>
    </w:p>
    <w:p w14:paraId="4CFA36E1">
      <w:pPr>
        <w:widowControl/>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kern w:val="0"/>
          <w:szCs w:val="21"/>
          <w:highlight w:val="none"/>
          <w:lang w:bidi="ar"/>
        </w:rPr>
        <w:t>日期：________年____月____日</w:t>
      </w:r>
    </w:p>
    <w:p w14:paraId="361828D6">
      <w:pPr>
        <w:pageBreakBefore/>
        <w:spacing w:line="360" w:lineRule="auto"/>
        <w:ind w:firstLine="1928"/>
        <w:rPr>
          <w:rFonts w:ascii="宋体" w:cs="宋体"/>
          <w:b/>
          <w:color w:val="auto"/>
          <w:sz w:val="24"/>
          <w:highlight w:val="none"/>
        </w:rPr>
      </w:pPr>
      <w:r>
        <w:rPr>
          <w:rFonts w:hint="eastAsia" w:ascii="宋体" w:hAnsi="宋体" w:cs="宋体"/>
          <w:b/>
          <w:color w:val="auto"/>
          <w:sz w:val="24"/>
          <w:highlight w:val="none"/>
        </w:rPr>
        <w:t>3、政府采购供应商信用承诺书</w:t>
      </w:r>
    </w:p>
    <w:p w14:paraId="57E35E13">
      <w:pPr>
        <w:spacing w:line="360" w:lineRule="auto"/>
        <w:ind w:firstLine="1928"/>
        <w:jc w:val="center"/>
        <w:rPr>
          <w:rFonts w:ascii="宋体" w:cs="宋体"/>
          <w:color w:val="auto"/>
          <w:szCs w:val="21"/>
          <w:highlight w:val="none"/>
        </w:rPr>
      </w:pPr>
      <w:r>
        <w:rPr>
          <w:rFonts w:hint="eastAsia" w:ascii="宋体" w:hAnsi="宋体" w:cs="宋体"/>
          <w:b/>
          <w:color w:val="auto"/>
          <w:sz w:val="24"/>
          <w:szCs w:val="24"/>
          <w:highlight w:val="none"/>
        </w:rPr>
        <w:t>★</w:t>
      </w:r>
      <w:r>
        <w:rPr>
          <w:rFonts w:hint="eastAsia" w:ascii="宋体" w:hAnsi="宋体" w:cs="宋体"/>
          <w:b/>
          <w:color w:val="auto"/>
          <w:sz w:val="24"/>
          <w:highlight w:val="none"/>
        </w:rPr>
        <w:t>政府采购供应商信用承诺书</w:t>
      </w:r>
    </w:p>
    <w:p w14:paraId="489CF1EB">
      <w:pPr>
        <w:spacing w:line="360" w:lineRule="auto"/>
        <w:rPr>
          <w:rFonts w:ascii="宋体" w:cs="宋体"/>
          <w:color w:val="auto"/>
          <w:szCs w:val="21"/>
          <w:highlight w:val="none"/>
        </w:rPr>
      </w:pPr>
      <w:r>
        <w:rPr>
          <w:rFonts w:hint="eastAsia" w:ascii="宋体" w:hAnsi="宋体" w:cs="宋体"/>
          <w:color w:val="auto"/>
          <w:szCs w:val="21"/>
          <w:highlight w:val="none"/>
        </w:rPr>
        <w:t>项目名称：</w:t>
      </w:r>
    </w:p>
    <w:p w14:paraId="47F9973E">
      <w:pPr>
        <w:spacing w:line="360" w:lineRule="auto"/>
        <w:rPr>
          <w:rFonts w:ascii="宋体" w:cs="宋体"/>
          <w:color w:val="auto"/>
          <w:szCs w:val="21"/>
          <w:highlight w:val="none"/>
        </w:rPr>
      </w:pPr>
      <w:r>
        <w:rPr>
          <w:rFonts w:hint="eastAsia" w:ascii="宋体" w:hAnsi="宋体" w:cs="宋体"/>
          <w:color w:val="auto"/>
          <w:szCs w:val="21"/>
          <w:highlight w:val="none"/>
        </w:rPr>
        <w:t>项目编号：</w:t>
      </w:r>
    </w:p>
    <w:p w14:paraId="4D2BFB51">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为维护政府采购市场秩序,遵循公开透明、公平竞争、公正原则和诚实信用原则,本单位/个人自愿做出以下承诺:</w:t>
      </w:r>
    </w:p>
    <w:p w14:paraId="2B552B71">
      <w:pPr>
        <w:numPr>
          <w:ilvl w:val="0"/>
          <w:numId w:val="35"/>
        </w:num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承诺本单位/本人严格遵守国家法律、法规和规章,全面履行应尽的责任和义务,全面做到履约守信;</w:t>
      </w:r>
    </w:p>
    <w:p w14:paraId="7D705FCB">
      <w:pPr>
        <w:pStyle w:val="25"/>
        <w:wordWrap w:val="0"/>
        <w:spacing w:after="0"/>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 承诺本单位/本人具有独立承担民事责任的能力;</w:t>
      </w:r>
    </w:p>
    <w:p w14:paraId="5B17F57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4130C6D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承诺本单位/本人具有履行合同所必需的设备和专业技术能力；</w:t>
      </w:r>
    </w:p>
    <w:p w14:paraId="07494CE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2217D3C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 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0723F99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 承诺本单位/本人提供的所有投标（响应）资料均合法、真实、有效,无任何伪造、篡改、虚假成份,并对所提供资料的真实性负责；</w:t>
      </w:r>
    </w:p>
    <w:p w14:paraId="0A2B0B9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 承诺本单位/本人若违背承诺约定, 愿意依法承担相应的法律责任,并同意将不良行为在信用中国或中国政府采购网公示。</w:t>
      </w:r>
    </w:p>
    <w:p w14:paraId="3067A13A">
      <w:pPr>
        <w:keepNext/>
        <w:keepLines/>
        <w:spacing w:line="377" w:lineRule="auto"/>
        <w:ind w:firstLine="1920"/>
        <w:jc w:val="left"/>
        <w:rPr>
          <w:rFonts w:ascii="宋体" w:cs="宋体"/>
          <w:b/>
          <w:bCs/>
          <w:color w:val="auto"/>
          <w:sz w:val="24"/>
          <w:highlight w:val="none"/>
        </w:rPr>
      </w:pPr>
    </w:p>
    <w:p w14:paraId="12A108F6">
      <w:pPr>
        <w:adjustRightInd w:val="0"/>
        <w:snapToGrid w:val="0"/>
        <w:spacing w:line="480" w:lineRule="auto"/>
        <w:ind w:firstLine="422" w:firstLineChars="200"/>
        <w:jc w:val="left"/>
        <w:rPr>
          <w:rFonts w:ascii="宋体" w:hAnsi="宋体" w:cs="宋体"/>
          <w:b/>
          <w:color w:val="auto"/>
          <w:szCs w:val="21"/>
          <w:highlight w:val="none"/>
          <w:u w:val="single"/>
        </w:rPr>
      </w:pPr>
      <w:r>
        <w:rPr>
          <w:rFonts w:hint="eastAsia" w:ascii="宋体" w:hAnsi="宋体" w:cs="宋体"/>
          <w:b/>
          <w:color w:val="auto"/>
          <w:szCs w:val="21"/>
          <w:highlight w:val="none"/>
        </w:rPr>
        <w:t>磋商响应供应商（</w:t>
      </w:r>
      <w:r>
        <w:rPr>
          <w:rFonts w:hint="eastAsia" w:ascii="宋体" w:hAnsi="宋体" w:cs="宋体"/>
          <w:b/>
          <w:bCs/>
          <w:color w:val="auto"/>
          <w:kern w:val="0"/>
          <w:szCs w:val="21"/>
          <w:highlight w:val="none"/>
          <w:lang w:bidi="ar"/>
        </w:rPr>
        <w:t>单位电子印章</w:t>
      </w:r>
      <w:r>
        <w:rPr>
          <w:rFonts w:hint="eastAsia" w:ascii="宋体" w:hAnsi="宋体" w:cs="宋体"/>
          <w:b/>
          <w:color w:val="auto"/>
          <w:szCs w:val="21"/>
          <w:highlight w:val="none"/>
        </w:rPr>
        <w:t>）：</w:t>
      </w:r>
      <w:r>
        <w:rPr>
          <w:rFonts w:ascii="宋体" w:hAnsi="宋体" w:cs="宋体"/>
          <w:b/>
          <w:color w:val="auto"/>
          <w:szCs w:val="21"/>
          <w:highlight w:val="none"/>
          <w:u w:val="single"/>
        </w:rPr>
        <w:t xml:space="preserve">               </w:t>
      </w:r>
    </w:p>
    <w:p w14:paraId="46E18581">
      <w:pPr>
        <w:adjustRightInd w:val="0"/>
        <w:snapToGrid w:val="0"/>
        <w:spacing w:line="480" w:lineRule="auto"/>
        <w:ind w:firstLine="422" w:firstLineChars="200"/>
        <w:jc w:val="left"/>
        <w:rPr>
          <w:rFonts w:hAnsi="宋体" w:cs="宋体"/>
          <w:color w:val="auto"/>
          <w:highlight w:val="none"/>
        </w:rPr>
        <w:sectPr>
          <w:footerReference r:id="rId15" w:type="default"/>
          <w:pgSz w:w="11906" w:h="16838"/>
          <w:pgMar w:top="1440" w:right="1417" w:bottom="1440" w:left="1417" w:header="850" w:footer="992" w:gutter="0"/>
          <w:cols w:space="0" w:num="1"/>
          <w:docGrid w:type="lines" w:linePitch="317" w:charSpace="0"/>
        </w:sectPr>
      </w:pPr>
      <w:r>
        <w:rPr>
          <w:rFonts w:hint="eastAsia" w:ascii="宋体" w:hAnsi="宋体" w:cs="宋体"/>
          <w:b/>
          <w:color w:val="auto"/>
          <w:szCs w:val="21"/>
          <w:highlight w:val="none"/>
        </w:rPr>
        <w:t>日期：</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ascii="宋体" w:hAnsi="宋体" w:cs="宋体"/>
          <w:b/>
          <w:color w:val="auto"/>
          <w:szCs w:val="21"/>
          <w:highlight w:val="none"/>
          <w:u w:val="single"/>
        </w:rPr>
        <w:t xml:space="preserve">    </w:t>
      </w:r>
      <w:r>
        <w:rPr>
          <w:rFonts w:hint="eastAsia" w:ascii="宋体" w:hAnsi="宋体" w:cs="宋体"/>
          <w:b/>
          <w:color w:val="auto"/>
          <w:szCs w:val="21"/>
          <w:highlight w:val="none"/>
        </w:rPr>
        <w:t>日</w:t>
      </w:r>
    </w:p>
    <w:p w14:paraId="54CB9249">
      <w:pPr>
        <w:pStyle w:val="4"/>
        <w:adjustRightInd w:val="0"/>
        <w:snapToGrid w:val="0"/>
        <w:spacing w:line="480" w:lineRule="auto"/>
        <w:jc w:val="left"/>
        <w:rPr>
          <w:rFonts w:ascii="宋体" w:cs="宋体"/>
          <w:b/>
          <w:bCs/>
          <w:color w:val="auto"/>
          <w:kern w:val="0"/>
          <w:sz w:val="24"/>
          <w:szCs w:val="24"/>
          <w:highlight w:val="none"/>
        </w:rPr>
      </w:pPr>
      <w:bookmarkStart w:id="1165" w:name="_Toc30867"/>
      <w:bookmarkStart w:id="1166" w:name="_Toc81341338"/>
      <w:r>
        <w:rPr>
          <w:rFonts w:hint="eastAsia" w:ascii="宋体" w:hAnsi="宋体" w:cs="宋体"/>
          <w:b/>
          <w:bCs/>
          <w:color w:val="auto"/>
          <w:kern w:val="0"/>
          <w:sz w:val="24"/>
          <w:szCs w:val="24"/>
          <w:highlight w:val="none"/>
        </w:rPr>
        <w:t>4、“与采购人不存在利害关系及其他违规行为”的证明材料</w:t>
      </w:r>
    </w:p>
    <w:p w14:paraId="20B7CDFE">
      <w:pPr>
        <w:pStyle w:val="4"/>
        <w:spacing w:before="0" w:after="0" w:line="360" w:lineRule="auto"/>
        <w:ind w:firstLine="482" w:firstLineChars="200"/>
        <w:jc w:val="center"/>
        <w:rPr>
          <w:rFonts w:ascii="宋体" w:cs="宋体"/>
          <w:b/>
          <w:bCs/>
          <w:color w:val="auto"/>
          <w:sz w:val="24"/>
          <w:szCs w:val="24"/>
          <w:highlight w:val="none"/>
        </w:rPr>
      </w:pPr>
      <w:r>
        <w:rPr>
          <w:rFonts w:hint="eastAsia" w:ascii="宋体" w:hAnsi="宋体" w:cs="宋体"/>
          <w:b/>
          <w:bCs/>
          <w:color w:val="auto"/>
          <w:sz w:val="24"/>
          <w:szCs w:val="24"/>
          <w:highlight w:val="none"/>
        </w:rPr>
        <w:t>★《政府采购活动承诺书》</w:t>
      </w:r>
    </w:p>
    <w:p w14:paraId="46664A16">
      <w:pPr>
        <w:pStyle w:val="4"/>
        <w:spacing w:before="0" w:after="0" w:line="240" w:lineRule="auto"/>
        <w:ind w:firstLine="420" w:firstLineChars="200"/>
        <w:rPr>
          <w:rFonts w:ascii="宋体" w:hAnsi="宋体" w:cs="宋体"/>
          <w:color w:val="auto"/>
          <w:sz w:val="21"/>
          <w:szCs w:val="21"/>
          <w:highlight w:val="none"/>
        </w:rPr>
      </w:pPr>
    </w:p>
    <w:p w14:paraId="5D350C66">
      <w:pPr>
        <w:pStyle w:val="4"/>
        <w:spacing w:before="0" w:after="0" w:line="360" w:lineRule="auto"/>
        <w:ind w:firstLine="1687"/>
        <w:rPr>
          <w:rFonts w:ascii="宋体" w:cs="宋体"/>
          <w:color w:val="auto"/>
          <w:kern w:val="0"/>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汾西县机关事务服务中心</w:t>
      </w:r>
      <w:r>
        <w:rPr>
          <w:rFonts w:ascii="宋体" w:hAnsi="宋体" w:cs="宋体"/>
          <w:color w:val="auto"/>
          <w:sz w:val="21"/>
          <w:szCs w:val="21"/>
          <w:highlight w:val="none"/>
          <w:u w:val="single"/>
        </w:rPr>
        <w:t xml:space="preserve"> </w:t>
      </w:r>
    </w:p>
    <w:p w14:paraId="5729A029">
      <w:pPr>
        <w:ind w:firstLine="420" w:firstLineChars="200"/>
        <w:rPr>
          <w:rFonts w:ascii="宋体" w:hAnsi="宋体" w:cs="宋体"/>
          <w:color w:val="auto"/>
          <w:kern w:val="0"/>
          <w:szCs w:val="21"/>
          <w:highlight w:val="none"/>
        </w:rPr>
      </w:pPr>
    </w:p>
    <w:p w14:paraId="72F22F71">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我方参加</w:t>
      </w:r>
      <w:r>
        <w:rPr>
          <w:rFonts w:hint="eastAsia" w:ascii="宋体" w:hAnsi="宋体" w:cs="宋体"/>
          <w:color w:val="auto"/>
          <w:kern w:val="0"/>
          <w:szCs w:val="21"/>
          <w:highlight w:val="none"/>
          <w:u w:val="single"/>
          <w:lang w:bidi="ar"/>
        </w:rPr>
        <w:t>[项目名称]     [项目编号]</w:t>
      </w:r>
      <w:r>
        <w:rPr>
          <w:rFonts w:hint="eastAsia" w:ascii="宋体" w:hAnsi="宋体" w:cs="宋体"/>
          <w:color w:val="auto"/>
          <w:kern w:val="0"/>
          <w:szCs w:val="21"/>
          <w:highlight w:val="none"/>
        </w:rPr>
        <w:t>的政府采购活动，就有关公平竞争事项郑重声明如下：</w:t>
      </w:r>
    </w:p>
    <w:p w14:paraId="5012E721">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本单位与采购人之间：</w:t>
      </w:r>
    </w:p>
    <w:p w14:paraId="0039B82E">
      <w:pPr>
        <w:spacing w:line="360" w:lineRule="auto"/>
        <w:ind w:firstLine="420" w:firstLineChars="200"/>
        <w:rPr>
          <w:rFonts w:ascii="宋体" w:cs="宋体"/>
          <w:color w:val="auto"/>
          <w:kern w:val="0"/>
          <w:szCs w:val="21"/>
          <w:highlight w:val="none"/>
          <w:u w:val="single"/>
        </w:rPr>
      </w:pPr>
      <w:r>
        <w:rPr>
          <w:rFonts w:hint="eastAsia" w:ascii="宋体" w:hAnsi="宋体" w:cs="宋体"/>
          <w:color w:val="auto"/>
          <w:kern w:val="0"/>
          <w:szCs w:val="21"/>
          <w:highlight w:val="none"/>
        </w:rPr>
        <w:t>□不存在利害关系</w:t>
      </w:r>
      <w:r>
        <w:rPr>
          <w:rFonts w:ascii="宋体" w:hAnsi="宋体" w:cs="宋体"/>
          <w:color w:val="auto"/>
          <w:kern w:val="0"/>
          <w:szCs w:val="21"/>
          <w:highlight w:val="none"/>
        </w:rPr>
        <w:t>/</w:t>
      </w:r>
      <w:r>
        <w:rPr>
          <w:rFonts w:hint="eastAsia" w:ascii="宋体" w:hAnsi="宋体" w:cs="宋体"/>
          <w:color w:val="auto"/>
          <w:kern w:val="0"/>
          <w:szCs w:val="21"/>
          <w:highlight w:val="none"/>
        </w:rPr>
        <w:t>□存在下列利害关系：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p>
    <w:p w14:paraId="415B725C">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投资关系；</w:t>
      </w:r>
      <w:r>
        <w:rPr>
          <w:rFonts w:ascii="宋体" w:hAnsi="宋体" w:cs="宋体"/>
          <w:color w:val="auto"/>
          <w:kern w:val="0"/>
          <w:szCs w:val="21"/>
          <w:highlight w:val="none"/>
        </w:rPr>
        <w:t>B.</w:t>
      </w:r>
      <w:r>
        <w:rPr>
          <w:rFonts w:hint="eastAsia" w:ascii="宋体" w:hAnsi="宋体" w:cs="宋体"/>
          <w:color w:val="auto"/>
          <w:kern w:val="0"/>
          <w:szCs w:val="21"/>
          <w:highlight w:val="none"/>
        </w:rPr>
        <w:t>行政隶属关系；</w:t>
      </w:r>
      <w:r>
        <w:rPr>
          <w:rFonts w:ascii="宋体" w:hAnsi="宋体" w:cs="宋体"/>
          <w:color w:val="auto"/>
          <w:kern w:val="0"/>
          <w:szCs w:val="21"/>
          <w:highlight w:val="none"/>
        </w:rPr>
        <w:t>C.</w:t>
      </w:r>
      <w:r>
        <w:rPr>
          <w:rFonts w:hint="eastAsia" w:ascii="宋体" w:hAnsi="宋体" w:cs="宋体"/>
          <w:color w:val="auto"/>
          <w:kern w:val="0"/>
          <w:szCs w:val="21"/>
          <w:highlight w:val="none"/>
        </w:rPr>
        <w:t>业务指导关系；</w:t>
      </w:r>
      <w:r>
        <w:rPr>
          <w:rFonts w:ascii="宋体" w:hAnsi="宋体" w:cs="宋体"/>
          <w:color w:val="auto"/>
          <w:kern w:val="0"/>
          <w:szCs w:val="21"/>
          <w:highlight w:val="none"/>
        </w:rPr>
        <w:t>D.</w:t>
      </w:r>
      <w:r>
        <w:rPr>
          <w:rFonts w:hint="eastAsia" w:ascii="宋体" w:hAnsi="宋体" w:cs="宋体"/>
          <w:color w:val="auto"/>
          <w:kern w:val="0"/>
          <w:szCs w:val="21"/>
          <w:highlight w:val="none"/>
        </w:rPr>
        <w:t>其他可能影响采购公正的利害关系：（如有，请如实说明）</w:t>
      </w:r>
      <w:r>
        <w:rPr>
          <w:rFonts w:ascii="宋体" w:hAnsi="宋体" w:cs="宋体"/>
          <w:color w:val="auto"/>
          <w:kern w:val="0"/>
          <w:szCs w:val="21"/>
          <w:highlight w:val="none"/>
          <w:u w:val="single"/>
        </w:rPr>
        <w:t xml:space="preserve">                       </w:t>
      </w:r>
    </w:p>
    <w:p w14:paraId="6C3F0F5C">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本单位与其他供应商之间：</w:t>
      </w:r>
    </w:p>
    <w:p w14:paraId="4A3D1FC7">
      <w:pPr>
        <w:spacing w:line="360" w:lineRule="auto"/>
        <w:ind w:firstLine="420" w:firstLineChars="200"/>
        <w:rPr>
          <w:rFonts w:ascii="宋体" w:cs="宋体"/>
          <w:color w:val="auto"/>
          <w:kern w:val="0"/>
          <w:szCs w:val="21"/>
          <w:highlight w:val="none"/>
          <w:u w:val="single"/>
        </w:rPr>
      </w:pPr>
      <w:r>
        <w:rPr>
          <w:rFonts w:hint="eastAsia" w:ascii="宋体" w:hAnsi="宋体" w:cs="宋体"/>
          <w:color w:val="auto"/>
          <w:kern w:val="0"/>
          <w:szCs w:val="21"/>
          <w:highlight w:val="none"/>
        </w:rPr>
        <w:t>□不存在围标串标行为</w:t>
      </w:r>
      <w:r>
        <w:rPr>
          <w:rFonts w:ascii="宋体" w:hAnsi="宋体" w:cs="宋体"/>
          <w:color w:val="auto"/>
          <w:kern w:val="0"/>
          <w:szCs w:val="21"/>
          <w:highlight w:val="none"/>
        </w:rPr>
        <w:t>/</w:t>
      </w:r>
      <w:r>
        <w:rPr>
          <w:rFonts w:hint="eastAsia" w:ascii="宋体" w:hAnsi="宋体" w:cs="宋体"/>
          <w:color w:val="auto"/>
          <w:kern w:val="0"/>
          <w:szCs w:val="21"/>
          <w:highlight w:val="none"/>
        </w:rPr>
        <w:t>□存在围标串标行为：</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p>
    <w:p w14:paraId="25F8E9BD">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现已清楚知道并承诺严格遵守政府采购法律法规，严格按照竞争性磋商文件规定签署本承诺书，如有任何存在围标串标行为，将自行承担一切法律后果。</w:t>
      </w:r>
    </w:p>
    <w:p w14:paraId="592BC655">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特此承诺</w:t>
      </w:r>
    </w:p>
    <w:p w14:paraId="7F64A070">
      <w:pPr>
        <w:pStyle w:val="2"/>
        <w:ind w:firstLine="2880"/>
        <w:rPr>
          <w:rFonts w:ascii="宋体" w:hAnsi="宋体" w:eastAsia="宋体" w:cs="宋体"/>
          <w:color w:val="auto"/>
          <w:highlight w:val="none"/>
        </w:rPr>
      </w:pPr>
    </w:p>
    <w:p w14:paraId="526BE8AA">
      <w:pPr>
        <w:rPr>
          <w:rFonts w:ascii="宋体" w:cs="宋体"/>
          <w:color w:val="auto"/>
          <w:highlight w:val="none"/>
        </w:rPr>
      </w:pPr>
    </w:p>
    <w:p w14:paraId="10C9A4E4">
      <w:pPr>
        <w:pStyle w:val="2"/>
        <w:ind w:firstLine="2880"/>
        <w:rPr>
          <w:rFonts w:ascii="宋体" w:hAnsi="宋体" w:eastAsia="宋体" w:cs="宋体"/>
          <w:color w:val="auto"/>
          <w:highlight w:val="none"/>
        </w:rPr>
      </w:pPr>
    </w:p>
    <w:p w14:paraId="22C77E38">
      <w:pPr>
        <w:adjustRightInd w:val="0"/>
        <w:snapToGrid w:val="0"/>
        <w:spacing w:line="480" w:lineRule="auto"/>
        <w:ind w:firstLine="482" w:firstLineChars="200"/>
        <w:rPr>
          <w:rFonts w:ascii="宋体" w:cs="宋体"/>
          <w:b/>
          <w:color w:val="auto"/>
          <w:sz w:val="24"/>
          <w:szCs w:val="24"/>
          <w:highlight w:val="none"/>
        </w:rPr>
      </w:pPr>
      <w:r>
        <w:rPr>
          <w:rFonts w:hint="eastAsia" w:ascii="宋体" w:hAnsi="宋体" w:cs="宋体"/>
          <w:b/>
          <w:color w:val="auto"/>
          <w:sz w:val="24"/>
          <w:szCs w:val="24"/>
          <w:highlight w:val="none"/>
        </w:rPr>
        <w:t>磋商响应供应商（</w:t>
      </w:r>
      <w:r>
        <w:rPr>
          <w:rFonts w:hint="eastAsia" w:ascii="宋体" w:hAnsi="宋体" w:cs="宋体"/>
          <w:b/>
          <w:bCs/>
          <w:color w:val="auto"/>
          <w:kern w:val="0"/>
          <w:szCs w:val="21"/>
          <w:highlight w:val="none"/>
          <w:lang w:bidi="ar"/>
        </w:rPr>
        <w:t>单位电子印章</w:t>
      </w:r>
      <w:r>
        <w:rPr>
          <w:rFonts w:hint="eastAsia" w:ascii="宋体" w:hAnsi="宋体" w:cs="宋体"/>
          <w:b/>
          <w:color w:val="auto"/>
          <w:sz w:val="24"/>
          <w:szCs w:val="24"/>
          <w:highlight w:val="none"/>
        </w:rPr>
        <w:t>）：</w:t>
      </w:r>
      <w:r>
        <w:rPr>
          <w:rFonts w:ascii="宋体" w:hAnsi="宋体" w:cs="宋体"/>
          <w:b/>
          <w:color w:val="auto"/>
          <w:sz w:val="24"/>
          <w:szCs w:val="24"/>
          <w:highlight w:val="none"/>
          <w:u w:val="single"/>
        </w:rPr>
        <w:t xml:space="preserve">               </w:t>
      </w:r>
    </w:p>
    <w:p w14:paraId="5A41F772">
      <w:pPr>
        <w:snapToGrid w:val="0"/>
        <w:spacing w:line="360" w:lineRule="auto"/>
        <w:ind w:firstLine="426" w:firstLineChars="177"/>
        <w:jc w:val="left"/>
        <w:rPr>
          <w:rFonts w:ascii="宋体" w:cs="宋体"/>
          <w:color w:val="auto"/>
          <w:sz w:val="28"/>
          <w:szCs w:val="28"/>
          <w:highlight w:val="none"/>
        </w:rPr>
      </w:pPr>
      <w:r>
        <w:rPr>
          <w:rFonts w:hint="eastAsia" w:ascii="宋体" w:hAnsi="宋体" w:cs="宋体"/>
          <w:b/>
          <w:color w:val="auto"/>
          <w:sz w:val="24"/>
          <w:szCs w:val="24"/>
          <w:highlight w:val="none"/>
        </w:rPr>
        <w:t>日期：</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p>
    <w:p w14:paraId="2FBEA6BC">
      <w:pPr>
        <w:pStyle w:val="33"/>
        <w:spacing w:before="158" w:after="158"/>
        <w:ind w:firstLine="1928"/>
        <w:rPr>
          <w:rFonts w:hAnsi="宋体" w:cs="宋体"/>
          <w:color w:val="auto"/>
          <w:highlight w:val="none"/>
        </w:rPr>
        <w:sectPr>
          <w:pgSz w:w="11906" w:h="16838"/>
          <w:pgMar w:top="1440" w:right="1417" w:bottom="1440" w:left="1417" w:header="850" w:footer="992" w:gutter="0"/>
          <w:cols w:space="0" w:num="1"/>
          <w:docGrid w:type="lines" w:linePitch="317" w:charSpace="0"/>
        </w:sectPr>
      </w:pPr>
    </w:p>
    <w:p w14:paraId="400F375D">
      <w:pPr>
        <w:pStyle w:val="4"/>
        <w:jc w:val="left"/>
        <w:rPr>
          <w:rFonts w:ascii="宋体" w:cs="宋体"/>
          <w:color w:val="auto"/>
          <w:kern w:val="0"/>
          <w:sz w:val="24"/>
          <w:szCs w:val="24"/>
          <w:highlight w:val="none"/>
        </w:rPr>
      </w:pPr>
      <w:r>
        <w:rPr>
          <w:rFonts w:hint="eastAsia" w:ascii="宋体" w:hAnsi="宋体" w:cs="宋体"/>
          <w:b/>
          <w:bCs/>
          <w:color w:val="auto"/>
          <w:kern w:val="0"/>
          <w:sz w:val="24"/>
          <w:szCs w:val="24"/>
          <w:highlight w:val="none"/>
        </w:rPr>
        <w:t>5、“非联合体”的证明材料</w:t>
      </w:r>
    </w:p>
    <w:p w14:paraId="22CBC60D">
      <w:pPr>
        <w:pStyle w:val="4"/>
        <w:adjustRightInd w:val="0"/>
        <w:snapToGrid w:val="0"/>
        <w:spacing w:line="480" w:lineRule="auto"/>
        <w:ind w:firstLine="1928"/>
        <w:jc w:val="center"/>
        <w:rPr>
          <w:rFonts w:ascii="宋体" w:cs="宋体"/>
          <w:b/>
          <w:bCs/>
          <w:color w:val="auto"/>
          <w:sz w:val="24"/>
          <w:szCs w:val="24"/>
          <w:highlight w:val="none"/>
        </w:rPr>
      </w:pPr>
      <w:r>
        <w:rPr>
          <w:rFonts w:hint="eastAsia" w:ascii="宋体" w:hAnsi="宋体" w:cs="宋体"/>
          <w:b/>
          <w:bCs/>
          <w:color w:val="auto"/>
          <w:sz w:val="24"/>
          <w:szCs w:val="24"/>
          <w:highlight w:val="none"/>
        </w:rPr>
        <w:t>★非联合体声明书</w:t>
      </w:r>
    </w:p>
    <w:p w14:paraId="7E799D56">
      <w:pPr>
        <w:pStyle w:val="4"/>
        <w:spacing w:before="0" w:after="0" w:line="360" w:lineRule="auto"/>
        <w:ind w:firstLine="1687"/>
        <w:rPr>
          <w:rFonts w:asci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汾西县机关事务服务中心</w:t>
      </w:r>
      <w:r>
        <w:rPr>
          <w:rFonts w:ascii="宋体" w:hAnsi="宋体" w:cs="宋体"/>
          <w:color w:val="auto"/>
          <w:sz w:val="21"/>
          <w:szCs w:val="21"/>
          <w:highlight w:val="none"/>
          <w:u w:val="single"/>
        </w:rPr>
        <w:t xml:space="preserve"> </w:t>
      </w:r>
    </w:p>
    <w:p w14:paraId="1A95EA6D">
      <w:pPr>
        <w:ind w:firstLine="420" w:firstLineChars="200"/>
        <w:rPr>
          <w:rFonts w:ascii="宋体" w:hAnsi="宋体" w:cs="宋体"/>
          <w:color w:val="auto"/>
          <w:szCs w:val="21"/>
          <w:highlight w:val="none"/>
        </w:rPr>
      </w:pPr>
      <w:r>
        <w:rPr>
          <w:rFonts w:ascii="宋体" w:hAnsi="宋体" w:cs="宋体"/>
          <w:color w:val="auto"/>
          <w:szCs w:val="21"/>
          <w:highlight w:val="none"/>
        </w:rPr>
        <w:t xml:space="preserve"> </w:t>
      </w:r>
    </w:p>
    <w:p w14:paraId="044F0695">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我方参加</w:t>
      </w:r>
      <w:r>
        <w:rPr>
          <w:rFonts w:hint="eastAsia" w:ascii="宋体" w:hAnsi="宋体" w:cs="宋体"/>
          <w:color w:val="auto"/>
          <w:kern w:val="0"/>
          <w:szCs w:val="21"/>
          <w:highlight w:val="none"/>
          <w:u w:val="single"/>
          <w:lang w:bidi="ar"/>
        </w:rPr>
        <w:t xml:space="preserve">[项目名称]     </w:t>
      </w:r>
      <w:r>
        <w:rPr>
          <w:rFonts w:ascii="宋体" w:hAnsi="宋体" w:cs="宋体"/>
          <w:b/>
          <w:color w:val="auto"/>
          <w:kern w:val="0"/>
          <w:szCs w:val="21"/>
          <w:highlight w:val="none"/>
          <w:u w:val="single"/>
        </w:rPr>
        <w:t xml:space="preserve">  </w:t>
      </w:r>
      <w:r>
        <w:rPr>
          <w:rFonts w:hint="eastAsia" w:ascii="宋体" w:hAnsi="宋体" w:cs="宋体"/>
          <w:color w:val="auto"/>
          <w:kern w:val="0"/>
          <w:szCs w:val="21"/>
          <w:highlight w:val="none"/>
        </w:rPr>
        <w:t>的政府采购活动，未与其他单位组成联合体。</w:t>
      </w:r>
    </w:p>
    <w:p w14:paraId="66BC3155">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我方上述声明的真实性负责，如有虚假或隐瞒，采购人可取消我方任何资格（投标</w:t>
      </w:r>
      <w:r>
        <w:rPr>
          <w:rFonts w:ascii="宋体" w:hAnsi="宋体" w:cs="宋体"/>
          <w:color w:val="auto"/>
          <w:kern w:val="0"/>
          <w:szCs w:val="21"/>
          <w:highlight w:val="none"/>
        </w:rPr>
        <w:t>/</w:t>
      </w:r>
      <w:r>
        <w:rPr>
          <w:rFonts w:hint="eastAsia" w:ascii="宋体" w:hAnsi="宋体" w:cs="宋体"/>
          <w:color w:val="auto"/>
          <w:kern w:val="0"/>
          <w:szCs w:val="21"/>
          <w:highlight w:val="none"/>
        </w:rPr>
        <w:t>谈判</w:t>
      </w:r>
      <w:r>
        <w:rPr>
          <w:rFonts w:ascii="宋体" w:hAnsi="宋体" w:cs="宋体"/>
          <w:color w:val="auto"/>
          <w:kern w:val="0"/>
          <w:szCs w:val="21"/>
          <w:highlight w:val="none"/>
        </w:rPr>
        <w:t>/</w:t>
      </w:r>
      <w:r>
        <w:rPr>
          <w:rFonts w:hint="eastAsia" w:ascii="宋体" w:hAnsi="宋体" w:cs="宋体"/>
          <w:color w:val="auto"/>
          <w:kern w:val="0"/>
          <w:szCs w:val="21"/>
          <w:highlight w:val="none"/>
        </w:rPr>
        <w:t>中标（成交）</w:t>
      </w:r>
      <w:r>
        <w:rPr>
          <w:rFonts w:ascii="宋体" w:hAnsi="宋体" w:cs="宋体"/>
          <w:color w:val="auto"/>
          <w:kern w:val="0"/>
          <w:szCs w:val="21"/>
          <w:highlight w:val="none"/>
        </w:rPr>
        <w:t>/</w:t>
      </w:r>
      <w:r>
        <w:rPr>
          <w:rFonts w:hint="eastAsia" w:ascii="宋体" w:hAnsi="宋体" w:cs="宋体"/>
          <w:color w:val="auto"/>
          <w:kern w:val="0"/>
          <w:szCs w:val="21"/>
          <w:highlight w:val="none"/>
        </w:rPr>
        <w:t>签订合同），我方对此无任何异议，并愿意承担一切后果和责任。</w:t>
      </w:r>
    </w:p>
    <w:p w14:paraId="5CBD745A">
      <w:pPr>
        <w:pStyle w:val="4"/>
        <w:adjustRightInd w:val="0"/>
        <w:snapToGrid w:val="0"/>
        <w:spacing w:line="480" w:lineRule="auto"/>
        <w:ind w:firstLine="2570"/>
        <w:jc w:val="left"/>
        <w:rPr>
          <w:rFonts w:ascii="宋体" w:cs="宋体"/>
          <w:color w:val="auto"/>
          <w:highlight w:val="none"/>
        </w:rPr>
      </w:pPr>
    </w:p>
    <w:p w14:paraId="6B257ECE">
      <w:pPr>
        <w:adjustRightInd w:val="0"/>
        <w:snapToGrid w:val="0"/>
        <w:spacing w:line="480" w:lineRule="auto"/>
        <w:ind w:firstLine="422" w:firstLineChars="200"/>
        <w:rPr>
          <w:rFonts w:ascii="宋体" w:cs="宋体"/>
          <w:b/>
          <w:color w:val="auto"/>
          <w:szCs w:val="21"/>
          <w:highlight w:val="none"/>
        </w:rPr>
      </w:pPr>
      <w:r>
        <w:rPr>
          <w:rFonts w:hint="eastAsia" w:ascii="宋体" w:hAnsi="宋体" w:cs="宋体"/>
          <w:b/>
          <w:color w:val="auto"/>
          <w:szCs w:val="21"/>
          <w:highlight w:val="none"/>
        </w:rPr>
        <w:t>磋商响应供应商（</w:t>
      </w:r>
      <w:r>
        <w:rPr>
          <w:rFonts w:hint="eastAsia" w:ascii="宋体" w:hAnsi="宋体" w:cs="宋体"/>
          <w:b/>
          <w:bCs/>
          <w:color w:val="auto"/>
          <w:kern w:val="0"/>
          <w:szCs w:val="21"/>
          <w:highlight w:val="none"/>
          <w:lang w:bidi="ar"/>
        </w:rPr>
        <w:t>单位电子印章</w:t>
      </w:r>
      <w:r>
        <w:rPr>
          <w:rFonts w:hint="eastAsia" w:ascii="宋体" w:hAnsi="宋体" w:cs="宋体"/>
          <w:b/>
          <w:color w:val="auto"/>
          <w:szCs w:val="21"/>
          <w:highlight w:val="none"/>
        </w:rPr>
        <w:t>）：</w:t>
      </w:r>
      <w:r>
        <w:rPr>
          <w:rFonts w:ascii="宋体" w:hAnsi="宋体" w:cs="宋体"/>
          <w:b/>
          <w:color w:val="auto"/>
          <w:szCs w:val="21"/>
          <w:highlight w:val="none"/>
          <w:u w:val="single"/>
        </w:rPr>
        <w:t xml:space="preserve">               </w:t>
      </w:r>
    </w:p>
    <w:p w14:paraId="187E8413">
      <w:pPr>
        <w:pStyle w:val="4"/>
        <w:adjustRightInd w:val="0"/>
        <w:snapToGrid w:val="0"/>
        <w:spacing w:before="0" w:after="0" w:line="480" w:lineRule="auto"/>
        <w:ind w:firstLine="422" w:firstLineChars="200"/>
        <w:jc w:val="left"/>
        <w:rPr>
          <w:rFonts w:ascii="宋体" w:cs="宋体"/>
          <w:color w:val="auto"/>
          <w:sz w:val="21"/>
          <w:szCs w:val="21"/>
          <w:highlight w:val="none"/>
        </w:rPr>
      </w:pPr>
      <w:r>
        <w:rPr>
          <w:rFonts w:hint="eastAsia" w:ascii="宋体" w:hAnsi="宋体" w:cs="宋体"/>
          <w:b/>
          <w:color w:val="auto"/>
          <w:sz w:val="21"/>
          <w:szCs w:val="21"/>
          <w:highlight w:val="none"/>
        </w:rPr>
        <w:t>日期：</w:t>
      </w:r>
      <w:r>
        <w:rPr>
          <w:rFonts w:ascii="宋体" w:hAnsi="宋体" w:cs="宋体"/>
          <w:b/>
          <w:color w:val="auto"/>
          <w:sz w:val="21"/>
          <w:szCs w:val="21"/>
          <w:highlight w:val="none"/>
          <w:u w:val="single"/>
        </w:rPr>
        <w:t xml:space="preserve">    </w:t>
      </w:r>
      <w:r>
        <w:rPr>
          <w:rFonts w:hint="eastAsia" w:ascii="宋体" w:hAnsi="宋体" w:cs="宋体"/>
          <w:b/>
          <w:color w:val="auto"/>
          <w:sz w:val="21"/>
          <w:szCs w:val="21"/>
          <w:highlight w:val="none"/>
        </w:rPr>
        <w:t>年</w:t>
      </w:r>
      <w:r>
        <w:rPr>
          <w:rFonts w:ascii="宋体" w:hAnsi="宋体" w:cs="宋体"/>
          <w:b/>
          <w:color w:val="auto"/>
          <w:sz w:val="21"/>
          <w:szCs w:val="21"/>
          <w:highlight w:val="none"/>
          <w:u w:val="single"/>
        </w:rPr>
        <w:t xml:space="preserve">    </w:t>
      </w:r>
      <w:r>
        <w:rPr>
          <w:rFonts w:hint="eastAsia" w:ascii="宋体" w:hAnsi="宋体" w:cs="宋体"/>
          <w:b/>
          <w:color w:val="auto"/>
          <w:sz w:val="21"/>
          <w:szCs w:val="21"/>
          <w:highlight w:val="none"/>
        </w:rPr>
        <w:t>月</w:t>
      </w:r>
      <w:r>
        <w:rPr>
          <w:rFonts w:ascii="宋体" w:hAnsi="宋体" w:cs="宋体"/>
          <w:b/>
          <w:color w:val="auto"/>
          <w:sz w:val="21"/>
          <w:szCs w:val="21"/>
          <w:highlight w:val="none"/>
          <w:u w:val="single"/>
        </w:rPr>
        <w:t xml:space="preserve">    </w:t>
      </w:r>
      <w:r>
        <w:rPr>
          <w:rFonts w:hint="eastAsia" w:ascii="宋体" w:hAnsi="宋体" w:cs="宋体"/>
          <w:b/>
          <w:color w:val="auto"/>
          <w:sz w:val="21"/>
          <w:szCs w:val="21"/>
          <w:highlight w:val="none"/>
        </w:rPr>
        <w:t>日</w:t>
      </w:r>
    </w:p>
    <w:p w14:paraId="489D7B48">
      <w:pPr>
        <w:ind w:firstLine="1733"/>
        <w:rPr>
          <w:rFonts w:ascii="宋体" w:hAnsi="宋体" w:cs="宋体"/>
          <w:color w:val="auto"/>
          <w:w w:val="90"/>
          <w:sz w:val="24"/>
          <w:highlight w:val="none"/>
          <w:u w:val="single"/>
        </w:rPr>
      </w:pPr>
    </w:p>
    <w:p w14:paraId="5C8F63B4">
      <w:pPr>
        <w:pStyle w:val="2"/>
        <w:ind w:firstLine="2880"/>
        <w:rPr>
          <w:rFonts w:ascii="宋体" w:hAnsi="宋体" w:eastAsia="宋体" w:cs="宋体"/>
          <w:color w:val="auto"/>
          <w:highlight w:val="none"/>
        </w:rPr>
      </w:pPr>
    </w:p>
    <w:p w14:paraId="03F0D579">
      <w:pPr>
        <w:pStyle w:val="2"/>
        <w:pageBreakBefore/>
        <w:ind w:firstLine="1920"/>
        <w:jc w:val="left"/>
        <w:rPr>
          <w:rFonts w:hAnsi="宋体" w:cs="宋体"/>
          <w:color w:val="auto"/>
          <w:highlight w:val="none"/>
        </w:rPr>
      </w:pPr>
      <w:bookmarkStart w:id="1167" w:name="_Toc7938"/>
      <w:bookmarkStart w:id="1168" w:name="_Toc19843"/>
      <w:bookmarkStart w:id="1169" w:name="_Toc14044"/>
      <w:bookmarkStart w:id="1170" w:name="_Toc1418"/>
      <w:bookmarkStart w:id="1171" w:name="_Toc11001"/>
      <w:bookmarkStart w:id="1172" w:name="_Toc5313"/>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符合本项目的特定资格要求的证明文件：</w:t>
      </w:r>
      <w:bookmarkEnd w:id="1167"/>
      <w:bookmarkEnd w:id="1168"/>
      <w:bookmarkEnd w:id="1169"/>
      <w:bookmarkEnd w:id="1170"/>
      <w:bookmarkEnd w:id="1171"/>
      <w:bookmarkEnd w:id="1172"/>
      <w:r>
        <w:rPr>
          <w:rFonts w:ascii="宋体" w:hAnsi="宋体" w:eastAsia="宋体" w:cs="宋体"/>
          <w:color w:val="auto"/>
          <w:w w:val="90"/>
          <w:sz w:val="24"/>
          <w:szCs w:val="24"/>
          <w:highlight w:val="none"/>
        </w:rPr>
        <w:t xml:space="preserve"> </w:t>
      </w:r>
    </w:p>
    <w:p w14:paraId="493A37B5">
      <w:pPr>
        <w:pStyle w:val="58"/>
        <w:spacing w:before="0" w:beforeAutospacing="0" w:after="0" w:afterAutospacing="0" w:line="408" w:lineRule="auto"/>
        <w:ind w:firstLine="420" w:firstLineChars="200"/>
        <w:rPr>
          <w:bCs/>
          <w:color w:val="auto"/>
          <w:sz w:val="21"/>
          <w:szCs w:val="21"/>
          <w:highlight w:val="none"/>
        </w:rPr>
      </w:pPr>
      <w:r>
        <w:rPr>
          <w:rFonts w:hint="eastAsia"/>
          <w:bCs/>
          <w:color w:val="auto"/>
          <w:sz w:val="21"/>
          <w:szCs w:val="21"/>
          <w:highlight w:val="none"/>
        </w:rPr>
        <w:t>供应商须具备有效的消防设施工程专业承包贰级及以上资质，有效营业执照、安全生产许可证，并在人员、设备、资金等方面具有相应的施工能力，其中，拟派项目负责人须具备机电工程贰级及以上注册建造师执业资格，具备有效的安全生产考核合格证书（B证），且未担任其它在建工程项目的项目经理，技术负责人需具备相关专业中级及以上职称。</w:t>
      </w:r>
    </w:p>
    <w:p w14:paraId="5977EFCC">
      <w:pPr>
        <w:pStyle w:val="33"/>
        <w:spacing w:before="158" w:after="158"/>
        <w:ind w:firstLine="2240"/>
        <w:rPr>
          <w:rFonts w:hAnsi="宋体" w:cs="宋体"/>
          <w:b/>
          <w:bCs/>
          <w:color w:val="auto"/>
          <w:sz w:val="28"/>
          <w:szCs w:val="28"/>
          <w:highlight w:val="none"/>
        </w:rPr>
      </w:pPr>
    </w:p>
    <w:p w14:paraId="6937452A">
      <w:pPr>
        <w:rPr>
          <w:rFonts w:ascii="宋体" w:hAnsi="宋体" w:cs="宋体"/>
          <w:color w:val="auto"/>
          <w:highlight w:val="none"/>
        </w:rPr>
      </w:pPr>
      <w:r>
        <w:rPr>
          <w:rFonts w:ascii="宋体" w:hAnsi="宋体" w:cs="宋体"/>
          <w:color w:val="auto"/>
          <w:highlight w:val="none"/>
        </w:rPr>
        <w:br w:type="page"/>
      </w:r>
    </w:p>
    <w:p w14:paraId="08655738">
      <w:pPr>
        <w:pStyle w:val="4"/>
        <w:jc w:val="left"/>
        <w:rPr>
          <w:rFonts w:ascii="宋体" w:cs="宋体"/>
          <w:b/>
          <w:bCs/>
          <w:color w:val="auto"/>
          <w:kern w:val="0"/>
          <w:sz w:val="24"/>
          <w:szCs w:val="22"/>
          <w:highlight w:val="none"/>
        </w:rPr>
      </w:pPr>
      <w:r>
        <w:rPr>
          <w:rFonts w:hint="eastAsia" w:ascii="宋体" w:hAnsi="宋体" w:cs="宋体"/>
          <w:b/>
          <w:bCs/>
          <w:color w:val="auto"/>
          <w:kern w:val="0"/>
          <w:sz w:val="24"/>
          <w:szCs w:val="22"/>
          <w:highlight w:val="none"/>
        </w:rPr>
        <w:t>7、“落实政府采购政策需满足的资格要求”</w:t>
      </w:r>
      <w:r>
        <w:rPr>
          <w:rFonts w:hint="eastAsia" w:ascii="宋体" w:hAnsi="宋体" w:cs="宋体"/>
          <w:b/>
          <w:bCs/>
          <w:color w:val="auto"/>
          <w:w w:val="90"/>
          <w:kern w:val="0"/>
          <w:sz w:val="24"/>
          <w:highlight w:val="none"/>
        </w:rPr>
        <w:t>的</w:t>
      </w:r>
      <w:r>
        <w:rPr>
          <w:rFonts w:hint="eastAsia" w:ascii="宋体" w:hAnsi="宋体" w:cs="宋体"/>
          <w:b/>
          <w:bCs/>
          <w:color w:val="auto"/>
          <w:kern w:val="0"/>
          <w:sz w:val="24"/>
          <w:szCs w:val="22"/>
          <w:highlight w:val="none"/>
        </w:rPr>
        <w:t>证明文件：</w:t>
      </w:r>
    </w:p>
    <w:p w14:paraId="32CFB598">
      <w:pPr>
        <w:widowControl/>
        <w:autoSpaceDE w:val="0"/>
        <w:autoSpaceDN w:val="0"/>
        <w:spacing w:line="480" w:lineRule="auto"/>
        <w:ind w:firstLine="241" w:firstLineChars="100"/>
        <w:jc w:val="center"/>
        <w:outlineLvl w:val="2"/>
        <w:rPr>
          <w:rFonts w:ascii="宋体" w:cs="宋体"/>
          <w:b/>
          <w:color w:val="auto"/>
          <w:sz w:val="24"/>
          <w:szCs w:val="24"/>
          <w:highlight w:val="none"/>
        </w:rPr>
      </w:pPr>
      <w:r>
        <w:rPr>
          <w:rFonts w:hint="eastAsia" w:ascii="宋体" w:hAnsi="宋体" w:cs="宋体"/>
          <w:b/>
          <w:color w:val="auto"/>
          <w:sz w:val="24"/>
          <w:szCs w:val="24"/>
          <w:highlight w:val="none"/>
        </w:rPr>
        <w:t>中小企业声明函</w:t>
      </w:r>
    </w:p>
    <w:p w14:paraId="65764F2D">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本公司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郑重声明，根据《政府采购促进中小企业发展管理办法》（财库﹝2020﹞46 号）的规定，本公司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参加</w:t>
      </w:r>
      <w:r>
        <w:rPr>
          <w:rFonts w:hint="eastAsia" w:ascii="宋体" w:hAnsi="宋体" w:cs="宋体"/>
          <w:color w:val="auto"/>
          <w:szCs w:val="21"/>
          <w:highlight w:val="none"/>
          <w:u w:val="single"/>
        </w:rPr>
        <w:t xml:space="preserve">         （采购人名称）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采购活动，工程的施工单位全部为符合政策要求的中小企业。相关企业（含联合体中的中小企业、签订分包意向协议的中小企业）的具体情况如下：</w:t>
      </w:r>
    </w:p>
    <w:p w14:paraId="06C84BB7">
      <w:pPr>
        <w:spacing w:line="360" w:lineRule="auto"/>
        <w:rPr>
          <w:rFonts w:ascii="宋体" w:hAnsi="宋体" w:cs="宋体"/>
          <w:color w:val="auto"/>
          <w:szCs w:val="21"/>
          <w:highlight w:val="none"/>
        </w:rPr>
      </w:pPr>
    </w:p>
    <w:p w14:paraId="4D0D6134">
      <w:pPr>
        <w:spacing w:line="360" w:lineRule="auto"/>
        <w:ind w:firstLine="1687"/>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 xml:space="preserve"> ，属于</w:t>
      </w:r>
      <w:r>
        <w:rPr>
          <w:rFonts w:hint="eastAsia" w:ascii="宋体" w:hAnsi="宋体" w:cs="宋体"/>
          <w:color w:val="auto"/>
          <w:szCs w:val="21"/>
          <w:highlight w:val="none"/>
          <w:u w:val="single"/>
        </w:rPr>
        <w:t xml:space="preserve">        （采购文件中明确的所属行业）</w:t>
      </w:r>
      <w:r>
        <w:rPr>
          <w:rFonts w:hint="eastAsia" w:ascii="宋体" w:hAnsi="宋体" w:cs="宋体"/>
          <w:color w:val="auto"/>
          <w:szCs w:val="21"/>
          <w:highlight w:val="none"/>
        </w:rPr>
        <w:t>； 承建（承接）企业为</w:t>
      </w:r>
      <w:r>
        <w:rPr>
          <w:rFonts w:hint="eastAsia" w:ascii="宋体" w:hAnsi="宋体" w:cs="宋体"/>
          <w:color w:val="auto"/>
          <w:szCs w:val="21"/>
          <w:highlight w:val="none"/>
          <w:u w:val="single"/>
        </w:rPr>
        <w:t xml:space="preserve">       （企业名称）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r>
        <w:rPr>
          <w:rFonts w:hint="eastAsia" w:ascii="宋体" w:hAnsi="宋体" w:cs="宋体"/>
          <w:b/>
          <w:bCs/>
          <w:color w:val="auto"/>
          <w:szCs w:val="21"/>
          <w:highlight w:val="none"/>
          <w:vertAlign w:val="superscript"/>
        </w:rPr>
        <w:t>1</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（中型企业、 小型企业、微型企业）</w:t>
      </w:r>
      <w:r>
        <w:rPr>
          <w:rFonts w:hint="eastAsia" w:ascii="宋体" w:hAnsi="宋体" w:cs="宋体"/>
          <w:color w:val="auto"/>
          <w:szCs w:val="21"/>
          <w:highlight w:val="none"/>
        </w:rPr>
        <w:t>；</w:t>
      </w:r>
    </w:p>
    <w:p w14:paraId="1556EACD">
      <w:pPr>
        <w:spacing w:line="360" w:lineRule="auto"/>
        <w:rPr>
          <w:rFonts w:ascii="宋体" w:hAnsi="宋体" w:cs="宋体"/>
          <w:color w:val="auto"/>
          <w:szCs w:val="21"/>
          <w:highlight w:val="none"/>
        </w:rPr>
      </w:pPr>
    </w:p>
    <w:p w14:paraId="427A64F5">
      <w:pPr>
        <w:spacing w:line="360" w:lineRule="auto"/>
        <w:ind w:firstLine="1687"/>
        <w:rPr>
          <w:rFonts w:ascii="宋体" w:hAnsi="宋体" w:cs="宋体"/>
          <w:color w:val="auto"/>
          <w:szCs w:val="21"/>
          <w:highlight w:val="none"/>
        </w:rPr>
      </w:pPr>
      <w:r>
        <w:rPr>
          <w:rFonts w:hint="eastAsia" w:ascii="宋体" w:hAnsi="宋体" w:cs="宋体"/>
          <w:color w:val="auto"/>
          <w:szCs w:val="21"/>
          <w:highlight w:val="none"/>
        </w:rPr>
        <w:t xml:space="preserve"> 2. </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w:t>
      </w:r>
      <w:r>
        <w:rPr>
          <w:rFonts w:hint="eastAsia" w:ascii="宋体" w:hAnsi="宋体" w:cs="宋体"/>
          <w:color w:val="auto"/>
          <w:szCs w:val="21"/>
          <w:highlight w:val="none"/>
        </w:rPr>
        <w:t>； 承建（承接）企业为</w:t>
      </w:r>
      <w:r>
        <w:rPr>
          <w:rFonts w:hint="eastAsia" w:ascii="宋体" w:hAnsi="宋体" w:cs="宋体"/>
          <w:color w:val="auto"/>
          <w:szCs w:val="21"/>
          <w:highlight w:val="none"/>
          <w:u w:val="single"/>
        </w:rPr>
        <w:t xml:space="preserve">         （企业名称）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万元，属于 </w:t>
      </w:r>
      <w:r>
        <w:rPr>
          <w:rFonts w:hint="eastAsia" w:ascii="宋体" w:hAnsi="宋体" w:cs="宋体"/>
          <w:color w:val="auto"/>
          <w:szCs w:val="21"/>
          <w:highlight w:val="none"/>
          <w:u w:val="single"/>
        </w:rPr>
        <w:t xml:space="preserve">                （中型企业、 小型企业、微型企业）</w:t>
      </w:r>
      <w:r>
        <w:rPr>
          <w:rFonts w:hint="eastAsia" w:ascii="宋体" w:hAnsi="宋体" w:cs="宋体"/>
          <w:color w:val="auto"/>
          <w:szCs w:val="21"/>
          <w:highlight w:val="none"/>
        </w:rPr>
        <w:t xml:space="preserve">； </w:t>
      </w:r>
    </w:p>
    <w:p w14:paraId="6C7FE477">
      <w:pPr>
        <w:spacing w:line="360" w:lineRule="auto"/>
        <w:rPr>
          <w:rFonts w:ascii="宋体" w:hAnsi="宋体" w:cs="宋体"/>
          <w:color w:val="auto"/>
          <w:szCs w:val="21"/>
          <w:highlight w:val="none"/>
        </w:rPr>
      </w:pPr>
    </w:p>
    <w:p w14:paraId="016CA4CB">
      <w:pPr>
        <w:spacing w:line="360" w:lineRule="auto"/>
        <w:ind w:firstLine="1687"/>
        <w:rPr>
          <w:rFonts w:ascii="宋体" w:hAnsi="宋体" w:cs="宋体"/>
          <w:color w:val="auto"/>
          <w:szCs w:val="21"/>
          <w:highlight w:val="none"/>
        </w:rPr>
      </w:pPr>
      <w:r>
        <w:rPr>
          <w:rFonts w:hint="eastAsia" w:ascii="宋体" w:hAnsi="宋体" w:cs="宋体"/>
          <w:color w:val="auto"/>
          <w:szCs w:val="21"/>
          <w:highlight w:val="none"/>
        </w:rPr>
        <w:t>……</w:t>
      </w:r>
    </w:p>
    <w:p w14:paraId="3FFAA117">
      <w:pPr>
        <w:spacing w:line="360" w:lineRule="auto"/>
        <w:rPr>
          <w:rFonts w:ascii="宋体" w:hAnsi="宋体" w:cs="宋体"/>
          <w:color w:val="auto"/>
          <w:szCs w:val="21"/>
          <w:highlight w:val="none"/>
        </w:rPr>
      </w:pPr>
    </w:p>
    <w:p w14:paraId="0D02C2AE">
      <w:pPr>
        <w:spacing w:line="360" w:lineRule="auto"/>
        <w:ind w:firstLine="1687"/>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3DF34B8D">
      <w:pPr>
        <w:spacing w:line="360" w:lineRule="auto"/>
        <w:rPr>
          <w:rFonts w:ascii="宋体" w:hAnsi="宋体" w:cs="宋体"/>
          <w:color w:val="auto"/>
          <w:szCs w:val="21"/>
          <w:highlight w:val="none"/>
        </w:rPr>
      </w:pPr>
    </w:p>
    <w:p w14:paraId="39A63EDC">
      <w:pPr>
        <w:spacing w:line="360" w:lineRule="auto"/>
        <w:ind w:firstLine="1687"/>
        <w:rPr>
          <w:rFonts w:ascii="宋体" w:hAnsi="宋体" w:cs="宋体"/>
          <w:color w:val="auto"/>
          <w:szCs w:val="21"/>
          <w:highlight w:val="none"/>
        </w:rPr>
      </w:pPr>
      <w:r>
        <w:rPr>
          <w:rFonts w:hint="eastAsia" w:ascii="宋体" w:hAnsi="宋体" w:cs="宋体"/>
          <w:color w:val="auto"/>
          <w:szCs w:val="21"/>
          <w:highlight w:val="none"/>
        </w:rPr>
        <w:t xml:space="preserve">本企业对上述声明内容的真实性负责。如有虚假，将依法承担相应责任。 </w:t>
      </w:r>
    </w:p>
    <w:p w14:paraId="39C64135">
      <w:pPr>
        <w:spacing w:line="360" w:lineRule="auto"/>
        <w:jc w:val="center"/>
        <w:rPr>
          <w:rFonts w:ascii="宋体" w:hAnsi="宋体" w:cs="宋体"/>
          <w:color w:val="auto"/>
          <w:szCs w:val="21"/>
          <w:highlight w:val="none"/>
        </w:rPr>
      </w:pPr>
    </w:p>
    <w:p w14:paraId="05C06C71">
      <w:pPr>
        <w:spacing w:line="360" w:lineRule="auto"/>
        <w:ind w:firstLine="1687"/>
        <w:jc w:val="center"/>
        <w:rPr>
          <w:rFonts w:ascii="宋体" w:hAnsi="宋体" w:cs="宋体"/>
          <w:color w:val="auto"/>
          <w:szCs w:val="21"/>
          <w:highlight w:val="none"/>
        </w:rPr>
      </w:pPr>
      <w:r>
        <w:rPr>
          <w:rFonts w:hint="eastAsia" w:ascii="宋体" w:hAnsi="宋体" w:cs="宋体"/>
          <w:color w:val="auto"/>
          <w:szCs w:val="21"/>
          <w:highlight w:val="none"/>
        </w:rPr>
        <w:t xml:space="preserve">                                          磋商响应供应商（</w:t>
      </w:r>
      <w:r>
        <w:rPr>
          <w:rFonts w:hint="eastAsia" w:ascii="宋体" w:hAnsi="宋体"/>
          <w:color w:val="auto"/>
          <w:szCs w:val="21"/>
          <w:highlight w:val="none"/>
        </w:rPr>
        <w:t>单位电子印章</w:t>
      </w:r>
      <w:r>
        <w:rPr>
          <w:rFonts w:hint="eastAsia" w:ascii="宋体" w:hAnsi="宋体" w:cs="宋体"/>
          <w:color w:val="auto"/>
          <w:szCs w:val="21"/>
          <w:highlight w:val="none"/>
        </w:rPr>
        <w:t>）：</w:t>
      </w:r>
    </w:p>
    <w:p w14:paraId="420CEAE4">
      <w:pPr>
        <w:spacing w:line="360" w:lineRule="auto"/>
        <w:ind w:firstLine="1687"/>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049BFD61">
      <w:pPr>
        <w:spacing w:line="360" w:lineRule="auto"/>
        <w:ind w:firstLine="420" w:firstLineChars="200"/>
        <w:rPr>
          <w:rFonts w:ascii="宋体" w:hAnsi="宋体" w:cs="仿宋"/>
          <w:color w:val="auto"/>
          <w:kern w:val="0"/>
          <w:szCs w:val="21"/>
          <w:highlight w:val="none"/>
        </w:rPr>
      </w:pPr>
    </w:p>
    <w:p w14:paraId="6F542FD4">
      <w:pPr>
        <w:spacing w:line="360" w:lineRule="auto"/>
        <w:ind w:firstLine="1687"/>
        <w:rPr>
          <w:rFonts w:ascii="宋体" w:hAnsi="宋体" w:cs="仿宋"/>
          <w:color w:val="auto"/>
          <w:kern w:val="0"/>
          <w:szCs w:val="21"/>
          <w:highlight w:val="none"/>
        </w:rPr>
      </w:pPr>
      <w:r>
        <w:rPr>
          <w:rFonts w:hint="eastAsia" w:ascii="宋体" w:hAnsi="宋体" w:cs="仿宋"/>
          <w:b/>
          <w:bCs/>
          <w:color w:val="auto"/>
          <w:kern w:val="0"/>
          <w:szCs w:val="21"/>
          <w:highlight w:val="none"/>
          <w:vertAlign w:val="superscript"/>
        </w:rPr>
        <w:t>1</w:t>
      </w:r>
      <w:r>
        <w:rPr>
          <w:rFonts w:hint="eastAsia" w:ascii="宋体" w:hAnsi="宋体" w:cs="仿宋"/>
          <w:color w:val="auto"/>
          <w:kern w:val="0"/>
          <w:szCs w:val="21"/>
          <w:highlight w:val="none"/>
        </w:rPr>
        <w:t>从业人员、营业收入、资产总额填报上一年度数据，无上一年度数据的新成立企业可不填报。</w:t>
      </w:r>
    </w:p>
    <w:p w14:paraId="0BBBBDB2">
      <w:pPr>
        <w:ind w:firstLine="1928"/>
        <w:rPr>
          <w:rFonts w:ascii="宋体" w:cs="宋体"/>
          <w:b/>
          <w:bCs/>
          <w:color w:val="auto"/>
          <w:sz w:val="28"/>
          <w:szCs w:val="20"/>
          <w:highlight w:val="none"/>
        </w:rPr>
      </w:pPr>
      <w:r>
        <w:rPr>
          <w:rFonts w:ascii="宋体" w:cs="宋体"/>
          <w:b/>
          <w:bCs/>
          <w:color w:val="auto"/>
          <w:sz w:val="24"/>
          <w:highlight w:val="none"/>
        </w:rPr>
        <w:br w:type="page"/>
      </w:r>
      <w:r>
        <w:rPr>
          <w:rFonts w:hint="eastAsia" w:ascii="宋体" w:hAnsi="宋体" w:cs="宋体"/>
          <w:b/>
          <w:color w:val="auto"/>
          <w:sz w:val="24"/>
          <w:szCs w:val="24"/>
          <w:highlight w:val="none"/>
        </w:rPr>
        <w:t>监狱企业证明文件</w:t>
      </w:r>
    </w:p>
    <w:p w14:paraId="3C691BDF">
      <w:pPr>
        <w:widowControl/>
        <w:autoSpaceDE w:val="0"/>
        <w:autoSpaceDN w:val="0"/>
        <w:spacing w:line="300" w:lineRule="auto"/>
        <w:ind w:firstLine="1928"/>
        <w:jc w:val="center"/>
        <w:outlineLvl w:val="2"/>
        <w:rPr>
          <w:rFonts w:ascii="宋体" w:cs="宋体"/>
          <w:b/>
          <w:color w:val="auto"/>
          <w:sz w:val="24"/>
          <w:szCs w:val="24"/>
          <w:highlight w:val="none"/>
        </w:rPr>
      </w:pPr>
      <w:r>
        <w:rPr>
          <w:rFonts w:hint="eastAsia" w:ascii="宋体" w:hAnsi="宋体" w:cs="宋体"/>
          <w:b/>
          <w:bCs/>
          <w:color w:val="auto"/>
          <w:sz w:val="24"/>
          <w:szCs w:val="24"/>
          <w:highlight w:val="none"/>
        </w:rPr>
        <w:t>（不属于监狱企业的无需填写）</w:t>
      </w:r>
    </w:p>
    <w:tbl>
      <w:tblPr>
        <w:tblStyle w:val="65"/>
        <w:tblW w:w="5000" w:type="pct"/>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autofit"/>
        <w:tblCellMar>
          <w:top w:w="0" w:type="dxa"/>
          <w:left w:w="108" w:type="dxa"/>
          <w:bottom w:w="0" w:type="dxa"/>
          <w:right w:w="108" w:type="dxa"/>
        </w:tblCellMar>
      </w:tblPr>
      <w:tblGrid>
        <w:gridCol w:w="9288"/>
      </w:tblGrid>
      <w:tr w14:paraId="0490DC00">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5000" w:type="pct"/>
            <w:vAlign w:val="center"/>
          </w:tcPr>
          <w:p w14:paraId="275F1B6C">
            <w:pPr>
              <w:spacing w:line="360" w:lineRule="auto"/>
              <w:ind w:firstLine="422" w:firstLineChars="200"/>
              <w:jc w:val="left"/>
              <w:rPr>
                <w:rFonts w:ascii="宋体" w:cs="宋体"/>
                <w:b/>
                <w:color w:val="auto"/>
                <w:szCs w:val="16"/>
                <w:highlight w:val="none"/>
              </w:rPr>
            </w:pPr>
            <w:r>
              <w:rPr>
                <w:rFonts w:hint="eastAsia" w:ascii="宋体" w:hAnsi="宋体" w:cs="宋体"/>
                <w:b/>
                <w:color w:val="auto"/>
                <w:szCs w:val="16"/>
                <w:highlight w:val="none"/>
              </w:rPr>
              <w:t>备注</w:t>
            </w:r>
            <w:r>
              <w:rPr>
                <w:rFonts w:ascii="宋体" w:hAnsi="宋体" w:cs="宋体"/>
                <w:b/>
                <w:color w:val="auto"/>
                <w:szCs w:val="16"/>
                <w:highlight w:val="none"/>
              </w:rPr>
              <w:t>:</w:t>
            </w:r>
            <w:r>
              <w:rPr>
                <w:rFonts w:hint="eastAsia" w:ascii="宋体" w:hAnsi="宋体" w:cs="宋体"/>
                <w:b/>
                <w:color w:val="auto"/>
                <w:szCs w:val="16"/>
                <w:highlight w:val="none"/>
              </w:rPr>
              <w:t>（</w:t>
            </w:r>
            <w:r>
              <w:rPr>
                <w:rFonts w:ascii="宋体" w:hAnsi="宋体" w:cs="宋体"/>
                <w:b/>
                <w:color w:val="auto"/>
                <w:szCs w:val="16"/>
                <w:highlight w:val="none"/>
              </w:rPr>
              <w:t>1</w:t>
            </w:r>
            <w:r>
              <w:rPr>
                <w:rFonts w:hint="eastAsia" w:ascii="宋体" w:hAnsi="宋体" w:cs="宋体"/>
                <w:b/>
                <w:color w:val="auto"/>
                <w:szCs w:val="16"/>
                <w:highlight w:val="none"/>
              </w:rPr>
              <w:t>）根据《关于政府采购支持监狱企业发展有关问题的通知》（财库</w:t>
            </w:r>
            <w:r>
              <w:rPr>
                <w:rFonts w:ascii="宋体" w:hAnsi="宋体" w:cs="宋体"/>
                <w:b/>
                <w:color w:val="auto"/>
                <w:szCs w:val="16"/>
                <w:highlight w:val="none"/>
              </w:rPr>
              <w:t>[2014]68</w:t>
            </w:r>
            <w:r>
              <w:rPr>
                <w:rFonts w:hint="eastAsia" w:ascii="宋体" w:hAnsi="宋体" w:cs="宋体"/>
                <w:b/>
                <w:color w:val="auto"/>
                <w:szCs w:val="16"/>
                <w:highlight w:val="none"/>
              </w:rPr>
              <w:t>号）的规定，符合规定要求的供应商视同为小型和微型企业。</w:t>
            </w:r>
          </w:p>
          <w:p w14:paraId="06ABB6CF">
            <w:pPr>
              <w:spacing w:line="360" w:lineRule="auto"/>
              <w:ind w:firstLine="422" w:firstLineChars="200"/>
              <w:jc w:val="left"/>
              <w:rPr>
                <w:rFonts w:ascii="宋体" w:cs="宋体"/>
                <w:b/>
                <w:i/>
                <w:color w:val="auto"/>
                <w:kern w:val="0"/>
                <w:sz w:val="28"/>
                <w:highlight w:val="none"/>
              </w:rPr>
            </w:pPr>
            <w:r>
              <w:rPr>
                <w:rFonts w:hint="eastAsia" w:ascii="宋体" w:hAnsi="宋体" w:cs="宋体"/>
                <w:b/>
                <w:color w:val="auto"/>
                <w:szCs w:val="16"/>
                <w:highlight w:val="none"/>
              </w:rPr>
              <w:t>（</w:t>
            </w:r>
            <w:r>
              <w:rPr>
                <w:rFonts w:ascii="宋体" w:hAnsi="宋体" w:cs="宋体"/>
                <w:b/>
                <w:color w:val="auto"/>
                <w:szCs w:val="16"/>
                <w:highlight w:val="none"/>
              </w:rPr>
              <w:t>2</w:t>
            </w:r>
            <w:r>
              <w:rPr>
                <w:rFonts w:hint="eastAsia" w:ascii="宋体" w:hAnsi="宋体" w:cs="宋体"/>
                <w:b/>
                <w:color w:val="auto"/>
                <w:szCs w:val="16"/>
                <w:highlight w:val="none"/>
              </w:rPr>
              <w:t>）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44549356">
      <w:pPr>
        <w:widowControl/>
        <w:autoSpaceDE w:val="0"/>
        <w:autoSpaceDN w:val="0"/>
        <w:spacing w:line="300" w:lineRule="auto"/>
        <w:ind w:firstLine="281" w:firstLineChars="100"/>
        <w:jc w:val="left"/>
        <w:rPr>
          <w:rFonts w:ascii="宋体" w:cs="宋体"/>
          <w:b/>
          <w:bCs/>
          <w:color w:val="auto"/>
          <w:sz w:val="28"/>
          <w:szCs w:val="20"/>
          <w:highlight w:val="none"/>
        </w:rPr>
      </w:pPr>
    </w:p>
    <w:p w14:paraId="7BA531F1">
      <w:pPr>
        <w:widowControl/>
        <w:autoSpaceDE w:val="0"/>
        <w:autoSpaceDN w:val="0"/>
        <w:spacing w:line="300" w:lineRule="auto"/>
        <w:ind w:firstLine="281" w:firstLineChars="100"/>
        <w:jc w:val="left"/>
        <w:rPr>
          <w:rFonts w:ascii="宋体" w:cs="宋体"/>
          <w:b/>
          <w:bCs/>
          <w:color w:val="auto"/>
          <w:sz w:val="28"/>
          <w:szCs w:val="20"/>
          <w:highlight w:val="none"/>
        </w:rPr>
      </w:pPr>
    </w:p>
    <w:p w14:paraId="0B79D361">
      <w:pPr>
        <w:widowControl/>
        <w:autoSpaceDE w:val="0"/>
        <w:autoSpaceDN w:val="0"/>
        <w:spacing w:line="300" w:lineRule="auto"/>
        <w:ind w:firstLine="281" w:firstLineChars="100"/>
        <w:jc w:val="left"/>
        <w:rPr>
          <w:rFonts w:ascii="宋体" w:cs="宋体"/>
          <w:b/>
          <w:bCs/>
          <w:color w:val="auto"/>
          <w:sz w:val="28"/>
          <w:szCs w:val="20"/>
          <w:highlight w:val="none"/>
        </w:rPr>
      </w:pPr>
    </w:p>
    <w:p w14:paraId="5BAEE835">
      <w:pPr>
        <w:widowControl/>
        <w:autoSpaceDE w:val="0"/>
        <w:autoSpaceDN w:val="0"/>
        <w:spacing w:line="300" w:lineRule="auto"/>
        <w:ind w:firstLine="281" w:firstLineChars="100"/>
        <w:jc w:val="left"/>
        <w:rPr>
          <w:rFonts w:ascii="宋体" w:cs="宋体"/>
          <w:b/>
          <w:bCs/>
          <w:color w:val="auto"/>
          <w:sz w:val="28"/>
          <w:szCs w:val="20"/>
          <w:highlight w:val="none"/>
        </w:rPr>
      </w:pPr>
    </w:p>
    <w:p w14:paraId="600F2D64">
      <w:pPr>
        <w:widowControl/>
        <w:autoSpaceDE w:val="0"/>
        <w:autoSpaceDN w:val="0"/>
        <w:spacing w:line="300" w:lineRule="auto"/>
        <w:ind w:firstLine="281" w:firstLineChars="100"/>
        <w:jc w:val="left"/>
        <w:rPr>
          <w:rFonts w:ascii="宋体" w:cs="宋体"/>
          <w:b/>
          <w:bCs/>
          <w:color w:val="auto"/>
          <w:sz w:val="28"/>
          <w:szCs w:val="20"/>
          <w:highlight w:val="none"/>
        </w:rPr>
      </w:pPr>
    </w:p>
    <w:p w14:paraId="414D43FF">
      <w:pPr>
        <w:pStyle w:val="33"/>
        <w:spacing w:before="158" w:after="158"/>
        <w:ind w:firstLine="1928"/>
        <w:rPr>
          <w:rFonts w:hAnsi="宋体" w:cs="宋体"/>
          <w:color w:val="auto"/>
          <w:highlight w:val="none"/>
        </w:rPr>
      </w:pPr>
    </w:p>
    <w:p w14:paraId="4C367257">
      <w:pPr>
        <w:pageBreakBefore/>
        <w:ind w:firstLine="1928"/>
        <w:jc w:val="center"/>
        <w:rPr>
          <w:rFonts w:ascii="宋体" w:cs="宋体"/>
          <w:b/>
          <w:color w:val="auto"/>
          <w:sz w:val="24"/>
          <w:szCs w:val="24"/>
          <w:highlight w:val="none"/>
        </w:rPr>
      </w:pPr>
      <w:r>
        <w:rPr>
          <w:rFonts w:hint="eastAsia" w:ascii="宋体" w:hAnsi="宋体" w:cs="宋体"/>
          <w:b/>
          <w:color w:val="auto"/>
          <w:sz w:val="24"/>
          <w:szCs w:val="24"/>
          <w:highlight w:val="none"/>
        </w:rPr>
        <w:t>残疾人福利性单位声明函</w:t>
      </w:r>
    </w:p>
    <w:p w14:paraId="5FCD523D">
      <w:pPr>
        <w:widowControl/>
        <w:autoSpaceDE w:val="0"/>
        <w:autoSpaceDN w:val="0"/>
        <w:adjustRightInd w:val="0"/>
        <w:snapToGrid w:val="0"/>
        <w:spacing w:line="360" w:lineRule="auto"/>
        <w:ind w:firstLine="1920"/>
        <w:jc w:val="center"/>
        <w:rPr>
          <w:rFonts w:ascii="宋体" w:cs="宋体"/>
          <w:b/>
          <w:bCs/>
          <w:color w:val="auto"/>
          <w:sz w:val="24"/>
          <w:szCs w:val="18"/>
          <w:highlight w:val="none"/>
        </w:rPr>
      </w:pPr>
    </w:p>
    <w:p w14:paraId="62D8D7CF">
      <w:pPr>
        <w:widowControl/>
        <w:autoSpaceDE w:val="0"/>
        <w:autoSpaceDN w:val="0"/>
        <w:adjustRightInd w:val="0"/>
        <w:snapToGrid w:val="0"/>
        <w:spacing w:line="360" w:lineRule="auto"/>
        <w:ind w:firstLine="1928"/>
        <w:jc w:val="center"/>
        <w:outlineLvl w:val="2"/>
        <w:rPr>
          <w:rFonts w:ascii="宋体" w:cs="宋体"/>
          <w:b/>
          <w:color w:val="auto"/>
          <w:sz w:val="24"/>
          <w:szCs w:val="18"/>
          <w:highlight w:val="none"/>
        </w:rPr>
      </w:pPr>
      <w:r>
        <w:rPr>
          <w:rFonts w:hint="eastAsia" w:ascii="宋体" w:hAnsi="宋体" w:cs="宋体"/>
          <w:b/>
          <w:bCs/>
          <w:color w:val="auto"/>
          <w:sz w:val="24"/>
          <w:szCs w:val="18"/>
          <w:highlight w:val="none"/>
        </w:rPr>
        <w:t>（不属于残疾人福利性企业的无需填写）</w:t>
      </w:r>
    </w:p>
    <w:p w14:paraId="33DBFE63">
      <w:pPr>
        <w:widowControl/>
        <w:autoSpaceDE w:val="0"/>
        <w:autoSpaceDN w:val="0"/>
        <w:adjustRightInd w:val="0"/>
        <w:snapToGrid w:val="0"/>
        <w:spacing w:line="480" w:lineRule="auto"/>
        <w:ind w:firstLine="480" w:firstLineChars="200"/>
        <w:jc w:val="left"/>
        <w:rPr>
          <w:rFonts w:ascii="宋体" w:cs="宋体"/>
          <w:color w:val="auto"/>
          <w:sz w:val="24"/>
          <w:szCs w:val="24"/>
          <w:highlight w:val="none"/>
        </w:rPr>
      </w:pPr>
    </w:p>
    <w:p w14:paraId="19BADBCE">
      <w:pPr>
        <w:widowControl/>
        <w:autoSpaceDE w:val="0"/>
        <w:autoSpaceDN w:val="0"/>
        <w:adjustRightInd w:val="0"/>
        <w:snapToGrid w:val="0"/>
        <w:spacing w:line="360" w:lineRule="auto"/>
        <w:ind w:firstLine="420" w:firstLineChars="200"/>
        <w:jc w:val="left"/>
        <w:outlineLvl w:val="2"/>
        <w:rPr>
          <w:rFonts w:ascii="宋体" w:cs="宋体"/>
          <w:color w:val="auto"/>
          <w:szCs w:val="21"/>
          <w:highlight w:val="none"/>
        </w:rPr>
      </w:pPr>
      <w:r>
        <w:rPr>
          <w:rFonts w:hint="eastAsia" w:ascii="宋体" w:hAnsi="宋体" w:cs="宋体"/>
          <w:color w:val="auto"/>
          <w:szCs w:val="21"/>
          <w:highlight w:val="none"/>
        </w:rPr>
        <w:t>本公司郑重声明，根据《财政部民政部中国残疾人联合会关于促进残疾人就业政府采购政策的通知》（财库〔</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 xml:space="preserve"> 141 </w:t>
      </w:r>
      <w:r>
        <w:rPr>
          <w:rFonts w:hint="eastAsia" w:ascii="宋体" w:hAnsi="宋体" w:cs="宋体"/>
          <w:color w:val="auto"/>
          <w:szCs w:val="21"/>
          <w:highlight w:val="none"/>
        </w:rPr>
        <w:t>号）的规定，本单位为符合条件的残疾人福利性单位，且本单位参加</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w:t>
      </w:r>
      <w:r>
        <w:rPr>
          <w:rFonts w:ascii="宋体" w:hAnsi="宋体" w:cs="宋体"/>
          <w:color w:val="auto"/>
          <w:szCs w:val="21"/>
          <w:highlight w:val="none"/>
        </w:rPr>
        <w:t>/</w:t>
      </w:r>
      <w:r>
        <w:rPr>
          <w:rFonts w:hint="eastAsia" w:ascii="宋体" w:hAnsi="宋体" w:cs="宋体"/>
          <w:color w:val="auto"/>
          <w:szCs w:val="21"/>
          <w:highlight w:val="none"/>
        </w:rPr>
        <w:t>提供服务），</w:t>
      </w:r>
    </w:p>
    <w:p w14:paraId="308F3E63">
      <w:pPr>
        <w:widowControl/>
        <w:autoSpaceDE w:val="0"/>
        <w:autoSpaceDN w:val="0"/>
        <w:adjustRightInd w:val="0"/>
        <w:snapToGrid w:val="0"/>
        <w:spacing w:line="360" w:lineRule="auto"/>
        <w:ind w:firstLine="420" w:firstLineChars="200"/>
        <w:jc w:val="left"/>
        <w:outlineLvl w:val="2"/>
        <w:rPr>
          <w:rFonts w:asci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0259198F">
      <w:pPr>
        <w:widowControl/>
        <w:autoSpaceDE w:val="0"/>
        <w:autoSpaceDN w:val="0"/>
        <w:adjustRightInd w:val="0"/>
        <w:snapToGrid w:val="0"/>
        <w:spacing w:line="480" w:lineRule="auto"/>
        <w:ind w:firstLine="422" w:firstLineChars="200"/>
        <w:jc w:val="left"/>
        <w:outlineLvl w:val="2"/>
        <w:rPr>
          <w:rFonts w:ascii="宋体" w:cs="宋体"/>
          <w:b/>
          <w:bCs/>
          <w:color w:val="auto"/>
          <w:szCs w:val="21"/>
          <w:highlight w:val="none"/>
        </w:rPr>
      </w:pPr>
      <w:r>
        <w:rPr>
          <w:rFonts w:hint="eastAsia" w:ascii="宋体" w:hAnsi="宋体" w:cs="宋体"/>
          <w:b/>
          <w:bCs/>
          <w:color w:val="auto"/>
          <w:szCs w:val="21"/>
          <w:highlight w:val="none"/>
        </w:rPr>
        <w:t>磋商响应供应商（单位电子印章）：</w:t>
      </w:r>
    </w:p>
    <w:p w14:paraId="2F364244">
      <w:pPr>
        <w:widowControl/>
        <w:autoSpaceDE w:val="0"/>
        <w:autoSpaceDN w:val="0"/>
        <w:adjustRightInd w:val="0"/>
        <w:snapToGrid w:val="0"/>
        <w:spacing w:line="480" w:lineRule="auto"/>
        <w:ind w:firstLine="422" w:firstLineChars="200"/>
        <w:jc w:val="left"/>
        <w:outlineLvl w:val="2"/>
        <w:rPr>
          <w:rFonts w:ascii="宋体" w:cs="宋体"/>
          <w:b/>
          <w:bCs/>
          <w:color w:val="auto"/>
          <w:szCs w:val="21"/>
          <w:highlight w:val="none"/>
        </w:rPr>
      </w:pPr>
      <w:r>
        <w:rPr>
          <w:rFonts w:hint="eastAsia" w:ascii="宋体" w:hAnsi="宋体" w:cs="宋体"/>
          <w:b/>
          <w:bCs/>
          <w:color w:val="auto"/>
          <w:szCs w:val="21"/>
          <w:highlight w:val="none"/>
        </w:rPr>
        <w:t>日期：</w:t>
      </w:r>
    </w:p>
    <w:p w14:paraId="4F98F0D6">
      <w:pPr>
        <w:spacing w:line="360" w:lineRule="auto"/>
        <w:ind w:firstLine="373" w:firstLineChars="177"/>
        <w:jc w:val="left"/>
        <w:rPr>
          <w:rFonts w:ascii="宋体" w:cs="宋体"/>
          <w:b/>
          <w:color w:val="auto"/>
          <w:szCs w:val="16"/>
          <w:highlight w:val="none"/>
        </w:rPr>
      </w:pPr>
    </w:p>
    <w:p w14:paraId="395C332F">
      <w:pPr>
        <w:spacing w:line="360" w:lineRule="auto"/>
        <w:ind w:firstLine="373" w:firstLineChars="177"/>
        <w:jc w:val="left"/>
        <w:rPr>
          <w:rFonts w:ascii="宋体" w:cs="宋体"/>
          <w:b/>
          <w:color w:val="auto"/>
          <w:szCs w:val="16"/>
          <w:highlight w:val="none"/>
        </w:rPr>
      </w:pPr>
      <w:r>
        <w:rPr>
          <w:rFonts w:hint="eastAsia" w:ascii="宋体" w:hAnsi="宋体" w:cs="宋体"/>
          <w:b/>
          <w:color w:val="auto"/>
          <w:szCs w:val="16"/>
          <w:highlight w:val="none"/>
        </w:rPr>
        <w:t>备注：（</w:t>
      </w:r>
      <w:r>
        <w:rPr>
          <w:rFonts w:ascii="宋体" w:hAnsi="宋体" w:cs="宋体"/>
          <w:b/>
          <w:color w:val="auto"/>
          <w:szCs w:val="16"/>
          <w:highlight w:val="none"/>
        </w:rPr>
        <w:t>1</w:t>
      </w:r>
      <w:r>
        <w:rPr>
          <w:rFonts w:hint="eastAsia" w:ascii="宋体" w:hAnsi="宋体" w:cs="宋体"/>
          <w:b/>
          <w:color w:val="auto"/>
          <w:szCs w:val="16"/>
          <w:highlight w:val="none"/>
        </w:rPr>
        <w:t>）符合《财政部、民政部、中国残疾人联合会关于促进残疾人就业政府采购政策的通知》（财库</w:t>
      </w:r>
      <w:r>
        <w:rPr>
          <w:rFonts w:ascii="宋体" w:hAnsi="宋体" w:cs="宋体"/>
          <w:b/>
          <w:color w:val="auto"/>
          <w:szCs w:val="16"/>
          <w:highlight w:val="none"/>
        </w:rPr>
        <w:t>[2017]141</w:t>
      </w:r>
      <w:r>
        <w:rPr>
          <w:rFonts w:hint="eastAsia" w:ascii="宋体" w:hAnsi="宋体" w:cs="宋体"/>
          <w:b/>
          <w:color w:val="auto"/>
          <w:szCs w:val="16"/>
          <w:highlight w:val="none"/>
        </w:rPr>
        <w:t>号）规定的残疾人福利性单位，在全部提供本单位制造的货物（由本单位承担工程</w:t>
      </w:r>
      <w:r>
        <w:rPr>
          <w:rFonts w:ascii="宋体" w:hAnsi="宋体" w:cs="宋体"/>
          <w:b/>
          <w:color w:val="auto"/>
          <w:szCs w:val="16"/>
          <w:highlight w:val="none"/>
        </w:rPr>
        <w:t>/</w:t>
      </w:r>
      <w:r>
        <w:rPr>
          <w:rFonts w:hint="eastAsia" w:ascii="宋体" w:hAnsi="宋体" w:cs="宋体"/>
          <w:b/>
          <w:color w:val="auto"/>
          <w:szCs w:val="16"/>
          <w:highlight w:val="none"/>
        </w:rPr>
        <w:t>提供服务）或者提供其他残疾人福利性单位制造的货物（不包括使用非残疾人福利性单位注册商标的货物）参加本政府采购活动时，视同小型、微型企业。</w:t>
      </w:r>
    </w:p>
    <w:p w14:paraId="21246C11">
      <w:pPr>
        <w:numPr>
          <w:ilvl w:val="0"/>
          <w:numId w:val="36"/>
        </w:numPr>
        <w:spacing w:line="360" w:lineRule="auto"/>
        <w:ind w:firstLine="2891"/>
        <w:jc w:val="left"/>
        <w:rPr>
          <w:rFonts w:ascii="宋体" w:cs="宋体"/>
          <w:b/>
          <w:color w:val="auto"/>
          <w:szCs w:val="16"/>
          <w:highlight w:val="none"/>
        </w:rPr>
      </w:pPr>
      <w:r>
        <w:rPr>
          <w:rFonts w:hint="eastAsia" w:ascii="宋体" w:hAnsi="宋体" w:cs="宋体"/>
          <w:b/>
          <w:color w:val="auto"/>
          <w:szCs w:val="16"/>
          <w:highlight w:val="none"/>
        </w:rPr>
        <w:t>残疾人福利性单位证明材料：残疾人福利性单位声明函，如提供其他残疾人福利性单位制造的货物，还须同时提供该企业的残疾人福利性单位声明函。</w:t>
      </w:r>
    </w:p>
    <w:p w14:paraId="0D52816D">
      <w:pPr>
        <w:spacing w:line="360" w:lineRule="auto"/>
        <w:jc w:val="left"/>
        <w:rPr>
          <w:rFonts w:ascii="宋体" w:cs="宋体"/>
          <w:color w:val="auto"/>
          <w:highlight w:val="none"/>
        </w:rPr>
      </w:pPr>
      <w:r>
        <w:rPr>
          <w:rFonts w:ascii="宋体" w:cs="宋体"/>
          <w:color w:val="auto"/>
          <w:highlight w:val="none"/>
        </w:rPr>
        <w:br w:type="page"/>
      </w:r>
    </w:p>
    <w:p w14:paraId="313BDD62">
      <w:pPr>
        <w:pStyle w:val="3"/>
        <w:ind w:firstLine="2560"/>
        <w:jc w:val="left"/>
        <w:rPr>
          <w:rFonts w:ascii="宋体" w:hAnsi="宋体" w:eastAsia="宋体" w:cs="宋体"/>
          <w:color w:val="auto"/>
          <w:highlight w:val="none"/>
        </w:rPr>
      </w:pPr>
      <w:r>
        <w:rPr>
          <w:rFonts w:hint="eastAsia" w:ascii="宋体" w:hAnsi="宋体" w:eastAsia="宋体" w:cs="宋体"/>
          <w:color w:val="auto"/>
          <w:highlight w:val="none"/>
        </w:rPr>
        <w:t>二、商务技术文件部分格式</w:t>
      </w:r>
      <w:bookmarkEnd w:id="1165"/>
      <w:bookmarkEnd w:id="1166"/>
    </w:p>
    <w:p w14:paraId="60A8C793">
      <w:pPr>
        <w:widowControl/>
        <w:ind w:left="2100" w:leftChars="1000" w:firstLine="2249"/>
        <w:rPr>
          <w:rFonts w:ascii="宋体" w:hAnsi="宋体" w:cs="宋体"/>
          <w:color w:val="auto"/>
          <w:kern w:val="0"/>
          <w:sz w:val="28"/>
          <w:szCs w:val="28"/>
          <w:highlight w:val="none"/>
        </w:rPr>
      </w:pPr>
    </w:p>
    <w:p w14:paraId="45FD3D7A">
      <w:pPr>
        <w:keepNext w:val="0"/>
        <w:keepLines w:val="0"/>
        <w:pageBreakBefore w:val="0"/>
        <w:widowControl/>
        <w:kinsoku/>
        <w:wordWrap/>
        <w:overflowPunct/>
        <w:topLinePunct w:val="0"/>
        <w:autoSpaceDE/>
        <w:autoSpaceDN/>
        <w:bidi w:val="0"/>
        <w:adjustRightInd/>
        <w:ind w:left="0" w:leftChars="0" w:firstLine="0"/>
        <w:textAlignment w:val="auto"/>
        <w:rPr>
          <w:rFonts w:ascii="宋体" w:cs="宋体"/>
          <w:color w:val="auto"/>
          <w:sz w:val="28"/>
          <w:szCs w:val="28"/>
          <w:highlight w:val="none"/>
        </w:rPr>
      </w:pPr>
      <w:r>
        <w:rPr>
          <w:rFonts w:hint="eastAsia" w:ascii="宋体" w:hAnsi="宋体" w:cs="宋体"/>
          <w:color w:val="auto"/>
          <w:kern w:val="0"/>
          <w:sz w:val="28"/>
          <w:szCs w:val="28"/>
          <w:highlight w:val="none"/>
        </w:rPr>
        <w:t>项目名称：</w:t>
      </w:r>
    </w:p>
    <w:p w14:paraId="1F2C3A74">
      <w:pPr>
        <w:keepNext w:val="0"/>
        <w:keepLines w:val="0"/>
        <w:pageBreakBefore w:val="0"/>
        <w:widowControl/>
        <w:kinsoku/>
        <w:wordWrap/>
        <w:overflowPunct/>
        <w:topLinePunct w:val="0"/>
        <w:autoSpaceDE/>
        <w:autoSpaceDN/>
        <w:bidi w:val="0"/>
        <w:adjustRightInd/>
        <w:ind w:left="0" w:leftChars="0" w:firstLine="0"/>
        <w:textAlignment w:val="auto"/>
        <w:rPr>
          <w:rFonts w:ascii="宋体" w:cs="宋体"/>
          <w:color w:val="auto"/>
          <w:sz w:val="28"/>
          <w:szCs w:val="28"/>
          <w:highlight w:val="none"/>
        </w:rPr>
      </w:pPr>
      <w:r>
        <w:rPr>
          <w:rFonts w:hint="eastAsia" w:ascii="宋体" w:hAnsi="宋体" w:cs="宋体"/>
          <w:color w:val="auto"/>
          <w:kern w:val="0"/>
          <w:sz w:val="28"/>
          <w:szCs w:val="28"/>
          <w:highlight w:val="none"/>
        </w:rPr>
        <w:t>项目编号：</w:t>
      </w:r>
    </w:p>
    <w:p w14:paraId="7ECB3267">
      <w:pPr>
        <w:keepNext w:val="0"/>
        <w:keepLines w:val="0"/>
        <w:pageBreakBefore w:val="0"/>
        <w:widowControl/>
        <w:kinsoku/>
        <w:wordWrap/>
        <w:overflowPunct/>
        <w:topLinePunct w:val="0"/>
        <w:autoSpaceDE/>
        <w:autoSpaceDN/>
        <w:bidi w:val="0"/>
        <w:adjustRightInd/>
        <w:ind w:left="0" w:leftChars="0" w:firstLine="0"/>
        <w:textAlignment w:val="auto"/>
        <w:rPr>
          <w:rFonts w:ascii="宋体" w:cs="宋体"/>
          <w:color w:val="auto"/>
          <w:sz w:val="28"/>
          <w:szCs w:val="28"/>
          <w:highlight w:val="none"/>
        </w:rPr>
      </w:pPr>
      <w:r>
        <w:rPr>
          <w:rFonts w:hint="eastAsia" w:ascii="宋体" w:hAnsi="宋体" w:cs="宋体"/>
          <w:color w:val="auto"/>
          <w:kern w:val="0"/>
          <w:sz w:val="28"/>
          <w:szCs w:val="28"/>
          <w:highlight w:val="none"/>
        </w:rPr>
        <w:t>包号：</w:t>
      </w:r>
    </w:p>
    <w:p w14:paraId="54599772">
      <w:pPr>
        <w:keepNext w:val="0"/>
        <w:keepLines w:val="0"/>
        <w:pageBreakBefore w:val="0"/>
        <w:widowControl/>
        <w:kinsoku/>
        <w:wordWrap/>
        <w:overflowPunct/>
        <w:topLinePunct w:val="0"/>
        <w:autoSpaceDE/>
        <w:autoSpaceDN/>
        <w:bidi w:val="0"/>
        <w:adjustRightInd/>
        <w:ind w:left="0" w:leftChars="0" w:firstLine="0"/>
        <w:jc w:val="center"/>
        <w:textAlignment w:val="auto"/>
        <w:rPr>
          <w:rFonts w:ascii="宋体" w:cs="宋体"/>
          <w:color w:val="auto"/>
          <w:kern w:val="0"/>
          <w:sz w:val="72"/>
          <w:szCs w:val="72"/>
          <w:highlight w:val="none"/>
        </w:rPr>
      </w:pPr>
    </w:p>
    <w:p w14:paraId="0C13DE56">
      <w:pPr>
        <w:keepNext w:val="0"/>
        <w:keepLines w:val="0"/>
        <w:pageBreakBefore w:val="0"/>
        <w:widowControl/>
        <w:kinsoku/>
        <w:wordWrap/>
        <w:overflowPunct/>
        <w:topLinePunct w:val="0"/>
        <w:autoSpaceDE/>
        <w:autoSpaceDN/>
        <w:bidi w:val="0"/>
        <w:adjustRightInd/>
        <w:ind w:left="0" w:leftChars="0" w:firstLine="0"/>
        <w:jc w:val="center"/>
        <w:textAlignment w:val="auto"/>
        <w:rPr>
          <w:rFonts w:ascii="宋体" w:cs="宋体"/>
          <w:b/>
          <w:bCs/>
          <w:color w:val="auto"/>
          <w:kern w:val="0"/>
          <w:sz w:val="84"/>
          <w:szCs w:val="84"/>
          <w:highlight w:val="none"/>
        </w:rPr>
      </w:pPr>
      <w:r>
        <w:rPr>
          <w:rFonts w:hint="eastAsia" w:ascii="宋体" w:hAnsi="宋体" w:cs="宋体"/>
          <w:b/>
          <w:bCs/>
          <w:color w:val="auto"/>
          <w:kern w:val="0"/>
          <w:sz w:val="84"/>
          <w:szCs w:val="84"/>
          <w:highlight w:val="none"/>
        </w:rPr>
        <w:t>响应文件</w:t>
      </w:r>
    </w:p>
    <w:p w14:paraId="71454EA0">
      <w:pPr>
        <w:keepNext w:val="0"/>
        <w:keepLines w:val="0"/>
        <w:pageBreakBefore w:val="0"/>
        <w:widowControl/>
        <w:kinsoku/>
        <w:wordWrap/>
        <w:overflowPunct/>
        <w:topLinePunct w:val="0"/>
        <w:autoSpaceDE/>
        <w:autoSpaceDN/>
        <w:bidi w:val="0"/>
        <w:adjustRightInd/>
        <w:ind w:left="0" w:leftChars="0" w:firstLine="0"/>
        <w:jc w:val="center"/>
        <w:textAlignment w:val="auto"/>
        <w:rPr>
          <w:rFonts w:ascii="宋体" w:cs="宋体"/>
          <w:b/>
          <w:bCs/>
          <w:color w:val="auto"/>
          <w:sz w:val="96"/>
          <w:szCs w:val="96"/>
          <w:highlight w:val="none"/>
        </w:rPr>
      </w:pPr>
      <w:r>
        <w:rPr>
          <w:rFonts w:hint="eastAsia" w:ascii="宋体" w:hAnsi="宋体" w:cs="宋体"/>
          <w:b/>
          <w:bCs/>
          <w:color w:val="auto"/>
          <w:kern w:val="0"/>
          <w:sz w:val="84"/>
          <w:szCs w:val="84"/>
          <w:highlight w:val="none"/>
        </w:rPr>
        <w:t>（商务技术文件）</w:t>
      </w:r>
    </w:p>
    <w:p w14:paraId="0AE6319C">
      <w:pPr>
        <w:keepNext w:val="0"/>
        <w:keepLines w:val="0"/>
        <w:pageBreakBefore w:val="0"/>
        <w:widowControl/>
        <w:kinsoku/>
        <w:wordWrap/>
        <w:overflowPunct/>
        <w:topLinePunct w:val="0"/>
        <w:autoSpaceDE/>
        <w:autoSpaceDN/>
        <w:bidi w:val="0"/>
        <w:adjustRightInd/>
        <w:ind w:left="0" w:leftChars="0" w:firstLine="0"/>
        <w:jc w:val="left"/>
        <w:textAlignment w:val="auto"/>
        <w:rPr>
          <w:rFonts w:ascii="宋体" w:cs="宋体"/>
          <w:color w:val="auto"/>
          <w:kern w:val="0"/>
          <w:sz w:val="28"/>
          <w:szCs w:val="28"/>
          <w:highlight w:val="none"/>
        </w:rPr>
      </w:pPr>
    </w:p>
    <w:p w14:paraId="3C09ED49">
      <w:pPr>
        <w:keepNext w:val="0"/>
        <w:keepLines w:val="0"/>
        <w:pageBreakBefore w:val="0"/>
        <w:widowControl/>
        <w:kinsoku/>
        <w:wordWrap/>
        <w:overflowPunct/>
        <w:topLinePunct w:val="0"/>
        <w:autoSpaceDE/>
        <w:autoSpaceDN/>
        <w:bidi w:val="0"/>
        <w:adjustRightInd/>
        <w:ind w:left="0" w:leftChars="0" w:firstLine="0"/>
        <w:jc w:val="left"/>
        <w:textAlignment w:val="auto"/>
        <w:rPr>
          <w:rFonts w:ascii="宋体" w:cs="宋体"/>
          <w:color w:val="auto"/>
          <w:kern w:val="0"/>
          <w:sz w:val="28"/>
          <w:szCs w:val="28"/>
          <w:highlight w:val="none"/>
        </w:rPr>
      </w:pPr>
    </w:p>
    <w:p w14:paraId="63E0EB86">
      <w:pPr>
        <w:pStyle w:val="84"/>
        <w:keepNext w:val="0"/>
        <w:keepLines w:val="0"/>
        <w:pageBreakBefore w:val="0"/>
        <w:numPr>
          <w:ilvl w:val="6"/>
          <w:numId w:val="0"/>
        </w:numPr>
        <w:kinsoku/>
        <w:wordWrap/>
        <w:overflowPunct/>
        <w:topLinePunct w:val="0"/>
        <w:autoSpaceDE/>
        <w:autoSpaceDN/>
        <w:bidi w:val="0"/>
        <w:adjustRightInd/>
        <w:ind w:left="0" w:leftChars="0" w:firstLine="0"/>
        <w:textAlignment w:val="auto"/>
        <w:rPr>
          <w:color w:val="auto"/>
          <w:highlight w:val="none"/>
        </w:rPr>
      </w:pPr>
    </w:p>
    <w:p w14:paraId="46B863FF">
      <w:pPr>
        <w:keepNext w:val="0"/>
        <w:keepLines w:val="0"/>
        <w:pageBreakBefore w:val="0"/>
        <w:kinsoku/>
        <w:wordWrap/>
        <w:overflowPunct/>
        <w:topLinePunct w:val="0"/>
        <w:autoSpaceDE/>
        <w:autoSpaceDN/>
        <w:bidi w:val="0"/>
        <w:adjustRightInd/>
        <w:ind w:left="0" w:leftChars="0" w:firstLine="0"/>
        <w:textAlignment w:val="auto"/>
        <w:rPr>
          <w:color w:val="auto"/>
          <w:highlight w:val="none"/>
        </w:rPr>
      </w:pPr>
    </w:p>
    <w:p w14:paraId="2AE11231">
      <w:pPr>
        <w:keepNext w:val="0"/>
        <w:keepLines w:val="0"/>
        <w:pageBreakBefore w:val="0"/>
        <w:widowControl/>
        <w:kinsoku/>
        <w:wordWrap/>
        <w:overflowPunct/>
        <w:topLinePunct w:val="0"/>
        <w:autoSpaceDE/>
        <w:autoSpaceDN/>
        <w:bidi w:val="0"/>
        <w:adjustRightInd/>
        <w:ind w:left="0" w:leftChars="0" w:firstLine="0"/>
        <w:jc w:val="left"/>
        <w:textAlignment w:val="auto"/>
        <w:rPr>
          <w:rFonts w:ascii="宋体" w:cs="宋体"/>
          <w:color w:val="auto"/>
          <w:kern w:val="0"/>
          <w:sz w:val="28"/>
          <w:szCs w:val="28"/>
          <w:highlight w:val="none"/>
        </w:rPr>
      </w:pPr>
    </w:p>
    <w:p w14:paraId="1783B280">
      <w:pPr>
        <w:keepNext w:val="0"/>
        <w:keepLines w:val="0"/>
        <w:pageBreakBefore w:val="0"/>
        <w:widowControl/>
        <w:kinsoku/>
        <w:wordWrap/>
        <w:overflowPunct/>
        <w:topLinePunct w:val="0"/>
        <w:autoSpaceDE/>
        <w:autoSpaceDN/>
        <w:bidi w:val="0"/>
        <w:adjustRightInd/>
        <w:ind w:left="0" w:leftChars="0" w:firstLine="0"/>
        <w:jc w:val="left"/>
        <w:textAlignment w:val="auto"/>
        <w:rPr>
          <w:rFonts w:ascii="宋体" w:cs="宋体"/>
          <w:color w:val="auto"/>
          <w:kern w:val="0"/>
          <w:sz w:val="28"/>
          <w:szCs w:val="28"/>
          <w:highlight w:val="none"/>
        </w:rPr>
      </w:pPr>
    </w:p>
    <w:p w14:paraId="3263A407">
      <w:pPr>
        <w:keepNext w:val="0"/>
        <w:keepLines w:val="0"/>
        <w:pageBreakBefore w:val="0"/>
        <w:widowControl/>
        <w:kinsoku/>
        <w:wordWrap/>
        <w:overflowPunct/>
        <w:topLinePunct w:val="0"/>
        <w:autoSpaceDE/>
        <w:autoSpaceDN/>
        <w:bidi w:val="0"/>
        <w:adjustRightInd/>
        <w:spacing w:line="360" w:lineRule="auto"/>
        <w:ind w:left="0" w:leftChars="0" w:firstLine="0"/>
        <w:jc w:val="left"/>
        <w:textAlignment w:val="auto"/>
        <w:rPr>
          <w:rFonts w:ascii="宋体" w:cs="宋体"/>
          <w:color w:val="auto"/>
          <w:sz w:val="28"/>
          <w:szCs w:val="28"/>
          <w:highlight w:val="none"/>
        </w:rPr>
      </w:pPr>
      <w:r>
        <w:rPr>
          <w:rFonts w:hint="eastAsia" w:ascii="宋体" w:hAnsi="宋体" w:cs="宋体"/>
          <w:color w:val="auto"/>
          <w:kern w:val="0"/>
          <w:sz w:val="28"/>
          <w:szCs w:val="28"/>
          <w:highlight w:val="none"/>
        </w:rPr>
        <w:t>磋商响应供应商</w:t>
      </w:r>
      <w:r>
        <w:rPr>
          <w:rFonts w:hint="eastAsia" w:ascii="宋体" w:hAnsi="宋体" w:cs="宋体"/>
          <w:b/>
          <w:bCs/>
          <w:color w:val="auto"/>
          <w:kern w:val="0"/>
          <w:sz w:val="28"/>
          <w:szCs w:val="28"/>
          <w:highlight w:val="none"/>
        </w:rPr>
        <w:t>（单位电子印章）</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 xml:space="preserve"> </w:t>
      </w:r>
    </w:p>
    <w:p w14:paraId="33987DFB">
      <w:pPr>
        <w:keepNext w:val="0"/>
        <w:keepLines w:val="0"/>
        <w:pageBreakBefore w:val="0"/>
        <w:widowControl/>
        <w:kinsoku/>
        <w:wordWrap/>
        <w:overflowPunct/>
        <w:topLinePunct w:val="0"/>
        <w:autoSpaceDE/>
        <w:autoSpaceDN/>
        <w:bidi w:val="0"/>
        <w:adjustRightInd/>
        <w:spacing w:line="360" w:lineRule="auto"/>
        <w:ind w:left="0" w:leftChars="0" w:firstLine="0"/>
        <w:jc w:val="left"/>
        <w:textAlignment w:val="auto"/>
        <w:rPr>
          <w:rFonts w:ascii="宋体" w:cs="宋体"/>
          <w:color w:val="auto"/>
          <w:sz w:val="28"/>
          <w:szCs w:val="28"/>
          <w:highlight w:val="none"/>
        </w:rPr>
      </w:pPr>
      <w:r>
        <w:rPr>
          <w:rFonts w:hint="eastAsia" w:ascii="宋体" w:hAnsi="宋体" w:cs="宋体"/>
          <w:color w:val="auto"/>
          <w:kern w:val="0"/>
          <w:sz w:val="28"/>
          <w:szCs w:val="28"/>
          <w:highlight w:val="none"/>
        </w:rPr>
        <w:t>磋商响应供应商地址：</w:t>
      </w:r>
      <w:r>
        <w:rPr>
          <w:rFonts w:ascii="宋体" w:hAnsi="宋体" w:cs="宋体"/>
          <w:color w:val="auto"/>
          <w:kern w:val="0"/>
          <w:sz w:val="28"/>
          <w:szCs w:val="28"/>
          <w:highlight w:val="none"/>
        </w:rPr>
        <w:t xml:space="preserve"> </w:t>
      </w:r>
    </w:p>
    <w:p w14:paraId="7C25CD10">
      <w:pPr>
        <w:keepNext w:val="0"/>
        <w:keepLines w:val="0"/>
        <w:pageBreakBefore w:val="0"/>
        <w:widowControl/>
        <w:kinsoku/>
        <w:wordWrap/>
        <w:overflowPunct/>
        <w:topLinePunct w:val="0"/>
        <w:autoSpaceDE/>
        <w:autoSpaceDN/>
        <w:bidi w:val="0"/>
        <w:adjustRightInd/>
        <w:spacing w:line="360" w:lineRule="auto"/>
        <w:ind w:left="0" w:leftChars="0" w:firstLine="0"/>
        <w:jc w:val="left"/>
        <w:textAlignment w:val="auto"/>
        <w:rPr>
          <w:rFonts w:ascii="宋体" w:cs="宋体"/>
          <w:color w:val="auto"/>
          <w:sz w:val="28"/>
          <w:szCs w:val="28"/>
          <w:highlight w:val="none"/>
        </w:rPr>
      </w:pPr>
      <w:r>
        <w:rPr>
          <w:rFonts w:hint="eastAsia" w:ascii="宋体" w:hAnsi="宋体" w:cs="宋体"/>
          <w:color w:val="auto"/>
          <w:kern w:val="0"/>
          <w:sz w:val="28"/>
          <w:szCs w:val="28"/>
          <w:highlight w:val="none"/>
        </w:rPr>
        <w:t>磋商响应供应商联系电话：</w:t>
      </w:r>
    </w:p>
    <w:p w14:paraId="5138D892">
      <w:pPr>
        <w:keepNext w:val="0"/>
        <w:keepLines w:val="0"/>
        <w:pageBreakBefore w:val="0"/>
        <w:widowControl/>
        <w:kinsoku/>
        <w:wordWrap/>
        <w:overflowPunct/>
        <w:topLinePunct w:val="0"/>
        <w:autoSpaceDE/>
        <w:autoSpaceDN/>
        <w:bidi w:val="0"/>
        <w:adjustRightInd/>
        <w:spacing w:line="360" w:lineRule="auto"/>
        <w:ind w:left="0" w:leftChars="0" w:firstLine="0"/>
        <w:jc w:val="left"/>
        <w:textAlignment w:val="auto"/>
        <w:rPr>
          <w:rFonts w:ascii="宋体" w:cs="宋体"/>
          <w:color w:val="auto"/>
          <w:sz w:val="28"/>
          <w:szCs w:val="28"/>
          <w:highlight w:val="none"/>
        </w:rPr>
      </w:pPr>
      <w:r>
        <w:rPr>
          <w:rFonts w:hint="eastAsia" w:ascii="宋体" w:hAnsi="宋体" w:cs="宋体"/>
          <w:color w:val="auto"/>
          <w:kern w:val="0"/>
          <w:sz w:val="28"/>
          <w:szCs w:val="28"/>
          <w:highlight w:val="none"/>
        </w:rPr>
        <w:t>年</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月</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日</w:t>
      </w:r>
    </w:p>
    <w:p w14:paraId="0CD93953">
      <w:pPr>
        <w:ind w:firstLine="2249"/>
        <w:rPr>
          <w:rFonts w:ascii="宋体" w:cs="宋体"/>
          <w:color w:val="auto"/>
          <w:sz w:val="28"/>
          <w:szCs w:val="28"/>
          <w:highlight w:val="none"/>
        </w:rPr>
      </w:pPr>
    </w:p>
    <w:p w14:paraId="0478E84B">
      <w:pPr>
        <w:pStyle w:val="4"/>
        <w:pageBreakBefore/>
        <w:ind w:firstLine="1928"/>
        <w:jc w:val="left"/>
        <w:rPr>
          <w:rFonts w:ascii="宋体" w:cs="宋体"/>
          <w:b/>
          <w:bCs/>
          <w:color w:val="auto"/>
          <w:sz w:val="24"/>
          <w:szCs w:val="24"/>
          <w:highlight w:val="none"/>
          <w:u w:val="singl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、法定代表人资格证明书</w:t>
      </w:r>
    </w:p>
    <w:p w14:paraId="2D742F22">
      <w:pPr>
        <w:pStyle w:val="33"/>
        <w:adjustRightInd w:val="0"/>
        <w:spacing w:beforeLines="0" w:afterLines="0" w:line="360" w:lineRule="auto"/>
        <w:ind w:firstLine="1687"/>
        <w:rPr>
          <w:rFonts w:hAnsi="宋体" w:cs="宋体"/>
          <w:b/>
          <w:bCs/>
          <w:color w:val="auto"/>
          <w:sz w:val="21"/>
          <w:szCs w:val="21"/>
          <w:highlight w:val="none"/>
          <w:u w:val="single"/>
        </w:rPr>
      </w:pPr>
      <w:r>
        <w:rPr>
          <w:rFonts w:hint="eastAsia" w:hAnsi="宋体" w:cs="宋体"/>
          <w:b/>
          <w:bCs/>
          <w:color w:val="auto"/>
          <w:sz w:val="21"/>
          <w:szCs w:val="21"/>
          <w:highlight w:val="none"/>
          <w:u w:val="single"/>
        </w:rPr>
        <w:t>汾西县机关事务服务中心：</w:t>
      </w:r>
    </w:p>
    <w:p w14:paraId="5D40F36E">
      <w:pPr>
        <w:pStyle w:val="33"/>
        <w:adjustRightInd w:val="0"/>
        <w:spacing w:beforeLines="0" w:afterLines="0" w:line="360" w:lineRule="auto"/>
        <w:ind w:firstLine="420" w:firstLineChars="200"/>
        <w:rPr>
          <w:rFonts w:hAnsi="宋体" w:cs="宋体"/>
          <w:color w:val="auto"/>
          <w:sz w:val="21"/>
          <w:szCs w:val="21"/>
          <w:highlight w:val="none"/>
        </w:rPr>
      </w:pPr>
    </w:p>
    <w:p w14:paraId="1FC7B920">
      <w:pPr>
        <w:pStyle w:val="26"/>
        <w:adjustRightInd w:val="0"/>
        <w:spacing w:line="360" w:lineRule="auto"/>
        <w:ind w:firstLine="404" w:firstLineChars="200"/>
        <w:rPr>
          <w:rFonts w:hAnsi="宋体" w:cs="宋体"/>
          <w:snapToGrid w:val="0"/>
          <w:color w:val="auto"/>
          <w:sz w:val="21"/>
          <w:szCs w:val="21"/>
          <w:highlight w:val="none"/>
        </w:rPr>
      </w:pPr>
      <w:r>
        <w:rPr>
          <w:rFonts w:hint="eastAsia" w:hAnsi="宋体" w:cs="宋体"/>
          <w:snapToGrid w:val="0"/>
          <w:color w:val="auto"/>
          <w:sz w:val="21"/>
          <w:szCs w:val="21"/>
          <w:highlight w:val="none"/>
          <w:u w:val="single"/>
        </w:rPr>
        <w:t>（姓名）</w:t>
      </w:r>
      <w:r>
        <w:rPr>
          <w:rFonts w:hint="eastAsia" w:hAnsi="宋体" w:cs="宋体"/>
          <w:snapToGrid w:val="0"/>
          <w:color w:val="auto"/>
          <w:sz w:val="21"/>
          <w:szCs w:val="21"/>
          <w:highlight w:val="none"/>
        </w:rPr>
        <w:t>系</w:t>
      </w:r>
      <w:r>
        <w:rPr>
          <w:rFonts w:hint="eastAsia" w:hAnsi="宋体" w:cs="宋体"/>
          <w:snapToGrid w:val="0"/>
          <w:color w:val="auto"/>
          <w:sz w:val="21"/>
          <w:szCs w:val="21"/>
          <w:highlight w:val="none"/>
          <w:u w:val="single"/>
        </w:rPr>
        <w:t>（单位名称）</w:t>
      </w:r>
      <w:r>
        <w:rPr>
          <w:rFonts w:hint="eastAsia" w:hAnsi="宋体" w:cs="宋体"/>
          <w:snapToGrid w:val="0"/>
          <w:color w:val="auto"/>
          <w:sz w:val="21"/>
          <w:szCs w:val="21"/>
          <w:highlight w:val="none"/>
        </w:rPr>
        <w:t>的法定代表人，</w:t>
      </w:r>
      <w:r>
        <w:rPr>
          <w:rFonts w:hint="eastAsia" w:hAnsi="宋体" w:cs="宋体"/>
          <w:snapToGrid w:val="0"/>
          <w:color w:val="auto"/>
          <w:sz w:val="21"/>
          <w:szCs w:val="21"/>
          <w:highlight w:val="none"/>
          <w:u w:val="single"/>
        </w:rPr>
        <w:t>（身份证号）</w:t>
      </w:r>
      <w:r>
        <w:rPr>
          <w:rFonts w:hint="eastAsia" w:hAnsi="宋体" w:cs="宋体"/>
          <w:snapToGrid w:val="0"/>
          <w:color w:val="auto"/>
          <w:sz w:val="21"/>
          <w:szCs w:val="21"/>
          <w:highlight w:val="none"/>
        </w:rPr>
        <w:t>。</w:t>
      </w:r>
    </w:p>
    <w:p w14:paraId="4C15C542">
      <w:pPr>
        <w:pStyle w:val="26"/>
        <w:adjustRightInd w:val="0"/>
        <w:spacing w:line="360" w:lineRule="auto"/>
        <w:ind w:firstLine="404" w:firstLineChars="200"/>
        <w:rPr>
          <w:rFonts w:hAnsi="宋体" w:cs="宋体"/>
          <w:snapToGrid w:val="0"/>
          <w:color w:val="auto"/>
          <w:sz w:val="21"/>
          <w:szCs w:val="21"/>
          <w:highlight w:val="none"/>
        </w:rPr>
      </w:pPr>
      <w:r>
        <w:rPr>
          <w:rFonts w:hint="eastAsia" w:hAnsi="宋体" w:cs="宋体"/>
          <w:snapToGrid w:val="0"/>
          <w:color w:val="auto"/>
          <w:sz w:val="21"/>
          <w:szCs w:val="21"/>
          <w:highlight w:val="none"/>
        </w:rPr>
        <w:t>特此证明。</w:t>
      </w:r>
    </w:p>
    <w:p w14:paraId="7A3D5D80">
      <w:pPr>
        <w:pStyle w:val="26"/>
        <w:adjustRightInd w:val="0"/>
        <w:spacing w:line="360" w:lineRule="auto"/>
        <w:ind w:firstLine="404" w:firstLineChars="200"/>
        <w:rPr>
          <w:rFonts w:hAnsi="宋体" w:cs="宋体"/>
          <w:snapToGrid w:val="0"/>
          <w:color w:val="auto"/>
          <w:sz w:val="21"/>
          <w:szCs w:val="21"/>
          <w:highlight w:val="none"/>
        </w:rPr>
      </w:pPr>
    </w:p>
    <w:p w14:paraId="1F38E041">
      <w:pPr>
        <w:pStyle w:val="26"/>
        <w:adjustRightInd w:val="0"/>
        <w:spacing w:line="360" w:lineRule="auto"/>
        <w:ind w:firstLine="404" w:firstLineChars="200"/>
        <w:rPr>
          <w:rFonts w:hAnsi="宋体" w:cs="宋体"/>
          <w:snapToGrid w:val="0"/>
          <w:color w:val="auto"/>
          <w:sz w:val="21"/>
          <w:szCs w:val="21"/>
          <w:highlight w:val="none"/>
        </w:rPr>
      </w:pPr>
      <w:r>
        <w:rPr>
          <w:rFonts w:hint="eastAsia" w:hAnsi="宋体" w:cs="宋体"/>
          <w:snapToGrid w:val="0"/>
          <w:color w:val="auto"/>
          <w:sz w:val="21"/>
          <w:szCs w:val="21"/>
          <w:highlight w:val="none"/>
        </w:rPr>
        <w:t>磋商响应供应商（单位电子印章）：</w:t>
      </w:r>
    </w:p>
    <w:p w14:paraId="63FFCEB0">
      <w:pPr>
        <w:adjustRightInd w:val="0"/>
        <w:snapToGrid w:val="0"/>
        <w:spacing w:line="360" w:lineRule="auto"/>
        <w:ind w:firstLine="420" w:firstLineChars="200"/>
        <w:rPr>
          <w:rFonts w:ascii="宋体" w:cs="宋体"/>
          <w:snapToGrid w:val="0"/>
          <w:color w:val="auto"/>
          <w:kern w:val="0"/>
          <w:szCs w:val="21"/>
          <w:highlight w:val="none"/>
        </w:rPr>
      </w:pPr>
      <w:r>
        <w:rPr>
          <w:rFonts w:hint="eastAsia" w:ascii="宋体" w:hAnsi="宋体" w:cs="宋体"/>
          <w:snapToGrid w:val="0"/>
          <w:color w:val="auto"/>
          <w:kern w:val="0"/>
          <w:szCs w:val="21"/>
          <w:highlight w:val="none"/>
        </w:rPr>
        <w:t>日期：</w:t>
      </w:r>
    </w:p>
    <w:p w14:paraId="67A9352A">
      <w:pPr>
        <w:adjustRightInd w:val="0"/>
        <w:snapToGrid w:val="0"/>
        <w:spacing w:line="360" w:lineRule="auto"/>
        <w:ind w:firstLine="422" w:firstLineChars="200"/>
        <w:rPr>
          <w:rFonts w:ascii="宋体" w:cs="宋体"/>
          <w:b/>
          <w:bCs/>
          <w:snapToGrid w:val="0"/>
          <w:color w:val="auto"/>
          <w:kern w:val="0"/>
          <w:szCs w:val="21"/>
          <w:highlight w:val="none"/>
        </w:rPr>
      </w:pPr>
    </w:p>
    <w:p w14:paraId="6169766E">
      <w:pPr>
        <w:adjustRightInd w:val="0"/>
        <w:snapToGrid w:val="0"/>
        <w:spacing w:line="360" w:lineRule="auto"/>
        <w:ind w:firstLine="422" w:firstLineChars="200"/>
        <w:rPr>
          <w:rFonts w:ascii="宋体" w:cs="宋体"/>
          <w:b/>
          <w:bCs/>
          <w:snapToGrid w:val="0"/>
          <w:color w:val="auto"/>
          <w:kern w:val="0"/>
          <w:szCs w:val="21"/>
          <w:highlight w:val="none"/>
        </w:rPr>
      </w:pPr>
      <w:r>
        <w:rPr>
          <w:rFonts w:hint="eastAsia" w:ascii="宋体" w:hAnsi="宋体" w:cs="宋体"/>
          <w:b/>
          <w:bCs/>
          <w:snapToGrid w:val="0"/>
          <w:color w:val="auto"/>
          <w:kern w:val="0"/>
          <w:szCs w:val="21"/>
          <w:highlight w:val="none"/>
        </w:rPr>
        <w:t>附：法定代表人联系方式及身份证复印件</w:t>
      </w:r>
    </w:p>
    <w:p w14:paraId="25F14290">
      <w:pPr>
        <w:adjustRightInd w:val="0"/>
        <w:snapToGrid w:val="0"/>
        <w:spacing w:line="360" w:lineRule="auto"/>
        <w:ind w:firstLine="422" w:firstLineChars="200"/>
        <w:rPr>
          <w:rFonts w:ascii="宋体" w:cs="宋体"/>
          <w:b/>
          <w:snapToGrid w:val="0"/>
          <w:color w:val="auto"/>
          <w:kern w:val="0"/>
          <w:szCs w:val="21"/>
          <w:highlight w:val="none"/>
        </w:rPr>
      </w:pPr>
    </w:p>
    <w:p w14:paraId="339357AB">
      <w:pPr>
        <w:adjustRightInd w:val="0"/>
        <w:snapToGrid w:val="0"/>
        <w:spacing w:line="360" w:lineRule="auto"/>
        <w:ind w:firstLine="422" w:firstLineChars="200"/>
        <w:rPr>
          <w:rFonts w:ascii="宋体" w:cs="宋体"/>
          <w:color w:val="auto"/>
          <w:szCs w:val="21"/>
          <w:highlight w:val="none"/>
        </w:rPr>
      </w:pPr>
      <w:r>
        <w:rPr>
          <w:rFonts w:hint="eastAsia" w:ascii="宋体" w:hAnsi="宋体" w:cs="宋体"/>
          <w:b/>
          <w:snapToGrid w:val="0"/>
          <w:color w:val="auto"/>
          <w:kern w:val="0"/>
          <w:szCs w:val="21"/>
          <w:highlight w:val="none"/>
        </w:rPr>
        <w:t>注：法定代表人直接签署磋商响应文件并参加投标的，在磋商响应文件中出具此资格证明书及身份证复印件。</w:t>
      </w:r>
    </w:p>
    <w:p w14:paraId="36970E4B">
      <w:pPr>
        <w:pStyle w:val="4"/>
        <w:keepNext w:val="0"/>
        <w:keepLines w:val="0"/>
        <w:pageBreakBefore/>
        <w:spacing w:line="415" w:lineRule="auto"/>
        <w:ind w:firstLine="1928"/>
        <w:rPr>
          <w:rFonts w:asci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、法定代表人授权委托书</w:t>
      </w:r>
    </w:p>
    <w:p w14:paraId="5C0C1E8C">
      <w:pPr>
        <w:pStyle w:val="33"/>
        <w:adjustRightInd w:val="0"/>
        <w:spacing w:beforeLines="0" w:afterLines="0" w:line="360" w:lineRule="auto"/>
        <w:ind w:firstLine="1687"/>
        <w:rPr>
          <w:rFonts w:hAnsi="宋体" w:cs="宋体"/>
          <w:b/>
          <w:bCs/>
          <w:color w:val="auto"/>
          <w:sz w:val="21"/>
          <w:szCs w:val="21"/>
          <w:highlight w:val="none"/>
          <w:u w:val="single"/>
        </w:rPr>
      </w:pPr>
      <w:r>
        <w:rPr>
          <w:rFonts w:hint="eastAsia" w:hAnsi="宋体" w:cs="宋体"/>
          <w:b/>
          <w:bCs/>
          <w:color w:val="auto"/>
          <w:sz w:val="21"/>
          <w:szCs w:val="21"/>
          <w:highlight w:val="none"/>
          <w:u w:val="single"/>
        </w:rPr>
        <w:t>汾西县机关事务服务中心：</w:t>
      </w:r>
    </w:p>
    <w:p w14:paraId="57FCCFC1">
      <w:pPr>
        <w:pStyle w:val="33"/>
        <w:spacing w:beforeLines="0" w:afterLines="0" w:line="360" w:lineRule="auto"/>
        <w:ind w:firstLine="420" w:firstLineChars="200"/>
        <w:rPr>
          <w:rFonts w:hAnsi="宋体" w:cs="宋体"/>
          <w:color w:val="auto"/>
          <w:sz w:val="21"/>
          <w:szCs w:val="21"/>
          <w:highlight w:val="none"/>
        </w:rPr>
      </w:pPr>
    </w:p>
    <w:p w14:paraId="18BAF25D">
      <w:pPr>
        <w:pStyle w:val="33"/>
        <w:spacing w:beforeLines="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我以</w:t>
      </w:r>
      <w:r>
        <w:rPr>
          <w:rFonts w:hint="eastAsia" w:hAnsi="宋体" w:cs="宋体"/>
          <w:color w:val="auto"/>
          <w:sz w:val="21"/>
          <w:szCs w:val="21"/>
          <w:highlight w:val="none"/>
          <w:u w:val="single"/>
        </w:rPr>
        <w:t>（磋商响应供应商全称）</w:t>
      </w:r>
      <w:r>
        <w:rPr>
          <w:rFonts w:hint="eastAsia" w:hAnsi="宋体" w:cs="宋体"/>
          <w:color w:val="auto"/>
          <w:sz w:val="21"/>
          <w:szCs w:val="21"/>
          <w:highlight w:val="none"/>
        </w:rPr>
        <w:t>法定代表人的身份授权</w:t>
      </w:r>
      <w:r>
        <w:rPr>
          <w:rFonts w:hint="eastAsia" w:hAnsi="宋体" w:cs="宋体"/>
          <w:color w:val="auto"/>
          <w:sz w:val="21"/>
          <w:szCs w:val="21"/>
          <w:highlight w:val="none"/>
          <w:u w:val="single"/>
        </w:rPr>
        <w:t>（全权代表姓名）</w:t>
      </w:r>
      <w:r>
        <w:rPr>
          <w:rFonts w:hint="eastAsia" w:hAnsi="宋体" w:cs="宋体"/>
          <w:color w:val="auto"/>
          <w:sz w:val="21"/>
          <w:szCs w:val="21"/>
          <w:highlight w:val="none"/>
        </w:rPr>
        <w:t>，为我单位的全权代表，参加贵单位组织的</w:t>
      </w:r>
      <w:r>
        <w:rPr>
          <w:rFonts w:hAnsi="宋体" w:cs="宋体"/>
          <w:color w:val="auto"/>
          <w:sz w:val="21"/>
          <w:szCs w:val="21"/>
          <w:highlight w:val="none"/>
          <w:u w:val="single"/>
        </w:rPr>
        <w:t xml:space="preserve"> </w:t>
      </w:r>
      <w:r>
        <w:rPr>
          <w:rFonts w:hint="eastAsia" w:hAnsi="宋体" w:cs="宋体"/>
          <w:color w:val="auto"/>
          <w:sz w:val="21"/>
          <w:szCs w:val="21"/>
          <w:highlight w:val="none"/>
          <w:u w:val="single"/>
        </w:rPr>
        <w:t xml:space="preserve">（项目名称、项目编号、包：）      </w:t>
      </w:r>
      <w:r>
        <w:rPr>
          <w:rFonts w:hAnsi="宋体" w:cs="宋体"/>
          <w:color w:val="auto"/>
          <w:sz w:val="21"/>
          <w:szCs w:val="21"/>
          <w:highlight w:val="none"/>
          <w:u w:val="single"/>
        </w:rPr>
        <w:t xml:space="preserve"> </w:t>
      </w:r>
      <w:r>
        <w:rPr>
          <w:rFonts w:hint="eastAsia" w:hAnsi="宋体" w:cs="宋体"/>
          <w:color w:val="auto"/>
          <w:sz w:val="21"/>
          <w:szCs w:val="21"/>
          <w:highlight w:val="none"/>
        </w:rPr>
        <w:t>，签署本项目相关磋商响应文件并全权处理磋商活动中的一切事宜。我单位承认全权代表做出的与本项目采购活动有关的全部行为。</w:t>
      </w:r>
    </w:p>
    <w:p w14:paraId="56F085B1">
      <w:pPr>
        <w:pStyle w:val="33"/>
        <w:spacing w:beforeLines="0" w:afterLines="0" w:line="360" w:lineRule="auto"/>
        <w:ind w:firstLine="420" w:firstLineChars="200"/>
        <w:rPr>
          <w:rFonts w:hAnsi="宋体" w:cs="宋体"/>
          <w:color w:val="auto"/>
          <w:sz w:val="21"/>
          <w:szCs w:val="21"/>
          <w:highlight w:val="none"/>
        </w:rPr>
      </w:pPr>
    </w:p>
    <w:p w14:paraId="6445C212">
      <w:pPr>
        <w:pStyle w:val="33"/>
        <w:spacing w:beforeLines="0" w:afterLines="0" w:line="360" w:lineRule="auto"/>
        <w:ind w:firstLine="420" w:firstLineChars="200"/>
        <w:rPr>
          <w:rFonts w:hAnsi="宋体" w:cs="宋体"/>
          <w:color w:val="auto"/>
          <w:sz w:val="21"/>
          <w:szCs w:val="21"/>
          <w:highlight w:val="none"/>
        </w:rPr>
      </w:pPr>
    </w:p>
    <w:p w14:paraId="63332685">
      <w:pPr>
        <w:pStyle w:val="33"/>
        <w:spacing w:beforeLines="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磋商响应供应商（</w:t>
      </w:r>
      <w:r>
        <w:rPr>
          <w:rFonts w:hint="eastAsia" w:hAnsi="宋体"/>
          <w:color w:val="auto"/>
          <w:sz w:val="21"/>
          <w:szCs w:val="21"/>
          <w:highlight w:val="none"/>
        </w:rPr>
        <w:t>单位电子印章</w:t>
      </w:r>
      <w:r>
        <w:rPr>
          <w:rFonts w:hint="eastAsia" w:hAnsi="宋体" w:cs="宋体"/>
          <w:color w:val="auto"/>
          <w:sz w:val="21"/>
          <w:szCs w:val="21"/>
          <w:highlight w:val="none"/>
        </w:rPr>
        <w:t>）：</w:t>
      </w:r>
    </w:p>
    <w:p w14:paraId="3C59B16E">
      <w:pPr>
        <w:pStyle w:val="33"/>
        <w:spacing w:beforeLines="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法定代表人（签字或签章）：</w:t>
      </w:r>
    </w:p>
    <w:p w14:paraId="57F89F21">
      <w:pPr>
        <w:pStyle w:val="33"/>
        <w:spacing w:beforeLines="0" w:afterLines="0" w:line="360" w:lineRule="auto"/>
        <w:ind w:firstLine="420" w:firstLineChars="200"/>
        <w:rPr>
          <w:rFonts w:hAnsi="宋体" w:cs="宋体"/>
          <w:color w:val="auto"/>
          <w:sz w:val="21"/>
          <w:szCs w:val="21"/>
          <w:highlight w:val="none"/>
        </w:rPr>
      </w:pPr>
    </w:p>
    <w:p w14:paraId="77FD8A7A">
      <w:pPr>
        <w:pStyle w:val="33"/>
        <w:spacing w:beforeLines="0" w:afterLines="0" w:line="360" w:lineRule="auto"/>
        <w:ind w:firstLine="420" w:firstLineChars="200"/>
        <w:rPr>
          <w:rFonts w:hAnsi="宋体" w:cs="宋体"/>
          <w:color w:val="auto"/>
          <w:sz w:val="21"/>
          <w:szCs w:val="21"/>
          <w:highlight w:val="none"/>
        </w:rPr>
      </w:pPr>
    </w:p>
    <w:p w14:paraId="54B67430">
      <w:pPr>
        <w:pStyle w:val="33"/>
        <w:spacing w:beforeLines="0" w:afterLines="0" w:line="360" w:lineRule="auto"/>
        <w:ind w:firstLine="420" w:firstLineChars="200"/>
        <w:rPr>
          <w:rFonts w:hAnsi="宋体" w:cs="宋体"/>
          <w:color w:val="auto"/>
          <w:sz w:val="21"/>
          <w:szCs w:val="21"/>
          <w:highlight w:val="none"/>
        </w:rPr>
      </w:pPr>
    </w:p>
    <w:p w14:paraId="769437AA">
      <w:pPr>
        <w:pStyle w:val="33"/>
        <w:spacing w:beforeLines="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附：</w:t>
      </w:r>
    </w:p>
    <w:p w14:paraId="2F2879FB">
      <w:pPr>
        <w:pStyle w:val="33"/>
        <w:spacing w:beforeLines="0" w:afterLines="0"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全权代表姓名：职务：电话：</w:t>
      </w:r>
    </w:p>
    <w:p w14:paraId="3EDC6A86">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全权代表身份证复印件</w:t>
      </w:r>
    </w:p>
    <w:p w14:paraId="28EF7671">
      <w:pPr>
        <w:spacing w:line="360" w:lineRule="auto"/>
        <w:ind w:firstLine="422" w:firstLineChars="200"/>
        <w:rPr>
          <w:rFonts w:ascii="宋体" w:cs="宋体"/>
          <w:b/>
          <w:color w:val="auto"/>
          <w:szCs w:val="21"/>
          <w:highlight w:val="none"/>
        </w:rPr>
      </w:pPr>
    </w:p>
    <w:p w14:paraId="059F85C7">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注：法定代表人授权其公司员工签署及参加响应的，在磋商响应文件中同时出具法定代表人资格证明书及此授权书，并附身份证复印件。</w:t>
      </w:r>
    </w:p>
    <w:p w14:paraId="53DBC3A9">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磋商响应文件格式中所提到的供应商代表是指以上两文件确定的签署人员。</w:t>
      </w:r>
    </w:p>
    <w:p w14:paraId="30EE1638">
      <w:pPr>
        <w:spacing w:line="360" w:lineRule="auto"/>
        <w:ind w:firstLine="420" w:firstLineChars="200"/>
        <w:rPr>
          <w:rFonts w:ascii="宋体" w:cs="宋体"/>
          <w:color w:val="auto"/>
          <w:szCs w:val="21"/>
          <w:highlight w:val="none"/>
        </w:rPr>
      </w:pPr>
    </w:p>
    <w:p w14:paraId="38D7246E">
      <w:pPr>
        <w:pStyle w:val="25"/>
        <w:ind w:firstLine="2249"/>
        <w:rPr>
          <w:rFonts w:ascii="宋体" w:cs="宋体"/>
          <w:color w:val="auto"/>
          <w:szCs w:val="21"/>
          <w:highlight w:val="none"/>
        </w:rPr>
      </w:pPr>
    </w:p>
    <w:p w14:paraId="309D71BE">
      <w:pPr>
        <w:pStyle w:val="53"/>
        <w:ind w:firstLine="1600"/>
        <w:rPr>
          <w:rFonts w:ascii="宋体" w:cs="宋体"/>
          <w:color w:val="auto"/>
          <w:szCs w:val="21"/>
          <w:highlight w:val="none"/>
        </w:rPr>
      </w:pPr>
    </w:p>
    <w:p w14:paraId="23216170">
      <w:pPr>
        <w:rPr>
          <w:rFonts w:ascii="宋体" w:cs="宋体"/>
          <w:color w:val="auto"/>
          <w:szCs w:val="21"/>
          <w:highlight w:val="none"/>
        </w:rPr>
      </w:pPr>
    </w:p>
    <w:p w14:paraId="52A3D03E">
      <w:pPr>
        <w:pStyle w:val="25"/>
        <w:ind w:firstLine="2249"/>
        <w:rPr>
          <w:rFonts w:ascii="宋体" w:cs="宋体"/>
          <w:color w:val="auto"/>
          <w:szCs w:val="21"/>
          <w:highlight w:val="none"/>
        </w:rPr>
      </w:pPr>
    </w:p>
    <w:p w14:paraId="7178AA18">
      <w:pPr>
        <w:pStyle w:val="53"/>
        <w:ind w:firstLine="1600"/>
        <w:rPr>
          <w:rFonts w:ascii="宋体" w:cs="宋体"/>
          <w:color w:val="auto"/>
          <w:szCs w:val="21"/>
          <w:highlight w:val="none"/>
        </w:rPr>
      </w:pPr>
    </w:p>
    <w:p w14:paraId="3D22572D">
      <w:pPr>
        <w:rPr>
          <w:rFonts w:ascii="宋体" w:cs="宋体"/>
          <w:color w:val="auto"/>
          <w:szCs w:val="21"/>
          <w:highlight w:val="none"/>
        </w:rPr>
      </w:pPr>
    </w:p>
    <w:p w14:paraId="697727F2">
      <w:pPr>
        <w:pStyle w:val="25"/>
        <w:ind w:firstLine="2249"/>
        <w:rPr>
          <w:rFonts w:ascii="宋体" w:cs="宋体"/>
          <w:color w:val="auto"/>
          <w:szCs w:val="21"/>
          <w:highlight w:val="none"/>
        </w:rPr>
      </w:pPr>
    </w:p>
    <w:p w14:paraId="1B445D83">
      <w:pPr>
        <w:pageBreakBefore/>
        <w:pBdr>
          <w:top w:val="none" w:color="auto" w:sz="0" w:space="1"/>
          <w:left w:val="none" w:color="auto" w:sz="0" w:space="4"/>
          <w:bottom w:val="none" w:color="auto" w:sz="0" w:space="1"/>
          <w:right w:val="none" w:color="auto" w:sz="0" w:space="4"/>
        </w:pBdr>
        <w:spacing w:before="317" w:beforeLines="100" w:after="317" w:afterLines="100" w:line="360" w:lineRule="auto"/>
        <w:ind w:left="482" w:hanging="482" w:hangingChars="200"/>
        <w:rPr>
          <w:b/>
          <w:color w:val="auto"/>
          <w:sz w:val="24"/>
          <w:szCs w:val="24"/>
          <w:highlight w:val="none"/>
        </w:rPr>
      </w:pPr>
      <w:r>
        <w:rPr>
          <w:rFonts w:hint="eastAsia" w:ascii="宋体" w:hAnsi="宋体" w:cs="仿宋"/>
          <w:b/>
          <w:color w:val="auto"/>
          <w:sz w:val="24"/>
          <w:szCs w:val="24"/>
          <w:highlight w:val="none"/>
        </w:rPr>
        <w:t>3、承诺书格式</w:t>
      </w:r>
    </w:p>
    <w:p w14:paraId="28C421F7">
      <w:pPr>
        <w:pBdr>
          <w:top w:val="none" w:color="auto" w:sz="0" w:space="1"/>
          <w:left w:val="none" w:color="auto" w:sz="0" w:space="4"/>
          <w:bottom w:val="none" w:color="auto" w:sz="0" w:space="1"/>
          <w:right w:val="none" w:color="auto" w:sz="0" w:space="4"/>
        </w:pBdr>
        <w:spacing w:before="317" w:beforeLines="100" w:after="317" w:afterLines="100" w:line="360" w:lineRule="auto"/>
        <w:ind w:left="482" w:hanging="482" w:hangingChars="200"/>
        <w:jc w:val="center"/>
        <w:rPr>
          <w:rFonts w:ascii="宋体" w:hAnsi="宋体" w:cs="仿宋"/>
          <w:b/>
          <w:bCs/>
          <w:color w:val="auto"/>
          <w:sz w:val="24"/>
          <w:szCs w:val="24"/>
          <w:highlight w:val="none"/>
        </w:rPr>
      </w:pPr>
      <w:r>
        <w:rPr>
          <w:rFonts w:hint="eastAsia" w:ascii="宋体" w:hAnsi="宋体" w:cs="仿宋"/>
          <w:b/>
          <w:bCs/>
          <w:color w:val="auto"/>
          <w:sz w:val="24"/>
          <w:szCs w:val="24"/>
          <w:highlight w:val="none"/>
        </w:rPr>
        <w:t>承 诺 书</w:t>
      </w:r>
    </w:p>
    <w:p w14:paraId="0757BD20">
      <w:pPr>
        <w:snapToGrid w:val="0"/>
        <w:spacing w:line="560" w:lineRule="exact"/>
        <w:ind w:firstLine="1687"/>
        <w:rPr>
          <w:rFonts w:ascii="宋体" w:hAnsi="宋体" w:cs="仿宋"/>
          <w:color w:val="auto"/>
          <w:szCs w:val="21"/>
          <w:highlight w:val="none"/>
          <w:u w:val="single"/>
        </w:rPr>
      </w:pPr>
      <w:r>
        <w:rPr>
          <w:rFonts w:hint="eastAsia" w:ascii="宋体" w:hAnsi="宋体" w:cs="仿宋"/>
          <w:color w:val="auto"/>
          <w:szCs w:val="21"/>
          <w:highlight w:val="none"/>
        </w:rPr>
        <w:t>采购人：</w:t>
      </w:r>
      <w:r>
        <w:rPr>
          <w:rFonts w:hint="eastAsia" w:ascii="宋体" w:hAnsi="宋体" w:cs="仿宋"/>
          <w:color w:val="auto"/>
          <w:szCs w:val="21"/>
          <w:highlight w:val="none"/>
          <w:u w:val="single"/>
        </w:rPr>
        <w:t xml:space="preserve">                   </w:t>
      </w:r>
    </w:p>
    <w:p w14:paraId="4BFF3789">
      <w:pPr>
        <w:snapToGrid w:val="0"/>
        <w:spacing w:before="317" w:beforeLines="100"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u w:val="single"/>
        </w:rPr>
        <w:t>（供应商名称）</w:t>
      </w:r>
      <w:r>
        <w:rPr>
          <w:rFonts w:hint="eastAsia" w:ascii="宋体" w:hAnsi="宋体" w:cs="仿宋"/>
          <w:color w:val="auto"/>
          <w:szCs w:val="21"/>
          <w:highlight w:val="none"/>
        </w:rPr>
        <w:t>系中华人民共和国合法企业，经营地址</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w:t>
      </w:r>
    </w:p>
    <w:p w14:paraId="1902647B">
      <w:pPr>
        <w:snapToGrid w:val="0"/>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我</w:t>
      </w:r>
      <w:r>
        <w:rPr>
          <w:rFonts w:hint="eastAsia" w:ascii="宋体" w:hAnsi="宋体" w:cs="仿宋"/>
          <w:color w:val="auto"/>
          <w:szCs w:val="21"/>
          <w:highlight w:val="none"/>
          <w:u w:val="single"/>
        </w:rPr>
        <w:t>（姓名）</w:t>
      </w:r>
      <w:r>
        <w:rPr>
          <w:rFonts w:hint="eastAsia" w:ascii="宋体" w:hAnsi="宋体" w:cs="仿宋"/>
          <w:color w:val="auto"/>
          <w:szCs w:val="21"/>
          <w:highlight w:val="none"/>
        </w:rPr>
        <w:t>系</w:t>
      </w:r>
      <w:r>
        <w:rPr>
          <w:rFonts w:hint="eastAsia" w:ascii="宋体" w:hAnsi="宋体" w:cs="仿宋"/>
          <w:color w:val="auto"/>
          <w:szCs w:val="21"/>
          <w:highlight w:val="none"/>
          <w:u w:val="single"/>
        </w:rPr>
        <w:t>（供应商名称）</w:t>
      </w:r>
      <w:r>
        <w:rPr>
          <w:rFonts w:hint="eastAsia" w:ascii="宋体" w:hAnsi="宋体" w:cs="仿宋"/>
          <w:color w:val="auto"/>
          <w:szCs w:val="21"/>
          <w:highlight w:val="none"/>
        </w:rPr>
        <w:t>的法定代表人，我方愿意参加贵方组织的</w:t>
      </w:r>
      <w:r>
        <w:rPr>
          <w:rFonts w:hint="eastAsia" w:ascii="宋体" w:hAnsi="宋体" w:cs="仿宋"/>
          <w:color w:val="auto"/>
          <w:szCs w:val="21"/>
          <w:highlight w:val="none"/>
          <w:u w:val="single"/>
        </w:rPr>
        <w:t xml:space="preserve">（项目名称：）（项目编号：）包：       </w:t>
      </w:r>
      <w:r>
        <w:rPr>
          <w:rFonts w:hint="eastAsia" w:ascii="宋体" w:hAnsi="宋体" w:cs="仿宋"/>
          <w:color w:val="auto"/>
          <w:szCs w:val="21"/>
          <w:highlight w:val="none"/>
        </w:rPr>
        <w:t>的磋商，为此，我方就本次磋商有关事项郑重声明如下：</w:t>
      </w:r>
    </w:p>
    <w:p w14:paraId="0BD570C5">
      <w:pPr>
        <w:snapToGrid w:val="0"/>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1、我方已详细审查全部磋商文件，同意磋商文件的各项要求。</w:t>
      </w:r>
    </w:p>
    <w:p w14:paraId="1653DDE1">
      <w:pPr>
        <w:snapToGrid w:val="0"/>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2、我方向贵方提交的所有响应文件、资料都是准确的和真实的。</w:t>
      </w:r>
    </w:p>
    <w:p w14:paraId="2A73CFF0">
      <w:pPr>
        <w:snapToGrid w:val="0"/>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3、若中标，我方将按磋商文件规定履行合同责任和义务。</w:t>
      </w:r>
    </w:p>
    <w:p w14:paraId="37FD03CD">
      <w:pPr>
        <w:snapToGrid w:val="0"/>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w:t>
      </w:r>
      <w:r>
        <w:rPr>
          <w:rFonts w:hint="eastAsia" w:ascii="宋体" w:hAnsi="宋体" w:cs="宋体"/>
          <w:color w:val="auto"/>
          <w:szCs w:val="21"/>
          <w:highlight w:val="none"/>
        </w:rPr>
        <w:t>磋商响应文件有效期：自磋商响应文件提交截止之日起90日历天</w:t>
      </w:r>
      <w:r>
        <w:rPr>
          <w:rFonts w:hint="eastAsia" w:ascii="宋体" w:hAnsi="宋体" w:cs="仿宋"/>
          <w:color w:val="auto"/>
          <w:szCs w:val="21"/>
          <w:highlight w:val="none"/>
        </w:rPr>
        <w:t>。</w:t>
      </w:r>
    </w:p>
    <w:p w14:paraId="0087B29B">
      <w:pPr>
        <w:snapToGrid w:val="0"/>
        <w:spacing w:line="360" w:lineRule="auto"/>
        <w:ind w:firstLine="420" w:firstLineChars="200"/>
        <w:rPr>
          <w:rFonts w:ascii="宋体" w:hAnsi="宋体" w:cs="仿宋"/>
          <w:color w:val="auto"/>
          <w:szCs w:val="21"/>
          <w:highlight w:val="none"/>
        </w:rPr>
      </w:pPr>
      <w:r>
        <w:rPr>
          <w:rFonts w:hint="eastAsia" w:ascii="宋体" w:hAnsi="宋体" w:cs="仿宋"/>
          <w:bCs/>
          <w:color w:val="auto"/>
          <w:szCs w:val="21"/>
          <w:highlight w:val="none"/>
        </w:rPr>
        <w:t>5、</w:t>
      </w:r>
      <w:r>
        <w:rPr>
          <w:rFonts w:hint="eastAsia" w:ascii="宋体" w:hAnsi="宋体" w:cs="宋体"/>
          <w:color w:val="auto"/>
          <w:szCs w:val="21"/>
          <w:highlight w:val="none"/>
        </w:rPr>
        <w:t>合同履行期限</w:t>
      </w:r>
      <w:r>
        <w:rPr>
          <w:rFonts w:hint="eastAsia" w:ascii="宋体" w:hAnsi="宋体" w:cs="仿宋"/>
          <w:color w:val="auto"/>
          <w:szCs w:val="21"/>
          <w:highlight w:val="none"/>
        </w:rPr>
        <w:t>：</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            </w:t>
      </w:r>
    </w:p>
    <w:p w14:paraId="70DBA3B2">
      <w:pPr>
        <w:snapToGrid w:val="0"/>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6、工程质量达到</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标准。</w:t>
      </w:r>
    </w:p>
    <w:p w14:paraId="3523D721">
      <w:pPr>
        <w:snapToGrid w:val="0"/>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7、以上事项如有虚假或隐瞒，我方愿意承担一切后果，并不再寻求任何旨在减轻或免除法律责任的辩解。</w:t>
      </w:r>
    </w:p>
    <w:p w14:paraId="3B00EEEC">
      <w:pPr>
        <w:snapToGrid w:val="0"/>
        <w:spacing w:before="317" w:beforeLines="100" w:line="360" w:lineRule="auto"/>
        <w:ind w:firstLine="1687"/>
        <w:jc w:val="right"/>
        <w:rPr>
          <w:rFonts w:ascii="宋体" w:hAnsi="宋体" w:cs="仿宋"/>
          <w:color w:val="auto"/>
          <w:szCs w:val="21"/>
          <w:highlight w:val="none"/>
          <w:u w:val="single"/>
        </w:rPr>
      </w:pPr>
      <w:r>
        <w:rPr>
          <w:rFonts w:hint="eastAsia" w:ascii="宋体" w:hAnsi="宋体" w:cs="仿宋"/>
          <w:color w:val="auto"/>
          <w:szCs w:val="21"/>
          <w:highlight w:val="none"/>
        </w:rPr>
        <w:t xml:space="preserve">  </w:t>
      </w:r>
      <w:r>
        <w:rPr>
          <w:rFonts w:hint="eastAsia" w:ascii="宋体" w:hAnsi="宋体" w:cs="仿宋"/>
          <w:color w:val="auto"/>
          <w:szCs w:val="21"/>
          <w:highlight w:val="none"/>
          <w:u w:val="single"/>
        </w:rPr>
        <w:t xml:space="preserve">      </w:t>
      </w:r>
    </w:p>
    <w:p w14:paraId="2DDA96B9">
      <w:pPr>
        <w:pBdr>
          <w:top w:val="none" w:color="auto" w:sz="0" w:space="1"/>
          <w:left w:val="none" w:color="auto" w:sz="0" w:space="4"/>
          <w:bottom w:val="none" w:color="auto" w:sz="0" w:space="1"/>
          <w:right w:val="none" w:color="auto" w:sz="0" w:space="4"/>
        </w:pBdr>
        <w:spacing w:before="317" w:beforeLines="100" w:line="360" w:lineRule="auto"/>
        <w:ind w:firstLine="1687"/>
        <w:jc w:val="center"/>
        <w:rPr>
          <w:rFonts w:ascii="宋体" w:hAnsi="宋体" w:cs="仿宋"/>
          <w:color w:val="auto"/>
          <w:szCs w:val="21"/>
          <w:highlight w:val="none"/>
        </w:rPr>
      </w:pPr>
      <w:r>
        <w:rPr>
          <w:rFonts w:hint="eastAsia" w:ascii="宋体" w:hAnsi="宋体" w:cs="仿宋"/>
          <w:color w:val="auto"/>
          <w:szCs w:val="21"/>
          <w:highlight w:val="none"/>
        </w:rPr>
        <w:t xml:space="preserve">                  </w:t>
      </w:r>
      <w:r>
        <w:rPr>
          <w:rFonts w:hint="eastAsia" w:hAnsi="宋体" w:cs="宋体"/>
          <w:color w:val="auto"/>
          <w:szCs w:val="21"/>
          <w:highlight w:val="none"/>
        </w:rPr>
        <w:t>磋商响应供应商</w:t>
      </w:r>
      <w:r>
        <w:rPr>
          <w:rFonts w:hint="eastAsia" w:ascii="宋体" w:hAnsi="宋体"/>
          <w:color w:val="auto"/>
          <w:szCs w:val="21"/>
          <w:highlight w:val="none"/>
        </w:rPr>
        <w:t>（单位电子印章）</w:t>
      </w:r>
      <w:r>
        <w:rPr>
          <w:rFonts w:hint="eastAsia" w:ascii="宋体" w:hAnsi="宋体" w:cs="仿宋"/>
          <w:color w:val="auto"/>
          <w:szCs w:val="21"/>
          <w:highlight w:val="none"/>
        </w:rPr>
        <w:t>：</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 </w:t>
      </w:r>
    </w:p>
    <w:p w14:paraId="35D4F985">
      <w:pPr>
        <w:pBdr>
          <w:top w:val="none" w:color="auto" w:sz="0" w:space="1"/>
          <w:left w:val="none" w:color="auto" w:sz="0" w:space="4"/>
          <w:bottom w:val="none" w:color="auto" w:sz="0" w:space="1"/>
          <w:right w:val="none" w:color="auto" w:sz="0" w:space="4"/>
        </w:pBdr>
        <w:spacing w:before="317" w:beforeLines="100" w:line="360" w:lineRule="auto"/>
        <w:ind w:firstLine="4410" w:firstLineChars="2100"/>
        <w:rPr>
          <w:color w:val="auto"/>
          <w:highlight w:val="none"/>
        </w:rPr>
      </w:pPr>
      <w:r>
        <w:rPr>
          <w:rFonts w:hint="eastAsia" w:ascii="宋体" w:hAnsi="宋体" w:cs="仿宋"/>
          <w:color w:val="auto"/>
          <w:szCs w:val="21"/>
          <w:highlight w:val="none"/>
        </w:rPr>
        <w:t>日 期：</w:t>
      </w:r>
    </w:p>
    <w:p w14:paraId="467533A4">
      <w:pPr>
        <w:pStyle w:val="53"/>
        <w:ind w:firstLine="1600"/>
        <w:rPr>
          <w:color w:val="auto"/>
          <w:highlight w:val="none"/>
        </w:rPr>
        <w:sectPr>
          <w:pgSz w:w="11906" w:h="16838"/>
          <w:pgMar w:top="1440" w:right="1417" w:bottom="1440" w:left="1417" w:header="850" w:footer="992" w:gutter="0"/>
          <w:cols w:space="0" w:num="1"/>
          <w:docGrid w:type="lines" w:linePitch="317" w:charSpace="0"/>
        </w:sectPr>
      </w:pPr>
    </w:p>
    <w:p w14:paraId="194AE9A1">
      <w:pPr>
        <w:pStyle w:val="4"/>
        <w:pageBreakBefore/>
        <w:ind w:firstLine="1687"/>
        <w:rPr>
          <w:rFonts w:ascii="宋体" w:cs="宋体"/>
          <w:b/>
          <w:bCs/>
          <w:color w:val="auto"/>
          <w:sz w:val="21"/>
          <w:szCs w:val="21"/>
          <w:highlight w:val="none"/>
        </w:rPr>
      </w:pPr>
      <w:bookmarkStart w:id="1173" w:name="_Toc358842834"/>
      <w:r>
        <w:rPr>
          <w:rFonts w:hint="eastAsia" w:ascii="宋体" w:hAnsi="宋体" w:cs="宋体"/>
          <w:b/>
          <w:bCs/>
          <w:color w:val="auto"/>
          <w:sz w:val="21"/>
          <w:szCs w:val="21"/>
          <w:highlight w:val="none"/>
        </w:rPr>
        <w:t>4、磋商响应供应商类似项目业绩情况</w:t>
      </w:r>
    </w:p>
    <w:p w14:paraId="69F1912A">
      <w:pPr>
        <w:spacing w:line="360" w:lineRule="auto"/>
        <w:ind w:firstLine="2249"/>
        <w:jc w:val="center"/>
        <w:rPr>
          <w:rFonts w:ascii="宋体" w:cs="宋体"/>
          <w:b/>
          <w:color w:val="auto"/>
          <w:kern w:val="0"/>
          <w:sz w:val="28"/>
          <w:szCs w:val="20"/>
          <w:highlight w:val="none"/>
        </w:rPr>
      </w:pPr>
      <w:r>
        <w:rPr>
          <w:rFonts w:hint="eastAsia" w:ascii="宋体" w:hAnsi="宋体" w:cs="宋体"/>
          <w:b/>
          <w:color w:val="auto"/>
          <w:kern w:val="0"/>
          <w:sz w:val="28"/>
          <w:szCs w:val="20"/>
          <w:highlight w:val="none"/>
        </w:rPr>
        <w:t>磋商响应供应商同类型工程表及证明材料</w:t>
      </w:r>
    </w:p>
    <w:p w14:paraId="735AE3A1">
      <w:pPr>
        <w:spacing w:line="360" w:lineRule="auto"/>
        <w:ind w:firstLine="2880"/>
        <w:rPr>
          <w:rFonts w:ascii="宋体" w:cs="宋体"/>
          <w:b/>
          <w:color w:val="auto"/>
          <w:szCs w:val="21"/>
          <w:highlight w:val="none"/>
        </w:rPr>
      </w:pPr>
    </w:p>
    <w:p w14:paraId="00DB7C7F">
      <w:pPr>
        <w:spacing w:line="360" w:lineRule="auto"/>
        <w:rPr>
          <w:rFonts w:ascii="宋体" w:cs="宋体"/>
          <w:b/>
          <w:color w:val="auto"/>
          <w:szCs w:val="21"/>
          <w:highlight w:val="none"/>
          <w:u w:val="single"/>
        </w:rPr>
      </w:pPr>
      <w:r>
        <w:rPr>
          <w:rFonts w:hint="eastAsia" w:ascii="宋体" w:hAnsi="宋体" w:cs="宋体"/>
          <w:b/>
          <w:color w:val="auto"/>
          <w:szCs w:val="21"/>
          <w:highlight w:val="none"/>
        </w:rPr>
        <w:t>项目名称：</w:t>
      </w:r>
    </w:p>
    <w:p w14:paraId="7F43C1EA">
      <w:pPr>
        <w:spacing w:line="360" w:lineRule="auto"/>
        <w:rPr>
          <w:rFonts w:ascii="宋体" w:cs="宋体"/>
          <w:color w:val="auto"/>
          <w:kern w:val="0"/>
          <w:szCs w:val="21"/>
          <w:highlight w:val="none"/>
          <w:u w:val="single"/>
        </w:rPr>
      </w:pPr>
      <w:r>
        <w:rPr>
          <w:rFonts w:hint="eastAsia" w:ascii="宋体" w:hAnsi="宋体" w:cs="宋体"/>
          <w:b/>
          <w:color w:val="auto"/>
          <w:szCs w:val="21"/>
          <w:highlight w:val="none"/>
        </w:rPr>
        <w:t>项目编号：</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034"/>
        <w:gridCol w:w="1034"/>
        <w:gridCol w:w="1034"/>
        <w:gridCol w:w="1441"/>
        <w:gridCol w:w="1441"/>
        <w:gridCol w:w="1238"/>
        <w:gridCol w:w="1441"/>
      </w:tblGrid>
      <w:tr w14:paraId="3FB1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51" w:type="pct"/>
            <w:noWrap/>
            <w:vAlign w:val="center"/>
          </w:tcPr>
          <w:p w14:paraId="65732D89">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序号</w:t>
            </w:r>
          </w:p>
        </w:tc>
        <w:tc>
          <w:tcPr>
            <w:tcW w:w="1056" w:type="pct"/>
            <w:noWrap/>
            <w:vAlign w:val="center"/>
          </w:tcPr>
          <w:p w14:paraId="0EA6CBFF">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甲方单位</w:t>
            </w:r>
          </w:p>
        </w:tc>
        <w:tc>
          <w:tcPr>
            <w:tcW w:w="774" w:type="pct"/>
            <w:noWrap/>
            <w:vAlign w:val="center"/>
          </w:tcPr>
          <w:p w14:paraId="2FECA657">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项目名称</w:t>
            </w:r>
          </w:p>
        </w:tc>
        <w:tc>
          <w:tcPr>
            <w:tcW w:w="633" w:type="pct"/>
            <w:noWrap/>
            <w:vAlign w:val="center"/>
          </w:tcPr>
          <w:p w14:paraId="24B633FE">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合同金额</w:t>
            </w:r>
          </w:p>
        </w:tc>
        <w:tc>
          <w:tcPr>
            <w:tcW w:w="563" w:type="pct"/>
            <w:noWrap/>
            <w:vAlign w:val="center"/>
          </w:tcPr>
          <w:p w14:paraId="7CF56FAF">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合同主要内容</w:t>
            </w:r>
          </w:p>
        </w:tc>
        <w:tc>
          <w:tcPr>
            <w:tcW w:w="563" w:type="pct"/>
            <w:noWrap/>
            <w:vAlign w:val="center"/>
          </w:tcPr>
          <w:p w14:paraId="6ECA99A9">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合同签订时间</w:t>
            </w:r>
          </w:p>
        </w:tc>
        <w:tc>
          <w:tcPr>
            <w:tcW w:w="493" w:type="pct"/>
            <w:noWrap/>
            <w:vAlign w:val="center"/>
          </w:tcPr>
          <w:p w14:paraId="6D75E9CB">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甲方联系人</w:t>
            </w:r>
          </w:p>
        </w:tc>
        <w:tc>
          <w:tcPr>
            <w:tcW w:w="563" w:type="pct"/>
            <w:noWrap/>
            <w:vAlign w:val="center"/>
          </w:tcPr>
          <w:p w14:paraId="5F970542">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甲方联系电话</w:t>
            </w:r>
          </w:p>
        </w:tc>
      </w:tr>
      <w:tr w14:paraId="643F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51" w:type="pct"/>
            <w:noWrap/>
            <w:vAlign w:val="center"/>
          </w:tcPr>
          <w:p w14:paraId="1C5B9B99">
            <w:pPr>
              <w:jc w:val="center"/>
              <w:rPr>
                <w:rFonts w:ascii="宋体" w:cs="宋体"/>
                <w:color w:val="auto"/>
                <w:szCs w:val="21"/>
                <w:highlight w:val="none"/>
              </w:rPr>
            </w:pPr>
          </w:p>
        </w:tc>
        <w:tc>
          <w:tcPr>
            <w:tcW w:w="1056" w:type="pct"/>
            <w:noWrap/>
            <w:vAlign w:val="center"/>
          </w:tcPr>
          <w:p w14:paraId="016CF29C">
            <w:pPr>
              <w:rPr>
                <w:rFonts w:ascii="宋体" w:cs="宋体"/>
                <w:color w:val="auto"/>
                <w:szCs w:val="21"/>
                <w:highlight w:val="none"/>
              </w:rPr>
            </w:pPr>
          </w:p>
        </w:tc>
        <w:tc>
          <w:tcPr>
            <w:tcW w:w="774" w:type="pct"/>
            <w:noWrap/>
            <w:vAlign w:val="center"/>
          </w:tcPr>
          <w:p w14:paraId="4BA3FCB9">
            <w:pPr>
              <w:rPr>
                <w:rFonts w:ascii="宋体" w:cs="宋体"/>
                <w:color w:val="auto"/>
                <w:szCs w:val="21"/>
                <w:highlight w:val="none"/>
              </w:rPr>
            </w:pPr>
          </w:p>
        </w:tc>
        <w:tc>
          <w:tcPr>
            <w:tcW w:w="633" w:type="pct"/>
            <w:noWrap/>
            <w:vAlign w:val="center"/>
          </w:tcPr>
          <w:p w14:paraId="6D232BEF">
            <w:pPr>
              <w:rPr>
                <w:rFonts w:ascii="宋体" w:cs="宋体"/>
                <w:color w:val="auto"/>
                <w:szCs w:val="21"/>
                <w:highlight w:val="none"/>
              </w:rPr>
            </w:pPr>
          </w:p>
        </w:tc>
        <w:tc>
          <w:tcPr>
            <w:tcW w:w="563" w:type="pct"/>
            <w:noWrap/>
            <w:vAlign w:val="center"/>
          </w:tcPr>
          <w:p w14:paraId="7959563F">
            <w:pPr>
              <w:rPr>
                <w:rFonts w:ascii="宋体" w:cs="宋体"/>
                <w:color w:val="auto"/>
                <w:szCs w:val="21"/>
                <w:highlight w:val="none"/>
              </w:rPr>
            </w:pPr>
          </w:p>
        </w:tc>
        <w:tc>
          <w:tcPr>
            <w:tcW w:w="563" w:type="pct"/>
            <w:noWrap/>
            <w:vAlign w:val="center"/>
          </w:tcPr>
          <w:p w14:paraId="734EBAC6">
            <w:pPr>
              <w:rPr>
                <w:rFonts w:ascii="宋体" w:cs="宋体"/>
                <w:color w:val="auto"/>
                <w:szCs w:val="21"/>
                <w:highlight w:val="none"/>
              </w:rPr>
            </w:pPr>
          </w:p>
        </w:tc>
        <w:tc>
          <w:tcPr>
            <w:tcW w:w="493" w:type="pct"/>
            <w:noWrap/>
            <w:vAlign w:val="center"/>
          </w:tcPr>
          <w:p w14:paraId="2E6042EE">
            <w:pPr>
              <w:rPr>
                <w:rFonts w:ascii="宋体" w:cs="宋体"/>
                <w:color w:val="auto"/>
                <w:szCs w:val="21"/>
                <w:highlight w:val="none"/>
              </w:rPr>
            </w:pPr>
          </w:p>
        </w:tc>
        <w:tc>
          <w:tcPr>
            <w:tcW w:w="563" w:type="pct"/>
            <w:noWrap/>
            <w:vAlign w:val="center"/>
          </w:tcPr>
          <w:p w14:paraId="3DF467D2">
            <w:pPr>
              <w:rPr>
                <w:rFonts w:ascii="宋体" w:cs="宋体"/>
                <w:color w:val="auto"/>
                <w:szCs w:val="21"/>
                <w:highlight w:val="none"/>
              </w:rPr>
            </w:pPr>
          </w:p>
        </w:tc>
      </w:tr>
      <w:tr w14:paraId="7F9B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7DF97921">
            <w:pPr>
              <w:jc w:val="center"/>
              <w:rPr>
                <w:rFonts w:ascii="宋体" w:cs="宋体"/>
                <w:color w:val="auto"/>
                <w:szCs w:val="21"/>
                <w:highlight w:val="none"/>
              </w:rPr>
            </w:pPr>
          </w:p>
        </w:tc>
        <w:tc>
          <w:tcPr>
            <w:tcW w:w="1056" w:type="pct"/>
            <w:noWrap/>
            <w:vAlign w:val="center"/>
          </w:tcPr>
          <w:p w14:paraId="66A8DE46">
            <w:pPr>
              <w:rPr>
                <w:rFonts w:ascii="宋体" w:cs="宋体"/>
                <w:color w:val="auto"/>
                <w:szCs w:val="21"/>
                <w:highlight w:val="none"/>
              </w:rPr>
            </w:pPr>
          </w:p>
        </w:tc>
        <w:tc>
          <w:tcPr>
            <w:tcW w:w="774" w:type="pct"/>
            <w:noWrap/>
            <w:vAlign w:val="center"/>
          </w:tcPr>
          <w:p w14:paraId="776403DC">
            <w:pPr>
              <w:rPr>
                <w:rFonts w:ascii="宋体" w:cs="宋体"/>
                <w:color w:val="auto"/>
                <w:szCs w:val="21"/>
                <w:highlight w:val="none"/>
              </w:rPr>
            </w:pPr>
          </w:p>
        </w:tc>
        <w:tc>
          <w:tcPr>
            <w:tcW w:w="633" w:type="pct"/>
            <w:noWrap/>
            <w:vAlign w:val="center"/>
          </w:tcPr>
          <w:p w14:paraId="52F5065B">
            <w:pPr>
              <w:rPr>
                <w:rFonts w:ascii="宋体" w:cs="宋体"/>
                <w:color w:val="auto"/>
                <w:szCs w:val="21"/>
                <w:highlight w:val="none"/>
              </w:rPr>
            </w:pPr>
          </w:p>
        </w:tc>
        <w:tc>
          <w:tcPr>
            <w:tcW w:w="563" w:type="pct"/>
            <w:noWrap/>
            <w:vAlign w:val="center"/>
          </w:tcPr>
          <w:p w14:paraId="1D01BF95">
            <w:pPr>
              <w:rPr>
                <w:rFonts w:ascii="宋体" w:cs="宋体"/>
                <w:color w:val="auto"/>
                <w:szCs w:val="21"/>
                <w:highlight w:val="none"/>
              </w:rPr>
            </w:pPr>
          </w:p>
        </w:tc>
        <w:tc>
          <w:tcPr>
            <w:tcW w:w="563" w:type="pct"/>
            <w:noWrap/>
            <w:vAlign w:val="center"/>
          </w:tcPr>
          <w:p w14:paraId="671F6788">
            <w:pPr>
              <w:rPr>
                <w:rFonts w:ascii="宋体" w:cs="宋体"/>
                <w:color w:val="auto"/>
                <w:szCs w:val="21"/>
                <w:highlight w:val="none"/>
              </w:rPr>
            </w:pPr>
          </w:p>
        </w:tc>
        <w:tc>
          <w:tcPr>
            <w:tcW w:w="493" w:type="pct"/>
            <w:noWrap/>
            <w:vAlign w:val="center"/>
          </w:tcPr>
          <w:p w14:paraId="3AD3B349">
            <w:pPr>
              <w:rPr>
                <w:rFonts w:ascii="宋体" w:cs="宋体"/>
                <w:color w:val="auto"/>
                <w:szCs w:val="21"/>
                <w:highlight w:val="none"/>
              </w:rPr>
            </w:pPr>
          </w:p>
        </w:tc>
        <w:tc>
          <w:tcPr>
            <w:tcW w:w="563" w:type="pct"/>
            <w:noWrap/>
            <w:vAlign w:val="center"/>
          </w:tcPr>
          <w:p w14:paraId="6691BA0E">
            <w:pPr>
              <w:rPr>
                <w:rFonts w:ascii="宋体" w:cs="宋体"/>
                <w:color w:val="auto"/>
                <w:szCs w:val="21"/>
                <w:highlight w:val="none"/>
              </w:rPr>
            </w:pPr>
          </w:p>
        </w:tc>
      </w:tr>
      <w:tr w14:paraId="6B77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0DFC361E">
            <w:pPr>
              <w:jc w:val="center"/>
              <w:rPr>
                <w:rFonts w:ascii="宋体" w:cs="宋体"/>
                <w:color w:val="auto"/>
                <w:szCs w:val="21"/>
                <w:highlight w:val="none"/>
              </w:rPr>
            </w:pPr>
          </w:p>
        </w:tc>
        <w:tc>
          <w:tcPr>
            <w:tcW w:w="1056" w:type="pct"/>
            <w:noWrap/>
            <w:vAlign w:val="center"/>
          </w:tcPr>
          <w:p w14:paraId="1FB4C37D">
            <w:pPr>
              <w:rPr>
                <w:rFonts w:ascii="宋体" w:cs="宋体"/>
                <w:color w:val="auto"/>
                <w:szCs w:val="21"/>
                <w:highlight w:val="none"/>
              </w:rPr>
            </w:pPr>
          </w:p>
        </w:tc>
        <w:tc>
          <w:tcPr>
            <w:tcW w:w="774" w:type="pct"/>
            <w:noWrap/>
            <w:vAlign w:val="center"/>
          </w:tcPr>
          <w:p w14:paraId="74BC5ACA">
            <w:pPr>
              <w:rPr>
                <w:rFonts w:ascii="宋体" w:cs="宋体"/>
                <w:color w:val="auto"/>
                <w:szCs w:val="21"/>
                <w:highlight w:val="none"/>
              </w:rPr>
            </w:pPr>
          </w:p>
        </w:tc>
        <w:tc>
          <w:tcPr>
            <w:tcW w:w="633" w:type="pct"/>
            <w:noWrap/>
            <w:vAlign w:val="center"/>
          </w:tcPr>
          <w:p w14:paraId="78F3E30D">
            <w:pPr>
              <w:rPr>
                <w:rFonts w:ascii="宋体" w:cs="宋体"/>
                <w:color w:val="auto"/>
                <w:szCs w:val="21"/>
                <w:highlight w:val="none"/>
              </w:rPr>
            </w:pPr>
          </w:p>
        </w:tc>
        <w:tc>
          <w:tcPr>
            <w:tcW w:w="563" w:type="pct"/>
            <w:noWrap/>
            <w:vAlign w:val="center"/>
          </w:tcPr>
          <w:p w14:paraId="3F5A6AAD">
            <w:pPr>
              <w:rPr>
                <w:rFonts w:ascii="宋体" w:cs="宋体"/>
                <w:color w:val="auto"/>
                <w:szCs w:val="21"/>
                <w:highlight w:val="none"/>
              </w:rPr>
            </w:pPr>
          </w:p>
        </w:tc>
        <w:tc>
          <w:tcPr>
            <w:tcW w:w="563" w:type="pct"/>
            <w:noWrap/>
            <w:vAlign w:val="center"/>
          </w:tcPr>
          <w:p w14:paraId="0ABB398E">
            <w:pPr>
              <w:rPr>
                <w:rFonts w:ascii="宋体" w:cs="宋体"/>
                <w:color w:val="auto"/>
                <w:szCs w:val="21"/>
                <w:highlight w:val="none"/>
              </w:rPr>
            </w:pPr>
          </w:p>
        </w:tc>
        <w:tc>
          <w:tcPr>
            <w:tcW w:w="493" w:type="pct"/>
            <w:noWrap/>
            <w:vAlign w:val="center"/>
          </w:tcPr>
          <w:p w14:paraId="4B9BB3BC">
            <w:pPr>
              <w:rPr>
                <w:rFonts w:ascii="宋体" w:cs="宋体"/>
                <w:color w:val="auto"/>
                <w:szCs w:val="21"/>
                <w:highlight w:val="none"/>
              </w:rPr>
            </w:pPr>
          </w:p>
        </w:tc>
        <w:tc>
          <w:tcPr>
            <w:tcW w:w="563" w:type="pct"/>
            <w:noWrap/>
            <w:vAlign w:val="center"/>
          </w:tcPr>
          <w:p w14:paraId="2F4B0126">
            <w:pPr>
              <w:rPr>
                <w:rFonts w:ascii="宋体" w:cs="宋体"/>
                <w:color w:val="auto"/>
                <w:szCs w:val="21"/>
                <w:highlight w:val="none"/>
              </w:rPr>
            </w:pPr>
          </w:p>
        </w:tc>
      </w:tr>
      <w:tr w14:paraId="1971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708F85D8">
            <w:pPr>
              <w:jc w:val="center"/>
              <w:rPr>
                <w:rFonts w:ascii="宋体" w:cs="宋体"/>
                <w:color w:val="auto"/>
                <w:szCs w:val="21"/>
                <w:highlight w:val="none"/>
              </w:rPr>
            </w:pPr>
          </w:p>
        </w:tc>
        <w:tc>
          <w:tcPr>
            <w:tcW w:w="1056" w:type="pct"/>
            <w:noWrap/>
            <w:vAlign w:val="center"/>
          </w:tcPr>
          <w:p w14:paraId="4D0EB4EA">
            <w:pPr>
              <w:rPr>
                <w:rFonts w:ascii="宋体" w:cs="宋体"/>
                <w:color w:val="auto"/>
                <w:szCs w:val="21"/>
                <w:highlight w:val="none"/>
              </w:rPr>
            </w:pPr>
          </w:p>
        </w:tc>
        <w:tc>
          <w:tcPr>
            <w:tcW w:w="774" w:type="pct"/>
            <w:noWrap/>
            <w:vAlign w:val="center"/>
          </w:tcPr>
          <w:p w14:paraId="483F622E">
            <w:pPr>
              <w:rPr>
                <w:rFonts w:ascii="宋体" w:cs="宋体"/>
                <w:color w:val="auto"/>
                <w:szCs w:val="21"/>
                <w:highlight w:val="none"/>
              </w:rPr>
            </w:pPr>
          </w:p>
        </w:tc>
        <w:tc>
          <w:tcPr>
            <w:tcW w:w="633" w:type="pct"/>
            <w:noWrap/>
            <w:vAlign w:val="center"/>
          </w:tcPr>
          <w:p w14:paraId="42A64B23">
            <w:pPr>
              <w:rPr>
                <w:rFonts w:ascii="宋体" w:cs="宋体"/>
                <w:color w:val="auto"/>
                <w:szCs w:val="21"/>
                <w:highlight w:val="none"/>
              </w:rPr>
            </w:pPr>
          </w:p>
        </w:tc>
        <w:tc>
          <w:tcPr>
            <w:tcW w:w="563" w:type="pct"/>
            <w:noWrap/>
            <w:vAlign w:val="center"/>
          </w:tcPr>
          <w:p w14:paraId="009D620C">
            <w:pPr>
              <w:rPr>
                <w:rFonts w:ascii="宋体" w:cs="宋体"/>
                <w:color w:val="auto"/>
                <w:szCs w:val="21"/>
                <w:highlight w:val="none"/>
              </w:rPr>
            </w:pPr>
          </w:p>
        </w:tc>
        <w:tc>
          <w:tcPr>
            <w:tcW w:w="563" w:type="pct"/>
            <w:noWrap/>
            <w:vAlign w:val="center"/>
          </w:tcPr>
          <w:p w14:paraId="30C72227">
            <w:pPr>
              <w:rPr>
                <w:rFonts w:ascii="宋体" w:cs="宋体"/>
                <w:color w:val="auto"/>
                <w:szCs w:val="21"/>
                <w:highlight w:val="none"/>
              </w:rPr>
            </w:pPr>
          </w:p>
        </w:tc>
        <w:tc>
          <w:tcPr>
            <w:tcW w:w="493" w:type="pct"/>
            <w:noWrap/>
            <w:vAlign w:val="center"/>
          </w:tcPr>
          <w:p w14:paraId="62760A0F">
            <w:pPr>
              <w:rPr>
                <w:rFonts w:ascii="宋体" w:cs="宋体"/>
                <w:color w:val="auto"/>
                <w:szCs w:val="21"/>
                <w:highlight w:val="none"/>
              </w:rPr>
            </w:pPr>
          </w:p>
        </w:tc>
        <w:tc>
          <w:tcPr>
            <w:tcW w:w="563" w:type="pct"/>
            <w:noWrap/>
            <w:vAlign w:val="center"/>
          </w:tcPr>
          <w:p w14:paraId="656CC943">
            <w:pPr>
              <w:rPr>
                <w:rFonts w:ascii="宋体" w:cs="宋体"/>
                <w:color w:val="auto"/>
                <w:szCs w:val="21"/>
                <w:highlight w:val="none"/>
              </w:rPr>
            </w:pPr>
          </w:p>
        </w:tc>
      </w:tr>
      <w:tr w14:paraId="063A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42F9F0A6">
            <w:pPr>
              <w:jc w:val="center"/>
              <w:rPr>
                <w:rFonts w:ascii="宋体" w:cs="宋体"/>
                <w:color w:val="auto"/>
                <w:szCs w:val="21"/>
                <w:highlight w:val="none"/>
              </w:rPr>
            </w:pPr>
          </w:p>
        </w:tc>
        <w:tc>
          <w:tcPr>
            <w:tcW w:w="1056" w:type="pct"/>
            <w:noWrap/>
            <w:vAlign w:val="center"/>
          </w:tcPr>
          <w:p w14:paraId="0991ECEB">
            <w:pPr>
              <w:rPr>
                <w:rFonts w:ascii="宋体" w:cs="宋体"/>
                <w:color w:val="auto"/>
                <w:szCs w:val="21"/>
                <w:highlight w:val="none"/>
              </w:rPr>
            </w:pPr>
          </w:p>
        </w:tc>
        <w:tc>
          <w:tcPr>
            <w:tcW w:w="774" w:type="pct"/>
            <w:noWrap/>
            <w:vAlign w:val="center"/>
          </w:tcPr>
          <w:p w14:paraId="3E3ABA54">
            <w:pPr>
              <w:rPr>
                <w:rFonts w:ascii="宋体" w:cs="宋体"/>
                <w:color w:val="auto"/>
                <w:szCs w:val="21"/>
                <w:highlight w:val="none"/>
              </w:rPr>
            </w:pPr>
          </w:p>
        </w:tc>
        <w:tc>
          <w:tcPr>
            <w:tcW w:w="633" w:type="pct"/>
            <w:noWrap/>
            <w:vAlign w:val="center"/>
          </w:tcPr>
          <w:p w14:paraId="6E0B02E0">
            <w:pPr>
              <w:rPr>
                <w:rFonts w:ascii="宋体" w:cs="宋体"/>
                <w:color w:val="auto"/>
                <w:szCs w:val="21"/>
                <w:highlight w:val="none"/>
              </w:rPr>
            </w:pPr>
          </w:p>
        </w:tc>
        <w:tc>
          <w:tcPr>
            <w:tcW w:w="563" w:type="pct"/>
            <w:noWrap/>
            <w:vAlign w:val="center"/>
          </w:tcPr>
          <w:p w14:paraId="377A4DD3">
            <w:pPr>
              <w:rPr>
                <w:rFonts w:ascii="宋体" w:cs="宋体"/>
                <w:color w:val="auto"/>
                <w:szCs w:val="21"/>
                <w:highlight w:val="none"/>
              </w:rPr>
            </w:pPr>
          </w:p>
        </w:tc>
        <w:tc>
          <w:tcPr>
            <w:tcW w:w="563" w:type="pct"/>
            <w:noWrap/>
            <w:vAlign w:val="center"/>
          </w:tcPr>
          <w:p w14:paraId="6A087AA1">
            <w:pPr>
              <w:rPr>
                <w:rFonts w:ascii="宋体" w:cs="宋体"/>
                <w:color w:val="auto"/>
                <w:szCs w:val="21"/>
                <w:highlight w:val="none"/>
              </w:rPr>
            </w:pPr>
          </w:p>
        </w:tc>
        <w:tc>
          <w:tcPr>
            <w:tcW w:w="493" w:type="pct"/>
            <w:noWrap/>
            <w:vAlign w:val="center"/>
          </w:tcPr>
          <w:p w14:paraId="625570AA">
            <w:pPr>
              <w:rPr>
                <w:rFonts w:ascii="宋体" w:cs="宋体"/>
                <w:color w:val="auto"/>
                <w:szCs w:val="21"/>
                <w:highlight w:val="none"/>
              </w:rPr>
            </w:pPr>
          </w:p>
        </w:tc>
        <w:tc>
          <w:tcPr>
            <w:tcW w:w="563" w:type="pct"/>
            <w:noWrap/>
            <w:vAlign w:val="center"/>
          </w:tcPr>
          <w:p w14:paraId="02D02578">
            <w:pPr>
              <w:rPr>
                <w:rFonts w:ascii="宋体" w:cs="宋体"/>
                <w:color w:val="auto"/>
                <w:szCs w:val="21"/>
                <w:highlight w:val="none"/>
              </w:rPr>
            </w:pPr>
          </w:p>
        </w:tc>
      </w:tr>
      <w:tr w14:paraId="3106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7E494B95">
            <w:pPr>
              <w:jc w:val="center"/>
              <w:rPr>
                <w:rFonts w:ascii="宋体" w:cs="宋体"/>
                <w:color w:val="auto"/>
                <w:szCs w:val="21"/>
                <w:highlight w:val="none"/>
              </w:rPr>
            </w:pPr>
          </w:p>
        </w:tc>
        <w:tc>
          <w:tcPr>
            <w:tcW w:w="1056" w:type="pct"/>
            <w:noWrap/>
            <w:vAlign w:val="center"/>
          </w:tcPr>
          <w:p w14:paraId="5CE5883B">
            <w:pPr>
              <w:rPr>
                <w:rFonts w:ascii="宋体" w:cs="宋体"/>
                <w:color w:val="auto"/>
                <w:szCs w:val="21"/>
                <w:highlight w:val="none"/>
              </w:rPr>
            </w:pPr>
          </w:p>
        </w:tc>
        <w:tc>
          <w:tcPr>
            <w:tcW w:w="774" w:type="pct"/>
            <w:noWrap/>
            <w:vAlign w:val="center"/>
          </w:tcPr>
          <w:p w14:paraId="6CA82CC0">
            <w:pPr>
              <w:rPr>
                <w:rFonts w:ascii="宋体" w:cs="宋体"/>
                <w:color w:val="auto"/>
                <w:szCs w:val="21"/>
                <w:highlight w:val="none"/>
              </w:rPr>
            </w:pPr>
          </w:p>
        </w:tc>
        <w:tc>
          <w:tcPr>
            <w:tcW w:w="633" w:type="pct"/>
            <w:noWrap/>
            <w:vAlign w:val="center"/>
          </w:tcPr>
          <w:p w14:paraId="0AC9C27B">
            <w:pPr>
              <w:rPr>
                <w:rFonts w:ascii="宋体" w:cs="宋体"/>
                <w:color w:val="auto"/>
                <w:szCs w:val="21"/>
                <w:highlight w:val="none"/>
              </w:rPr>
            </w:pPr>
          </w:p>
        </w:tc>
        <w:tc>
          <w:tcPr>
            <w:tcW w:w="563" w:type="pct"/>
            <w:noWrap/>
            <w:vAlign w:val="center"/>
          </w:tcPr>
          <w:p w14:paraId="79369E8E">
            <w:pPr>
              <w:rPr>
                <w:rFonts w:ascii="宋体" w:cs="宋体"/>
                <w:color w:val="auto"/>
                <w:szCs w:val="21"/>
                <w:highlight w:val="none"/>
              </w:rPr>
            </w:pPr>
          </w:p>
        </w:tc>
        <w:tc>
          <w:tcPr>
            <w:tcW w:w="563" w:type="pct"/>
            <w:noWrap/>
            <w:vAlign w:val="center"/>
          </w:tcPr>
          <w:p w14:paraId="3F6D9E6E">
            <w:pPr>
              <w:rPr>
                <w:rFonts w:ascii="宋体" w:cs="宋体"/>
                <w:color w:val="auto"/>
                <w:szCs w:val="21"/>
                <w:highlight w:val="none"/>
              </w:rPr>
            </w:pPr>
          </w:p>
        </w:tc>
        <w:tc>
          <w:tcPr>
            <w:tcW w:w="493" w:type="pct"/>
            <w:noWrap/>
            <w:vAlign w:val="center"/>
          </w:tcPr>
          <w:p w14:paraId="6B63AAB7">
            <w:pPr>
              <w:rPr>
                <w:rFonts w:ascii="宋体" w:cs="宋体"/>
                <w:color w:val="auto"/>
                <w:szCs w:val="21"/>
                <w:highlight w:val="none"/>
              </w:rPr>
            </w:pPr>
          </w:p>
        </w:tc>
        <w:tc>
          <w:tcPr>
            <w:tcW w:w="563" w:type="pct"/>
            <w:noWrap/>
            <w:vAlign w:val="center"/>
          </w:tcPr>
          <w:p w14:paraId="699916A1">
            <w:pPr>
              <w:rPr>
                <w:rFonts w:ascii="宋体" w:cs="宋体"/>
                <w:color w:val="auto"/>
                <w:szCs w:val="21"/>
                <w:highlight w:val="none"/>
              </w:rPr>
            </w:pPr>
          </w:p>
        </w:tc>
      </w:tr>
      <w:tr w14:paraId="0504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51" w:type="pct"/>
            <w:noWrap/>
            <w:vAlign w:val="center"/>
          </w:tcPr>
          <w:p w14:paraId="4FDD601D">
            <w:pPr>
              <w:jc w:val="center"/>
              <w:rPr>
                <w:rFonts w:ascii="宋体" w:cs="宋体"/>
                <w:color w:val="auto"/>
                <w:szCs w:val="21"/>
                <w:highlight w:val="none"/>
              </w:rPr>
            </w:pPr>
          </w:p>
        </w:tc>
        <w:tc>
          <w:tcPr>
            <w:tcW w:w="1056" w:type="pct"/>
            <w:noWrap/>
            <w:vAlign w:val="center"/>
          </w:tcPr>
          <w:p w14:paraId="7ABD1FB5">
            <w:pPr>
              <w:rPr>
                <w:rFonts w:ascii="宋体" w:cs="宋体"/>
                <w:color w:val="auto"/>
                <w:szCs w:val="21"/>
                <w:highlight w:val="none"/>
              </w:rPr>
            </w:pPr>
          </w:p>
        </w:tc>
        <w:tc>
          <w:tcPr>
            <w:tcW w:w="774" w:type="pct"/>
            <w:noWrap/>
            <w:vAlign w:val="center"/>
          </w:tcPr>
          <w:p w14:paraId="44766787">
            <w:pPr>
              <w:rPr>
                <w:rFonts w:ascii="宋体" w:cs="宋体"/>
                <w:color w:val="auto"/>
                <w:szCs w:val="21"/>
                <w:highlight w:val="none"/>
              </w:rPr>
            </w:pPr>
          </w:p>
        </w:tc>
        <w:tc>
          <w:tcPr>
            <w:tcW w:w="633" w:type="pct"/>
            <w:noWrap/>
            <w:vAlign w:val="center"/>
          </w:tcPr>
          <w:p w14:paraId="0D6E7ACA">
            <w:pPr>
              <w:rPr>
                <w:rFonts w:ascii="宋体" w:cs="宋体"/>
                <w:color w:val="auto"/>
                <w:szCs w:val="21"/>
                <w:highlight w:val="none"/>
              </w:rPr>
            </w:pPr>
          </w:p>
        </w:tc>
        <w:tc>
          <w:tcPr>
            <w:tcW w:w="563" w:type="pct"/>
            <w:noWrap/>
            <w:vAlign w:val="center"/>
          </w:tcPr>
          <w:p w14:paraId="62695B91">
            <w:pPr>
              <w:rPr>
                <w:rFonts w:ascii="宋体" w:cs="宋体"/>
                <w:color w:val="auto"/>
                <w:szCs w:val="21"/>
                <w:highlight w:val="none"/>
              </w:rPr>
            </w:pPr>
          </w:p>
        </w:tc>
        <w:tc>
          <w:tcPr>
            <w:tcW w:w="563" w:type="pct"/>
            <w:noWrap/>
            <w:vAlign w:val="center"/>
          </w:tcPr>
          <w:p w14:paraId="7EEAAEC0">
            <w:pPr>
              <w:rPr>
                <w:rFonts w:ascii="宋体" w:cs="宋体"/>
                <w:color w:val="auto"/>
                <w:szCs w:val="21"/>
                <w:highlight w:val="none"/>
              </w:rPr>
            </w:pPr>
          </w:p>
        </w:tc>
        <w:tc>
          <w:tcPr>
            <w:tcW w:w="493" w:type="pct"/>
            <w:noWrap/>
            <w:vAlign w:val="center"/>
          </w:tcPr>
          <w:p w14:paraId="0C3EFD3B">
            <w:pPr>
              <w:rPr>
                <w:rFonts w:ascii="宋体" w:cs="宋体"/>
                <w:color w:val="auto"/>
                <w:szCs w:val="21"/>
                <w:highlight w:val="none"/>
              </w:rPr>
            </w:pPr>
          </w:p>
        </w:tc>
        <w:tc>
          <w:tcPr>
            <w:tcW w:w="563" w:type="pct"/>
            <w:noWrap/>
            <w:vAlign w:val="center"/>
          </w:tcPr>
          <w:p w14:paraId="67856F1D">
            <w:pPr>
              <w:rPr>
                <w:rFonts w:ascii="宋体" w:cs="宋体"/>
                <w:color w:val="auto"/>
                <w:szCs w:val="21"/>
                <w:highlight w:val="none"/>
              </w:rPr>
            </w:pPr>
          </w:p>
        </w:tc>
      </w:tr>
    </w:tbl>
    <w:p w14:paraId="1A6C1AD1">
      <w:pPr>
        <w:spacing w:line="360" w:lineRule="auto"/>
        <w:rPr>
          <w:rFonts w:ascii="宋体" w:cs="宋体"/>
          <w:b/>
          <w:color w:val="auto"/>
          <w:szCs w:val="21"/>
          <w:highlight w:val="none"/>
        </w:rPr>
      </w:pPr>
      <w:r>
        <w:rPr>
          <w:rFonts w:hint="eastAsia" w:ascii="宋体" w:hAnsi="宋体" w:cs="宋体"/>
          <w:b/>
          <w:color w:val="auto"/>
          <w:szCs w:val="21"/>
          <w:highlight w:val="none"/>
        </w:rPr>
        <w:t>备注：</w:t>
      </w:r>
    </w:p>
    <w:p w14:paraId="404D7A2D">
      <w:pPr>
        <w:spacing w:line="360" w:lineRule="auto"/>
        <w:rPr>
          <w:rFonts w:ascii="宋体" w:cs="宋体"/>
          <w:b/>
          <w:color w:val="auto"/>
          <w:w w:val="90"/>
          <w:kern w:val="0"/>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）后附证明材料，证明材料详见评审办法要求。</w:t>
      </w:r>
    </w:p>
    <w:p w14:paraId="7754D74D">
      <w:pPr>
        <w:spacing w:line="360" w:lineRule="auto"/>
        <w:rPr>
          <w:rFonts w:ascii="宋体" w:cs="宋体"/>
          <w:b/>
          <w:color w:val="auto"/>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）没有同类型工程的，此表可以不提供。</w:t>
      </w:r>
    </w:p>
    <w:p w14:paraId="0CD4A5B4">
      <w:pPr>
        <w:spacing w:line="360" w:lineRule="auto"/>
        <w:rPr>
          <w:rFonts w:ascii="宋体" w:cs="宋体"/>
          <w:color w:val="auto"/>
          <w:szCs w:val="21"/>
          <w:highlight w:val="none"/>
        </w:rPr>
      </w:pPr>
    </w:p>
    <w:p w14:paraId="54E5A043">
      <w:pPr>
        <w:pStyle w:val="64"/>
        <w:rPr>
          <w:rFonts w:ascii="宋体" w:cs="宋体"/>
          <w:color w:val="auto"/>
          <w:szCs w:val="21"/>
          <w:highlight w:val="none"/>
        </w:rPr>
      </w:pPr>
    </w:p>
    <w:p w14:paraId="08421B30">
      <w:pPr>
        <w:widowControl/>
        <w:autoSpaceDE w:val="0"/>
        <w:autoSpaceDN w:val="0"/>
        <w:adjustRightInd w:val="0"/>
        <w:snapToGrid w:val="0"/>
        <w:spacing w:line="480" w:lineRule="auto"/>
        <w:ind w:firstLine="422" w:firstLineChars="200"/>
        <w:jc w:val="left"/>
        <w:outlineLvl w:val="2"/>
        <w:rPr>
          <w:rFonts w:ascii="宋体" w:cs="宋体"/>
          <w:b/>
          <w:bCs/>
          <w:color w:val="auto"/>
          <w:szCs w:val="21"/>
          <w:highlight w:val="none"/>
        </w:rPr>
      </w:pPr>
      <w:r>
        <w:rPr>
          <w:rFonts w:hint="eastAsia" w:ascii="宋体" w:hAnsi="宋体" w:cs="宋体"/>
          <w:b/>
          <w:bCs/>
          <w:color w:val="auto"/>
          <w:szCs w:val="21"/>
          <w:highlight w:val="none"/>
        </w:rPr>
        <w:t>磋商响应供应商（单位电子印章）：</w:t>
      </w:r>
    </w:p>
    <w:p w14:paraId="6B19A2AD">
      <w:pPr>
        <w:widowControl/>
        <w:autoSpaceDE w:val="0"/>
        <w:autoSpaceDN w:val="0"/>
        <w:adjustRightInd w:val="0"/>
        <w:snapToGrid w:val="0"/>
        <w:spacing w:line="480" w:lineRule="auto"/>
        <w:ind w:firstLine="422" w:firstLineChars="200"/>
        <w:jc w:val="left"/>
        <w:outlineLvl w:val="2"/>
        <w:rPr>
          <w:rFonts w:ascii="宋体" w:cs="宋体"/>
          <w:b/>
          <w:bCs/>
          <w:color w:val="auto"/>
          <w:szCs w:val="21"/>
          <w:highlight w:val="none"/>
        </w:rPr>
      </w:pPr>
      <w:r>
        <w:rPr>
          <w:rFonts w:hint="eastAsia" w:ascii="宋体" w:hAnsi="宋体" w:cs="宋体"/>
          <w:b/>
          <w:bCs/>
          <w:color w:val="auto"/>
          <w:szCs w:val="21"/>
          <w:highlight w:val="none"/>
        </w:rPr>
        <w:t>日期：</w:t>
      </w:r>
    </w:p>
    <w:p w14:paraId="5182C76D">
      <w:pPr>
        <w:autoSpaceDE w:val="0"/>
        <w:autoSpaceDN w:val="0"/>
        <w:adjustRightInd w:val="0"/>
        <w:spacing w:line="360" w:lineRule="auto"/>
        <w:ind w:firstLine="1588"/>
        <w:jc w:val="left"/>
        <w:rPr>
          <w:rFonts w:ascii="宋体" w:cs="宋体"/>
          <w:color w:val="auto"/>
          <w:w w:val="90"/>
          <w:kern w:val="0"/>
          <w:sz w:val="22"/>
          <w:highlight w:val="none"/>
        </w:rPr>
      </w:pPr>
    </w:p>
    <w:p w14:paraId="21296EC0">
      <w:pPr>
        <w:autoSpaceDE w:val="0"/>
        <w:autoSpaceDN w:val="0"/>
        <w:adjustRightInd w:val="0"/>
        <w:spacing w:line="360" w:lineRule="auto"/>
        <w:ind w:firstLine="1588"/>
        <w:jc w:val="left"/>
        <w:rPr>
          <w:rFonts w:ascii="宋体" w:cs="宋体"/>
          <w:color w:val="auto"/>
          <w:w w:val="90"/>
          <w:kern w:val="0"/>
          <w:sz w:val="22"/>
          <w:highlight w:val="none"/>
        </w:rPr>
        <w:sectPr>
          <w:pgSz w:w="11906" w:h="16838"/>
          <w:pgMar w:top="1440" w:right="1417" w:bottom="1440" w:left="1417" w:header="850" w:footer="992" w:gutter="0"/>
          <w:cols w:space="0" w:num="1"/>
          <w:docGrid w:type="lines" w:linePitch="317" w:charSpace="0"/>
        </w:sectPr>
      </w:pPr>
    </w:p>
    <w:p w14:paraId="4D8A8089">
      <w:pPr>
        <w:pStyle w:val="4"/>
        <w:pageBreakBefore/>
        <w:ind w:firstLine="1687"/>
        <w:rPr>
          <w:rFonts w:ascii="宋体" w:cs="宋体"/>
          <w:b/>
          <w:bCs/>
          <w:color w:val="auto"/>
          <w:sz w:val="21"/>
          <w:szCs w:val="21"/>
          <w:highlight w:val="none"/>
        </w:rPr>
      </w:pPr>
      <w:r>
        <w:rPr>
          <w:rFonts w:hint="eastAsia" w:ascii="宋体" w:hAnsi="宋体" w:cs="宋体"/>
          <w:b/>
          <w:bCs/>
          <w:color w:val="auto"/>
          <w:sz w:val="21"/>
          <w:szCs w:val="21"/>
          <w:highlight w:val="none"/>
        </w:rPr>
        <w:t>5、拟派项目负责人类似项目业绩情况</w:t>
      </w:r>
    </w:p>
    <w:p w14:paraId="5571D7DE">
      <w:pPr>
        <w:spacing w:line="360" w:lineRule="auto"/>
        <w:ind w:firstLine="1928"/>
        <w:jc w:val="center"/>
        <w:rPr>
          <w:rFonts w:ascii="宋体" w:cs="宋体"/>
          <w:b/>
          <w:color w:val="auto"/>
          <w:kern w:val="0"/>
          <w:sz w:val="24"/>
          <w:szCs w:val="18"/>
          <w:highlight w:val="none"/>
        </w:rPr>
      </w:pPr>
      <w:r>
        <w:rPr>
          <w:rFonts w:hint="eastAsia" w:ascii="宋体" w:hAnsi="宋体" w:cs="宋体"/>
          <w:b/>
          <w:color w:val="auto"/>
          <w:kern w:val="0"/>
          <w:sz w:val="24"/>
          <w:szCs w:val="18"/>
          <w:highlight w:val="none"/>
        </w:rPr>
        <w:t>拟派项目负责人同类型工程表及证明材料</w:t>
      </w:r>
    </w:p>
    <w:p w14:paraId="0B734029">
      <w:pPr>
        <w:spacing w:line="360" w:lineRule="auto"/>
        <w:rPr>
          <w:rFonts w:ascii="宋体" w:cs="宋体"/>
          <w:b/>
          <w:color w:val="auto"/>
          <w:szCs w:val="21"/>
          <w:highlight w:val="none"/>
        </w:rPr>
      </w:pPr>
      <w:r>
        <w:rPr>
          <w:rFonts w:hint="eastAsia" w:ascii="宋体" w:hAnsi="宋体" w:cs="宋体"/>
          <w:b/>
          <w:color w:val="auto"/>
          <w:szCs w:val="21"/>
          <w:highlight w:val="none"/>
        </w:rPr>
        <w:t>项目名称：</w:t>
      </w:r>
    </w:p>
    <w:p w14:paraId="5F711692">
      <w:pPr>
        <w:spacing w:line="360" w:lineRule="auto"/>
        <w:rPr>
          <w:rFonts w:ascii="宋体" w:hAnsi="宋体" w:cs="宋体"/>
          <w:b/>
          <w:color w:val="auto"/>
          <w:szCs w:val="21"/>
          <w:highlight w:val="none"/>
        </w:rPr>
      </w:pPr>
      <w:r>
        <w:rPr>
          <w:rFonts w:hint="eastAsia" w:ascii="宋体" w:hAnsi="宋体" w:cs="宋体"/>
          <w:b/>
          <w:color w:val="auto"/>
          <w:szCs w:val="21"/>
          <w:highlight w:val="none"/>
        </w:rPr>
        <w:t>项目编号：</w:t>
      </w:r>
    </w:p>
    <w:p w14:paraId="107BC94A">
      <w:pPr>
        <w:pStyle w:val="84"/>
        <w:numPr>
          <w:ilvl w:val="6"/>
          <w:numId w:val="0"/>
        </w:numPr>
        <w:rPr>
          <w:color w:val="auto"/>
          <w:highlight w:val="none"/>
        </w:rPr>
      </w:pPr>
      <w:r>
        <w:rPr>
          <w:rFonts w:hint="eastAsia" w:ascii="宋体" w:hAnsi="宋体" w:cs="宋体"/>
          <w:b/>
          <w:color w:val="auto"/>
          <w:szCs w:val="21"/>
          <w:highlight w:val="none"/>
        </w:rPr>
        <w:t>包号：</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034"/>
        <w:gridCol w:w="1034"/>
        <w:gridCol w:w="1034"/>
        <w:gridCol w:w="1441"/>
        <w:gridCol w:w="1441"/>
        <w:gridCol w:w="1238"/>
        <w:gridCol w:w="1441"/>
      </w:tblGrid>
      <w:tr w14:paraId="10C2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51" w:type="pct"/>
            <w:noWrap/>
            <w:vAlign w:val="center"/>
          </w:tcPr>
          <w:p w14:paraId="77E5E516">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序号</w:t>
            </w:r>
          </w:p>
        </w:tc>
        <w:tc>
          <w:tcPr>
            <w:tcW w:w="1056" w:type="pct"/>
            <w:noWrap/>
            <w:vAlign w:val="center"/>
          </w:tcPr>
          <w:p w14:paraId="49926897">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甲方单位</w:t>
            </w:r>
          </w:p>
        </w:tc>
        <w:tc>
          <w:tcPr>
            <w:tcW w:w="774" w:type="pct"/>
            <w:noWrap/>
            <w:vAlign w:val="center"/>
          </w:tcPr>
          <w:p w14:paraId="10C33C67">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项目名称</w:t>
            </w:r>
          </w:p>
        </w:tc>
        <w:tc>
          <w:tcPr>
            <w:tcW w:w="633" w:type="pct"/>
            <w:noWrap/>
            <w:vAlign w:val="center"/>
          </w:tcPr>
          <w:p w14:paraId="2CF10333">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合同金额</w:t>
            </w:r>
          </w:p>
        </w:tc>
        <w:tc>
          <w:tcPr>
            <w:tcW w:w="563" w:type="pct"/>
            <w:noWrap/>
            <w:vAlign w:val="center"/>
          </w:tcPr>
          <w:p w14:paraId="351495D1">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合同主要内容</w:t>
            </w:r>
          </w:p>
        </w:tc>
        <w:tc>
          <w:tcPr>
            <w:tcW w:w="563" w:type="pct"/>
            <w:noWrap/>
            <w:vAlign w:val="center"/>
          </w:tcPr>
          <w:p w14:paraId="71C4480B">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合同签订时间</w:t>
            </w:r>
          </w:p>
        </w:tc>
        <w:tc>
          <w:tcPr>
            <w:tcW w:w="493" w:type="pct"/>
            <w:noWrap/>
            <w:vAlign w:val="center"/>
          </w:tcPr>
          <w:p w14:paraId="120CB507">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甲方联系人</w:t>
            </w:r>
          </w:p>
        </w:tc>
        <w:tc>
          <w:tcPr>
            <w:tcW w:w="563" w:type="pct"/>
            <w:noWrap/>
            <w:vAlign w:val="center"/>
          </w:tcPr>
          <w:p w14:paraId="0C8977BB">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甲方联系电话</w:t>
            </w:r>
          </w:p>
        </w:tc>
      </w:tr>
      <w:tr w14:paraId="0000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51" w:type="pct"/>
            <w:noWrap/>
            <w:vAlign w:val="center"/>
          </w:tcPr>
          <w:p w14:paraId="23AB405C">
            <w:pPr>
              <w:jc w:val="center"/>
              <w:rPr>
                <w:rFonts w:ascii="宋体" w:cs="宋体"/>
                <w:color w:val="auto"/>
                <w:szCs w:val="21"/>
                <w:highlight w:val="none"/>
              </w:rPr>
            </w:pPr>
          </w:p>
        </w:tc>
        <w:tc>
          <w:tcPr>
            <w:tcW w:w="1056" w:type="pct"/>
            <w:noWrap/>
            <w:vAlign w:val="center"/>
          </w:tcPr>
          <w:p w14:paraId="7BD0CF8D">
            <w:pPr>
              <w:rPr>
                <w:rFonts w:ascii="宋体" w:cs="宋体"/>
                <w:color w:val="auto"/>
                <w:szCs w:val="21"/>
                <w:highlight w:val="none"/>
              </w:rPr>
            </w:pPr>
          </w:p>
        </w:tc>
        <w:tc>
          <w:tcPr>
            <w:tcW w:w="774" w:type="pct"/>
            <w:noWrap/>
            <w:vAlign w:val="center"/>
          </w:tcPr>
          <w:p w14:paraId="14B75507">
            <w:pPr>
              <w:rPr>
                <w:rFonts w:ascii="宋体" w:cs="宋体"/>
                <w:color w:val="auto"/>
                <w:szCs w:val="21"/>
                <w:highlight w:val="none"/>
              </w:rPr>
            </w:pPr>
          </w:p>
        </w:tc>
        <w:tc>
          <w:tcPr>
            <w:tcW w:w="633" w:type="pct"/>
            <w:noWrap/>
            <w:vAlign w:val="center"/>
          </w:tcPr>
          <w:p w14:paraId="5845AA4F">
            <w:pPr>
              <w:rPr>
                <w:rFonts w:ascii="宋体" w:cs="宋体"/>
                <w:color w:val="auto"/>
                <w:szCs w:val="21"/>
                <w:highlight w:val="none"/>
              </w:rPr>
            </w:pPr>
          </w:p>
        </w:tc>
        <w:tc>
          <w:tcPr>
            <w:tcW w:w="563" w:type="pct"/>
            <w:noWrap/>
            <w:vAlign w:val="center"/>
          </w:tcPr>
          <w:p w14:paraId="03A37E75">
            <w:pPr>
              <w:rPr>
                <w:rFonts w:ascii="宋体" w:cs="宋体"/>
                <w:color w:val="auto"/>
                <w:szCs w:val="21"/>
                <w:highlight w:val="none"/>
              </w:rPr>
            </w:pPr>
          </w:p>
        </w:tc>
        <w:tc>
          <w:tcPr>
            <w:tcW w:w="563" w:type="pct"/>
            <w:noWrap/>
            <w:vAlign w:val="center"/>
          </w:tcPr>
          <w:p w14:paraId="3236F53E">
            <w:pPr>
              <w:rPr>
                <w:rFonts w:ascii="宋体" w:cs="宋体"/>
                <w:color w:val="auto"/>
                <w:szCs w:val="21"/>
                <w:highlight w:val="none"/>
              </w:rPr>
            </w:pPr>
          </w:p>
        </w:tc>
        <w:tc>
          <w:tcPr>
            <w:tcW w:w="493" w:type="pct"/>
            <w:noWrap/>
            <w:vAlign w:val="center"/>
          </w:tcPr>
          <w:p w14:paraId="016B21D8">
            <w:pPr>
              <w:rPr>
                <w:rFonts w:ascii="宋体" w:cs="宋体"/>
                <w:color w:val="auto"/>
                <w:szCs w:val="21"/>
                <w:highlight w:val="none"/>
              </w:rPr>
            </w:pPr>
          </w:p>
        </w:tc>
        <w:tc>
          <w:tcPr>
            <w:tcW w:w="563" w:type="pct"/>
            <w:noWrap/>
            <w:vAlign w:val="center"/>
          </w:tcPr>
          <w:p w14:paraId="05FE188A">
            <w:pPr>
              <w:rPr>
                <w:rFonts w:ascii="宋体" w:cs="宋体"/>
                <w:color w:val="auto"/>
                <w:szCs w:val="21"/>
                <w:highlight w:val="none"/>
              </w:rPr>
            </w:pPr>
          </w:p>
        </w:tc>
      </w:tr>
      <w:tr w14:paraId="5A2D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1F19F063">
            <w:pPr>
              <w:jc w:val="center"/>
              <w:rPr>
                <w:rFonts w:ascii="宋体" w:cs="宋体"/>
                <w:color w:val="auto"/>
                <w:szCs w:val="21"/>
                <w:highlight w:val="none"/>
              </w:rPr>
            </w:pPr>
          </w:p>
        </w:tc>
        <w:tc>
          <w:tcPr>
            <w:tcW w:w="1056" w:type="pct"/>
            <w:noWrap/>
            <w:vAlign w:val="center"/>
          </w:tcPr>
          <w:p w14:paraId="4127BE70">
            <w:pPr>
              <w:rPr>
                <w:rFonts w:ascii="宋体" w:cs="宋体"/>
                <w:color w:val="auto"/>
                <w:szCs w:val="21"/>
                <w:highlight w:val="none"/>
              </w:rPr>
            </w:pPr>
          </w:p>
        </w:tc>
        <w:tc>
          <w:tcPr>
            <w:tcW w:w="774" w:type="pct"/>
            <w:noWrap/>
            <w:vAlign w:val="center"/>
          </w:tcPr>
          <w:p w14:paraId="2CC1B4E4">
            <w:pPr>
              <w:rPr>
                <w:rFonts w:ascii="宋体" w:cs="宋体"/>
                <w:color w:val="auto"/>
                <w:szCs w:val="21"/>
                <w:highlight w:val="none"/>
              </w:rPr>
            </w:pPr>
          </w:p>
        </w:tc>
        <w:tc>
          <w:tcPr>
            <w:tcW w:w="633" w:type="pct"/>
            <w:noWrap/>
            <w:vAlign w:val="center"/>
          </w:tcPr>
          <w:p w14:paraId="1E455F61">
            <w:pPr>
              <w:rPr>
                <w:rFonts w:ascii="宋体" w:cs="宋体"/>
                <w:color w:val="auto"/>
                <w:szCs w:val="21"/>
                <w:highlight w:val="none"/>
              </w:rPr>
            </w:pPr>
          </w:p>
        </w:tc>
        <w:tc>
          <w:tcPr>
            <w:tcW w:w="563" w:type="pct"/>
            <w:noWrap/>
            <w:vAlign w:val="center"/>
          </w:tcPr>
          <w:p w14:paraId="6668C9D4">
            <w:pPr>
              <w:rPr>
                <w:rFonts w:ascii="宋体" w:cs="宋体"/>
                <w:color w:val="auto"/>
                <w:szCs w:val="21"/>
                <w:highlight w:val="none"/>
              </w:rPr>
            </w:pPr>
          </w:p>
        </w:tc>
        <w:tc>
          <w:tcPr>
            <w:tcW w:w="563" w:type="pct"/>
            <w:noWrap/>
            <w:vAlign w:val="center"/>
          </w:tcPr>
          <w:p w14:paraId="5D13AFB1">
            <w:pPr>
              <w:rPr>
                <w:rFonts w:ascii="宋体" w:cs="宋体"/>
                <w:color w:val="auto"/>
                <w:szCs w:val="21"/>
                <w:highlight w:val="none"/>
              </w:rPr>
            </w:pPr>
          </w:p>
        </w:tc>
        <w:tc>
          <w:tcPr>
            <w:tcW w:w="493" w:type="pct"/>
            <w:noWrap/>
            <w:vAlign w:val="center"/>
          </w:tcPr>
          <w:p w14:paraId="574805CC">
            <w:pPr>
              <w:rPr>
                <w:rFonts w:ascii="宋体" w:cs="宋体"/>
                <w:color w:val="auto"/>
                <w:szCs w:val="21"/>
                <w:highlight w:val="none"/>
              </w:rPr>
            </w:pPr>
          </w:p>
        </w:tc>
        <w:tc>
          <w:tcPr>
            <w:tcW w:w="563" w:type="pct"/>
            <w:noWrap/>
            <w:vAlign w:val="center"/>
          </w:tcPr>
          <w:p w14:paraId="01133D8D">
            <w:pPr>
              <w:rPr>
                <w:rFonts w:ascii="宋体" w:cs="宋体"/>
                <w:color w:val="auto"/>
                <w:szCs w:val="21"/>
                <w:highlight w:val="none"/>
              </w:rPr>
            </w:pPr>
          </w:p>
        </w:tc>
      </w:tr>
      <w:tr w14:paraId="0BA3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0C6F1DCC">
            <w:pPr>
              <w:jc w:val="center"/>
              <w:rPr>
                <w:rFonts w:ascii="宋体" w:cs="宋体"/>
                <w:color w:val="auto"/>
                <w:szCs w:val="21"/>
                <w:highlight w:val="none"/>
              </w:rPr>
            </w:pPr>
          </w:p>
        </w:tc>
        <w:tc>
          <w:tcPr>
            <w:tcW w:w="1056" w:type="pct"/>
            <w:noWrap/>
            <w:vAlign w:val="center"/>
          </w:tcPr>
          <w:p w14:paraId="1DD6D16F">
            <w:pPr>
              <w:rPr>
                <w:rFonts w:ascii="宋体" w:cs="宋体"/>
                <w:color w:val="auto"/>
                <w:szCs w:val="21"/>
                <w:highlight w:val="none"/>
              </w:rPr>
            </w:pPr>
          </w:p>
        </w:tc>
        <w:tc>
          <w:tcPr>
            <w:tcW w:w="774" w:type="pct"/>
            <w:noWrap/>
            <w:vAlign w:val="center"/>
          </w:tcPr>
          <w:p w14:paraId="552D5D40">
            <w:pPr>
              <w:rPr>
                <w:rFonts w:ascii="宋体" w:cs="宋体"/>
                <w:color w:val="auto"/>
                <w:szCs w:val="21"/>
                <w:highlight w:val="none"/>
              </w:rPr>
            </w:pPr>
          </w:p>
        </w:tc>
        <w:tc>
          <w:tcPr>
            <w:tcW w:w="633" w:type="pct"/>
            <w:noWrap/>
            <w:vAlign w:val="center"/>
          </w:tcPr>
          <w:p w14:paraId="485F367E">
            <w:pPr>
              <w:rPr>
                <w:rFonts w:ascii="宋体" w:cs="宋体"/>
                <w:color w:val="auto"/>
                <w:szCs w:val="21"/>
                <w:highlight w:val="none"/>
              </w:rPr>
            </w:pPr>
          </w:p>
        </w:tc>
        <w:tc>
          <w:tcPr>
            <w:tcW w:w="563" w:type="pct"/>
            <w:noWrap/>
            <w:vAlign w:val="center"/>
          </w:tcPr>
          <w:p w14:paraId="07BA5C3D">
            <w:pPr>
              <w:rPr>
                <w:rFonts w:ascii="宋体" w:cs="宋体"/>
                <w:color w:val="auto"/>
                <w:szCs w:val="21"/>
                <w:highlight w:val="none"/>
              </w:rPr>
            </w:pPr>
          </w:p>
        </w:tc>
        <w:tc>
          <w:tcPr>
            <w:tcW w:w="563" w:type="pct"/>
            <w:noWrap/>
            <w:vAlign w:val="center"/>
          </w:tcPr>
          <w:p w14:paraId="1371492F">
            <w:pPr>
              <w:rPr>
                <w:rFonts w:ascii="宋体" w:cs="宋体"/>
                <w:color w:val="auto"/>
                <w:szCs w:val="21"/>
                <w:highlight w:val="none"/>
              </w:rPr>
            </w:pPr>
          </w:p>
        </w:tc>
        <w:tc>
          <w:tcPr>
            <w:tcW w:w="493" w:type="pct"/>
            <w:noWrap/>
            <w:vAlign w:val="center"/>
          </w:tcPr>
          <w:p w14:paraId="7C114C50">
            <w:pPr>
              <w:rPr>
                <w:rFonts w:ascii="宋体" w:cs="宋体"/>
                <w:color w:val="auto"/>
                <w:szCs w:val="21"/>
                <w:highlight w:val="none"/>
              </w:rPr>
            </w:pPr>
          </w:p>
        </w:tc>
        <w:tc>
          <w:tcPr>
            <w:tcW w:w="563" w:type="pct"/>
            <w:noWrap/>
            <w:vAlign w:val="center"/>
          </w:tcPr>
          <w:p w14:paraId="3EA99AC4">
            <w:pPr>
              <w:rPr>
                <w:rFonts w:ascii="宋体" w:cs="宋体"/>
                <w:color w:val="auto"/>
                <w:szCs w:val="21"/>
                <w:highlight w:val="none"/>
              </w:rPr>
            </w:pPr>
          </w:p>
        </w:tc>
      </w:tr>
      <w:tr w14:paraId="5CED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0A643CF4">
            <w:pPr>
              <w:jc w:val="center"/>
              <w:rPr>
                <w:rFonts w:ascii="宋体" w:cs="宋体"/>
                <w:color w:val="auto"/>
                <w:szCs w:val="21"/>
                <w:highlight w:val="none"/>
              </w:rPr>
            </w:pPr>
          </w:p>
        </w:tc>
        <w:tc>
          <w:tcPr>
            <w:tcW w:w="1056" w:type="pct"/>
            <w:noWrap/>
            <w:vAlign w:val="center"/>
          </w:tcPr>
          <w:p w14:paraId="428307E0">
            <w:pPr>
              <w:rPr>
                <w:rFonts w:ascii="宋体" w:cs="宋体"/>
                <w:color w:val="auto"/>
                <w:szCs w:val="21"/>
                <w:highlight w:val="none"/>
              </w:rPr>
            </w:pPr>
          </w:p>
        </w:tc>
        <w:tc>
          <w:tcPr>
            <w:tcW w:w="774" w:type="pct"/>
            <w:noWrap/>
            <w:vAlign w:val="center"/>
          </w:tcPr>
          <w:p w14:paraId="37D1EECC">
            <w:pPr>
              <w:rPr>
                <w:rFonts w:ascii="宋体" w:cs="宋体"/>
                <w:color w:val="auto"/>
                <w:szCs w:val="21"/>
                <w:highlight w:val="none"/>
              </w:rPr>
            </w:pPr>
          </w:p>
        </w:tc>
        <w:tc>
          <w:tcPr>
            <w:tcW w:w="633" w:type="pct"/>
            <w:noWrap/>
            <w:vAlign w:val="center"/>
          </w:tcPr>
          <w:p w14:paraId="0BC2DA76">
            <w:pPr>
              <w:rPr>
                <w:rFonts w:ascii="宋体" w:cs="宋体"/>
                <w:color w:val="auto"/>
                <w:szCs w:val="21"/>
                <w:highlight w:val="none"/>
              </w:rPr>
            </w:pPr>
          </w:p>
        </w:tc>
        <w:tc>
          <w:tcPr>
            <w:tcW w:w="563" w:type="pct"/>
            <w:noWrap/>
            <w:vAlign w:val="center"/>
          </w:tcPr>
          <w:p w14:paraId="4D4385E2">
            <w:pPr>
              <w:rPr>
                <w:rFonts w:ascii="宋体" w:cs="宋体"/>
                <w:color w:val="auto"/>
                <w:szCs w:val="21"/>
                <w:highlight w:val="none"/>
              </w:rPr>
            </w:pPr>
          </w:p>
        </w:tc>
        <w:tc>
          <w:tcPr>
            <w:tcW w:w="563" w:type="pct"/>
            <w:noWrap/>
            <w:vAlign w:val="center"/>
          </w:tcPr>
          <w:p w14:paraId="3273FE9A">
            <w:pPr>
              <w:rPr>
                <w:rFonts w:ascii="宋体" w:cs="宋体"/>
                <w:color w:val="auto"/>
                <w:szCs w:val="21"/>
                <w:highlight w:val="none"/>
              </w:rPr>
            </w:pPr>
          </w:p>
        </w:tc>
        <w:tc>
          <w:tcPr>
            <w:tcW w:w="493" w:type="pct"/>
            <w:noWrap/>
            <w:vAlign w:val="center"/>
          </w:tcPr>
          <w:p w14:paraId="26FB2912">
            <w:pPr>
              <w:rPr>
                <w:rFonts w:ascii="宋体" w:cs="宋体"/>
                <w:color w:val="auto"/>
                <w:szCs w:val="21"/>
                <w:highlight w:val="none"/>
              </w:rPr>
            </w:pPr>
          </w:p>
        </w:tc>
        <w:tc>
          <w:tcPr>
            <w:tcW w:w="563" w:type="pct"/>
            <w:noWrap/>
            <w:vAlign w:val="center"/>
          </w:tcPr>
          <w:p w14:paraId="0C636A30">
            <w:pPr>
              <w:rPr>
                <w:rFonts w:ascii="宋体" w:cs="宋体"/>
                <w:color w:val="auto"/>
                <w:szCs w:val="21"/>
                <w:highlight w:val="none"/>
              </w:rPr>
            </w:pPr>
          </w:p>
        </w:tc>
      </w:tr>
      <w:tr w14:paraId="4B62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1C947988">
            <w:pPr>
              <w:jc w:val="center"/>
              <w:rPr>
                <w:rFonts w:ascii="宋体" w:cs="宋体"/>
                <w:color w:val="auto"/>
                <w:szCs w:val="21"/>
                <w:highlight w:val="none"/>
              </w:rPr>
            </w:pPr>
          </w:p>
        </w:tc>
        <w:tc>
          <w:tcPr>
            <w:tcW w:w="1056" w:type="pct"/>
            <w:noWrap/>
            <w:vAlign w:val="center"/>
          </w:tcPr>
          <w:p w14:paraId="07072708">
            <w:pPr>
              <w:rPr>
                <w:rFonts w:ascii="宋体" w:cs="宋体"/>
                <w:color w:val="auto"/>
                <w:szCs w:val="21"/>
                <w:highlight w:val="none"/>
              </w:rPr>
            </w:pPr>
          </w:p>
        </w:tc>
        <w:tc>
          <w:tcPr>
            <w:tcW w:w="774" w:type="pct"/>
            <w:noWrap/>
            <w:vAlign w:val="center"/>
          </w:tcPr>
          <w:p w14:paraId="38712277">
            <w:pPr>
              <w:rPr>
                <w:rFonts w:ascii="宋体" w:cs="宋体"/>
                <w:color w:val="auto"/>
                <w:szCs w:val="21"/>
                <w:highlight w:val="none"/>
              </w:rPr>
            </w:pPr>
          </w:p>
        </w:tc>
        <w:tc>
          <w:tcPr>
            <w:tcW w:w="633" w:type="pct"/>
            <w:noWrap/>
            <w:vAlign w:val="center"/>
          </w:tcPr>
          <w:p w14:paraId="674410C9">
            <w:pPr>
              <w:rPr>
                <w:rFonts w:ascii="宋体" w:cs="宋体"/>
                <w:color w:val="auto"/>
                <w:szCs w:val="21"/>
                <w:highlight w:val="none"/>
              </w:rPr>
            </w:pPr>
          </w:p>
        </w:tc>
        <w:tc>
          <w:tcPr>
            <w:tcW w:w="563" w:type="pct"/>
            <w:noWrap/>
            <w:vAlign w:val="center"/>
          </w:tcPr>
          <w:p w14:paraId="3944DBE4">
            <w:pPr>
              <w:rPr>
                <w:rFonts w:ascii="宋体" w:cs="宋体"/>
                <w:color w:val="auto"/>
                <w:szCs w:val="21"/>
                <w:highlight w:val="none"/>
              </w:rPr>
            </w:pPr>
          </w:p>
        </w:tc>
        <w:tc>
          <w:tcPr>
            <w:tcW w:w="563" w:type="pct"/>
            <w:noWrap/>
            <w:vAlign w:val="center"/>
          </w:tcPr>
          <w:p w14:paraId="21B490BF">
            <w:pPr>
              <w:rPr>
                <w:rFonts w:ascii="宋体" w:cs="宋体"/>
                <w:color w:val="auto"/>
                <w:szCs w:val="21"/>
                <w:highlight w:val="none"/>
              </w:rPr>
            </w:pPr>
          </w:p>
        </w:tc>
        <w:tc>
          <w:tcPr>
            <w:tcW w:w="493" w:type="pct"/>
            <w:noWrap/>
            <w:vAlign w:val="center"/>
          </w:tcPr>
          <w:p w14:paraId="2721BDD7">
            <w:pPr>
              <w:rPr>
                <w:rFonts w:ascii="宋体" w:cs="宋体"/>
                <w:color w:val="auto"/>
                <w:szCs w:val="21"/>
                <w:highlight w:val="none"/>
              </w:rPr>
            </w:pPr>
          </w:p>
        </w:tc>
        <w:tc>
          <w:tcPr>
            <w:tcW w:w="563" w:type="pct"/>
            <w:noWrap/>
            <w:vAlign w:val="center"/>
          </w:tcPr>
          <w:p w14:paraId="547C9B66">
            <w:pPr>
              <w:rPr>
                <w:rFonts w:ascii="宋体" w:cs="宋体"/>
                <w:color w:val="auto"/>
                <w:szCs w:val="21"/>
                <w:highlight w:val="none"/>
              </w:rPr>
            </w:pPr>
          </w:p>
        </w:tc>
      </w:tr>
      <w:tr w14:paraId="004A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1C89DAEA">
            <w:pPr>
              <w:jc w:val="center"/>
              <w:rPr>
                <w:rFonts w:ascii="宋体" w:cs="宋体"/>
                <w:color w:val="auto"/>
                <w:szCs w:val="21"/>
                <w:highlight w:val="none"/>
              </w:rPr>
            </w:pPr>
          </w:p>
        </w:tc>
        <w:tc>
          <w:tcPr>
            <w:tcW w:w="1056" w:type="pct"/>
            <w:noWrap/>
            <w:vAlign w:val="center"/>
          </w:tcPr>
          <w:p w14:paraId="6FA00CF6">
            <w:pPr>
              <w:rPr>
                <w:rFonts w:ascii="宋体" w:cs="宋体"/>
                <w:color w:val="auto"/>
                <w:szCs w:val="21"/>
                <w:highlight w:val="none"/>
              </w:rPr>
            </w:pPr>
          </w:p>
        </w:tc>
        <w:tc>
          <w:tcPr>
            <w:tcW w:w="774" w:type="pct"/>
            <w:noWrap/>
            <w:vAlign w:val="center"/>
          </w:tcPr>
          <w:p w14:paraId="6A1E1DEB">
            <w:pPr>
              <w:rPr>
                <w:rFonts w:ascii="宋体" w:cs="宋体"/>
                <w:color w:val="auto"/>
                <w:szCs w:val="21"/>
                <w:highlight w:val="none"/>
              </w:rPr>
            </w:pPr>
          </w:p>
        </w:tc>
        <w:tc>
          <w:tcPr>
            <w:tcW w:w="633" w:type="pct"/>
            <w:noWrap/>
            <w:vAlign w:val="center"/>
          </w:tcPr>
          <w:p w14:paraId="206EB796">
            <w:pPr>
              <w:rPr>
                <w:rFonts w:ascii="宋体" w:cs="宋体"/>
                <w:color w:val="auto"/>
                <w:szCs w:val="21"/>
                <w:highlight w:val="none"/>
              </w:rPr>
            </w:pPr>
          </w:p>
        </w:tc>
        <w:tc>
          <w:tcPr>
            <w:tcW w:w="563" w:type="pct"/>
            <w:noWrap/>
            <w:vAlign w:val="center"/>
          </w:tcPr>
          <w:p w14:paraId="5285A898">
            <w:pPr>
              <w:rPr>
                <w:rFonts w:ascii="宋体" w:cs="宋体"/>
                <w:color w:val="auto"/>
                <w:szCs w:val="21"/>
                <w:highlight w:val="none"/>
              </w:rPr>
            </w:pPr>
          </w:p>
        </w:tc>
        <w:tc>
          <w:tcPr>
            <w:tcW w:w="563" w:type="pct"/>
            <w:noWrap/>
            <w:vAlign w:val="center"/>
          </w:tcPr>
          <w:p w14:paraId="6CA1A469">
            <w:pPr>
              <w:rPr>
                <w:rFonts w:ascii="宋体" w:cs="宋体"/>
                <w:color w:val="auto"/>
                <w:szCs w:val="21"/>
                <w:highlight w:val="none"/>
              </w:rPr>
            </w:pPr>
          </w:p>
        </w:tc>
        <w:tc>
          <w:tcPr>
            <w:tcW w:w="493" w:type="pct"/>
            <w:noWrap/>
            <w:vAlign w:val="center"/>
          </w:tcPr>
          <w:p w14:paraId="102D3E24">
            <w:pPr>
              <w:rPr>
                <w:rFonts w:ascii="宋体" w:cs="宋体"/>
                <w:color w:val="auto"/>
                <w:szCs w:val="21"/>
                <w:highlight w:val="none"/>
              </w:rPr>
            </w:pPr>
          </w:p>
        </w:tc>
        <w:tc>
          <w:tcPr>
            <w:tcW w:w="563" w:type="pct"/>
            <w:noWrap/>
            <w:vAlign w:val="center"/>
          </w:tcPr>
          <w:p w14:paraId="32B5B76E">
            <w:pPr>
              <w:rPr>
                <w:rFonts w:ascii="宋体" w:cs="宋体"/>
                <w:color w:val="auto"/>
                <w:szCs w:val="21"/>
                <w:highlight w:val="none"/>
              </w:rPr>
            </w:pPr>
          </w:p>
        </w:tc>
      </w:tr>
      <w:tr w14:paraId="5B19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51" w:type="pct"/>
            <w:noWrap/>
            <w:vAlign w:val="center"/>
          </w:tcPr>
          <w:p w14:paraId="51C03411">
            <w:pPr>
              <w:jc w:val="center"/>
              <w:rPr>
                <w:rFonts w:ascii="宋体" w:cs="宋体"/>
                <w:color w:val="auto"/>
                <w:szCs w:val="21"/>
                <w:highlight w:val="none"/>
              </w:rPr>
            </w:pPr>
          </w:p>
        </w:tc>
        <w:tc>
          <w:tcPr>
            <w:tcW w:w="1056" w:type="pct"/>
            <w:noWrap/>
            <w:vAlign w:val="center"/>
          </w:tcPr>
          <w:p w14:paraId="559A47B1">
            <w:pPr>
              <w:rPr>
                <w:rFonts w:ascii="宋体" w:cs="宋体"/>
                <w:color w:val="auto"/>
                <w:szCs w:val="21"/>
                <w:highlight w:val="none"/>
              </w:rPr>
            </w:pPr>
          </w:p>
        </w:tc>
        <w:tc>
          <w:tcPr>
            <w:tcW w:w="774" w:type="pct"/>
            <w:noWrap/>
            <w:vAlign w:val="center"/>
          </w:tcPr>
          <w:p w14:paraId="1ABD3F86">
            <w:pPr>
              <w:rPr>
                <w:rFonts w:ascii="宋体" w:cs="宋体"/>
                <w:color w:val="auto"/>
                <w:szCs w:val="21"/>
                <w:highlight w:val="none"/>
              </w:rPr>
            </w:pPr>
          </w:p>
        </w:tc>
        <w:tc>
          <w:tcPr>
            <w:tcW w:w="633" w:type="pct"/>
            <w:noWrap/>
            <w:vAlign w:val="center"/>
          </w:tcPr>
          <w:p w14:paraId="693AB292">
            <w:pPr>
              <w:rPr>
                <w:rFonts w:ascii="宋体" w:cs="宋体"/>
                <w:color w:val="auto"/>
                <w:szCs w:val="21"/>
                <w:highlight w:val="none"/>
              </w:rPr>
            </w:pPr>
          </w:p>
        </w:tc>
        <w:tc>
          <w:tcPr>
            <w:tcW w:w="563" w:type="pct"/>
            <w:noWrap/>
            <w:vAlign w:val="center"/>
          </w:tcPr>
          <w:p w14:paraId="0BE18267">
            <w:pPr>
              <w:rPr>
                <w:rFonts w:ascii="宋体" w:cs="宋体"/>
                <w:color w:val="auto"/>
                <w:szCs w:val="21"/>
                <w:highlight w:val="none"/>
              </w:rPr>
            </w:pPr>
          </w:p>
        </w:tc>
        <w:tc>
          <w:tcPr>
            <w:tcW w:w="563" w:type="pct"/>
            <w:noWrap/>
            <w:vAlign w:val="center"/>
          </w:tcPr>
          <w:p w14:paraId="65546A74">
            <w:pPr>
              <w:rPr>
                <w:rFonts w:ascii="宋体" w:cs="宋体"/>
                <w:color w:val="auto"/>
                <w:szCs w:val="21"/>
                <w:highlight w:val="none"/>
              </w:rPr>
            </w:pPr>
          </w:p>
        </w:tc>
        <w:tc>
          <w:tcPr>
            <w:tcW w:w="493" w:type="pct"/>
            <w:noWrap/>
            <w:vAlign w:val="center"/>
          </w:tcPr>
          <w:p w14:paraId="7284D774">
            <w:pPr>
              <w:rPr>
                <w:rFonts w:ascii="宋体" w:cs="宋体"/>
                <w:color w:val="auto"/>
                <w:szCs w:val="21"/>
                <w:highlight w:val="none"/>
              </w:rPr>
            </w:pPr>
          </w:p>
        </w:tc>
        <w:tc>
          <w:tcPr>
            <w:tcW w:w="563" w:type="pct"/>
            <w:noWrap/>
            <w:vAlign w:val="center"/>
          </w:tcPr>
          <w:p w14:paraId="6D4A6BE2">
            <w:pPr>
              <w:rPr>
                <w:rFonts w:ascii="宋体" w:cs="宋体"/>
                <w:color w:val="auto"/>
                <w:szCs w:val="21"/>
                <w:highlight w:val="none"/>
              </w:rPr>
            </w:pPr>
          </w:p>
        </w:tc>
      </w:tr>
    </w:tbl>
    <w:p w14:paraId="02724E43">
      <w:pPr>
        <w:spacing w:line="360" w:lineRule="auto"/>
        <w:rPr>
          <w:rFonts w:ascii="宋体" w:cs="宋体"/>
          <w:b/>
          <w:color w:val="auto"/>
          <w:szCs w:val="21"/>
          <w:highlight w:val="none"/>
        </w:rPr>
      </w:pPr>
      <w:r>
        <w:rPr>
          <w:rFonts w:hint="eastAsia" w:ascii="宋体" w:hAnsi="宋体" w:cs="宋体"/>
          <w:b/>
          <w:color w:val="auto"/>
          <w:szCs w:val="21"/>
          <w:highlight w:val="none"/>
        </w:rPr>
        <w:t>备注：</w:t>
      </w:r>
    </w:p>
    <w:p w14:paraId="763122B9">
      <w:pPr>
        <w:spacing w:line="360" w:lineRule="auto"/>
        <w:rPr>
          <w:rFonts w:ascii="宋体" w:cs="宋体"/>
          <w:b/>
          <w:color w:val="auto"/>
          <w:w w:val="90"/>
          <w:kern w:val="0"/>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）后附证明材料，</w:t>
      </w:r>
      <w:r>
        <w:rPr>
          <w:rFonts w:hint="eastAsia" w:ascii="宋体" w:hAnsi="宋体" w:cs="宋体"/>
          <w:b/>
          <w:color w:val="auto"/>
          <w:w w:val="90"/>
          <w:kern w:val="0"/>
          <w:szCs w:val="21"/>
          <w:highlight w:val="none"/>
        </w:rPr>
        <w:t>证明材料详见评审办法要求。</w:t>
      </w:r>
    </w:p>
    <w:p w14:paraId="560E10DD">
      <w:pPr>
        <w:spacing w:line="360" w:lineRule="auto"/>
        <w:rPr>
          <w:rFonts w:ascii="宋体" w:cs="宋体"/>
          <w:b/>
          <w:color w:val="auto"/>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）没有同类型工程的，此表可以不提供。</w:t>
      </w:r>
    </w:p>
    <w:p w14:paraId="74A9D037">
      <w:pPr>
        <w:spacing w:line="360" w:lineRule="auto"/>
        <w:ind w:firstLine="1928"/>
        <w:rPr>
          <w:rFonts w:ascii="宋体" w:cs="宋体"/>
          <w:color w:val="auto"/>
          <w:sz w:val="24"/>
          <w:highlight w:val="none"/>
        </w:rPr>
      </w:pPr>
    </w:p>
    <w:p w14:paraId="31A5B755">
      <w:pPr>
        <w:pStyle w:val="64"/>
        <w:rPr>
          <w:rFonts w:ascii="宋体" w:cs="宋体"/>
          <w:color w:val="auto"/>
          <w:highlight w:val="none"/>
        </w:rPr>
      </w:pPr>
    </w:p>
    <w:p w14:paraId="3D76FA57">
      <w:pPr>
        <w:widowControl/>
        <w:autoSpaceDE w:val="0"/>
        <w:autoSpaceDN w:val="0"/>
        <w:adjustRightInd w:val="0"/>
        <w:snapToGrid w:val="0"/>
        <w:spacing w:line="480" w:lineRule="auto"/>
        <w:ind w:firstLine="442" w:firstLineChars="200"/>
        <w:jc w:val="left"/>
        <w:outlineLvl w:val="2"/>
        <w:rPr>
          <w:rFonts w:ascii="宋体" w:cs="宋体"/>
          <w:b/>
          <w:bCs/>
          <w:color w:val="auto"/>
          <w:sz w:val="22"/>
          <w:highlight w:val="none"/>
        </w:rPr>
      </w:pPr>
      <w:r>
        <w:rPr>
          <w:rFonts w:hint="eastAsia" w:ascii="宋体" w:hAnsi="宋体" w:cs="宋体"/>
          <w:b/>
          <w:bCs/>
          <w:color w:val="auto"/>
          <w:sz w:val="22"/>
          <w:highlight w:val="none"/>
        </w:rPr>
        <w:t>磋商响应供应商（单位电子印章）：</w:t>
      </w:r>
    </w:p>
    <w:p w14:paraId="186EB9DE">
      <w:pPr>
        <w:widowControl/>
        <w:autoSpaceDE w:val="0"/>
        <w:autoSpaceDN w:val="0"/>
        <w:adjustRightInd w:val="0"/>
        <w:snapToGrid w:val="0"/>
        <w:spacing w:line="480" w:lineRule="auto"/>
        <w:ind w:firstLine="442" w:firstLineChars="200"/>
        <w:jc w:val="left"/>
        <w:outlineLvl w:val="2"/>
        <w:rPr>
          <w:rFonts w:ascii="宋体" w:cs="宋体"/>
          <w:b/>
          <w:bCs/>
          <w:color w:val="auto"/>
          <w:sz w:val="22"/>
          <w:highlight w:val="none"/>
        </w:rPr>
      </w:pPr>
      <w:r>
        <w:rPr>
          <w:rFonts w:hint="eastAsia" w:ascii="宋体" w:hAnsi="宋体" w:cs="宋体"/>
          <w:b/>
          <w:bCs/>
          <w:color w:val="auto"/>
          <w:sz w:val="22"/>
          <w:highlight w:val="none"/>
        </w:rPr>
        <w:t>日期：</w:t>
      </w:r>
    </w:p>
    <w:p w14:paraId="6ADD4074">
      <w:pPr>
        <w:autoSpaceDE w:val="0"/>
        <w:autoSpaceDN w:val="0"/>
        <w:adjustRightInd w:val="0"/>
        <w:spacing w:line="360" w:lineRule="auto"/>
        <w:ind w:firstLine="1588"/>
        <w:jc w:val="left"/>
        <w:rPr>
          <w:rFonts w:ascii="宋体" w:cs="宋体"/>
          <w:color w:val="auto"/>
          <w:w w:val="90"/>
          <w:kern w:val="0"/>
          <w:sz w:val="22"/>
          <w:highlight w:val="none"/>
        </w:rPr>
      </w:pPr>
    </w:p>
    <w:p w14:paraId="44FE94EE">
      <w:pPr>
        <w:autoSpaceDE w:val="0"/>
        <w:autoSpaceDN w:val="0"/>
        <w:adjustRightInd w:val="0"/>
        <w:spacing w:line="360" w:lineRule="auto"/>
        <w:ind w:firstLine="1588"/>
        <w:jc w:val="left"/>
        <w:rPr>
          <w:rFonts w:ascii="宋体" w:cs="宋体"/>
          <w:color w:val="auto"/>
          <w:w w:val="90"/>
          <w:kern w:val="0"/>
          <w:sz w:val="22"/>
          <w:highlight w:val="none"/>
        </w:rPr>
      </w:pPr>
    </w:p>
    <w:p w14:paraId="75A452C9">
      <w:pPr>
        <w:autoSpaceDE w:val="0"/>
        <w:autoSpaceDN w:val="0"/>
        <w:adjustRightInd w:val="0"/>
        <w:spacing w:line="360" w:lineRule="auto"/>
        <w:ind w:firstLine="1588"/>
        <w:jc w:val="left"/>
        <w:rPr>
          <w:rFonts w:ascii="宋体" w:cs="宋体"/>
          <w:color w:val="auto"/>
          <w:w w:val="90"/>
          <w:kern w:val="0"/>
          <w:sz w:val="22"/>
          <w:highlight w:val="none"/>
        </w:rPr>
        <w:sectPr>
          <w:pgSz w:w="11906" w:h="16838"/>
          <w:pgMar w:top="1440" w:right="1417" w:bottom="1440" w:left="1417" w:header="850" w:footer="992" w:gutter="0"/>
          <w:pgNumType w:chapStyle="1"/>
          <w:cols w:space="0" w:num="1"/>
          <w:docGrid w:type="lines" w:linePitch="317" w:charSpace="0"/>
        </w:sectPr>
      </w:pPr>
    </w:p>
    <w:p w14:paraId="3C08F18A">
      <w:pPr>
        <w:pStyle w:val="4"/>
        <w:pageBreakBefore/>
        <w:ind w:firstLine="1687"/>
        <w:rPr>
          <w:rFonts w:ascii="宋体" w:cs="宋体"/>
          <w:b/>
          <w:bCs/>
          <w:color w:val="auto"/>
          <w:sz w:val="21"/>
          <w:szCs w:val="21"/>
          <w:highlight w:val="none"/>
        </w:rPr>
      </w:pPr>
      <w:r>
        <w:rPr>
          <w:rFonts w:hint="eastAsia" w:ascii="宋体" w:hAnsi="宋体" w:cs="宋体"/>
          <w:b/>
          <w:bCs/>
          <w:color w:val="auto"/>
          <w:sz w:val="21"/>
          <w:szCs w:val="21"/>
          <w:highlight w:val="none"/>
        </w:rPr>
        <w:t>6、商务技术偏离表</w:t>
      </w:r>
    </w:p>
    <w:p w14:paraId="3E27132D">
      <w:pPr>
        <w:spacing w:line="360" w:lineRule="auto"/>
        <w:ind w:firstLine="1928"/>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商务技术偏离表</w:t>
      </w:r>
    </w:p>
    <w:p w14:paraId="7C17693B">
      <w:pPr>
        <w:spacing w:line="360" w:lineRule="auto"/>
        <w:rPr>
          <w:rFonts w:ascii="宋体" w:cs="宋体"/>
          <w:b/>
          <w:color w:val="auto"/>
          <w:szCs w:val="21"/>
          <w:highlight w:val="none"/>
        </w:rPr>
      </w:pPr>
      <w:r>
        <w:rPr>
          <w:rFonts w:hint="eastAsia" w:ascii="宋体" w:hAnsi="宋体" w:cs="宋体"/>
          <w:b/>
          <w:color w:val="auto"/>
          <w:szCs w:val="21"/>
          <w:highlight w:val="none"/>
        </w:rPr>
        <w:t>项目名称：</w:t>
      </w:r>
    </w:p>
    <w:p w14:paraId="292CEC01">
      <w:pPr>
        <w:spacing w:line="360" w:lineRule="auto"/>
        <w:rPr>
          <w:rFonts w:ascii="宋体" w:hAnsi="宋体" w:cs="宋体"/>
          <w:b/>
          <w:color w:val="auto"/>
          <w:szCs w:val="21"/>
          <w:highlight w:val="none"/>
        </w:rPr>
      </w:pPr>
      <w:r>
        <w:rPr>
          <w:rFonts w:hint="eastAsia" w:ascii="宋体" w:hAnsi="宋体" w:cs="宋体"/>
          <w:b/>
          <w:color w:val="auto"/>
          <w:szCs w:val="21"/>
          <w:highlight w:val="none"/>
        </w:rPr>
        <w:t>项目编号：</w:t>
      </w:r>
    </w:p>
    <w:p w14:paraId="3B66A7AC">
      <w:pPr>
        <w:pStyle w:val="84"/>
        <w:numPr>
          <w:ilvl w:val="6"/>
          <w:numId w:val="0"/>
        </w:numPr>
        <w:rPr>
          <w:color w:val="auto"/>
          <w:highlight w:val="none"/>
        </w:rPr>
      </w:pPr>
      <w:r>
        <w:rPr>
          <w:rFonts w:hint="eastAsia" w:ascii="宋体" w:hAnsi="宋体" w:cs="宋体"/>
          <w:b/>
          <w:color w:val="auto"/>
          <w:szCs w:val="21"/>
          <w:highlight w:val="none"/>
        </w:rPr>
        <w:t>包号：</w:t>
      </w:r>
    </w:p>
    <w:tbl>
      <w:tblPr>
        <w:tblStyle w:val="65"/>
        <w:tblW w:w="4998"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565"/>
        <w:gridCol w:w="2606"/>
        <w:gridCol w:w="1436"/>
        <w:gridCol w:w="1858"/>
      </w:tblGrid>
      <w:tr w14:paraId="6FE04F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top w:val="single" w:color="auto" w:sz="2" w:space="0"/>
              <w:left w:val="single" w:color="auto" w:sz="2" w:space="0"/>
            </w:tcBorders>
            <w:noWrap/>
            <w:vAlign w:val="center"/>
          </w:tcPr>
          <w:p w14:paraId="6C3B4BFF">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序号</w:t>
            </w:r>
          </w:p>
        </w:tc>
        <w:tc>
          <w:tcPr>
            <w:tcW w:w="1381" w:type="pct"/>
            <w:tcBorders>
              <w:top w:val="single" w:color="auto" w:sz="2" w:space="0"/>
            </w:tcBorders>
            <w:noWrap/>
            <w:vAlign w:val="center"/>
          </w:tcPr>
          <w:p w14:paraId="39DF5FA9">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磋商文件要求</w:t>
            </w:r>
          </w:p>
        </w:tc>
        <w:tc>
          <w:tcPr>
            <w:tcW w:w="1403" w:type="pct"/>
            <w:tcBorders>
              <w:top w:val="single" w:color="auto" w:sz="2" w:space="0"/>
            </w:tcBorders>
            <w:noWrap/>
            <w:vAlign w:val="center"/>
          </w:tcPr>
          <w:p w14:paraId="4965B122">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响应情况</w:t>
            </w:r>
          </w:p>
        </w:tc>
        <w:tc>
          <w:tcPr>
            <w:tcW w:w="773" w:type="pct"/>
            <w:tcBorders>
              <w:top w:val="single" w:color="auto" w:sz="2" w:space="0"/>
            </w:tcBorders>
            <w:noWrap/>
            <w:vAlign w:val="center"/>
          </w:tcPr>
          <w:p w14:paraId="5D493DEA">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正</w:t>
            </w:r>
            <w:r>
              <w:rPr>
                <w:rFonts w:ascii="宋体" w:hAnsi="宋体" w:cs="宋体"/>
                <w:b/>
                <w:color w:val="auto"/>
                <w:kern w:val="0"/>
                <w:szCs w:val="21"/>
                <w:highlight w:val="none"/>
              </w:rPr>
              <w:t>/</w:t>
            </w:r>
            <w:r>
              <w:rPr>
                <w:rFonts w:hint="eastAsia" w:ascii="宋体" w:hAnsi="宋体" w:cs="宋体"/>
                <w:b/>
                <w:color w:val="auto"/>
                <w:kern w:val="0"/>
                <w:szCs w:val="21"/>
                <w:highlight w:val="none"/>
              </w:rPr>
              <w:t>负偏离</w:t>
            </w:r>
          </w:p>
        </w:tc>
        <w:tc>
          <w:tcPr>
            <w:tcW w:w="1000" w:type="pct"/>
            <w:tcBorders>
              <w:top w:val="single" w:color="auto" w:sz="2" w:space="0"/>
              <w:right w:val="single" w:color="auto" w:sz="2" w:space="0"/>
            </w:tcBorders>
            <w:noWrap/>
            <w:vAlign w:val="center"/>
          </w:tcPr>
          <w:p w14:paraId="5DD92EAB">
            <w:pPr>
              <w:spacing w:line="400" w:lineRule="exact"/>
              <w:jc w:val="center"/>
              <w:rPr>
                <w:rFonts w:ascii="宋体" w:cs="宋体"/>
                <w:b/>
                <w:color w:val="auto"/>
                <w:kern w:val="0"/>
                <w:szCs w:val="21"/>
                <w:highlight w:val="none"/>
              </w:rPr>
            </w:pPr>
            <w:r>
              <w:rPr>
                <w:rFonts w:hint="eastAsia" w:ascii="宋体" w:hAnsi="宋体" w:cs="宋体"/>
                <w:b/>
                <w:color w:val="auto"/>
                <w:kern w:val="0"/>
                <w:szCs w:val="21"/>
                <w:highlight w:val="none"/>
              </w:rPr>
              <w:t>备注</w:t>
            </w:r>
          </w:p>
        </w:tc>
      </w:tr>
      <w:tr w14:paraId="35EB6F0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0B4B6C1D">
            <w:pPr>
              <w:spacing w:line="400" w:lineRule="exact"/>
              <w:jc w:val="center"/>
              <w:rPr>
                <w:rFonts w:ascii="宋体" w:cs="宋体"/>
                <w:bCs/>
                <w:color w:val="auto"/>
                <w:kern w:val="0"/>
                <w:szCs w:val="21"/>
                <w:highlight w:val="none"/>
              </w:rPr>
            </w:pPr>
          </w:p>
        </w:tc>
        <w:tc>
          <w:tcPr>
            <w:tcW w:w="1381" w:type="pct"/>
            <w:noWrap/>
            <w:vAlign w:val="center"/>
          </w:tcPr>
          <w:p w14:paraId="677F4F80">
            <w:pPr>
              <w:spacing w:line="400" w:lineRule="exact"/>
              <w:ind w:firstLine="2880"/>
              <w:jc w:val="center"/>
              <w:rPr>
                <w:rFonts w:ascii="宋体" w:cs="宋体"/>
                <w:b/>
                <w:color w:val="auto"/>
                <w:kern w:val="0"/>
                <w:szCs w:val="21"/>
                <w:highlight w:val="none"/>
              </w:rPr>
            </w:pPr>
          </w:p>
        </w:tc>
        <w:tc>
          <w:tcPr>
            <w:tcW w:w="1403" w:type="pct"/>
            <w:noWrap/>
            <w:vAlign w:val="center"/>
          </w:tcPr>
          <w:p w14:paraId="1A19DFD5">
            <w:pPr>
              <w:spacing w:line="400" w:lineRule="exact"/>
              <w:ind w:firstLine="2880"/>
              <w:jc w:val="center"/>
              <w:rPr>
                <w:rFonts w:ascii="宋体" w:cs="宋体"/>
                <w:b/>
                <w:color w:val="auto"/>
                <w:kern w:val="0"/>
                <w:szCs w:val="21"/>
                <w:highlight w:val="none"/>
              </w:rPr>
            </w:pPr>
          </w:p>
        </w:tc>
        <w:tc>
          <w:tcPr>
            <w:tcW w:w="773" w:type="pct"/>
            <w:noWrap/>
            <w:vAlign w:val="center"/>
          </w:tcPr>
          <w:p w14:paraId="6DACAB4B">
            <w:pPr>
              <w:spacing w:line="400" w:lineRule="exact"/>
              <w:ind w:firstLine="2880"/>
              <w:jc w:val="center"/>
              <w:rPr>
                <w:rFonts w:ascii="宋体" w:cs="宋体"/>
                <w:b/>
                <w:color w:val="auto"/>
                <w:kern w:val="0"/>
                <w:szCs w:val="21"/>
                <w:highlight w:val="none"/>
              </w:rPr>
            </w:pPr>
          </w:p>
        </w:tc>
        <w:tc>
          <w:tcPr>
            <w:tcW w:w="1000" w:type="pct"/>
            <w:tcBorders>
              <w:right w:val="single" w:color="auto" w:sz="2" w:space="0"/>
            </w:tcBorders>
            <w:noWrap/>
            <w:vAlign w:val="center"/>
          </w:tcPr>
          <w:p w14:paraId="14344FF0">
            <w:pPr>
              <w:spacing w:line="400" w:lineRule="exact"/>
              <w:ind w:firstLine="2880"/>
              <w:jc w:val="center"/>
              <w:rPr>
                <w:rFonts w:ascii="宋体" w:cs="宋体"/>
                <w:b/>
                <w:color w:val="auto"/>
                <w:kern w:val="0"/>
                <w:szCs w:val="21"/>
                <w:highlight w:val="none"/>
              </w:rPr>
            </w:pPr>
          </w:p>
        </w:tc>
      </w:tr>
      <w:tr w14:paraId="580C518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240FF66E">
            <w:pPr>
              <w:spacing w:line="400" w:lineRule="exact"/>
              <w:jc w:val="center"/>
              <w:rPr>
                <w:rFonts w:ascii="宋体" w:cs="宋体"/>
                <w:bCs/>
                <w:color w:val="auto"/>
                <w:kern w:val="0"/>
                <w:szCs w:val="21"/>
                <w:highlight w:val="none"/>
              </w:rPr>
            </w:pPr>
          </w:p>
        </w:tc>
        <w:tc>
          <w:tcPr>
            <w:tcW w:w="1381" w:type="pct"/>
            <w:noWrap/>
            <w:vAlign w:val="center"/>
          </w:tcPr>
          <w:p w14:paraId="136D8FFD">
            <w:pPr>
              <w:spacing w:line="400" w:lineRule="exact"/>
              <w:ind w:firstLine="2880"/>
              <w:jc w:val="center"/>
              <w:rPr>
                <w:rFonts w:ascii="宋体" w:cs="宋体"/>
                <w:b/>
                <w:color w:val="auto"/>
                <w:kern w:val="0"/>
                <w:szCs w:val="21"/>
                <w:highlight w:val="none"/>
              </w:rPr>
            </w:pPr>
          </w:p>
        </w:tc>
        <w:tc>
          <w:tcPr>
            <w:tcW w:w="1403" w:type="pct"/>
            <w:noWrap/>
            <w:vAlign w:val="center"/>
          </w:tcPr>
          <w:p w14:paraId="6D398EF6">
            <w:pPr>
              <w:spacing w:line="400" w:lineRule="exact"/>
              <w:ind w:firstLine="2880"/>
              <w:jc w:val="center"/>
              <w:rPr>
                <w:rFonts w:ascii="宋体" w:cs="宋体"/>
                <w:b/>
                <w:color w:val="auto"/>
                <w:kern w:val="0"/>
                <w:szCs w:val="21"/>
                <w:highlight w:val="none"/>
              </w:rPr>
            </w:pPr>
          </w:p>
        </w:tc>
        <w:tc>
          <w:tcPr>
            <w:tcW w:w="773" w:type="pct"/>
            <w:noWrap/>
            <w:vAlign w:val="center"/>
          </w:tcPr>
          <w:p w14:paraId="542E5A18">
            <w:pPr>
              <w:spacing w:line="400" w:lineRule="exact"/>
              <w:ind w:firstLine="2880"/>
              <w:jc w:val="center"/>
              <w:rPr>
                <w:rFonts w:ascii="宋体" w:cs="宋体"/>
                <w:b/>
                <w:color w:val="auto"/>
                <w:kern w:val="0"/>
                <w:szCs w:val="21"/>
                <w:highlight w:val="none"/>
              </w:rPr>
            </w:pPr>
          </w:p>
        </w:tc>
        <w:tc>
          <w:tcPr>
            <w:tcW w:w="1000" w:type="pct"/>
            <w:tcBorders>
              <w:right w:val="single" w:color="auto" w:sz="2" w:space="0"/>
            </w:tcBorders>
            <w:noWrap/>
            <w:vAlign w:val="center"/>
          </w:tcPr>
          <w:p w14:paraId="114325C3">
            <w:pPr>
              <w:spacing w:line="400" w:lineRule="exact"/>
              <w:ind w:firstLine="2880"/>
              <w:jc w:val="center"/>
              <w:rPr>
                <w:rFonts w:ascii="宋体" w:cs="宋体"/>
                <w:b/>
                <w:color w:val="auto"/>
                <w:kern w:val="0"/>
                <w:szCs w:val="21"/>
                <w:highlight w:val="none"/>
              </w:rPr>
            </w:pPr>
          </w:p>
        </w:tc>
      </w:tr>
      <w:tr w14:paraId="5C351C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6BA17266">
            <w:pPr>
              <w:spacing w:line="400" w:lineRule="exact"/>
              <w:jc w:val="center"/>
              <w:rPr>
                <w:rFonts w:ascii="宋体" w:cs="宋体"/>
                <w:bCs/>
                <w:color w:val="auto"/>
                <w:kern w:val="0"/>
                <w:szCs w:val="21"/>
                <w:highlight w:val="none"/>
              </w:rPr>
            </w:pPr>
          </w:p>
        </w:tc>
        <w:tc>
          <w:tcPr>
            <w:tcW w:w="1381" w:type="pct"/>
            <w:noWrap/>
            <w:vAlign w:val="center"/>
          </w:tcPr>
          <w:p w14:paraId="2BAEADA4">
            <w:pPr>
              <w:spacing w:line="400" w:lineRule="exact"/>
              <w:ind w:firstLine="2880"/>
              <w:jc w:val="center"/>
              <w:rPr>
                <w:rFonts w:ascii="宋体" w:cs="宋体"/>
                <w:b/>
                <w:color w:val="auto"/>
                <w:kern w:val="0"/>
                <w:szCs w:val="21"/>
                <w:highlight w:val="none"/>
              </w:rPr>
            </w:pPr>
          </w:p>
        </w:tc>
        <w:tc>
          <w:tcPr>
            <w:tcW w:w="1403" w:type="pct"/>
            <w:noWrap/>
            <w:vAlign w:val="center"/>
          </w:tcPr>
          <w:p w14:paraId="67482659">
            <w:pPr>
              <w:spacing w:line="400" w:lineRule="exact"/>
              <w:ind w:firstLine="2880"/>
              <w:jc w:val="center"/>
              <w:rPr>
                <w:rFonts w:ascii="宋体" w:cs="宋体"/>
                <w:b/>
                <w:color w:val="auto"/>
                <w:kern w:val="0"/>
                <w:szCs w:val="21"/>
                <w:highlight w:val="none"/>
              </w:rPr>
            </w:pPr>
          </w:p>
        </w:tc>
        <w:tc>
          <w:tcPr>
            <w:tcW w:w="773" w:type="pct"/>
            <w:noWrap/>
            <w:vAlign w:val="center"/>
          </w:tcPr>
          <w:p w14:paraId="55F3FFE5">
            <w:pPr>
              <w:spacing w:line="400" w:lineRule="exact"/>
              <w:ind w:firstLine="2880"/>
              <w:jc w:val="center"/>
              <w:rPr>
                <w:rFonts w:ascii="宋体" w:cs="宋体"/>
                <w:b/>
                <w:color w:val="auto"/>
                <w:kern w:val="0"/>
                <w:szCs w:val="21"/>
                <w:highlight w:val="none"/>
              </w:rPr>
            </w:pPr>
          </w:p>
        </w:tc>
        <w:tc>
          <w:tcPr>
            <w:tcW w:w="1000" w:type="pct"/>
            <w:tcBorders>
              <w:right w:val="single" w:color="auto" w:sz="2" w:space="0"/>
            </w:tcBorders>
            <w:noWrap/>
            <w:vAlign w:val="center"/>
          </w:tcPr>
          <w:p w14:paraId="0CACCCAF">
            <w:pPr>
              <w:spacing w:line="400" w:lineRule="exact"/>
              <w:ind w:firstLine="2880"/>
              <w:jc w:val="center"/>
              <w:rPr>
                <w:rFonts w:ascii="宋体" w:cs="宋体"/>
                <w:b/>
                <w:color w:val="auto"/>
                <w:kern w:val="0"/>
                <w:szCs w:val="21"/>
                <w:highlight w:val="none"/>
              </w:rPr>
            </w:pPr>
          </w:p>
        </w:tc>
      </w:tr>
      <w:tr w14:paraId="433003E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7CA2C71F">
            <w:pPr>
              <w:spacing w:line="400" w:lineRule="exact"/>
              <w:ind w:firstLine="2880"/>
              <w:jc w:val="center"/>
              <w:rPr>
                <w:rFonts w:ascii="宋体" w:cs="宋体"/>
                <w:b/>
                <w:color w:val="auto"/>
                <w:kern w:val="0"/>
                <w:szCs w:val="21"/>
                <w:highlight w:val="none"/>
              </w:rPr>
            </w:pPr>
          </w:p>
        </w:tc>
        <w:tc>
          <w:tcPr>
            <w:tcW w:w="1381" w:type="pct"/>
            <w:noWrap/>
            <w:vAlign w:val="center"/>
          </w:tcPr>
          <w:p w14:paraId="0BBDDE1C">
            <w:pPr>
              <w:spacing w:line="400" w:lineRule="exact"/>
              <w:ind w:firstLine="2880"/>
              <w:jc w:val="center"/>
              <w:rPr>
                <w:rFonts w:ascii="宋体" w:cs="宋体"/>
                <w:b/>
                <w:color w:val="auto"/>
                <w:kern w:val="0"/>
                <w:szCs w:val="21"/>
                <w:highlight w:val="none"/>
              </w:rPr>
            </w:pPr>
          </w:p>
        </w:tc>
        <w:tc>
          <w:tcPr>
            <w:tcW w:w="1403" w:type="pct"/>
            <w:noWrap/>
            <w:vAlign w:val="center"/>
          </w:tcPr>
          <w:p w14:paraId="0DFE96BE">
            <w:pPr>
              <w:spacing w:line="400" w:lineRule="exact"/>
              <w:ind w:firstLine="2880"/>
              <w:jc w:val="center"/>
              <w:rPr>
                <w:rFonts w:ascii="宋体" w:cs="宋体"/>
                <w:b/>
                <w:color w:val="auto"/>
                <w:kern w:val="0"/>
                <w:szCs w:val="21"/>
                <w:highlight w:val="none"/>
              </w:rPr>
            </w:pPr>
          </w:p>
        </w:tc>
        <w:tc>
          <w:tcPr>
            <w:tcW w:w="773" w:type="pct"/>
            <w:noWrap/>
            <w:vAlign w:val="center"/>
          </w:tcPr>
          <w:p w14:paraId="7AE99DD5">
            <w:pPr>
              <w:spacing w:line="400" w:lineRule="exact"/>
              <w:ind w:firstLine="2880"/>
              <w:jc w:val="center"/>
              <w:rPr>
                <w:rFonts w:ascii="宋体" w:cs="宋体"/>
                <w:b/>
                <w:color w:val="auto"/>
                <w:kern w:val="0"/>
                <w:szCs w:val="21"/>
                <w:highlight w:val="none"/>
              </w:rPr>
            </w:pPr>
          </w:p>
        </w:tc>
        <w:tc>
          <w:tcPr>
            <w:tcW w:w="1000" w:type="pct"/>
            <w:tcBorders>
              <w:right w:val="single" w:color="auto" w:sz="2" w:space="0"/>
            </w:tcBorders>
            <w:noWrap/>
            <w:vAlign w:val="center"/>
          </w:tcPr>
          <w:p w14:paraId="6F58F806">
            <w:pPr>
              <w:spacing w:line="400" w:lineRule="exact"/>
              <w:ind w:firstLine="2880"/>
              <w:jc w:val="center"/>
              <w:rPr>
                <w:rFonts w:ascii="宋体" w:cs="宋体"/>
                <w:b/>
                <w:color w:val="auto"/>
                <w:kern w:val="0"/>
                <w:szCs w:val="21"/>
                <w:highlight w:val="none"/>
              </w:rPr>
            </w:pPr>
          </w:p>
        </w:tc>
      </w:tr>
      <w:tr w14:paraId="57824E2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24137DC8">
            <w:pPr>
              <w:spacing w:line="400" w:lineRule="exact"/>
              <w:ind w:firstLine="2880"/>
              <w:jc w:val="center"/>
              <w:rPr>
                <w:rFonts w:ascii="宋体" w:cs="宋体"/>
                <w:b/>
                <w:color w:val="auto"/>
                <w:kern w:val="0"/>
                <w:szCs w:val="21"/>
                <w:highlight w:val="none"/>
              </w:rPr>
            </w:pPr>
          </w:p>
        </w:tc>
        <w:tc>
          <w:tcPr>
            <w:tcW w:w="1381" w:type="pct"/>
            <w:noWrap/>
            <w:vAlign w:val="center"/>
          </w:tcPr>
          <w:p w14:paraId="1ACD1D9A">
            <w:pPr>
              <w:spacing w:line="400" w:lineRule="exact"/>
              <w:ind w:firstLine="2880"/>
              <w:jc w:val="center"/>
              <w:rPr>
                <w:rFonts w:ascii="宋体" w:cs="宋体"/>
                <w:b/>
                <w:color w:val="auto"/>
                <w:kern w:val="0"/>
                <w:szCs w:val="21"/>
                <w:highlight w:val="none"/>
              </w:rPr>
            </w:pPr>
          </w:p>
        </w:tc>
        <w:tc>
          <w:tcPr>
            <w:tcW w:w="1403" w:type="pct"/>
            <w:noWrap/>
            <w:vAlign w:val="center"/>
          </w:tcPr>
          <w:p w14:paraId="49F55C69">
            <w:pPr>
              <w:spacing w:line="400" w:lineRule="exact"/>
              <w:ind w:firstLine="2880"/>
              <w:jc w:val="center"/>
              <w:rPr>
                <w:rFonts w:ascii="宋体" w:cs="宋体"/>
                <w:b/>
                <w:color w:val="auto"/>
                <w:kern w:val="0"/>
                <w:szCs w:val="21"/>
                <w:highlight w:val="none"/>
              </w:rPr>
            </w:pPr>
          </w:p>
        </w:tc>
        <w:tc>
          <w:tcPr>
            <w:tcW w:w="773" w:type="pct"/>
            <w:noWrap/>
            <w:vAlign w:val="center"/>
          </w:tcPr>
          <w:p w14:paraId="64E6FC36">
            <w:pPr>
              <w:spacing w:line="400" w:lineRule="exact"/>
              <w:ind w:firstLine="2880"/>
              <w:jc w:val="center"/>
              <w:rPr>
                <w:rFonts w:ascii="宋体" w:cs="宋体"/>
                <w:b/>
                <w:color w:val="auto"/>
                <w:kern w:val="0"/>
                <w:szCs w:val="21"/>
                <w:highlight w:val="none"/>
              </w:rPr>
            </w:pPr>
          </w:p>
        </w:tc>
        <w:tc>
          <w:tcPr>
            <w:tcW w:w="1000" w:type="pct"/>
            <w:tcBorders>
              <w:right w:val="single" w:color="auto" w:sz="2" w:space="0"/>
            </w:tcBorders>
            <w:noWrap/>
            <w:vAlign w:val="center"/>
          </w:tcPr>
          <w:p w14:paraId="0C669C2E">
            <w:pPr>
              <w:spacing w:line="400" w:lineRule="exact"/>
              <w:ind w:firstLine="2880"/>
              <w:jc w:val="center"/>
              <w:rPr>
                <w:rFonts w:ascii="宋体" w:cs="宋体"/>
                <w:b/>
                <w:color w:val="auto"/>
                <w:kern w:val="0"/>
                <w:szCs w:val="21"/>
                <w:highlight w:val="none"/>
              </w:rPr>
            </w:pPr>
          </w:p>
        </w:tc>
      </w:tr>
      <w:tr w14:paraId="2DAA857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3CFD05E9">
            <w:pPr>
              <w:spacing w:line="400" w:lineRule="exact"/>
              <w:ind w:firstLine="2880"/>
              <w:jc w:val="center"/>
              <w:rPr>
                <w:rFonts w:ascii="宋体" w:cs="宋体"/>
                <w:b/>
                <w:color w:val="auto"/>
                <w:kern w:val="0"/>
                <w:szCs w:val="21"/>
                <w:highlight w:val="none"/>
              </w:rPr>
            </w:pPr>
          </w:p>
        </w:tc>
        <w:tc>
          <w:tcPr>
            <w:tcW w:w="1381" w:type="pct"/>
            <w:noWrap/>
            <w:vAlign w:val="center"/>
          </w:tcPr>
          <w:p w14:paraId="51D88A05">
            <w:pPr>
              <w:spacing w:line="400" w:lineRule="exact"/>
              <w:ind w:firstLine="2880"/>
              <w:jc w:val="center"/>
              <w:rPr>
                <w:rFonts w:ascii="宋体" w:cs="宋体"/>
                <w:b/>
                <w:color w:val="auto"/>
                <w:kern w:val="0"/>
                <w:szCs w:val="21"/>
                <w:highlight w:val="none"/>
              </w:rPr>
            </w:pPr>
          </w:p>
        </w:tc>
        <w:tc>
          <w:tcPr>
            <w:tcW w:w="1403" w:type="pct"/>
            <w:noWrap/>
            <w:vAlign w:val="center"/>
          </w:tcPr>
          <w:p w14:paraId="7B33BB81">
            <w:pPr>
              <w:spacing w:line="400" w:lineRule="exact"/>
              <w:ind w:firstLine="2880"/>
              <w:jc w:val="center"/>
              <w:rPr>
                <w:rFonts w:ascii="宋体" w:cs="宋体"/>
                <w:b/>
                <w:color w:val="auto"/>
                <w:kern w:val="0"/>
                <w:szCs w:val="21"/>
                <w:highlight w:val="none"/>
              </w:rPr>
            </w:pPr>
          </w:p>
        </w:tc>
        <w:tc>
          <w:tcPr>
            <w:tcW w:w="773" w:type="pct"/>
            <w:noWrap/>
            <w:vAlign w:val="center"/>
          </w:tcPr>
          <w:p w14:paraId="0AAD2DF7">
            <w:pPr>
              <w:spacing w:line="400" w:lineRule="exact"/>
              <w:ind w:firstLine="2880"/>
              <w:jc w:val="center"/>
              <w:rPr>
                <w:rFonts w:ascii="宋体" w:cs="宋体"/>
                <w:b/>
                <w:color w:val="auto"/>
                <w:kern w:val="0"/>
                <w:szCs w:val="21"/>
                <w:highlight w:val="none"/>
              </w:rPr>
            </w:pPr>
          </w:p>
        </w:tc>
        <w:tc>
          <w:tcPr>
            <w:tcW w:w="1000" w:type="pct"/>
            <w:tcBorders>
              <w:right w:val="single" w:color="auto" w:sz="2" w:space="0"/>
            </w:tcBorders>
            <w:noWrap/>
            <w:vAlign w:val="center"/>
          </w:tcPr>
          <w:p w14:paraId="30C91800">
            <w:pPr>
              <w:spacing w:line="400" w:lineRule="exact"/>
              <w:ind w:firstLine="2880"/>
              <w:jc w:val="center"/>
              <w:rPr>
                <w:rFonts w:ascii="宋体" w:cs="宋体"/>
                <w:b/>
                <w:color w:val="auto"/>
                <w:kern w:val="0"/>
                <w:szCs w:val="21"/>
                <w:highlight w:val="none"/>
              </w:rPr>
            </w:pPr>
          </w:p>
        </w:tc>
      </w:tr>
      <w:tr w14:paraId="3ABE193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01CF6C1F">
            <w:pPr>
              <w:spacing w:line="400" w:lineRule="exact"/>
              <w:ind w:firstLine="2880"/>
              <w:jc w:val="center"/>
              <w:rPr>
                <w:rFonts w:ascii="宋体" w:cs="宋体"/>
                <w:b/>
                <w:color w:val="auto"/>
                <w:kern w:val="0"/>
                <w:szCs w:val="21"/>
                <w:highlight w:val="none"/>
              </w:rPr>
            </w:pPr>
          </w:p>
        </w:tc>
        <w:tc>
          <w:tcPr>
            <w:tcW w:w="1381" w:type="pct"/>
            <w:noWrap/>
            <w:vAlign w:val="center"/>
          </w:tcPr>
          <w:p w14:paraId="0D7389BA">
            <w:pPr>
              <w:spacing w:line="400" w:lineRule="exact"/>
              <w:ind w:firstLine="2880"/>
              <w:jc w:val="center"/>
              <w:rPr>
                <w:rFonts w:ascii="宋体" w:cs="宋体"/>
                <w:b/>
                <w:color w:val="auto"/>
                <w:kern w:val="0"/>
                <w:szCs w:val="21"/>
                <w:highlight w:val="none"/>
              </w:rPr>
            </w:pPr>
          </w:p>
        </w:tc>
        <w:tc>
          <w:tcPr>
            <w:tcW w:w="1403" w:type="pct"/>
            <w:noWrap/>
            <w:vAlign w:val="center"/>
          </w:tcPr>
          <w:p w14:paraId="24775B59">
            <w:pPr>
              <w:spacing w:line="400" w:lineRule="exact"/>
              <w:ind w:firstLine="2880"/>
              <w:jc w:val="center"/>
              <w:rPr>
                <w:rFonts w:ascii="宋体" w:cs="宋体"/>
                <w:b/>
                <w:color w:val="auto"/>
                <w:kern w:val="0"/>
                <w:szCs w:val="21"/>
                <w:highlight w:val="none"/>
              </w:rPr>
            </w:pPr>
          </w:p>
        </w:tc>
        <w:tc>
          <w:tcPr>
            <w:tcW w:w="773" w:type="pct"/>
            <w:noWrap/>
            <w:vAlign w:val="center"/>
          </w:tcPr>
          <w:p w14:paraId="11F82759">
            <w:pPr>
              <w:spacing w:line="400" w:lineRule="exact"/>
              <w:ind w:firstLine="2880"/>
              <w:jc w:val="center"/>
              <w:rPr>
                <w:rFonts w:ascii="宋体" w:cs="宋体"/>
                <w:b/>
                <w:color w:val="auto"/>
                <w:kern w:val="0"/>
                <w:szCs w:val="21"/>
                <w:highlight w:val="none"/>
              </w:rPr>
            </w:pPr>
          </w:p>
        </w:tc>
        <w:tc>
          <w:tcPr>
            <w:tcW w:w="1000" w:type="pct"/>
            <w:tcBorders>
              <w:right w:val="single" w:color="auto" w:sz="2" w:space="0"/>
            </w:tcBorders>
            <w:noWrap/>
            <w:vAlign w:val="center"/>
          </w:tcPr>
          <w:p w14:paraId="780A35C7">
            <w:pPr>
              <w:spacing w:line="400" w:lineRule="exact"/>
              <w:ind w:firstLine="2880"/>
              <w:jc w:val="center"/>
              <w:rPr>
                <w:rFonts w:ascii="宋体" w:cs="宋体"/>
                <w:b/>
                <w:color w:val="auto"/>
                <w:kern w:val="0"/>
                <w:szCs w:val="21"/>
                <w:highlight w:val="none"/>
              </w:rPr>
            </w:pPr>
          </w:p>
        </w:tc>
      </w:tr>
      <w:tr w14:paraId="7FC46E4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29D9370E">
            <w:pPr>
              <w:spacing w:line="400" w:lineRule="exact"/>
              <w:ind w:firstLine="2880"/>
              <w:jc w:val="center"/>
              <w:rPr>
                <w:rFonts w:ascii="宋体" w:cs="宋体"/>
                <w:b/>
                <w:color w:val="auto"/>
                <w:kern w:val="0"/>
                <w:szCs w:val="21"/>
                <w:highlight w:val="none"/>
              </w:rPr>
            </w:pPr>
          </w:p>
        </w:tc>
        <w:tc>
          <w:tcPr>
            <w:tcW w:w="1381" w:type="pct"/>
            <w:noWrap/>
            <w:vAlign w:val="center"/>
          </w:tcPr>
          <w:p w14:paraId="0D21EE27">
            <w:pPr>
              <w:spacing w:line="400" w:lineRule="exact"/>
              <w:ind w:firstLine="2880"/>
              <w:jc w:val="center"/>
              <w:rPr>
                <w:rFonts w:ascii="宋体" w:cs="宋体"/>
                <w:b/>
                <w:color w:val="auto"/>
                <w:kern w:val="0"/>
                <w:szCs w:val="21"/>
                <w:highlight w:val="none"/>
              </w:rPr>
            </w:pPr>
          </w:p>
        </w:tc>
        <w:tc>
          <w:tcPr>
            <w:tcW w:w="1403" w:type="pct"/>
            <w:noWrap/>
            <w:vAlign w:val="center"/>
          </w:tcPr>
          <w:p w14:paraId="69BA0E61">
            <w:pPr>
              <w:spacing w:line="400" w:lineRule="exact"/>
              <w:ind w:firstLine="2880"/>
              <w:jc w:val="center"/>
              <w:rPr>
                <w:rFonts w:ascii="宋体" w:cs="宋体"/>
                <w:b/>
                <w:color w:val="auto"/>
                <w:kern w:val="0"/>
                <w:szCs w:val="21"/>
                <w:highlight w:val="none"/>
              </w:rPr>
            </w:pPr>
          </w:p>
        </w:tc>
        <w:tc>
          <w:tcPr>
            <w:tcW w:w="773" w:type="pct"/>
            <w:noWrap/>
            <w:vAlign w:val="center"/>
          </w:tcPr>
          <w:p w14:paraId="21C692A1">
            <w:pPr>
              <w:spacing w:line="400" w:lineRule="exact"/>
              <w:ind w:firstLine="2880"/>
              <w:jc w:val="center"/>
              <w:rPr>
                <w:rFonts w:ascii="宋体" w:cs="宋体"/>
                <w:b/>
                <w:color w:val="auto"/>
                <w:kern w:val="0"/>
                <w:szCs w:val="21"/>
                <w:highlight w:val="none"/>
              </w:rPr>
            </w:pPr>
          </w:p>
        </w:tc>
        <w:tc>
          <w:tcPr>
            <w:tcW w:w="1000" w:type="pct"/>
            <w:tcBorders>
              <w:right w:val="single" w:color="auto" w:sz="2" w:space="0"/>
            </w:tcBorders>
            <w:noWrap/>
            <w:vAlign w:val="center"/>
          </w:tcPr>
          <w:p w14:paraId="59F3F9D6">
            <w:pPr>
              <w:spacing w:line="400" w:lineRule="exact"/>
              <w:ind w:firstLine="2880"/>
              <w:jc w:val="center"/>
              <w:rPr>
                <w:rFonts w:ascii="宋体" w:cs="宋体"/>
                <w:b/>
                <w:color w:val="auto"/>
                <w:kern w:val="0"/>
                <w:szCs w:val="21"/>
                <w:highlight w:val="none"/>
              </w:rPr>
            </w:pPr>
          </w:p>
        </w:tc>
      </w:tr>
      <w:tr w14:paraId="2058BA9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2DC80E23">
            <w:pPr>
              <w:spacing w:line="400" w:lineRule="exact"/>
              <w:ind w:firstLine="2880"/>
              <w:jc w:val="center"/>
              <w:rPr>
                <w:rFonts w:ascii="宋体" w:cs="宋体"/>
                <w:b/>
                <w:color w:val="auto"/>
                <w:kern w:val="0"/>
                <w:szCs w:val="21"/>
                <w:highlight w:val="none"/>
              </w:rPr>
            </w:pPr>
          </w:p>
        </w:tc>
        <w:tc>
          <w:tcPr>
            <w:tcW w:w="1381" w:type="pct"/>
            <w:noWrap/>
            <w:vAlign w:val="center"/>
          </w:tcPr>
          <w:p w14:paraId="6ED314ED">
            <w:pPr>
              <w:spacing w:line="400" w:lineRule="exact"/>
              <w:ind w:firstLine="2880"/>
              <w:jc w:val="center"/>
              <w:rPr>
                <w:rFonts w:ascii="宋体" w:cs="宋体"/>
                <w:b/>
                <w:color w:val="auto"/>
                <w:kern w:val="0"/>
                <w:szCs w:val="21"/>
                <w:highlight w:val="none"/>
              </w:rPr>
            </w:pPr>
          </w:p>
        </w:tc>
        <w:tc>
          <w:tcPr>
            <w:tcW w:w="1403" w:type="pct"/>
            <w:noWrap/>
            <w:vAlign w:val="center"/>
          </w:tcPr>
          <w:p w14:paraId="32D6BB7D">
            <w:pPr>
              <w:spacing w:line="400" w:lineRule="exact"/>
              <w:ind w:firstLine="2880"/>
              <w:jc w:val="center"/>
              <w:rPr>
                <w:rFonts w:ascii="宋体" w:cs="宋体"/>
                <w:b/>
                <w:color w:val="auto"/>
                <w:kern w:val="0"/>
                <w:szCs w:val="21"/>
                <w:highlight w:val="none"/>
              </w:rPr>
            </w:pPr>
          </w:p>
        </w:tc>
        <w:tc>
          <w:tcPr>
            <w:tcW w:w="773" w:type="pct"/>
            <w:noWrap/>
            <w:vAlign w:val="center"/>
          </w:tcPr>
          <w:p w14:paraId="72E379C2">
            <w:pPr>
              <w:spacing w:line="400" w:lineRule="exact"/>
              <w:ind w:firstLine="2880"/>
              <w:jc w:val="center"/>
              <w:rPr>
                <w:rFonts w:ascii="宋体" w:cs="宋体"/>
                <w:b/>
                <w:color w:val="auto"/>
                <w:kern w:val="0"/>
                <w:szCs w:val="21"/>
                <w:highlight w:val="none"/>
              </w:rPr>
            </w:pPr>
          </w:p>
        </w:tc>
        <w:tc>
          <w:tcPr>
            <w:tcW w:w="1000" w:type="pct"/>
            <w:tcBorders>
              <w:right w:val="single" w:color="auto" w:sz="2" w:space="0"/>
            </w:tcBorders>
            <w:noWrap/>
            <w:vAlign w:val="center"/>
          </w:tcPr>
          <w:p w14:paraId="1BC2EF08">
            <w:pPr>
              <w:spacing w:line="400" w:lineRule="exact"/>
              <w:ind w:firstLine="2880"/>
              <w:jc w:val="center"/>
              <w:rPr>
                <w:rFonts w:ascii="宋体" w:cs="宋体"/>
                <w:b/>
                <w:color w:val="auto"/>
                <w:kern w:val="0"/>
                <w:szCs w:val="21"/>
                <w:highlight w:val="none"/>
              </w:rPr>
            </w:pPr>
          </w:p>
        </w:tc>
      </w:tr>
      <w:tr w14:paraId="0452C54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bottom w:val="single" w:color="auto" w:sz="2" w:space="0"/>
            </w:tcBorders>
            <w:noWrap/>
            <w:vAlign w:val="center"/>
          </w:tcPr>
          <w:p w14:paraId="06FAB435">
            <w:pPr>
              <w:spacing w:line="400" w:lineRule="exact"/>
              <w:ind w:firstLine="2880"/>
              <w:jc w:val="center"/>
              <w:rPr>
                <w:rFonts w:ascii="宋体" w:cs="宋体"/>
                <w:b/>
                <w:color w:val="auto"/>
                <w:kern w:val="0"/>
                <w:szCs w:val="21"/>
                <w:highlight w:val="none"/>
              </w:rPr>
            </w:pPr>
          </w:p>
        </w:tc>
        <w:tc>
          <w:tcPr>
            <w:tcW w:w="1381" w:type="pct"/>
            <w:tcBorders>
              <w:bottom w:val="single" w:color="auto" w:sz="2" w:space="0"/>
            </w:tcBorders>
            <w:noWrap/>
            <w:vAlign w:val="center"/>
          </w:tcPr>
          <w:p w14:paraId="5AE01312">
            <w:pPr>
              <w:spacing w:line="400" w:lineRule="exact"/>
              <w:ind w:firstLine="2880"/>
              <w:jc w:val="center"/>
              <w:rPr>
                <w:rFonts w:ascii="宋体" w:cs="宋体"/>
                <w:b/>
                <w:color w:val="auto"/>
                <w:kern w:val="0"/>
                <w:szCs w:val="21"/>
                <w:highlight w:val="none"/>
              </w:rPr>
            </w:pPr>
          </w:p>
        </w:tc>
        <w:tc>
          <w:tcPr>
            <w:tcW w:w="1403" w:type="pct"/>
            <w:tcBorders>
              <w:bottom w:val="single" w:color="auto" w:sz="2" w:space="0"/>
            </w:tcBorders>
            <w:noWrap/>
            <w:vAlign w:val="center"/>
          </w:tcPr>
          <w:p w14:paraId="61486DC2">
            <w:pPr>
              <w:spacing w:line="400" w:lineRule="exact"/>
              <w:ind w:firstLine="2880"/>
              <w:jc w:val="center"/>
              <w:rPr>
                <w:rFonts w:ascii="宋体" w:cs="宋体"/>
                <w:b/>
                <w:color w:val="auto"/>
                <w:kern w:val="0"/>
                <w:szCs w:val="21"/>
                <w:highlight w:val="none"/>
              </w:rPr>
            </w:pPr>
          </w:p>
        </w:tc>
        <w:tc>
          <w:tcPr>
            <w:tcW w:w="773" w:type="pct"/>
            <w:tcBorders>
              <w:bottom w:val="single" w:color="auto" w:sz="2" w:space="0"/>
            </w:tcBorders>
            <w:noWrap/>
            <w:vAlign w:val="center"/>
          </w:tcPr>
          <w:p w14:paraId="32A78B9C">
            <w:pPr>
              <w:spacing w:line="400" w:lineRule="exact"/>
              <w:ind w:firstLine="2880"/>
              <w:jc w:val="center"/>
              <w:rPr>
                <w:rFonts w:ascii="宋体" w:cs="宋体"/>
                <w:b/>
                <w:color w:val="auto"/>
                <w:kern w:val="0"/>
                <w:szCs w:val="21"/>
                <w:highlight w:val="none"/>
              </w:rPr>
            </w:pPr>
          </w:p>
        </w:tc>
        <w:tc>
          <w:tcPr>
            <w:tcW w:w="1000" w:type="pct"/>
            <w:tcBorders>
              <w:bottom w:val="single" w:color="auto" w:sz="2" w:space="0"/>
              <w:right w:val="single" w:color="auto" w:sz="2" w:space="0"/>
            </w:tcBorders>
            <w:noWrap/>
            <w:vAlign w:val="center"/>
          </w:tcPr>
          <w:p w14:paraId="60A3BB3C">
            <w:pPr>
              <w:spacing w:line="400" w:lineRule="exact"/>
              <w:ind w:firstLine="2880"/>
              <w:jc w:val="center"/>
              <w:rPr>
                <w:rFonts w:ascii="宋体" w:cs="宋体"/>
                <w:b/>
                <w:color w:val="auto"/>
                <w:kern w:val="0"/>
                <w:szCs w:val="21"/>
                <w:highlight w:val="none"/>
              </w:rPr>
            </w:pPr>
          </w:p>
        </w:tc>
      </w:tr>
    </w:tbl>
    <w:p w14:paraId="76676F36">
      <w:pPr>
        <w:spacing w:line="360" w:lineRule="auto"/>
        <w:ind w:firstLine="1733"/>
        <w:rPr>
          <w:rFonts w:ascii="宋体" w:cs="宋体"/>
          <w:b/>
          <w:color w:val="auto"/>
          <w:w w:val="90"/>
          <w:kern w:val="0"/>
          <w:sz w:val="24"/>
          <w:highlight w:val="none"/>
          <w:lang w:val="zh-CN"/>
        </w:rPr>
      </w:pPr>
      <w:r>
        <w:rPr>
          <w:rFonts w:hint="eastAsia" w:ascii="宋体" w:hAnsi="宋体" w:cs="宋体"/>
          <w:b/>
          <w:color w:val="auto"/>
          <w:w w:val="90"/>
          <w:kern w:val="0"/>
          <w:sz w:val="24"/>
          <w:highlight w:val="none"/>
          <w:lang w:val="zh-CN"/>
        </w:rPr>
        <w:t>备注：根据磋商文件要求，如有偏离均应填写偏离表，不填写或未提供偏离表均视为无偏离且完全响应磋商文件要求。</w:t>
      </w:r>
    </w:p>
    <w:p w14:paraId="792267D2">
      <w:pPr>
        <w:rPr>
          <w:rFonts w:ascii="宋体" w:cs="宋体"/>
          <w:color w:val="auto"/>
          <w:highlight w:val="none"/>
        </w:rPr>
      </w:pPr>
    </w:p>
    <w:p w14:paraId="37F5D136">
      <w:pPr>
        <w:pStyle w:val="64"/>
        <w:rPr>
          <w:rFonts w:ascii="宋体" w:cs="宋体"/>
          <w:color w:val="auto"/>
          <w:highlight w:val="none"/>
        </w:rPr>
      </w:pPr>
    </w:p>
    <w:p w14:paraId="6C67CA13">
      <w:pPr>
        <w:pStyle w:val="116"/>
        <w:rPr>
          <w:rFonts w:ascii="宋体" w:hAnsi="宋体" w:eastAsia="宋体" w:cs="宋体"/>
          <w:color w:val="auto"/>
          <w:highlight w:val="none"/>
        </w:rPr>
      </w:pPr>
    </w:p>
    <w:p w14:paraId="64C0235A">
      <w:pPr>
        <w:widowControl/>
        <w:autoSpaceDE w:val="0"/>
        <w:autoSpaceDN w:val="0"/>
        <w:adjustRightInd w:val="0"/>
        <w:snapToGrid w:val="0"/>
        <w:spacing w:line="480" w:lineRule="auto"/>
        <w:ind w:firstLine="442" w:firstLineChars="200"/>
        <w:jc w:val="left"/>
        <w:outlineLvl w:val="2"/>
        <w:rPr>
          <w:rFonts w:ascii="宋体" w:cs="宋体"/>
          <w:b/>
          <w:bCs/>
          <w:color w:val="auto"/>
          <w:sz w:val="22"/>
          <w:highlight w:val="none"/>
        </w:rPr>
      </w:pPr>
      <w:r>
        <w:rPr>
          <w:rFonts w:hint="eastAsia" w:ascii="宋体" w:hAnsi="宋体" w:cs="宋体"/>
          <w:b/>
          <w:bCs/>
          <w:color w:val="auto"/>
          <w:sz w:val="22"/>
          <w:highlight w:val="none"/>
        </w:rPr>
        <w:t>磋商响应供应商（单位电子印章）：</w:t>
      </w:r>
    </w:p>
    <w:p w14:paraId="3A1915A1">
      <w:pPr>
        <w:widowControl/>
        <w:autoSpaceDE w:val="0"/>
        <w:autoSpaceDN w:val="0"/>
        <w:adjustRightInd w:val="0"/>
        <w:snapToGrid w:val="0"/>
        <w:spacing w:line="480" w:lineRule="auto"/>
        <w:ind w:firstLine="442" w:firstLineChars="200"/>
        <w:jc w:val="left"/>
        <w:outlineLvl w:val="2"/>
        <w:rPr>
          <w:rFonts w:ascii="宋体" w:cs="宋体"/>
          <w:b/>
          <w:bCs/>
          <w:color w:val="auto"/>
          <w:sz w:val="22"/>
          <w:highlight w:val="none"/>
        </w:rPr>
      </w:pPr>
      <w:r>
        <w:rPr>
          <w:rFonts w:hint="eastAsia" w:ascii="宋体" w:hAnsi="宋体" w:cs="宋体"/>
          <w:b/>
          <w:bCs/>
          <w:color w:val="auto"/>
          <w:sz w:val="22"/>
          <w:highlight w:val="none"/>
        </w:rPr>
        <w:t>日期：</w:t>
      </w:r>
    </w:p>
    <w:p w14:paraId="6F5F8479">
      <w:pPr>
        <w:autoSpaceDE w:val="0"/>
        <w:autoSpaceDN w:val="0"/>
        <w:adjustRightInd w:val="0"/>
        <w:spacing w:line="360" w:lineRule="auto"/>
        <w:ind w:firstLine="1588"/>
        <w:jc w:val="left"/>
        <w:rPr>
          <w:rFonts w:ascii="宋体" w:cs="宋体"/>
          <w:color w:val="auto"/>
          <w:w w:val="90"/>
          <w:kern w:val="0"/>
          <w:sz w:val="22"/>
          <w:highlight w:val="none"/>
        </w:rPr>
      </w:pPr>
    </w:p>
    <w:p w14:paraId="3E69FEA2">
      <w:pPr>
        <w:pStyle w:val="826"/>
        <w:rPr>
          <w:rFonts w:ascii="宋体" w:cs="宋体"/>
          <w:color w:val="auto"/>
          <w:highlight w:val="none"/>
        </w:rPr>
        <w:sectPr>
          <w:pgSz w:w="11906" w:h="16838"/>
          <w:pgMar w:top="1440" w:right="1417" w:bottom="1440" w:left="1417" w:header="850" w:footer="992" w:gutter="0"/>
          <w:cols w:space="0" w:num="1"/>
          <w:docGrid w:type="lines" w:linePitch="317" w:charSpace="0"/>
        </w:sectPr>
      </w:pPr>
    </w:p>
    <w:p w14:paraId="035A5D41">
      <w:pPr>
        <w:pageBreakBefore/>
        <w:tabs>
          <w:tab w:val="left" w:pos="720"/>
        </w:tabs>
        <w:spacing w:line="440" w:lineRule="exact"/>
        <w:rPr>
          <w:rFonts w:ascii="宋体" w:cs="宋体"/>
          <w:b/>
          <w:bCs/>
          <w:color w:val="auto"/>
          <w:szCs w:val="21"/>
          <w:highlight w:val="none"/>
        </w:rPr>
      </w:pPr>
      <w:r>
        <w:rPr>
          <w:rFonts w:hint="eastAsia" w:ascii="宋体" w:hAnsi="宋体" w:cs="宋体"/>
          <w:b/>
          <w:bCs/>
          <w:color w:val="auto"/>
          <w:szCs w:val="21"/>
          <w:highlight w:val="none"/>
        </w:rPr>
        <w:t>7、施工组织设计</w:t>
      </w:r>
    </w:p>
    <w:p w14:paraId="3CB83645">
      <w:pPr>
        <w:tabs>
          <w:tab w:val="left" w:pos="720"/>
        </w:tabs>
        <w:spacing w:line="360" w:lineRule="auto"/>
        <w:ind w:firstLine="480" w:firstLineChars="200"/>
        <w:rPr>
          <w:rFonts w:ascii="宋体" w:cs="宋体"/>
          <w:color w:val="auto"/>
          <w:sz w:val="24"/>
          <w:szCs w:val="24"/>
          <w:highlight w:val="none"/>
        </w:rPr>
      </w:pPr>
    </w:p>
    <w:p w14:paraId="0206BCA1">
      <w:pPr>
        <w:tabs>
          <w:tab w:val="left" w:pos="720"/>
        </w:tabs>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磋商响应供应商编制施工组织设计的要求：磋商供应商应根据磋商文件和对现场的勘察情况，采用文字并结合图表形式，参考以下要点编制本工程的施工组织设计：</w:t>
      </w:r>
      <w:r>
        <w:rPr>
          <w:rFonts w:ascii="宋体" w:hAnsi="宋体" w:cs="宋体"/>
          <w:color w:val="auto"/>
          <w:szCs w:val="21"/>
          <w:highlight w:val="none"/>
        </w:rPr>
        <w:t xml:space="preserve"> </w:t>
      </w:r>
    </w:p>
    <w:p w14:paraId="577F0B82">
      <w:pPr>
        <w:pBdr>
          <w:top w:val="none" w:color="auto" w:sz="0" w:space="1"/>
          <w:left w:val="none" w:color="auto" w:sz="0" w:space="4"/>
          <w:bottom w:val="none" w:color="auto" w:sz="0" w:space="1"/>
          <w:right w:val="none" w:color="auto" w:sz="0" w:space="4"/>
        </w:pBdr>
        <w:tabs>
          <w:tab w:val="left" w:pos="7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（1）针对本项目提供的项目施工组织方案（包括技术、物资、劳动组织准备，施工到竣工验收等组织方案）；</w:t>
      </w:r>
    </w:p>
    <w:p w14:paraId="3FE95BB6">
      <w:pPr>
        <w:pBdr>
          <w:top w:val="none" w:color="auto" w:sz="0" w:space="1"/>
          <w:left w:val="none" w:color="auto" w:sz="0" w:space="4"/>
          <w:bottom w:val="none" w:color="auto" w:sz="0" w:space="1"/>
          <w:right w:val="none" w:color="auto" w:sz="0" w:space="4"/>
        </w:pBdr>
        <w:tabs>
          <w:tab w:val="left" w:pos="7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（2）针对本项目制定的项目施工计划方案（包括施工过程、拟投入劳动力、机械设备、项目班子配备情况、工期计划安排和保障措施等）；</w:t>
      </w:r>
    </w:p>
    <w:p w14:paraId="76702BA8">
      <w:pPr>
        <w:pBdr>
          <w:top w:val="none" w:color="auto" w:sz="0" w:space="1"/>
          <w:left w:val="none" w:color="auto" w:sz="0" w:space="4"/>
          <w:bottom w:val="none" w:color="auto" w:sz="0" w:space="1"/>
          <w:right w:val="none" w:color="auto" w:sz="0" w:space="4"/>
        </w:pBdr>
        <w:tabs>
          <w:tab w:val="left" w:pos="7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（3）针对本项目制定的施工质量控制方案（工程技术管理、施工管理等）；</w:t>
      </w:r>
    </w:p>
    <w:p w14:paraId="4847C45E">
      <w:pPr>
        <w:pBdr>
          <w:top w:val="none" w:color="auto" w:sz="0" w:space="1"/>
          <w:left w:val="none" w:color="auto" w:sz="0" w:space="4"/>
          <w:bottom w:val="none" w:color="auto" w:sz="0" w:space="1"/>
          <w:right w:val="none" w:color="auto" w:sz="0" w:space="4"/>
        </w:pBdr>
        <w:tabs>
          <w:tab w:val="left" w:pos="7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（4）针对本项目制定的安全施工保障措施方案（在施工的各个环节、管理制度和操作规程、现场管控等）；</w:t>
      </w:r>
    </w:p>
    <w:p w14:paraId="04451934">
      <w:pPr>
        <w:pBdr>
          <w:top w:val="none" w:color="auto" w:sz="0" w:space="1"/>
          <w:left w:val="none" w:color="auto" w:sz="0" w:space="4"/>
          <w:bottom w:val="none" w:color="auto" w:sz="0" w:space="1"/>
          <w:right w:val="none" w:color="auto" w:sz="0" w:space="4"/>
        </w:pBdr>
        <w:tabs>
          <w:tab w:val="left" w:pos="7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（5）关键部位施工方案；</w:t>
      </w:r>
    </w:p>
    <w:p w14:paraId="69E48534">
      <w:pPr>
        <w:pBdr>
          <w:top w:val="none" w:color="auto" w:sz="0" w:space="1"/>
          <w:left w:val="none" w:color="auto" w:sz="0" w:space="4"/>
          <w:bottom w:val="none" w:color="auto" w:sz="0" w:space="1"/>
          <w:right w:val="none" w:color="auto" w:sz="0" w:space="4"/>
        </w:pBdr>
        <w:tabs>
          <w:tab w:val="left" w:pos="7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（6）保障措施（质量、安全、环保、消防、降噪、文明等措施）。</w:t>
      </w:r>
    </w:p>
    <w:p w14:paraId="7ED70742">
      <w:pPr>
        <w:tabs>
          <w:tab w:val="left" w:pos="720"/>
        </w:tabs>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．施工组织设计除采用文字表述外可附下列图表，图表及格式要求附后。</w:t>
      </w:r>
    </w:p>
    <w:p w14:paraId="1A3E7A59">
      <w:pPr>
        <w:tabs>
          <w:tab w:val="left" w:pos="720"/>
        </w:tabs>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附表一</w:t>
      </w:r>
      <w:r>
        <w:rPr>
          <w:rFonts w:ascii="宋体" w:hAnsi="宋体" w:cs="宋体"/>
          <w:color w:val="auto"/>
          <w:szCs w:val="21"/>
          <w:highlight w:val="none"/>
        </w:rPr>
        <w:t xml:space="preserve">  </w:t>
      </w:r>
      <w:r>
        <w:rPr>
          <w:rFonts w:hint="eastAsia" w:ascii="宋体" w:hAnsi="宋体" w:cs="宋体"/>
          <w:color w:val="auto"/>
          <w:szCs w:val="21"/>
          <w:highlight w:val="none"/>
        </w:rPr>
        <w:t>拟投入本工程的主要施工设备表</w:t>
      </w:r>
      <w:r>
        <w:rPr>
          <w:rFonts w:ascii="宋体" w:hAnsi="宋体" w:cs="宋体"/>
          <w:color w:val="auto"/>
          <w:szCs w:val="21"/>
          <w:highlight w:val="none"/>
        </w:rPr>
        <w:t xml:space="preserve"> </w:t>
      </w:r>
    </w:p>
    <w:p w14:paraId="69E8561C">
      <w:pPr>
        <w:tabs>
          <w:tab w:val="left" w:pos="720"/>
        </w:tabs>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附表二</w:t>
      </w:r>
      <w:r>
        <w:rPr>
          <w:rFonts w:ascii="宋体" w:hAnsi="宋体" w:cs="宋体"/>
          <w:color w:val="auto"/>
          <w:szCs w:val="21"/>
          <w:highlight w:val="none"/>
        </w:rPr>
        <w:t xml:space="preserve">  </w:t>
      </w:r>
      <w:r>
        <w:rPr>
          <w:rFonts w:hint="eastAsia" w:ascii="宋体" w:hAnsi="宋体" w:cs="宋体"/>
          <w:color w:val="auto"/>
          <w:szCs w:val="21"/>
          <w:highlight w:val="none"/>
        </w:rPr>
        <w:t>拟配备的试验和检测仪器设备表</w:t>
      </w:r>
    </w:p>
    <w:p w14:paraId="113C6FB4">
      <w:pPr>
        <w:tabs>
          <w:tab w:val="left" w:pos="720"/>
        </w:tabs>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附表三</w:t>
      </w:r>
      <w:r>
        <w:rPr>
          <w:rFonts w:ascii="宋体" w:hAnsi="宋体" w:cs="宋体"/>
          <w:color w:val="auto"/>
          <w:szCs w:val="21"/>
          <w:highlight w:val="none"/>
        </w:rPr>
        <w:t xml:space="preserve">  </w:t>
      </w:r>
      <w:r>
        <w:rPr>
          <w:rFonts w:hint="eastAsia" w:ascii="宋体" w:hAnsi="宋体" w:cs="宋体"/>
          <w:color w:val="auto"/>
          <w:szCs w:val="21"/>
          <w:highlight w:val="none"/>
        </w:rPr>
        <w:t>项目管理班子配备情况表</w:t>
      </w:r>
    </w:p>
    <w:p w14:paraId="569605B6">
      <w:pPr>
        <w:tabs>
          <w:tab w:val="left" w:pos="720"/>
        </w:tabs>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附表四</w:t>
      </w:r>
      <w:r>
        <w:rPr>
          <w:rFonts w:ascii="宋体" w:hAnsi="宋体" w:cs="宋体"/>
          <w:color w:val="auto"/>
          <w:szCs w:val="21"/>
          <w:highlight w:val="none"/>
        </w:rPr>
        <w:t xml:space="preserve">  </w:t>
      </w:r>
      <w:r>
        <w:rPr>
          <w:rFonts w:hint="eastAsia" w:ascii="宋体" w:hAnsi="宋体" w:cs="宋体"/>
          <w:color w:val="auto"/>
          <w:szCs w:val="21"/>
          <w:highlight w:val="none"/>
        </w:rPr>
        <w:t>项目负责人简历表</w:t>
      </w:r>
    </w:p>
    <w:p w14:paraId="5465EF3B">
      <w:pPr>
        <w:tabs>
          <w:tab w:val="left" w:pos="720"/>
        </w:tabs>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附表五</w:t>
      </w:r>
      <w:r>
        <w:rPr>
          <w:rFonts w:ascii="宋体" w:hAnsi="宋体" w:cs="宋体"/>
          <w:color w:val="auto"/>
          <w:szCs w:val="21"/>
          <w:highlight w:val="none"/>
        </w:rPr>
        <w:t xml:space="preserve">  </w:t>
      </w:r>
      <w:r>
        <w:rPr>
          <w:rFonts w:hint="eastAsia" w:ascii="宋体" w:hAnsi="宋体" w:cs="宋体"/>
          <w:color w:val="auto"/>
          <w:szCs w:val="21"/>
          <w:highlight w:val="none"/>
        </w:rPr>
        <w:t>劳动力计划表</w:t>
      </w:r>
    </w:p>
    <w:p w14:paraId="65979BA6">
      <w:pPr>
        <w:tabs>
          <w:tab w:val="left" w:pos="720"/>
        </w:tabs>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附表六</w:t>
      </w:r>
      <w:r>
        <w:rPr>
          <w:rFonts w:ascii="宋体" w:hAnsi="宋体" w:cs="宋体"/>
          <w:color w:val="auto"/>
          <w:szCs w:val="21"/>
          <w:highlight w:val="none"/>
        </w:rPr>
        <w:t xml:space="preserve">  </w:t>
      </w:r>
      <w:r>
        <w:rPr>
          <w:rFonts w:hint="eastAsia" w:ascii="宋体" w:hAnsi="宋体" w:cs="宋体"/>
          <w:color w:val="auto"/>
          <w:szCs w:val="21"/>
          <w:highlight w:val="none"/>
        </w:rPr>
        <w:t>计划开、竣工日期和施工进度网络图</w:t>
      </w:r>
    </w:p>
    <w:p w14:paraId="043B1AC1">
      <w:pPr>
        <w:tabs>
          <w:tab w:val="left" w:pos="720"/>
        </w:tabs>
        <w:spacing w:line="440" w:lineRule="exact"/>
        <w:ind w:firstLine="1767"/>
        <w:jc w:val="left"/>
        <w:rPr>
          <w:rFonts w:ascii="宋体" w:cs="宋体"/>
          <w:color w:val="auto"/>
          <w:sz w:val="22"/>
          <w:highlight w:val="none"/>
        </w:rPr>
      </w:pPr>
      <w:bookmarkStart w:id="1174" w:name="_Toc246392155"/>
      <w:bookmarkStart w:id="1175" w:name="_Toc179632817"/>
      <w:bookmarkStart w:id="1176" w:name="_Toc152042586"/>
      <w:bookmarkStart w:id="1177" w:name="_Toc152045797"/>
      <w:bookmarkStart w:id="1178" w:name="_Toc144974865"/>
    </w:p>
    <w:p w14:paraId="6A7E23B8">
      <w:pPr>
        <w:pStyle w:val="2"/>
        <w:ind w:firstLine="2880"/>
        <w:rPr>
          <w:rFonts w:ascii="宋体" w:hAnsi="宋体" w:eastAsia="宋体" w:cs="宋体"/>
          <w:color w:val="auto"/>
          <w:highlight w:val="none"/>
        </w:rPr>
      </w:pPr>
    </w:p>
    <w:p w14:paraId="042D403C">
      <w:pPr>
        <w:rPr>
          <w:rFonts w:ascii="宋体" w:cs="宋体"/>
          <w:color w:val="auto"/>
          <w:highlight w:val="none"/>
        </w:rPr>
      </w:pPr>
    </w:p>
    <w:p w14:paraId="5705F0F9">
      <w:pPr>
        <w:tabs>
          <w:tab w:val="left" w:pos="720"/>
        </w:tabs>
        <w:spacing w:line="440" w:lineRule="exact"/>
        <w:ind w:firstLine="1760"/>
        <w:jc w:val="left"/>
        <w:rPr>
          <w:rFonts w:ascii="宋体" w:cs="宋体"/>
          <w:b/>
          <w:bCs/>
          <w:color w:val="auto"/>
          <w:sz w:val="22"/>
          <w:highlight w:val="none"/>
        </w:rPr>
      </w:pPr>
    </w:p>
    <w:p w14:paraId="19FA5C9F">
      <w:pPr>
        <w:tabs>
          <w:tab w:val="left" w:pos="720"/>
        </w:tabs>
        <w:spacing w:line="440" w:lineRule="exact"/>
        <w:ind w:firstLine="1760"/>
        <w:jc w:val="left"/>
        <w:rPr>
          <w:rFonts w:ascii="宋体" w:cs="宋体"/>
          <w:b/>
          <w:bCs/>
          <w:color w:val="auto"/>
          <w:sz w:val="22"/>
          <w:highlight w:val="none"/>
        </w:rPr>
      </w:pPr>
    </w:p>
    <w:p w14:paraId="34C00346">
      <w:pPr>
        <w:tabs>
          <w:tab w:val="left" w:pos="720"/>
        </w:tabs>
        <w:spacing w:line="440" w:lineRule="exact"/>
        <w:ind w:firstLine="1760"/>
        <w:jc w:val="left"/>
        <w:rPr>
          <w:rFonts w:ascii="宋体" w:cs="宋体"/>
          <w:b/>
          <w:bCs/>
          <w:color w:val="auto"/>
          <w:sz w:val="22"/>
          <w:highlight w:val="none"/>
        </w:rPr>
      </w:pPr>
    </w:p>
    <w:p w14:paraId="454A6128">
      <w:pPr>
        <w:tabs>
          <w:tab w:val="left" w:pos="720"/>
        </w:tabs>
        <w:spacing w:line="440" w:lineRule="exact"/>
        <w:ind w:firstLine="1760"/>
        <w:jc w:val="left"/>
        <w:rPr>
          <w:rFonts w:ascii="宋体" w:cs="宋体"/>
          <w:b/>
          <w:bCs/>
          <w:color w:val="auto"/>
          <w:sz w:val="22"/>
          <w:highlight w:val="none"/>
        </w:rPr>
      </w:pPr>
    </w:p>
    <w:p w14:paraId="517E155F">
      <w:pPr>
        <w:pStyle w:val="2"/>
        <w:ind w:firstLine="2880"/>
        <w:rPr>
          <w:rFonts w:ascii="宋体" w:hAnsi="宋体" w:eastAsia="宋体" w:cs="宋体"/>
          <w:color w:val="auto"/>
          <w:highlight w:val="none"/>
        </w:rPr>
      </w:pPr>
    </w:p>
    <w:p w14:paraId="6D06AF2E">
      <w:pPr>
        <w:pageBreakBefore/>
        <w:tabs>
          <w:tab w:val="left" w:pos="720"/>
        </w:tabs>
        <w:spacing w:line="440" w:lineRule="exact"/>
        <w:ind w:firstLine="1767"/>
        <w:jc w:val="left"/>
        <w:rPr>
          <w:rFonts w:ascii="宋体" w:cs="宋体"/>
          <w:b/>
          <w:bCs/>
          <w:color w:val="auto"/>
          <w:sz w:val="22"/>
          <w:highlight w:val="none"/>
        </w:rPr>
      </w:pPr>
      <w:r>
        <w:rPr>
          <w:rFonts w:hint="eastAsia" w:ascii="宋体" w:hAnsi="宋体" w:cs="宋体"/>
          <w:b/>
          <w:bCs/>
          <w:color w:val="auto"/>
          <w:sz w:val="22"/>
          <w:highlight w:val="none"/>
        </w:rPr>
        <w:t>附表一：拟投入的主要施工设备表</w:t>
      </w:r>
      <w:bookmarkEnd w:id="1174"/>
      <w:bookmarkEnd w:id="1175"/>
      <w:bookmarkEnd w:id="1176"/>
      <w:bookmarkEnd w:id="1177"/>
      <w:bookmarkEnd w:id="1178"/>
    </w:p>
    <w:p w14:paraId="347B7777">
      <w:pPr>
        <w:pStyle w:val="2"/>
        <w:ind w:firstLine="2880"/>
        <w:rPr>
          <w:rFonts w:ascii="宋体" w:hAnsi="宋体" w:eastAsia="宋体" w:cs="宋体"/>
          <w:color w:val="auto"/>
          <w:highlight w:val="none"/>
        </w:rPr>
      </w:pPr>
    </w:p>
    <w:tbl>
      <w:tblPr>
        <w:tblStyle w:val="6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096"/>
        <w:gridCol w:w="671"/>
        <w:gridCol w:w="748"/>
        <w:gridCol w:w="656"/>
        <w:gridCol w:w="662"/>
        <w:gridCol w:w="1756"/>
        <w:gridCol w:w="845"/>
        <w:gridCol w:w="1536"/>
        <w:gridCol w:w="656"/>
      </w:tblGrid>
      <w:tr w14:paraId="56F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99" w:type="pct"/>
            <w:noWrap/>
            <w:vAlign w:val="center"/>
          </w:tcPr>
          <w:p w14:paraId="7FA2DE87">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宋体" w:cs="宋体"/>
                <w:color w:val="auto"/>
                <w:sz w:val="22"/>
                <w:highlight w:val="none"/>
              </w:rPr>
            </w:pPr>
            <w:r>
              <w:rPr>
                <w:rFonts w:hint="eastAsia" w:ascii="宋体" w:hAnsi="宋体" w:cs="宋体"/>
                <w:color w:val="auto"/>
                <w:sz w:val="22"/>
                <w:highlight w:val="none"/>
              </w:rPr>
              <w:t>序号</w:t>
            </w:r>
          </w:p>
        </w:tc>
        <w:tc>
          <w:tcPr>
            <w:tcW w:w="649" w:type="pct"/>
            <w:noWrap/>
            <w:vAlign w:val="center"/>
          </w:tcPr>
          <w:p w14:paraId="263FDA2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设备名称</w:t>
            </w:r>
          </w:p>
        </w:tc>
        <w:tc>
          <w:tcPr>
            <w:tcW w:w="454" w:type="pct"/>
            <w:noWrap/>
            <w:vAlign w:val="center"/>
          </w:tcPr>
          <w:p w14:paraId="7A9FEBD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型号</w:t>
            </w:r>
          </w:p>
          <w:p w14:paraId="64279EB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规格</w:t>
            </w:r>
          </w:p>
        </w:tc>
        <w:tc>
          <w:tcPr>
            <w:tcW w:w="470" w:type="pct"/>
            <w:noWrap/>
            <w:vAlign w:val="center"/>
          </w:tcPr>
          <w:p w14:paraId="5F0116B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401" w:type="pct"/>
            <w:noWrap/>
            <w:vAlign w:val="center"/>
          </w:tcPr>
          <w:p w14:paraId="47D15FD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国别</w:t>
            </w:r>
          </w:p>
          <w:p w14:paraId="4655C00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产地</w:t>
            </w:r>
          </w:p>
        </w:tc>
        <w:tc>
          <w:tcPr>
            <w:tcW w:w="441" w:type="pct"/>
            <w:noWrap/>
            <w:vAlign w:val="center"/>
          </w:tcPr>
          <w:p w14:paraId="62B3892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制造</w:t>
            </w:r>
          </w:p>
          <w:p w14:paraId="1CA09B9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年份</w:t>
            </w:r>
          </w:p>
        </w:tc>
        <w:tc>
          <w:tcPr>
            <w:tcW w:w="643" w:type="pct"/>
            <w:noWrap/>
            <w:vAlign w:val="center"/>
          </w:tcPr>
          <w:p w14:paraId="587ED41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额定功率（</w:t>
            </w:r>
            <w:r>
              <w:rPr>
                <w:rFonts w:ascii="宋体" w:hAnsi="宋体" w:cs="宋体"/>
                <w:color w:val="auto"/>
                <w:sz w:val="22"/>
                <w:highlight w:val="none"/>
              </w:rPr>
              <w:t>KW</w:t>
            </w:r>
            <w:r>
              <w:rPr>
                <w:rFonts w:hint="eastAsia" w:ascii="宋体" w:hAnsi="宋体" w:cs="宋体"/>
                <w:color w:val="auto"/>
                <w:sz w:val="22"/>
                <w:highlight w:val="none"/>
              </w:rPr>
              <w:t>）</w:t>
            </w:r>
          </w:p>
        </w:tc>
        <w:tc>
          <w:tcPr>
            <w:tcW w:w="522" w:type="pct"/>
            <w:noWrap/>
            <w:vAlign w:val="center"/>
          </w:tcPr>
          <w:p w14:paraId="149A579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生产</w:t>
            </w:r>
          </w:p>
          <w:p w14:paraId="001ECCF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能力</w:t>
            </w:r>
          </w:p>
        </w:tc>
        <w:tc>
          <w:tcPr>
            <w:tcW w:w="607" w:type="pct"/>
            <w:noWrap/>
            <w:vAlign w:val="center"/>
          </w:tcPr>
          <w:p w14:paraId="38A8FCE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用于施工部位</w:t>
            </w:r>
          </w:p>
        </w:tc>
        <w:tc>
          <w:tcPr>
            <w:tcW w:w="409" w:type="pct"/>
            <w:noWrap/>
            <w:vAlign w:val="center"/>
          </w:tcPr>
          <w:p w14:paraId="45FB5BC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备注</w:t>
            </w:r>
          </w:p>
        </w:tc>
      </w:tr>
      <w:tr w14:paraId="66E5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99" w:type="pct"/>
            <w:noWrap/>
            <w:vAlign w:val="center"/>
          </w:tcPr>
          <w:p w14:paraId="58C6A6E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49" w:type="pct"/>
            <w:noWrap/>
            <w:vAlign w:val="center"/>
          </w:tcPr>
          <w:p w14:paraId="57FD67A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54" w:type="pct"/>
            <w:noWrap/>
            <w:vAlign w:val="center"/>
          </w:tcPr>
          <w:p w14:paraId="2F7E179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70" w:type="pct"/>
            <w:noWrap/>
            <w:vAlign w:val="center"/>
          </w:tcPr>
          <w:p w14:paraId="135B858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01" w:type="pct"/>
            <w:noWrap/>
            <w:vAlign w:val="center"/>
          </w:tcPr>
          <w:p w14:paraId="391E29B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41" w:type="pct"/>
            <w:noWrap/>
            <w:vAlign w:val="center"/>
          </w:tcPr>
          <w:p w14:paraId="5533289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43" w:type="pct"/>
            <w:noWrap/>
            <w:vAlign w:val="center"/>
          </w:tcPr>
          <w:p w14:paraId="26AA3F1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522" w:type="pct"/>
            <w:noWrap/>
            <w:vAlign w:val="center"/>
          </w:tcPr>
          <w:p w14:paraId="6C44363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07" w:type="pct"/>
            <w:noWrap/>
            <w:vAlign w:val="center"/>
          </w:tcPr>
          <w:p w14:paraId="0FDFDCE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09" w:type="pct"/>
            <w:noWrap/>
            <w:vAlign w:val="center"/>
          </w:tcPr>
          <w:p w14:paraId="1A2A615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r>
      <w:tr w14:paraId="79AD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99" w:type="pct"/>
            <w:noWrap/>
            <w:vAlign w:val="center"/>
          </w:tcPr>
          <w:p w14:paraId="1BB3DDB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49" w:type="pct"/>
            <w:noWrap/>
            <w:vAlign w:val="center"/>
          </w:tcPr>
          <w:p w14:paraId="5E4CB7E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54" w:type="pct"/>
            <w:noWrap/>
            <w:vAlign w:val="center"/>
          </w:tcPr>
          <w:p w14:paraId="4037E24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70" w:type="pct"/>
            <w:noWrap/>
            <w:vAlign w:val="center"/>
          </w:tcPr>
          <w:p w14:paraId="3AF06A9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01" w:type="pct"/>
            <w:noWrap/>
            <w:vAlign w:val="center"/>
          </w:tcPr>
          <w:p w14:paraId="3436614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41" w:type="pct"/>
            <w:noWrap/>
            <w:vAlign w:val="center"/>
          </w:tcPr>
          <w:p w14:paraId="253D9CC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43" w:type="pct"/>
            <w:noWrap/>
            <w:vAlign w:val="center"/>
          </w:tcPr>
          <w:p w14:paraId="47B477E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522" w:type="pct"/>
            <w:noWrap/>
            <w:vAlign w:val="center"/>
          </w:tcPr>
          <w:p w14:paraId="7168AB3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07" w:type="pct"/>
            <w:noWrap/>
            <w:vAlign w:val="center"/>
          </w:tcPr>
          <w:p w14:paraId="577C3B3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09" w:type="pct"/>
            <w:noWrap/>
            <w:vAlign w:val="center"/>
          </w:tcPr>
          <w:p w14:paraId="53F85A5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r>
      <w:tr w14:paraId="120B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99" w:type="pct"/>
            <w:noWrap/>
          </w:tcPr>
          <w:p w14:paraId="10CBBEB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49" w:type="pct"/>
            <w:noWrap/>
          </w:tcPr>
          <w:p w14:paraId="735FD55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54" w:type="pct"/>
            <w:noWrap/>
          </w:tcPr>
          <w:p w14:paraId="3E8804D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70" w:type="pct"/>
            <w:noWrap/>
          </w:tcPr>
          <w:p w14:paraId="032E290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01" w:type="pct"/>
            <w:noWrap/>
          </w:tcPr>
          <w:p w14:paraId="1CE906F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41" w:type="pct"/>
            <w:noWrap/>
          </w:tcPr>
          <w:p w14:paraId="32BC797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43" w:type="pct"/>
            <w:noWrap/>
          </w:tcPr>
          <w:p w14:paraId="038C84E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522" w:type="pct"/>
            <w:noWrap/>
          </w:tcPr>
          <w:p w14:paraId="40D34E0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07" w:type="pct"/>
            <w:noWrap/>
          </w:tcPr>
          <w:p w14:paraId="0564967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09" w:type="pct"/>
            <w:noWrap/>
          </w:tcPr>
          <w:p w14:paraId="7EEE2B9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r>
    </w:tbl>
    <w:p w14:paraId="5F1C58AA">
      <w:pPr>
        <w:tabs>
          <w:tab w:val="left" w:pos="720"/>
        </w:tabs>
        <w:spacing w:line="440" w:lineRule="exact"/>
        <w:ind w:firstLine="1760"/>
        <w:jc w:val="left"/>
        <w:rPr>
          <w:rFonts w:ascii="宋体" w:hAnsi="宋体" w:cs="宋体"/>
          <w:b/>
          <w:bCs/>
          <w:color w:val="auto"/>
          <w:sz w:val="22"/>
          <w:highlight w:val="none"/>
        </w:rPr>
      </w:pPr>
      <w:bookmarkStart w:id="1179" w:name="_Toc144974866"/>
      <w:bookmarkStart w:id="1180" w:name="_Toc179632818"/>
      <w:bookmarkStart w:id="1181" w:name="_Toc152045798"/>
      <w:bookmarkStart w:id="1182" w:name="_Toc152042587"/>
      <w:bookmarkStart w:id="1183" w:name="_Toc246392156"/>
    </w:p>
    <w:p w14:paraId="5D824D9E">
      <w:pPr>
        <w:pStyle w:val="2"/>
        <w:ind w:firstLine="1767"/>
        <w:jc w:val="both"/>
        <w:rPr>
          <w:rFonts w:ascii="宋体" w:hAnsi="宋体" w:eastAsia="宋体" w:cs="宋体"/>
          <w:color w:val="auto"/>
          <w:highlight w:val="none"/>
        </w:rPr>
      </w:pPr>
      <w:r>
        <w:rPr>
          <w:rFonts w:hint="eastAsia" w:ascii="宋体" w:hAnsi="宋体" w:cs="宋体"/>
          <w:color w:val="auto"/>
          <w:sz w:val="22"/>
          <w:highlight w:val="none"/>
        </w:rPr>
        <w:t>附表二：拟配备的试验和检测仪器设备表</w:t>
      </w:r>
      <w:bookmarkEnd w:id="1179"/>
      <w:bookmarkEnd w:id="1180"/>
      <w:bookmarkEnd w:id="1181"/>
      <w:bookmarkEnd w:id="1182"/>
      <w:bookmarkEnd w:id="1183"/>
    </w:p>
    <w:p w14:paraId="6AE89AC3">
      <w:pPr>
        <w:tabs>
          <w:tab w:val="left" w:pos="720"/>
        </w:tabs>
        <w:spacing w:line="440" w:lineRule="exact"/>
        <w:ind w:firstLine="1760"/>
        <w:jc w:val="left"/>
        <w:rPr>
          <w:rFonts w:ascii="宋体" w:cs="宋体"/>
          <w:b/>
          <w:bCs/>
          <w:color w:val="auto"/>
          <w:sz w:val="22"/>
          <w:highlight w:val="none"/>
        </w:rPr>
      </w:pPr>
    </w:p>
    <w:tbl>
      <w:tblPr>
        <w:tblStyle w:val="6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536"/>
        <w:gridCol w:w="843"/>
        <w:gridCol w:w="1117"/>
        <w:gridCol w:w="739"/>
        <w:gridCol w:w="819"/>
        <w:gridCol w:w="1536"/>
        <w:gridCol w:w="1201"/>
        <w:gridCol w:w="755"/>
      </w:tblGrid>
      <w:tr w14:paraId="7651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24" w:type="pct"/>
            <w:noWrap/>
            <w:vAlign w:val="center"/>
          </w:tcPr>
          <w:p w14:paraId="7886080C">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宋体" w:cs="宋体"/>
                <w:color w:val="auto"/>
                <w:sz w:val="22"/>
                <w:highlight w:val="none"/>
              </w:rPr>
            </w:pPr>
            <w:r>
              <w:rPr>
                <w:rFonts w:hint="eastAsia" w:ascii="宋体" w:hAnsi="宋体" w:cs="宋体"/>
                <w:color w:val="auto"/>
                <w:sz w:val="22"/>
                <w:highlight w:val="none"/>
              </w:rPr>
              <w:t>序号</w:t>
            </w:r>
          </w:p>
        </w:tc>
        <w:tc>
          <w:tcPr>
            <w:tcW w:w="689" w:type="pct"/>
            <w:noWrap/>
            <w:vAlign w:val="center"/>
          </w:tcPr>
          <w:p w14:paraId="48EFB31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仪器设备名称</w:t>
            </w:r>
          </w:p>
        </w:tc>
        <w:tc>
          <w:tcPr>
            <w:tcW w:w="482" w:type="pct"/>
            <w:noWrap/>
            <w:vAlign w:val="center"/>
          </w:tcPr>
          <w:p w14:paraId="2EB54CA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型号</w:t>
            </w:r>
          </w:p>
          <w:p w14:paraId="7C4A3BF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规格</w:t>
            </w:r>
          </w:p>
        </w:tc>
        <w:tc>
          <w:tcPr>
            <w:tcW w:w="629" w:type="pct"/>
            <w:noWrap/>
            <w:vAlign w:val="center"/>
          </w:tcPr>
          <w:p w14:paraId="46EC683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426" w:type="pct"/>
            <w:noWrap/>
            <w:vAlign w:val="center"/>
          </w:tcPr>
          <w:p w14:paraId="7668252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国别</w:t>
            </w:r>
          </w:p>
          <w:p w14:paraId="14665B6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产地</w:t>
            </w:r>
          </w:p>
        </w:tc>
        <w:tc>
          <w:tcPr>
            <w:tcW w:w="469" w:type="pct"/>
            <w:noWrap/>
            <w:vAlign w:val="center"/>
          </w:tcPr>
          <w:p w14:paraId="35CE540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制造</w:t>
            </w:r>
          </w:p>
          <w:p w14:paraId="4779FB1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年份</w:t>
            </w:r>
          </w:p>
        </w:tc>
        <w:tc>
          <w:tcPr>
            <w:tcW w:w="769" w:type="pct"/>
            <w:noWrap/>
            <w:vAlign w:val="center"/>
          </w:tcPr>
          <w:p w14:paraId="2DA3635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已使用台时数</w:t>
            </w:r>
          </w:p>
        </w:tc>
        <w:tc>
          <w:tcPr>
            <w:tcW w:w="674" w:type="pct"/>
            <w:noWrap/>
            <w:vAlign w:val="center"/>
          </w:tcPr>
          <w:p w14:paraId="70262E2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用途</w:t>
            </w:r>
          </w:p>
        </w:tc>
        <w:tc>
          <w:tcPr>
            <w:tcW w:w="434" w:type="pct"/>
            <w:noWrap/>
            <w:vAlign w:val="center"/>
          </w:tcPr>
          <w:p w14:paraId="03C6A26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r>
              <w:rPr>
                <w:rFonts w:hint="eastAsia" w:ascii="宋体" w:hAnsi="宋体" w:cs="宋体"/>
                <w:color w:val="auto"/>
                <w:sz w:val="22"/>
                <w:highlight w:val="none"/>
              </w:rPr>
              <w:t>备注</w:t>
            </w:r>
          </w:p>
        </w:tc>
      </w:tr>
      <w:tr w14:paraId="2EBD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4" w:type="pct"/>
            <w:noWrap/>
            <w:vAlign w:val="center"/>
          </w:tcPr>
          <w:p w14:paraId="273D2D8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89" w:type="pct"/>
            <w:noWrap/>
            <w:vAlign w:val="center"/>
          </w:tcPr>
          <w:p w14:paraId="7108D07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82" w:type="pct"/>
            <w:noWrap/>
            <w:vAlign w:val="center"/>
          </w:tcPr>
          <w:p w14:paraId="7A331E9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29" w:type="pct"/>
            <w:noWrap/>
            <w:vAlign w:val="center"/>
          </w:tcPr>
          <w:p w14:paraId="1629059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26" w:type="pct"/>
            <w:noWrap/>
            <w:vAlign w:val="center"/>
          </w:tcPr>
          <w:p w14:paraId="3EC7FBA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69" w:type="pct"/>
            <w:noWrap/>
            <w:vAlign w:val="center"/>
          </w:tcPr>
          <w:p w14:paraId="190EC775">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769" w:type="pct"/>
            <w:noWrap/>
            <w:vAlign w:val="center"/>
          </w:tcPr>
          <w:p w14:paraId="6706A26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74" w:type="pct"/>
            <w:noWrap/>
            <w:vAlign w:val="center"/>
          </w:tcPr>
          <w:p w14:paraId="04912D8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34" w:type="pct"/>
            <w:noWrap/>
            <w:vAlign w:val="center"/>
          </w:tcPr>
          <w:p w14:paraId="508C3AE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r>
      <w:tr w14:paraId="0FB0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4" w:type="pct"/>
            <w:noWrap/>
            <w:vAlign w:val="center"/>
          </w:tcPr>
          <w:p w14:paraId="3BCB67A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89" w:type="pct"/>
            <w:noWrap/>
            <w:vAlign w:val="center"/>
          </w:tcPr>
          <w:p w14:paraId="0554E72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82" w:type="pct"/>
            <w:noWrap/>
            <w:vAlign w:val="center"/>
          </w:tcPr>
          <w:p w14:paraId="2533DF4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29" w:type="pct"/>
            <w:noWrap/>
            <w:vAlign w:val="center"/>
          </w:tcPr>
          <w:p w14:paraId="5209EED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26" w:type="pct"/>
            <w:noWrap/>
            <w:vAlign w:val="center"/>
          </w:tcPr>
          <w:p w14:paraId="621CFA4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69" w:type="pct"/>
            <w:noWrap/>
            <w:vAlign w:val="center"/>
          </w:tcPr>
          <w:p w14:paraId="0CBA9B3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769" w:type="pct"/>
            <w:noWrap/>
            <w:vAlign w:val="center"/>
          </w:tcPr>
          <w:p w14:paraId="6DE2290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74" w:type="pct"/>
            <w:noWrap/>
            <w:vAlign w:val="center"/>
          </w:tcPr>
          <w:p w14:paraId="184D08C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34" w:type="pct"/>
            <w:noWrap/>
            <w:vAlign w:val="center"/>
          </w:tcPr>
          <w:p w14:paraId="5E55768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r>
      <w:tr w14:paraId="5E16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4" w:type="pct"/>
            <w:noWrap/>
          </w:tcPr>
          <w:p w14:paraId="72092E5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89" w:type="pct"/>
            <w:noWrap/>
          </w:tcPr>
          <w:p w14:paraId="65446B5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82" w:type="pct"/>
            <w:noWrap/>
          </w:tcPr>
          <w:p w14:paraId="0CD5F1D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29" w:type="pct"/>
            <w:noWrap/>
          </w:tcPr>
          <w:p w14:paraId="06ABC92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26" w:type="pct"/>
            <w:noWrap/>
          </w:tcPr>
          <w:p w14:paraId="074FD2C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69" w:type="pct"/>
            <w:noWrap/>
          </w:tcPr>
          <w:p w14:paraId="1C55E35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769" w:type="pct"/>
            <w:noWrap/>
          </w:tcPr>
          <w:p w14:paraId="25FEC87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74" w:type="pct"/>
            <w:noWrap/>
          </w:tcPr>
          <w:p w14:paraId="3A5E150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34" w:type="pct"/>
            <w:noWrap/>
          </w:tcPr>
          <w:p w14:paraId="4658F75F">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r>
      <w:tr w14:paraId="2DA8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24" w:type="pct"/>
            <w:noWrap/>
          </w:tcPr>
          <w:p w14:paraId="2A8A30F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89" w:type="pct"/>
            <w:noWrap/>
          </w:tcPr>
          <w:p w14:paraId="12854AC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82" w:type="pct"/>
            <w:noWrap/>
          </w:tcPr>
          <w:p w14:paraId="1E93508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29" w:type="pct"/>
            <w:noWrap/>
          </w:tcPr>
          <w:p w14:paraId="1483F08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26" w:type="pct"/>
            <w:noWrap/>
          </w:tcPr>
          <w:p w14:paraId="24B037F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69" w:type="pct"/>
            <w:noWrap/>
          </w:tcPr>
          <w:p w14:paraId="175F403E">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769" w:type="pct"/>
            <w:noWrap/>
          </w:tcPr>
          <w:p w14:paraId="3C3051A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674" w:type="pct"/>
            <w:noWrap/>
          </w:tcPr>
          <w:p w14:paraId="24B875C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c>
          <w:tcPr>
            <w:tcW w:w="434" w:type="pct"/>
            <w:noWrap/>
          </w:tcPr>
          <w:p w14:paraId="538B9A3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cs="宋体"/>
                <w:color w:val="auto"/>
                <w:sz w:val="22"/>
                <w:highlight w:val="none"/>
              </w:rPr>
            </w:pPr>
          </w:p>
        </w:tc>
      </w:tr>
    </w:tbl>
    <w:p w14:paraId="35455760">
      <w:pPr>
        <w:pStyle w:val="2"/>
        <w:ind w:firstLine="1760"/>
        <w:jc w:val="both"/>
        <w:rPr>
          <w:rFonts w:ascii="宋体" w:hAnsi="宋体" w:cs="宋体"/>
          <w:color w:val="auto"/>
          <w:sz w:val="22"/>
          <w:highlight w:val="none"/>
        </w:rPr>
      </w:pPr>
    </w:p>
    <w:p w14:paraId="4035D47E">
      <w:pPr>
        <w:pStyle w:val="2"/>
        <w:ind w:firstLine="1767"/>
        <w:jc w:val="both"/>
        <w:rPr>
          <w:rFonts w:ascii="宋体" w:hAnsi="宋体" w:eastAsia="宋体" w:cs="宋体"/>
          <w:color w:val="auto"/>
          <w:highlight w:val="none"/>
        </w:rPr>
      </w:pPr>
      <w:r>
        <w:rPr>
          <w:rFonts w:hint="eastAsia" w:ascii="宋体" w:hAnsi="宋体" w:cs="宋体"/>
          <w:color w:val="auto"/>
          <w:sz w:val="22"/>
          <w:highlight w:val="none"/>
        </w:rPr>
        <w:t>附表三、项目管理班子配备情况表</w:t>
      </w:r>
    </w:p>
    <w:p w14:paraId="6C25BEB6">
      <w:pPr>
        <w:spacing w:line="440" w:lineRule="exact"/>
        <w:ind w:firstLine="1760"/>
        <w:rPr>
          <w:rFonts w:ascii="宋体" w:cs="宋体"/>
          <w:b/>
          <w:bCs/>
          <w:color w:val="auto"/>
          <w:sz w:val="22"/>
          <w:highlight w:val="none"/>
        </w:rPr>
      </w:pPr>
    </w:p>
    <w:tbl>
      <w:tblPr>
        <w:tblStyle w:val="65"/>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752"/>
        <w:gridCol w:w="755"/>
        <w:gridCol w:w="902"/>
        <w:gridCol w:w="902"/>
        <w:gridCol w:w="902"/>
        <w:gridCol w:w="902"/>
        <w:gridCol w:w="1466"/>
        <w:gridCol w:w="904"/>
        <w:gridCol w:w="1146"/>
      </w:tblGrid>
      <w:tr w14:paraId="499E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368" w:type="pct"/>
            <w:vMerge w:val="restart"/>
            <w:noWrap/>
            <w:vAlign w:val="center"/>
          </w:tcPr>
          <w:p w14:paraId="7F123D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职务</w:t>
            </w:r>
          </w:p>
        </w:tc>
        <w:tc>
          <w:tcPr>
            <w:tcW w:w="404" w:type="pct"/>
            <w:vMerge w:val="restart"/>
            <w:noWrap/>
            <w:vAlign w:val="center"/>
          </w:tcPr>
          <w:p w14:paraId="79C4F1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姓名</w:t>
            </w:r>
          </w:p>
        </w:tc>
        <w:tc>
          <w:tcPr>
            <w:tcW w:w="405" w:type="pct"/>
            <w:vMerge w:val="restart"/>
            <w:noWrap/>
            <w:vAlign w:val="center"/>
          </w:tcPr>
          <w:p w14:paraId="13759F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职称</w:t>
            </w:r>
          </w:p>
        </w:tc>
        <w:tc>
          <w:tcPr>
            <w:tcW w:w="2723" w:type="pct"/>
            <w:gridSpan w:val="5"/>
            <w:noWrap/>
            <w:vAlign w:val="center"/>
          </w:tcPr>
          <w:p w14:paraId="226384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上岗资格证明</w:t>
            </w:r>
          </w:p>
        </w:tc>
        <w:tc>
          <w:tcPr>
            <w:tcW w:w="1097" w:type="pct"/>
            <w:gridSpan w:val="2"/>
            <w:noWrap/>
            <w:vAlign w:val="center"/>
          </w:tcPr>
          <w:p w14:paraId="5ED26C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已承担在建工程情况</w:t>
            </w:r>
          </w:p>
        </w:tc>
      </w:tr>
      <w:tr w14:paraId="5137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368" w:type="pct"/>
            <w:vMerge w:val="continue"/>
            <w:noWrap/>
          </w:tcPr>
          <w:p w14:paraId="68A7EA9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04" w:type="pct"/>
            <w:vMerge w:val="continue"/>
            <w:noWrap/>
          </w:tcPr>
          <w:p w14:paraId="0CDF932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05" w:type="pct"/>
            <w:vMerge w:val="continue"/>
            <w:noWrap/>
          </w:tcPr>
          <w:p w14:paraId="781DE389">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vAlign w:val="center"/>
          </w:tcPr>
          <w:p w14:paraId="2DAEF5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证书</w:t>
            </w:r>
          </w:p>
          <w:p w14:paraId="2C19B7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名称</w:t>
            </w:r>
          </w:p>
        </w:tc>
        <w:tc>
          <w:tcPr>
            <w:tcW w:w="484" w:type="pct"/>
            <w:noWrap/>
            <w:vAlign w:val="center"/>
          </w:tcPr>
          <w:p w14:paraId="71B3FC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级别</w:t>
            </w:r>
          </w:p>
        </w:tc>
        <w:tc>
          <w:tcPr>
            <w:tcW w:w="484" w:type="pct"/>
            <w:noWrap/>
            <w:vAlign w:val="center"/>
          </w:tcPr>
          <w:p w14:paraId="20EDEF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证号</w:t>
            </w:r>
          </w:p>
        </w:tc>
        <w:tc>
          <w:tcPr>
            <w:tcW w:w="484" w:type="pct"/>
            <w:noWrap/>
            <w:vAlign w:val="center"/>
          </w:tcPr>
          <w:p w14:paraId="630E54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专业</w:t>
            </w:r>
          </w:p>
        </w:tc>
        <w:tc>
          <w:tcPr>
            <w:tcW w:w="785" w:type="pct"/>
            <w:noWrap/>
            <w:vAlign w:val="center"/>
          </w:tcPr>
          <w:p w14:paraId="37C2B2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原服务单位</w:t>
            </w:r>
          </w:p>
        </w:tc>
        <w:tc>
          <w:tcPr>
            <w:tcW w:w="485" w:type="pct"/>
            <w:noWrap/>
            <w:vAlign w:val="center"/>
          </w:tcPr>
          <w:p w14:paraId="433A58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项目数</w:t>
            </w:r>
          </w:p>
        </w:tc>
        <w:tc>
          <w:tcPr>
            <w:tcW w:w="612" w:type="pct"/>
            <w:noWrap/>
            <w:vAlign w:val="center"/>
          </w:tcPr>
          <w:p w14:paraId="306296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cs="宋体"/>
                <w:color w:val="auto"/>
                <w:kern w:val="0"/>
                <w:sz w:val="22"/>
                <w:highlight w:val="none"/>
              </w:rPr>
            </w:pPr>
            <w:r>
              <w:rPr>
                <w:rFonts w:hint="eastAsia" w:ascii="宋体" w:hAnsi="宋体" w:cs="宋体"/>
                <w:color w:val="auto"/>
                <w:kern w:val="0"/>
                <w:sz w:val="22"/>
                <w:highlight w:val="none"/>
              </w:rPr>
              <w:t>主要项目名称</w:t>
            </w:r>
          </w:p>
        </w:tc>
      </w:tr>
      <w:tr w14:paraId="7741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8" w:type="pct"/>
            <w:noWrap/>
          </w:tcPr>
          <w:p w14:paraId="4E6B62F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04" w:type="pct"/>
            <w:noWrap/>
          </w:tcPr>
          <w:p w14:paraId="08C05BD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05" w:type="pct"/>
            <w:noWrap/>
          </w:tcPr>
          <w:p w14:paraId="56905D8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7B622CF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0063B66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0C5A648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02CEEB8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785" w:type="pct"/>
            <w:noWrap/>
          </w:tcPr>
          <w:p w14:paraId="572E7E8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5" w:type="pct"/>
            <w:noWrap/>
          </w:tcPr>
          <w:p w14:paraId="2DB8486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612" w:type="pct"/>
            <w:noWrap/>
          </w:tcPr>
          <w:p w14:paraId="11BF699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r>
      <w:tr w14:paraId="7724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8" w:type="pct"/>
            <w:noWrap/>
          </w:tcPr>
          <w:p w14:paraId="33BDFD5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04" w:type="pct"/>
            <w:noWrap/>
          </w:tcPr>
          <w:p w14:paraId="1AAD41E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05" w:type="pct"/>
            <w:noWrap/>
          </w:tcPr>
          <w:p w14:paraId="03C7384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0CC7D0F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68A787C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7E10385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4F4EBFD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785" w:type="pct"/>
            <w:noWrap/>
          </w:tcPr>
          <w:p w14:paraId="1B2291B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5" w:type="pct"/>
            <w:noWrap/>
          </w:tcPr>
          <w:p w14:paraId="183D07E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612" w:type="pct"/>
            <w:noWrap/>
          </w:tcPr>
          <w:p w14:paraId="7865DEE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r>
      <w:tr w14:paraId="63DE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8" w:type="pct"/>
            <w:noWrap/>
          </w:tcPr>
          <w:p w14:paraId="5D0633F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04" w:type="pct"/>
            <w:noWrap/>
          </w:tcPr>
          <w:p w14:paraId="52044D3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05" w:type="pct"/>
            <w:noWrap/>
          </w:tcPr>
          <w:p w14:paraId="0A122F1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76A43F9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16298331">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519AACC4">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35E2BD5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785" w:type="pct"/>
            <w:noWrap/>
          </w:tcPr>
          <w:p w14:paraId="56874A5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5" w:type="pct"/>
            <w:noWrap/>
          </w:tcPr>
          <w:p w14:paraId="1F3ABB6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612" w:type="pct"/>
            <w:noWrap/>
          </w:tcPr>
          <w:p w14:paraId="2B33235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r>
      <w:tr w14:paraId="1481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8" w:type="pct"/>
            <w:noWrap/>
          </w:tcPr>
          <w:p w14:paraId="7A02A6C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04" w:type="pct"/>
            <w:noWrap/>
          </w:tcPr>
          <w:p w14:paraId="52C5F77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05" w:type="pct"/>
            <w:noWrap/>
          </w:tcPr>
          <w:p w14:paraId="0FB366C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707A8BE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2855EBD2">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0344951C">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4" w:type="pct"/>
            <w:noWrap/>
          </w:tcPr>
          <w:p w14:paraId="7919010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785" w:type="pct"/>
            <w:noWrap/>
          </w:tcPr>
          <w:p w14:paraId="4F4949AD">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485" w:type="pct"/>
            <w:noWrap/>
          </w:tcPr>
          <w:p w14:paraId="499C646A">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c>
          <w:tcPr>
            <w:tcW w:w="612" w:type="pct"/>
            <w:noWrap/>
          </w:tcPr>
          <w:p w14:paraId="0FC505EF">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p>
        </w:tc>
      </w:tr>
      <w:tr w14:paraId="74B7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5000" w:type="pct"/>
            <w:gridSpan w:val="10"/>
            <w:noWrap/>
          </w:tcPr>
          <w:p w14:paraId="43CB98F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cs="宋体"/>
                <w:color w:val="auto"/>
                <w:kern w:val="0"/>
                <w:sz w:val="22"/>
                <w:highlight w:val="none"/>
              </w:rPr>
            </w:pPr>
            <w:r>
              <w:rPr>
                <w:rFonts w:hint="eastAsia" w:ascii="宋体" w:hAnsi="宋体" w:cs="宋体"/>
                <w:color w:val="auto"/>
                <w:kern w:val="0"/>
                <w:sz w:val="22"/>
                <w:highlight w:val="none"/>
              </w:rPr>
              <w:t>本工程一旦我单位成交，将实行项目负责人负责制，并配备上述项目管理班子。上述填报内容真实，若不真实，愿按有关规定接受处理。项目管理班子机构设置、职责分工等情况另附资料说明。</w:t>
            </w:r>
          </w:p>
        </w:tc>
      </w:tr>
    </w:tbl>
    <w:p w14:paraId="40158611">
      <w:pPr>
        <w:spacing w:line="440" w:lineRule="exact"/>
        <w:ind w:firstLine="1760"/>
        <w:rPr>
          <w:rFonts w:ascii="宋体" w:hAnsi="宋体" w:cs="宋体"/>
          <w:b/>
          <w:bCs/>
          <w:color w:val="auto"/>
          <w:sz w:val="22"/>
          <w:highlight w:val="none"/>
        </w:rPr>
      </w:pPr>
    </w:p>
    <w:p w14:paraId="14C51F68">
      <w:pPr>
        <w:spacing w:line="440" w:lineRule="exact"/>
        <w:ind w:firstLine="1767"/>
        <w:rPr>
          <w:rFonts w:ascii="宋体" w:cs="宋体"/>
          <w:b/>
          <w:bCs/>
          <w:color w:val="auto"/>
          <w:sz w:val="22"/>
          <w:highlight w:val="none"/>
        </w:rPr>
      </w:pPr>
      <w:r>
        <w:rPr>
          <w:rFonts w:hint="eastAsia" w:ascii="宋体" w:hAnsi="宋体" w:cs="宋体"/>
          <w:b/>
          <w:bCs/>
          <w:color w:val="auto"/>
          <w:sz w:val="22"/>
          <w:highlight w:val="none"/>
        </w:rPr>
        <w:t>附表四、</w:t>
      </w:r>
      <w:r>
        <w:rPr>
          <w:rFonts w:hint="eastAsia" w:ascii="宋体" w:hAnsi="宋体" w:cs="宋体"/>
          <w:b/>
          <w:bCs/>
          <w:color w:val="auto"/>
          <w:kern w:val="0"/>
          <w:sz w:val="22"/>
          <w:highlight w:val="none"/>
        </w:rPr>
        <w:t>项目负责人简历表</w:t>
      </w:r>
    </w:p>
    <w:tbl>
      <w:tblPr>
        <w:tblStyle w:val="6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524"/>
        <w:gridCol w:w="1524"/>
        <w:gridCol w:w="1656"/>
        <w:gridCol w:w="1527"/>
        <w:gridCol w:w="1529"/>
      </w:tblGrid>
      <w:tr w14:paraId="1696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69529B77">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姓名</w:t>
            </w:r>
          </w:p>
        </w:tc>
        <w:tc>
          <w:tcPr>
            <w:tcW w:w="821" w:type="pct"/>
            <w:noWrap/>
            <w:vAlign w:val="center"/>
          </w:tcPr>
          <w:p w14:paraId="21231766">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5A455E7F">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性别</w:t>
            </w:r>
          </w:p>
        </w:tc>
        <w:tc>
          <w:tcPr>
            <w:tcW w:w="892" w:type="pct"/>
            <w:noWrap/>
            <w:vAlign w:val="center"/>
          </w:tcPr>
          <w:p w14:paraId="3247220D">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6DF2267C">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年龄</w:t>
            </w:r>
          </w:p>
        </w:tc>
        <w:tc>
          <w:tcPr>
            <w:tcW w:w="821" w:type="pct"/>
            <w:noWrap/>
            <w:vAlign w:val="center"/>
          </w:tcPr>
          <w:p w14:paraId="7DBB541C">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r>
      <w:tr w14:paraId="6ABC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2F6F0C28">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职务</w:t>
            </w:r>
          </w:p>
        </w:tc>
        <w:tc>
          <w:tcPr>
            <w:tcW w:w="821" w:type="pct"/>
            <w:noWrap/>
            <w:vAlign w:val="center"/>
          </w:tcPr>
          <w:p w14:paraId="52322CA7">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69E7DF80">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职称</w:t>
            </w:r>
          </w:p>
        </w:tc>
        <w:tc>
          <w:tcPr>
            <w:tcW w:w="892" w:type="pct"/>
            <w:noWrap/>
            <w:vAlign w:val="center"/>
          </w:tcPr>
          <w:p w14:paraId="7F7633B9">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74AB3491">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学历</w:t>
            </w:r>
          </w:p>
        </w:tc>
        <w:tc>
          <w:tcPr>
            <w:tcW w:w="821" w:type="pct"/>
            <w:noWrap/>
            <w:vAlign w:val="center"/>
          </w:tcPr>
          <w:p w14:paraId="670CA253">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r>
      <w:tr w14:paraId="3A2B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42" w:type="pct"/>
            <w:gridSpan w:val="2"/>
            <w:noWrap/>
            <w:vAlign w:val="center"/>
          </w:tcPr>
          <w:p w14:paraId="4F924F60">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参加工作时间</w:t>
            </w:r>
          </w:p>
        </w:tc>
        <w:tc>
          <w:tcPr>
            <w:tcW w:w="821" w:type="pct"/>
            <w:noWrap/>
            <w:vAlign w:val="center"/>
          </w:tcPr>
          <w:p w14:paraId="3AFBF137">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1714" w:type="pct"/>
            <w:gridSpan w:val="2"/>
            <w:noWrap/>
            <w:vAlign w:val="center"/>
          </w:tcPr>
          <w:p w14:paraId="6E618E90">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从事项目负责人年限</w:t>
            </w:r>
          </w:p>
        </w:tc>
        <w:tc>
          <w:tcPr>
            <w:tcW w:w="821" w:type="pct"/>
            <w:noWrap/>
            <w:vAlign w:val="center"/>
          </w:tcPr>
          <w:p w14:paraId="2FA7245F">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r>
      <w:tr w14:paraId="2030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42" w:type="pct"/>
            <w:gridSpan w:val="2"/>
            <w:noWrap/>
            <w:vAlign w:val="center"/>
          </w:tcPr>
          <w:p w14:paraId="2469575A">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项目负责人证书编号</w:t>
            </w:r>
          </w:p>
        </w:tc>
        <w:tc>
          <w:tcPr>
            <w:tcW w:w="3357" w:type="pct"/>
            <w:gridSpan w:val="4"/>
            <w:noWrap/>
            <w:vAlign w:val="center"/>
          </w:tcPr>
          <w:p w14:paraId="7848E970">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r>
      <w:tr w14:paraId="480B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6"/>
            <w:noWrap/>
            <w:vAlign w:val="center"/>
          </w:tcPr>
          <w:p w14:paraId="7DEEAA65">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在建和已完工程项目情况</w:t>
            </w:r>
          </w:p>
        </w:tc>
      </w:tr>
      <w:tr w14:paraId="6565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0B6196A1">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建设单位</w:t>
            </w:r>
          </w:p>
        </w:tc>
        <w:tc>
          <w:tcPr>
            <w:tcW w:w="821" w:type="pct"/>
            <w:noWrap/>
            <w:vAlign w:val="center"/>
          </w:tcPr>
          <w:p w14:paraId="39DC5317">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项目名称</w:t>
            </w:r>
          </w:p>
        </w:tc>
        <w:tc>
          <w:tcPr>
            <w:tcW w:w="821" w:type="pct"/>
            <w:noWrap/>
            <w:vAlign w:val="center"/>
          </w:tcPr>
          <w:p w14:paraId="546C6076">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建设规模</w:t>
            </w:r>
          </w:p>
        </w:tc>
        <w:tc>
          <w:tcPr>
            <w:tcW w:w="892" w:type="pct"/>
            <w:noWrap/>
            <w:vAlign w:val="center"/>
          </w:tcPr>
          <w:p w14:paraId="5CBD772A">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开、竣工日期</w:t>
            </w:r>
          </w:p>
        </w:tc>
        <w:tc>
          <w:tcPr>
            <w:tcW w:w="821" w:type="pct"/>
            <w:noWrap/>
            <w:vAlign w:val="center"/>
          </w:tcPr>
          <w:p w14:paraId="6B918077">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在建或已完</w:t>
            </w:r>
          </w:p>
        </w:tc>
        <w:tc>
          <w:tcPr>
            <w:tcW w:w="821" w:type="pct"/>
            <w:noWrap/>
            <w:vAlign w:val="center"/>
          </w:tcPr>
          <w:p w14:paraId="47FA38E3">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r>
              <w:rPr>
                <w:rFonts w:hint="eastAsia" w:ascii="宋体" w:hAnsi="宋体" w:cs="宋体"/>
                <w:color w:val="auto"/>
                <w:kern w:val="0"/>
                <w:sz w:val="22"/>
                <w:highlight w:val="none"/>
              </w:rPr>
              <w:t>工程质量</w:t>
            </w:r>
          </w:p>
        </w:tc>
      </w:tr>
      <w:tr w14:paraId="69A5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747FBB6C">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6346154B">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12ABD037">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92" w:type="pct"/>
            <w:noWrap/>
            <w:vAlign w:val="center"/>
          </w:tcPr>
          <w:p w14:paraId="645F8C05">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408B84F1">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4377E552">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r>
      <w:tr w14:paraId="4E0A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0719B140">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7FB19420">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5A8C9273">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92" w:type="pct"/>
            <w:noWrap/>
            <w:vAlign w:val="center"/>
          </w:tcPr>
          <w:p w14:paraId="5DDB254F">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3B33383E">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3701759F">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r>
      <w:tr w14:paraId="42D6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21" w:type="pct"/>
            <w:noWrap/>
            <w:vAlign w:val="center"/>
          </w:tcPr>
          <w:p w14:paraId="7471A0BB">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46301F2B">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3F288A90">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92" w:type="pct"/>
            <w:noWrap/>
            <w:vAlign w:val="center"/>
          </w:tcPr>
          <w:p w14:paraId="11589D44">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0F960336">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c>
          <w:tcPr>
            <w:tcW w:w="821" w:type="pct"/>
            <w:noWrap/>
            <w:vAlign w:val="center"/>
          </w:tcPr>
          <w:p w14:paraId="0905E95D">
            <w:pPr>
              <w:keepNext w:val="0"/>
              <w:keepLines w:val="0"/>
              <w:pageBreakBefore w:val="0"/>
              <w:widowControl w:val="0"/>
              <w:kinsoku/>
              <w:wordWrap/>
              <w:overflowPunct/>
              <w:topLinePunct w:val="0"/>
              <w:autoSpaceDE/>
              <w:autoSpaceDN/>
              <w:bidi w:val="0"/>
              <w:adjustRightInd/>
              <w:snapToGrid/>
              <w:ind w:firstLine="0"/>
              <w:jc w:val="center"/>
              <w:textAlignment w:val="auto"/>
              <w:rPr>
                <w:rFonts w:ascii="宋体" w:cs="宋体"/>
                <w:color w:val="auto"/>
                <w:kern w:val="0"/>
                <w:sz w:val="22"/>
                <w:highlight w:val="none"/>
              </w:rPr>
            </w:pPr>
          </w:p>
        </w:tc>
      </w:tr>
    </w:tbl>
    <w:p w14:paraId="33F4E91D">
      <w:pPr>
        <w:spacing w:line="360" w:lineRule="auto"/>
        <w:ind w:firstLine="1767"/>
        <w:rPr>
          <w:rFonts w:ascii="宋体" w:cs="宋体"/>
          <w:color w:val="auto"/>
          <w:kern w:val="0"/>
          <w:sz w:val="22"/>
          <w:highlight w:val="none"/>
        </w:rPr>
      </w:pPr>
      <w:r>
        <w:rPr>
          <w:rFonts w:hint="eastAsia" w:ascii="宋体" w:hAnsi="宋体" w:cs="宋体"/>
          <w:color w:val="auto"/>
          <w:kern w:val="0"/>
          <w:sz w:val="22"/>
          <w:highlight w:val="none"/>
        </w:rPr>
        <w:t>备注：后附项目负责人注册证书、</w:t>
      </w:r>
      <w:r>
        <w:rPr>
          <w:rFonts w:ascii="宋体" w:hAnsi="宋体" w:cs="宋体"/>
          <w:color w:val="auto"/>
          <w:kern w:val="0"/>
          <w:sz w:val="22"/>
          <w:highlight w:val="none"/>
        </w:rPr>
        <w:t>B</w:t>
      </w:r>
      <w:r>
        <w:rPr>
          <w:rFonts w:hint="eastAsia" w:ascii="宋体" w:hAnsi="宋体" w:cs="宋体"/>
          <w:color w:val="auto"/>
          <w:kern w:val="0"/>
          <w:sz w:val="22"/>
          <w:highlight w:val="none"/>
        </w:rPr>
        <w:t>证等</w:t>
      </w:r>
    </w:p>
    <w:p w14:paraId="559FC9BC">
      <w:pPr>
        <w:tabs>
          <w:tab w:val="left" w:pos="720"/>
        </w:tabs>
        <w:spacing w:line="440" w:lineRule="exact"/>
        <w:ind w:firstLine="1760"/>
        <w:jc w:val="left"/>
        <w:rPr>
          <w:rFonts w:ascii="宋体" w:hAnsi="宋体" w:cs="宋体"/>
          <w:b/>
          <w:bCs/>
          <w:color w:val="auto"/>
          <w:sz w:val="22"/>
          <w:highlight w:val="none"/>
        </w:rPr>
      </w:pPr>
      <w:bookmarkStart w:id="1184" w:name="_Toc144974867"/>
      <w:bookmarkStart w:id="1185" w:name="_Toc152045799"/>
      <w:bookmarkStart w:id="1186" w:name="_Toc179632819"/>
      <w:bookmarkStart w:id="1187" w:name="_Toc246392157"/>
      <w:bookmarkStart w:id="1188" w:name="_Toc152042588"/>
    </w:p>
    <w:p w14:paraId="6E0B2715">
      <w:pPr>
        <w:tabs>
          <w:tab w:val="left" w:pos="720"/>
        </w:tabs>
        <w:spacing w:line="440" w:lineRule="exact"/>
        <w:ind w:firstLine="1767"/>
        <w:jc w:val="left"/>
        <w:rPr>
          <w:rFonts w:ascii="宋体" w:cs="宋体"/>
          <w:b/>
          <w:bCs/>
          <w:color w:val="auto"/>
          <w:sz w:val="22"/>
          <w:highlight w:val="none"/>
        </w:rPr>
      </w:pPr>
      <w:r>
        <w:rPr>
          <w:rFonts w:hint="eastAsia" w:ascii="宋体" w:hAnsi="宋体" w:cs="宋体"/>
          <w:b/>
          <w:bCs/>
          <w:color w:val="auto"/>
          <w:sz w:val="22"/>
          <w:highlight w:val="none"/>
        </w:rPr>
        <w:t>附表五：劳动力计划表</w:t>
      </w:r>
      <w:bookmarkEnd w:id="1184"/>
      <w:bookmarkEnd w:id="1185"/>
      <w:bookmarkEnd w:id="1186"/>
      <w:bookmarkEnd w:id="1187"/>
      <w:bookmarkEnd w:id="1188"/>
    </w:p>
    <w:p w14:paraId="3CE73F26">
      <w:pPr>
        <w:tabs>
          <w:tab w:val="left" w:pos="720"/>
        </w:tabs>
        <w:spacing w:line="440" w:lineRule="exact"/>
        <w:ind w:firstLine="1767"/>
        <w:jc w:val="right"/>
        <w:rPr>
          <w:rFonts w:ascii="宋体" w:cs="宋体"/>
          <w:color w:val="auto"/>
          <w:sz w:val="22"/>
          <w:highlight w:val="none"/>
        </w:rPr>
      </w:pPr>
      <w:r>
        <w:rPr>
          <w:rFonts w:hint="eastAsia" w:ascii="宋体" w:hAnsi="宋体" w:cs="宋体"/>
          <w:color w:val="auto"/>
          <w:sz w:val="22"/>
          <w:highlight w:val="none"/>
        </w:rPr>
        <w:t>单位：人</w:t>
      </w:r>
    </w:p>
    <w:tbl>
      <w:tblPr>
        <w:tblStyle w:val="6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3"/>
        <w:gridCol w:w="752"/>
        <w:gridCol w:w="1025"/>
        <w:gridCol w:w="1026"/>
        <w:gridCol w:w="756"/>
        <w:gridCol w:w="1026"/>
        <w:gridCol w:w="1026"/>
        <w:gridCol w:w="1252"/>
      </w:tblGrid>
      <w:tr w14:paraId="3D53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vAlign w:val="center"/>
          </w:tcPr>
          <w:p w14:paraId="0E6E6BA6">
            <w:pPr>
              <w:spacing w:line="440" w:lineRule="exact"/>
              <w:ind w:firstLine="1767"/>
              <w:jc w:val="center"/>
              <w:rPr>
                <w:rFonts w:ascii="宋体" w:cs="宋体"/>
                <w:color w:val="auto"/>
                <w:sz w:val="22"/>
                <w:highlight w:val="none"/>
              </w:rPr>
            </w:pPr>
            <w:r>
              <w:rPr>
                <w:rFonts w:hint="eastAsia" w:ascii="宋体" w:hAnsi="宋体" w:cs="宋体"/>
                <w:color w:val="auto"/>
                <w:sz w:val="22"/>
                <w:highlight w:val="none"/>
              </w:rPr>
              <w:t>工种</w:t>
            </w:r>
          </w:p>
        </w:tc>
        <w:tc>
          <w:tcPr>
            <w:tcW w:w="4275" w:type="pct"/>
            <w:gridSpan w:val="7"/>
            <w:noWrap/>
            <w:vAlign w:val="center"/>
          </w:tcPr>
          <w:p w14:paraId="3D2486C9">
            <w:pPr>
              <w:spacing w:line="440" w:lineRule="exact"/>
              <w:ind w:firstLine="1767"/>
              <w:jc w:val="center"/>
              <w:rPr>
                <w:rFonts w:ascii="宋体" w:cs="宋体"/>
                <w:color w:val="auto"/>
                <w:sz w:val="22"/>
                <w:highlight w:val="none"/>
              </w:rPr>
            </w:pPr>
            <w:r>
              <w:rPr>
                <w:rFonts w:hint="eastAsia" w:ascii="宋体" w:hAnsi="宋体" w:cs="宋体"/>
                <w:color w:val="auto"/>
                <w:sz w:val="22"/>
                <w:highlight w:val="none"/>
              </w:rPr>
              <w:t>按工程施工阶段投入劳动力情况</w:t>
            </w:r>
          </w:p>
        </w:tc>
      </w:tr>
      <w:tr w14:paraId="1BA4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vAlign w:val="center"/>
          </w:tcPr>
          <w:p w14:paraId="4ED8C4B6">
            <w:pPr>
              <w:spacing w:line="440" w:lineRule="exact"/>
              <w:ind w:firstLine="1767"/>
              <w:jc w:val="center"/>
              <w:rPr>
                <w:rFonts w:ascii="宋体" w:cs="宋体"/>
                <w:color w:val="auto"/>
                <w:sz w:val="22"/>
                <w:highlight w:val="none"/>
              </w:rPr>
            </w:pPr>
          </w:p>
        </w:tc>
        <w:tc>
          <w:tcPr>
            <w:tcW w:w="488" w:type="pct"/>
            <w:noWrap/>
            <w:vAlign w:val="center"/>
          </w:tcPr>
          <w:p w14:paraId="6CFF5FA5">
            <w:pPr>
              <w:spacing w:line="440" w:lineRule="exact"/>
              <w:ind w:firstLine="1767"/>
              <w:jc w:val="center"/>
              <w:rPr>
                <w:rFonts w:ascii="宋体" w:cs="宋体"/>
                <w:color w:val="auto"/>
                <w:sz w:val="22"/>
                <w:highlight w:val="none"/>
              </w:rPr>
            </w:pPr>
          </w:p>
        </w:tc>
        <w:tc>
          <w:tcPr>
            <w:tcW w:w="635" w:type="pct"/>
            <w:noWrap/>
            <w:vAlign w:val="center"/>
          </w:tcPr>
          <w:p w14:paraId="1C051B81">
            <w:pPr>
              <w:spacing w:line="440" w:lineRule="exact"/>
              <w:ind w:firstLine="1767"/>
              <w:jc w:val="center"/>
              <w:rPr>
                <w:rFonts w:ascii="宋体" w:cs="宋体"/>
                <w:color w:val="auto"/>
                <w:sz w:val="22"/>
                <w:highlight w:val="none"/>
              </w:rPr>
            </w:pPr>
          </w:p>
        </w:tc>
        <w:tc>
          <w:tcPr>
            <w:tcW w:w="635" w:type="pct"/>
            <w:noWrap/>
            <w:vAlign w:val="center"/>
          </w:tcPr>
          <w:p w14:paraId="0AFCE055">
            <w:pPr>
              <w:spacing w:line="440" w:lineRule="exact"/>
              <w:ind w:firstLine="1767"/>
              <w:jc w:val="center"/>
              <w:rPr>
                <w:rFonts w:ascii="宋体" w:cs="宋体"/>
                <w:color w:val="auto"/>
                <w:sz w:val="22"/>
                <w:highlight w:val="none"/>
              </w:rPr>
            </w:pPr>
          </w:p>
        </w:tc>
        <w:tc>
          <w:tcPr>
            <w:tcW w:w="490" w:type="pct"/>
            <w:noWrap/>
            <w:vAlign w:val="center"/>
          </w:tcPr>
          <w:p w14:paraId="2236E6C3">
            <w:pPr>
              <w:spacing w:line="440" w:lineRule="exact"/>
              <w:ind w:firstLine="1767"/>
              <w:jc w:val="center"/>
              <w:rPr>
                <w:rFonts w:ascii="宋体" w:cs="宋体"/>
                <w:color w:val="auto"/>
                <w:sz w:val="22"/>
                <w:highlight w:val="none"/>
              </w:rPr>
            </w:pPr>
          </w:p>
        </w:tc>
        <w:tc>
          <w:tcPr>
            <w:tcW w:w="635" w:type="pct"/>
            <w:noWrap/>
            <w:vAlign w:val="center"/>
          </w:tcPr>
          <w:p w14:paraId="2F3F7E10">
            <w:pPr>
              <w:spacing w:line="440" w:lineRule="exact"/>
              <w:ind w:firstLine="1767"/>
              <w:jc w:val="center"/>
              <w:rPr>
                <w:rFonts w:ascii="宋体" w:cs="宋体"/>
                <w:color w:val="auto"/>
                <w:sz w:val="22"/>
                <w:highlight w:val="none"/>
              </w:rPr>
            </w:pPr>
          </w:p>
        </w:tc>
        <w:tc>
          <w:tcPr>
            <w:tcW w:w="635" w:type="pct"/>
            <w:noWrap/>
            <w:vAlign w:val="center"/>
          </w:tcPr>
          <w:p w14:paraId="31D400A2">
            <w:pPr>
              <w:spacing w:line="440" w:lineRule="exact"/>
              <w:ind w:firstLine="1767"/>
              <w:jc w:val="center"/>
              <w:rPr>
                <w:rFonts w:ascii="宋体" w:cs="宋体"/>
                <w:color w:val="auto"/>
                <w:sz w:val="22"/>
                <w:highlight w:val="none"/>
              </w:rPr>
            </w:pPr>
          </w:p>
        </w:tc>
        <w:tc>
          <w:tcPr>
            <w:tcW w:w="753" w:type="pct"/>
            <w:noWrap/>
            <w:vAlign w:val="center"/>
          </w:tcPr>
          <w:p w14:paraId="2D291202">
            <w:pPr>
              <w:spacing w:line="440" w:lineRule="exact"/>
              <w:ind w:firstLine="1767"/>
              <w:jc w:val="center"/>
              <w:rPr>
                <w:rFonts w:ascii="宋体" w:cs="宋体"/>
                <w:color w:val="auto"/>
                <w:sz w:val="22"/>
                <w:highlight w:val="none"/>
              </w:rPr>
            </w:pPr>
          </w:p>
        </w:tc>
      </w:tr>
      <w:tr w14:paraId="6696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vAlign w:val="center"/>
          </w:tcPr>
          <w:p w14:paraId="1367D248">
            <w:pPr>
              <w:spacing w:line="440" w:lineRule="exact"/>
              <w:ind w:firstLine="1767"/>
              <w:jc w:val="center"/>
              <w:rPr>
                <w:rFonts w:ascii="宋体" w:cs="宋体"/>
                <w:color w:val="auto"/>
                <w:sz w:val="22"/>
                <w:highlight w:val="none"/>
              </w:rPr>
            </w:pPr>
          </w:p>
        </w:tc>
        <w:tc>
          <w:tcPr>
            <w:tcW w:w="488" w:type="pct"/>
            <w:noWrap/>
            <w:vAlign w:val="center"/>
          </w:tcPr>
          <w:p w14:paraId="10FABF51">
            <w:pPr>
              <w:spacing w:line="440" w:lineRule="exact"/>
              <w:ind w:firstLine="1767"/>
              <w:jc w:val="center"/>
              <w:rPr>
                <w:rFonts w:ascii="宋体" w:cs="宋体"/>
                <w:color w:val="auto"/>
                <w:sz w:val="22"/>
                <w:highlight w:val="none"/>
              </w:rPr>
            </w:pPr>
          </w:p>
        </w:tc>
        <w:tc>
          <w:tcPr>
            <w:tcW w:w="635" w:type="pct"/>
            <w:noWrap/>
            <w:vAlign w:val="center"/>
          </w:tcPr>
          <w:p w14:paraId="7E8A51E0">
            <w:pPr>
              <w:spacing w:line="440" w:lineRule="exact"/>
              <w:ind w:firstLine="1767"/>
              <w:jc w:val="center"/>
              <w:rPr>
                <w:rFonts w:ascii="宋体" w:cs="宋体"/>
                <w:color w:val="auto"/>
                <w:sz w:val="22"/>
                <w:highlight w:val="none"/>
              </w:rPr>
            </w:pPr>
          </w:p>
        </w:tc>
        <w:tc>
          <w:tcPr>
            <w:tcW w:w="635" w:type="pct"/>
            <w:noWrap/>
            <w:vAlign w:val="center"/>
          </w:tcPr>
          <w:p w14:paraId="1B73FB35">
            <w:pPr>
              <w:spacing w:line="440" w:lineRule="exact"/>
              <w:ind w:firstLine="1767"/>
              <w:jc w:val="center"/>
              <w:rPr>
                <w:rFonts w:ascii="宋体" w:cs="宋体"/>
                <w:color w:val="auto"/>
                <w:sz w:val="22"/>
                <w:highlight w:val="none"/>
              </w:rPr>
            </w:pPr>
          </w:p>
        </w:tc>
        <w:tc>
          <w:tcPr>
            <w:tcW w:w="490" w:type="pct"/>
            <w:noWrap/>
            <w:vAlign w:val="center"/>
          </w:tcPr>
          <w:p w14:paraId="4B78EB68">
            <w:pPr>
              <w:spacing w:line="440" w:lineRule="exact"/>
              <w:ind w:firstLine="1767"/>
              <w:jc w:val="center"/>
              <w:rPr>
                <w:rFonts w:ascii="宋体" w:cs="宋体"/>
                <w:color w:val="auto"/>
                <w:sz w:val="22"/>
                <w:highlight w:val="none"/>
              </w:rPr>
            </w:pPr>
          </w:p>
        </w:tc>
        <w:tc>
          <w:tcPr>
            <w:tcW w:w="635" w:type="pct"/>
            <w:noWrap/>
            <w:vAlign w:val="center"/>
          </w:tcPr>
          <w:p w14:paraId="78EBD5BC">
            <w:pPr>
              <w:spacing w:line="440" w:lineRule="exact"/>
              <w:ind w:firstLine="1767"/>
              <w:jc w:val="center"/>
              <w:rPr>
                <w:rFonts w:ascii="宋体" w:cs="宋体"/>
                <w:color w:val="auto"/>
                <w:sz w:val="22"/>
                <w:highlight w:val="none"/>
              </w:rPr>
            </w:pPr>
          </w:p>
        </w:tc>
        <w:tc>
          <w:tcPr>
            <w:tcW w:w="635" w:type="pct"/>
            <w:noWrap/>
            <w:vAlign w:val="center"/>
          </w:tcPr>
          <w:p w14:paraId="0A738F27">
            <w:pPr>
              <w:spacing w:line="440" w:lineRule="exact"/>
              <w:ind w:firstLine="1767"/>
              <w:jc w:val="center"/>
              <w:rPr>
                <w:rFonts w:ascii="宋体" w:cs="宋体"/>
                <w:color w:val="auto"/>
                <w:sz w:val="22"/>
                <w:highlight w:val="none"/>
              </w:rPr>
            </w:pPr>
          </w:p>
        </w:tc>
        <w:tc>
          <w:tcPr>
            <w:tcW w:w="753" w:type="pct"/>
            <w:noWrap/>
            <w:vAlign w:val="center"/>
          </w:tcPr>
          <w:p w14:paraId="0E477668">
            <w:pPr>
              <w:spacing w:line="440" w:lineRule="exact"/>
              <w:ind w:firstLine="1767"/>
              <w:jc w:val="center"/>
              <w:rPr>
                <w:rFonts w:ascii="宋体" w:cs="宋体"/>
                <w:color w:val="auto"/>
                <w:sz w:val="22"/>
                <w:highlight w:val="none"/>
              </w:rPr>
            </w:pPr>
          </w:p>
        </w:tc>
      </w:tr>
      <w:tr w14:paraId="6560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tcPr>
          <w:p w14:paraId="28504D74">
            <w:pPr>
              <w:spacing w:line="440" w:lineRule="exact"/>
              <w:ind w:firstLine="1767"/>
              <w:jc w:val="center"/>
              <w:rPr>
                <w:rFonts w:ascii="宋体" w:cs="宋体"/>
                <w:color w:val="auto"/>
                <w:sz w:val="22"/>
                <w:highlight w:val="none"/>
              </w:rPr>
            </w:pPr>
          </w:p>
        </w:tc>
        <w:tc>
          <w:tcPr>
            <w:tcW w:w="488" w:type="pct"/>
            <w:noWrap/>
          </w:tcPr>
          <w:p w14:paraId="2BB82685">
            <w:pPr>
              <w:spacing w:line="440" w:lineRule="exact"/>
              <w:ind w:firstLine="1767"/>
              <w:jc w:val="center"/>
              <w:rPr>
                <w:rFonts w:ascii="宋体" w:cs="宋体"/>
                <w:color w:val="auto"/>
                <w:sz w:val="22"/>
                <w:highlight w:val="none"/>
              </w:rPr>
            </w:pPr>
          </w:p>
        </w:tc>
        <w:tc>
          <w:tcPr>
            <w:tcW w:w="635" w:type="pct"/>
            <w:noWrap/>
          </w:tcPr>
          <w:p w14:paraId="52AA8BD1">
            <w:pPr>
              <w:spacing w:line="440" w:lineRule="exact"/>
              <w:ind w:firstLine="1767"/>
              <w:jc w:val="center"/>
              <w:rPr>
                <w:rFonts w:ascii="宋体" w:cs="宋体"/>
                <w:color w:val="auto"/>
                <w:sz w:val="22"/>
                <w:highlight w:val="none"/>
              </w:rPr>
            </w:pPr>
          </w:p>
        </w:tc>
        <w:tc>
          <w:tcPr>
            <w:tcW w:w="635" w:type="pct"/>
            <w:noWrap/>
          </w:tcPr>
          <w:p w14:paraId="73C2A00C">
            <w:pPr>
              <w:spacing w:line="440" w:lineRule="exact"/>
              <w:ind w:firstLine="1767"/>
              <w:jc w:val="center"/>
              <w:rPr>
                <w:rFonts w:ascii="宋体" w:cs="宋体"/>
                <w:color w:val="auto"/>
                <w:sz w:val="22"/>
                <w:highlight w:val="none"/>
              </w:rPr>
            </w:pPr>
          </w:p>
        </w:tc>
        <w:tc>
          <w:tcPr>
            <w:tcW w:w="490" w:type="pct"/>
            <w:noWrap/>
          </w:tcPr>
          <w:p w14:paraId="0C82E55F">
            <w:pPr>
              <w:spacing w:line="440" w:lineRule="exact"/>
              <w:ind w:firstLine="1767"/>
              <w:jc w:val="center"/>
              <w:rPr>
                <w:rFonts w:ascii="宋体" w:cs="宋体"/>
                <w:color w:val="auto"/>
                <w:sz w:val="22"/>
                <w:highlight w:val="none"/>
              </w:rPr>
            </w:pPr>
          </w:p>
        </w:tc>
        <w:tc>
          <w:tcPr>
            <w:tcW w:w="635" w:type="pct"/>
            <w:noWrap/>
          </w:tcPr>
          <w:p w14:paraId="14A62E7A">
            <w:pPr>
              <w:spacing w:line="440" w:lineRule="exact"/>
              <w:ind w:firstLine="1767"/>
              <w:jc w:val="center"/>
              <w:rPr>
                <w:rFonts w:ascii="宋体" w:cs="宋体"/>
                <w:color w:val="auto"/>
                <w:sz w:val="22"/>
                <w:highlight w:val="none"/>
              </w:rPr>
            </w:pPr>
          </w:p>
        </w:tc>
        <w:tc>
          <w:tcPr>
            <w:tcW w:w="635" w:type="pct"/>
            <w:noWrap/>
          </w:tcPr>
          <w:p w14:paraId="4651C44E">
            <w:pPr>
              <w:spacing w:line="440" w:lineRule="exact"/>
              <w:ind w:firstLine="1767"/>
              <w:jc w:val="center"/>
              <w:rPr>
                <w:rFonts w:ascii="宋体" w:cs="宋体"/>
                <w:color w:val="auto"/>
                <w:sz w:val="22"/>
                <w:highlight w:val="none"/>
              </w:rPr>
            </w:pPr>
          </w:p>
        </w:tc>
        <w:tc>
          <w:tcPr>
            <w:tcW w:w="753" w:type="pct"/>
            <w:noWrap/>
          </w:tcPr>
          <w:p w14:paraId="49E4B0D6">
            <w:pPr>
              <w:spacing w:line="440" w:lineRule="exact"/>
              <w:ind w:firstLine="1767"/>
              <w:jc w:val="center"/>
              <w:rPr>
                <w:rFonts w:ascii="宋体" w:cs="宋体"/>
                <w:color w:val="auto"/>
                <w:sz w:val="22"/>
                <w:highlight w:val="none"/>
              </w:rPr>
            </w:pPr>
          </w:p>
        </w:tc>
      </w:tr>
      <w:tr w14:paraId="1FFE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tcPr>
          <w:p w14:paraId="527276AB">
            <w:pPr>
              <w:spacing w:line="440" w:lineRule="exact"/>
              <w:ind w:firstLine="1767"/>
              <w:jc w:val="center"/>
              <w:rPr>
                <w:rFonts w:ascii="宋体" w:cs="宋体"/>
                <w:color w:val="auto"/>
                <w:sz w:val="22"/>
                <w:highlight w:val="none"/>
              </w:rPr>
            </w:pPr>
          </w:p>
        </w:tc>
        <w:tc>
          <w:tcPr>
            <w:tcW w:w="488" w:type="pct"/>
            <w:noWrap/>
          </w:tcPr>
          <w:p w14:paraId="0C3F5664">
            <w:pPr>
              <w:spacing w:line="440" w:lineRule="exact"/>
              <w:ind w:firstLine="1767"/>
              <w:jc w:val="center"/>
              <w:rPr>
                <w:rFonts w:ascii="宋体" w:cs="宋体"/>
                <w:color w:val="auto"/>
                <w:sz w:val="22"/>
                <w:highlight w:val="none"/>
              </w:rPr>
            </w:pPr>
          </w:p>
        </w:tc>
        <w:tc>
          <w:tcPr>
            <w:tcW w:w="635" w:type="pct"/>
            <w:noWrap/>
          </w:tcPr>
          <w:p w14:paraId="74E1ECC1">
            <w:pPr>
              <w:spacing w:line="440" w:lineRule="exact"/>
              <w:ind w:firstLine="1767"/>
              <w:jc w:val="center"/>
              <w:rPr>
                <w:rFonts w:ascii="宋体" w:cs="宋体"/>
                <w:color w:val="auto"/>
                <w:sz w:val="22"/>
                <w:highlight w:val="none"/>
              </w:rPr>
            </w:pPr>
          </w:p>
        </w:tc>
        <w:tc>
          <w:tcPr>
            <w:tcW w:w="635" w:type="pct"/>
            <w:noWrap/>
          </w:tcPr>
          <w:p w14:paraId="1A448B52">
            <w:pPr>
              <w:spacing w:line="440" w:lineRule="exact"/>
              <w:ind w:firstLine="1767"/>
              <w:jc w:val="center"/>
              <w:rPr>
                <w:rFonts w:ascii="宋体" w:cs="宋体"/>
                <w:color w:val="auto"/>
                <w:sz w:val="22"/>
                <w:highlight w:val="none"/>
              </w:rPr>
            </w:pPr>
          </w:p>
        </w:tc>
        <w:tc>
          <w:tcPr>
            <w:tcW w:w="490" w:type="pct"/>
            <w:noWrap/>
          </w:tcPr>
          <w:p w14:paraId="52A18F25">
            <w:pPr>
              <w:spacing w:line="440" w:lineRule="exact"/>
              <w:ind w:firstLine="1767"/>
              <w:jc w:val="center"/>
              <w:rPr>
                <w:rFonts w:ascii="宋体" w:cs="宋体"/>
                <w:color w:val="auto"/>
                <w:sz w:val="22"/>
                <w:highlight w:val="none"/>
              </w:rPr>
            </w:pPr>
          </w:p>
        </w:tc>
        <w:tc>
          <w:tcPr>
            <w:tcW w:w="635" w:type="pct"/>
            <w:noWrap/>
          </w:tcPr>
          <w:p w14:paraId="1AFD6DCA">
            <w:pPr>
              <w:spacing w:line="440" w:lineRule="exact"/>
              <w:ind w:firstLine="1767"/>
              <w:jc w:val="center"/>
              <w:rPr>
                <w:rFonts w:ascii="宋体" w:cs="宋体"/>
                <w:color w:val="auto"/>
                <w:sz w:val="22"/>
                <w:highlight w:val="none"/>
              </w:rPr>
            </w:pPr>
          </w:p>
        </w:tc>
        <w:tc>
          <w:tcPr>
            <w:tcW w:w="635" w:type="pct"/>
            <w:noWrap/>
          </w:tcPr>
          <w:p w14:paraId="07698EB7">
            <w:pPr>
              <w:spacing w:line="440" w:lineRule="exact"/>
              <w:ind w:firstLine="1767"/>
              <w:jc w:val="center"/>
              <w:rPr>
                <w:rFonts w:ascii="宋体" w:cs="宋体"/>
                <w:color w:val="auto"/>
                <w:sz w:val="22"/>
                <w:highlight w:val="none"/>
              </w:rPr>
            </w:pPr>
          </w:p>
        </w:tc>
        <w:tc>
          <w:tcPr>
            <w:tcW w:w="753" w:type="pct"/>
            <w:noWrap/>
          </w:tcPr>
          <w:p w14:paraId="7794BC06">
            <w:pPr>
              <w:spacing w:line="440" w:lineRule="exact"/>
              <w:ind w:firstLine="1767"/>
              <w:jc w:val="center"/>
              <w:rPr>
                <w:rFonts w:ascii="宋体" w:cs="宋体"/>
                <w:color w:val="auto"/>
                <w:sz w:val="22"/>
                <w:highlight w:val="none"/>
              </w:rPr>
            </w:pPr>
          </w:p>
        </w:tc>
      </w:tr>
      <w:tr w14:paraId="3397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tcPr>
          <w:p w14:paraId="72FFCC74">
            <w:pPr>
              <w:spacing w:line="440" w:lineRule="exact"/>
              <w:ind w:firstLine="1767"/>
              <w:jc w:val="center"/>
              <w:rPr>
                <w:rFonts w:ascii="宋体" w:cs="宋体"/>
                <w:color w:val="auto"/>
                <w:sz w:val="22"/>
                <w:highlight w:val="none"/>
              </w:rPr>
            </w:pPr>
          </w:p>
        </w:tc>
        <w:tc>
          <w:tcPr>
            <w:tcW w:w="488" w:type="pct"/>
            <w:noWrap/>
          </w:tcPr>
          <w:p w14:paraId="5A5371AE">
            <w:pPr>
              <w:spacing w:line="440" w:lineRule="exact"/>
              <w:ind w:firstLine="1767"/>
              <w:jc w:val="center"/>
              <w:rPr>
                <w:rFonts w:ascii="宋体" w:cs="宋体"/>
                <w:color w:val="auto"/>
                <w:sz w:val="22"/>
                <w:highlight w:val="none"/>
              </w:rPr>
            </w:pPr>
          </w:p>
        </w:tc>
        <w:tc>
          <w:tcPr>
            <w:tcW w:w="635" w:type="pct"/>
            <w:noWrap/>
          </w:tcPr>
          <w:p w14:paraId="4E3CFDA5">
            <w:pPr>
              <w:spacing w:line="440" w:lineRule="exact"/>
              <w:ind w:firstLine="1767"/>
              <w:jc w:val="center"/>
              <w:rPr>
                <w:rFonts w:ascii="宋体" w:cs="宋体"/>
                <w:color w:val="auto"/>
                <w:sz w:val="22"/>
                <w:highlight w:val="none"/>
              </w:rPr>
            </w:pPr>
          </w:p>
        </w:tc>
        <w:tc>
          <w:tcPr>
            <w:tcW w:w="635" w:type="pct"/>
            <w:noWrap/>
          </w:tcPr>
          <w:p w14:paraId="14DB9031">
            <w:pPr>
              <w:spacing w:line="440" w:lineRule="exact"/>
              <w:ind w:firstLine="1767"/>
              <w:jc w:val="center"/>
              <w:rPr>
                <w:rFonts w:ascii="宋体" w:cs="宋体"/>
                <w:color w:val="auto"/>
                <w:sz w:val="22"/>
                <w:highlight w:val="none"/>
              </w:rPr>
            </w:pPr>
          </w:p>
        </w:tc>
        <w:tc>
          <w:tcPr>
            <w:tcW w:w="490" w:type="pct"/>
            <w:noWrap/>
          </w:tcPr>
          <w:p w14:paraId="463754D5">
            <w:pPr>
              <w:spacing w:line="440" w:lineRule="exact"/>
              <w:ind w:firstLine="1767"/>
              <w:jc w:val="center"/>
              <w:rPr>
                <w:rFonts w:ascii="宋体" w:cs="宋体"/>
                <w:color w:val="auto"/>
                <w:sz w:val="22"/>
                <w:highlight w:val="none"/>
              </w:rPr>
            </w:pPr>
          </w:p>
        </w:tc>
        <w:tc>
          <w:tcPr>
            <w:tcW w:w="635" w:type="pct"/>
            <w:noWrap/>
          </w:tcPr>
          <w:p w14:paraId="53BE4F96">
            <w:pPr>
              <w:spacing w:line="440" w:lineRule="exact"/>
              <w:ind w:firstLine="1767"/>
              <w:jc w:val="center"/>
              <w:rPr>
                <w:rFonts w:ascii="宋体" w:cs="宋体"/>
                <w:color w:val="auto"/>
                <w:sz w:val="22"/>
                <w:highlight w:val="none"/>
              </w:rPr>
            </w:pPr>
          </w:p>
        </w:tc>
        <w:tc>
          <w:tcPr>
            <w:tcW w:w="635" w:type="pct"/>
            <w:noWrap/>
          </w:tcPr>
          <w:p w14:paraId="47001006">
            <w:pPr>
              <w:spacing w:line="440" w:lineRule="exact"/>
              <w:ind w:firstLine="1767"/>
              <w:jc w:val="center"/>
              <w:rPr>
                <w:rFonts w:ascii="宋体" w:cs="宋体"/>
                <w:color w:val="auto"/>
                <w:sz w:val="22"/>
                <w:highlight w:val="none"/>
              </w:rPr>
            </w:pPr>
          </w:p>
        </w:tc>
        <w:tc>
          <w:tcPr>
            <w:tcW w:w="753" w:type="pct"/>
            <w:noWrap/>
          </w:tcPr>
          <w:p w14:paraId="68738A8C">
            <w:pPr>
              <w:spacing w:line="440" w:lineRule="exact"/>
              <w:ind w:firstLine="1767"/>
              <w:jc w:val="center"/>
              <w:rPr>
                <w:rFonts w:ascii="宋体" w:cs="宋体"/>
                <w:color w:val="auto"/>
                <w:sz w:val="22"/>
                <w:highlight w:val="none"/>
              </w:rPr>
            </w:pPr>
          </w:p>
        </w:tc>
      </w:tr>
    </w:tbl>
    <w:p w14:paraId="448B1FC8">
      <w:pPr>
        <w:topLinePunct/>
        <w:spacing w:line="440" w:lineRule="exact"/>
        <w:ind w:firstLine="1767"/>
        <w:rPr>
          <w:rFonts w:ascii="宋体" w:cs="宋体"/>
          <w:color w:val="auto"/>
          <w:sz w:val="22"/>
          <w:highlight w:val="none"/>
        </w:rPr>
      </w:pPr>
      <w:r>
        <w:rPr>
          <w:rFonts w:hint="eastAsia" w:ascii="宋体" w:hAnsi="宋体" w:cs="宋体"/>
          <w:color w:val="auto"/>
          <w:sz w:val="22"/>
          <w:highlight w:val="none"/>
        </w:rPr>
        <w:t>可根据实际情况调整表格</w:t>
      </w:r>
    </w:p>
    <w:p w14:paraId="284F14E6">
      <w:pPr>
        <w:tabs>
          <w:tab w:val="left" w:pos="720"/>
        </w:tabs>
        <w:spacing w:line="440" w:lineRule="exact"/>
        <w:ind w:firstLine="1760"/>
        <w:jc w:val="left"/>
        <w:rPr>
          <w:rFonts w:ascii="宋体" w:hAnsi="宋体" w:cs="宋体"/>
          <w:b/>
          <w:bCs/>
          <w:color w:val="auto"/>
          <w:sz w:val="22"/>
          <w:highlight w:val="none"/>
        </w:rPr>
      </w:pPr>
      <w:bookmarkStart w:id="1189" w:name="_Toc152042589"/>
      <w:bookmarkStart w:id="1190" w:name="_Toc179632820"/>
      <w:bookmarkStart w:id="1191" w:name="_Toc246392158"/>
      <w:bookmarkStart w:id="1192" w:name="_Toc152045800"/>
      <w:bookmarkStart w:id="1193" w:name="_Toc144974868"/>
    </w:p>
    <w:p w14:paraId="7CE17BD7">
      <w:pPr>
        <w:tabs>
          <w:tab w:val="left" w:pos="720"/>
        </w:tabs>
        <w:spacing w:line="440" w:lineRule="exact"/>
        <w:ind w:firstLine="1767"/>
        <w:jc w:val="left"/>
        <w:rPr>
          <w:rFonts w:ascii="宋体" w:cs="宋体"/>
          <w:b/>
          <w:bCs/>
          <w:color w:val="auto"/>
          <w:sz w:val="22"/>
          <w:highlight w:val="none"/>
        </w:rPr>
      </w:pPr>
      <w:r>
        <w:rPr>
          <w:rFonts w:hint="eastAsia" w:ascii="宋体" w:hAnsi="宋体" w:cs="宋体"/>
          <w:b/>
          <w:bCs/>
          <w:color w:val="auto"/>
          <w:sz w:val="22"/>
          <w:highlight w:val="none"/>
        </w:rPr>
        <w:t>附表六：计划开、竣工日期和施工进度网络图</w:t>
      </w:r>
      <w:bookmarkEnd w:id="1189"/>
      <w:bookmarkEnd w:id="1190"/>
      <w:bookmarkEnd w:id="1191"/>
      <w:bookmarkEnd w:id="1192"/>
      <w:bookmarkEnd w:id="1193"/>
    </w:p>
    <w:p w14:paraId="7158E176">
      <w:pPr>
        <w:spacing w:line="360" w:lineRule="auto"/>
        <w:ind w:firstLine="440" w:firstLineChars="200"/>
        <w:rPr>
          <w:rFonts w:ascii="宋体" w:cs="宋体"/>
          <w:color w:val="auto"/>
          <w:sz w:val="22"/>
          <w:highlight w:val="none"/>
        </w:rPr>
      </w:pPr>
      <w:r>
        <w:rPr>
          <w:rFonts w:ascii="宋体" w:hAnsi="宋体" w:cs="宋体"/>
          <w:color w:val="auto"/>
          <w:sz w:val="22"/>
          <w:highlight w:val="none"/>
        </w:rPr>
        <w:t xml:space="preserve">1. </w:t>
      </w:r>
      <w:r>
        <w:rPr>
          <w:rFonts w:hint="eastAsia" w:ascii="宋体" w:hAnsi="宋体" w:cs="宋体"/>
          <w:color w:val="auto"/>
          <w:sz w:val="22"/>
          <w:highlight w:val="none"/>
        </w:rPr>
        <w:t>磋商响应供应商应递交施工进度网络图或施工进度表，说明按磋商文件要求的计划工期进行施工的各个关键日期。</w:t>
      </w:r>
    </w:p>
    <w:p w14:paraId="79CE5D88">
      <w:pPr>
        <w:spacing w:line="360" w:lineRule="auto"/>
        <w:ind w:firstLine="440" w:firstLineChars="200"/>
        <w:rPr>
          <w:rFonts w:ascii="宋体" w:cs="宋体"/>
          <w:color w:val="auto"/>
          <w:sz w:val="22"/>
          <w:highlight w:val="none"/>
        </w:rPr>
      </w:pPr>
      <w:r>
        <w:rPr>
          <w:rFonts w:ascii="宋体" w:hAnsi="宋体" w:cs="宋体"/>
          <w:color w:val="auto"/>
          <w:sz w:val="22"/>
          <w:highlight w:val="none"/>
        </w:rPr>
        <w:t xml:space="preserve">2. </w:t>
      </w:r>
      <w:r>
        <w:rPr>
          <w:rFonts w:hint="eastAsia" w:ascii="宋体" w:hAnsi="宋体" w:cs="宋体"/>
          <w:color w:val="auto"/>
          <w:sz w:val="22"/>
          <w:highlight w:val="none"/>
        </w:rPr>
        <w:t>施工进度表可采用网络图（或横道图）表示。</w:t>
      </w:r>
    </w:p>
    <w:p w14:paraId="7CE7195F">
      <w:pPr>
        <w:pStyle w:val="4"/>
        <w:spacing w:before="0" w:after="0" w:line="360" w:lineRule="auto"/>
        <w:ind w:firstLine="440" w:firstLineChars="200"/>
        <w:rPr>
          <w:rFonts w:ascii="宋体" w:cs="宋体"/>
          <w:color w:val="auto"/>
          <w:sz w:val="22"/>
          <w:szCs w:val="22"/>
          <w:highlight w:val="none"/>
        </w:rPr>
        <w:sectPr>
          <w:pgSz w:w="11906" w:h="16838"/>
          <w:pgMar w:top="1440" w:right="1417" w:bottom="1440" w:left="1417" w:header="850" w:footer="992" w:gutter="0"/>
          <w:cols w:space="0" w:num="1"/>
          <w:docGrid w:type="lines" w:linePitch="317" w:charSpace="0"/>
        </w:sectPr>
      </w:pPr>
    </w:p>
    <w:bookmarkEnd w:id="1173"/>
    <w:p w14:paraId="48C5522A">
      <w:pPr>
        <w:pStyle w:val="4"/>
        <w:pageBreakBefore/>
        <w:ind w:firstLine="1928"/>
        <w:jc w:val="left"/>
        <w:rPr>
          <w:rFonts w:ascii="宋体" w:cs="宋体"/>
          <w:b/>
          <w:bCs/>
          <w:color w:val="auto"/>
          <w:sz w:val="24"/>
          <w:szCs w:val="24"/>
          <w:highlight w:val="none"/>
        </w:rPr>
      </w:pPr>
      <w:r>
        <w:rPr>
          <w:rFonts w:hint="eastAsia" w:ascii="宋体" w:hAnsi="宋体" w:cs="宋体"/>
          <w:b/>
          <w:bCs/>
          <w:color w:val="auto"/>
          <w:sz w:val="24"/>
          <w:szCs w:val="24"/>
          <w:highlight w:val="none"/>
        </w:rPr>
        <w:t>8、节能、环保产品证明材料（如有）</w:t>
      </w:r>
    </w:p>
    <w:p w14:paraId="54EDEA73">
      <w:pPr>
        <w:spacing w:line="360" w:lineRule="auto"/>
        <w:ind w:firstLine="1928"/>
        <w:jc w:val="center"/>
        <w:rPr>
          <w:rFonts w:ascii="宋体" w:cs="宋体"/>
          <w:b/>
          <w:color w:val="auto"/>
          <w:sz w:val="24"/>
          <w:szCs w:val="16"/>
          <w:highlight w:val="none"/>
        </w:rPr>
      </w:pPr>
      <w:r>
        <w:rPr>
          <w:rFonts w:hint="eastAsia" w:ascii="宋体" w:hAnsi="宋体" w:cs="宋体"/>
          <w:b/>
          <w:color w:val="auto"/>
          <w:sz w:val="24"/>
          <w:szCs w:val="16"/>
          <w:highlight w:val="none"/>
        </w:rPr>
        <w:t>节能、环保产品承诺书</w:t>
      </w:r>
    </w:p>
    <w:p w14:paraId="46482BC6">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本公司现参与项目名称：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r>
        <w:rPr>
          <w:rFonts w:hint="eastAsia" w:ascii="宋体" w:hAnsi="宋体" w:cs="宋体"/>
          <w:color w:val="auto"/>
          <w:szCs w:val="21"/>
          <w:highlight w:val="none"/>
        </w:rPr>
        <w:t>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采购活动，工程内容中涉及《节能产品政府采购品目清单》的产品，属于国家强制性采购的，一定符合要求；工程内容中涉及《环境标志产品政府采购品目清单》的产品，属于品目清单范围但不属于政府强制采购产品的，实施优先采购；并单独做出承诺。</w:t>
      </w:r>
    </w:p>
    <w:p w14:paraId="59C41748">
      <w:pPr>
        <w:snapToGrid w:val="0"/>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如上述声明不真实，愿意按照政府采购有关法律法规的规定接受处罚。</w:t>
      </w:r>
    </w:p>
    <w:p w14:paraId="52BE0284">
      <w:pPr>
        <w:snapToGrid w:val="0"/>
        <w:spacing w:line="360" w:lineRule="auto"/>
        <w:ind w:firstLine="420" w:firstLineChars="200"/>
        <w:jc w:val="left"/>
        <w:rPr>
          <w:rFonts w:ascii="宋体" w:cs="宋体"/>
          <w:color w:val="auto"/>
          <w:sz w:val="24"/>
          <w:szCs w:val="24"/>
          <w:highlight w:val="none"/>
        </w:rPr>
      </w:pPr>
      <w:r>
        <w:rPr>
          <w:rFonts w:hint="eastAsia" w:ascii="宋体" w:hAnsi="宋体" w:cs="宋体"/>
          <w:color w:val="auto"/>
          <w:szCs w:val="21"/>
          <w:highlight w:val="none"/>
        </w:rPr>
        <w:t>特此申明</w:t>
      </w:r>
    </w:p>
    <w:p w14:paraId="5E73683B">
      <w:pPr>
        <w:widowControl/>
        <w:autoSpaceDE w:val="0"/>
        <w:autoSpaceDN w:val="0"/>
        <w:adjustRightInd w:val="0"/>
        <w:snapToGrid w:val="0"/>
        <w:spacing w:line="480" w:lineRule="auto"/>
        <w:ind w:firstLine="442" w:firstLineChars="200"/>
        <w:jc w:val="left"/>
        <w:rPr>
          <w:rFonts w:ascii="宋体" w:hAnsi="宋体" w:cs="宋体"/>
          <w:b/>
          <w:bCs/>
          <w:color w:val="auto"/>
          <w:sz w:val="22"/>
          <w:highlight w:val="none"/>
        </w:rPr>
      </w:pPr>
    </w:p>
    <w:p w14:paraId="0C7276F4">
      <w:pPr>
        <w:widowControl/>
        <w:autoSpaceDE w:val="0"/>
        <w:autoSpaceDN w:val="0"/>
        <w:adjustRightInd w:val="0"/>
        <w:snapToGrid w:val="0"/>
        <w:spacing w:line="480" w:lineRule="auto"/>
        <w:ind w:firstLine="442" w:firstLineChars="200"/>
        <w:jc w:val="left"/>
        <w:rPr>
          <w:rFonts w:ascii="宋体" w:hAnsi="宋体" w:cs="宋体"/>
          <w:b/>
          <w:bCs/>
          <w:color w:val="auto"/>
          <w:sz w:val="22"/>
          <w:highlight w:val="none"/>
        </w:rPr>
      </w:pPr>
    </w:p>
    <w:p w14:paraId="1E4A281D">
      <w:pPr>
        <w:widowControl/>
        <w:autoSpaceDE w:val="0"/>
        <w:autoSpaceDN w:val="0"/>
        <w:adjustRightInd w:val="0"/>
        <w:snapToGrid w:val="0"/>
        <w:spacing w:line="480" w:lineRule="auto"/>
        <w:ind w:firstLine="442" w:firstLineChars="200"/>
        <w:jc w:val="left"/>
        <w:outlineLvl w:val="2"/>
        <w:rPr>
          <w:rFonts w:ascii="宋体" w:cs="宋体"/>
          <w:b/>
          <w:bCs/>
          <w:color w:val="auto"/>
          <w:sz w:val="24"/>
          <w:szCs w:val="24"/>
          <w:highlight w:val="none"/>
        </w:rPr>
      </w:pPr>
      <w:r>
        <w:rPr>
          <w:rFonts w:hint="eastAsia" w:ascii="宋体" w:hAnsi="宋体" w:cs="宋体"/>
          <w:b/>
          <w:bCs/>
          <w:color w:val="auto"/>
          <w:sz w:val="22"/>
          <w:highlight w:val="none"/>
        </w:rPr>
        <w:t>磋商响应供应商（单位电子印章）</w:t>
      </w:r>
      <w:r>
        <w:rPr>
          <w:rFonts w:hint="eastAsia" w:ascii="宋体" w:hAnsi="宋体" w:cs="宋体"/>
          <w:b/>
          <w:bCs/>
          <w:color w:val="auto"/>
          <w:sz w:val="24"/>
          <w:szCs w:val="24"/>
          <w:highlight w:val="none"/>
        </w:rPr>
        <w:t>：</w:t>
      </w:r>
    </w:p>
    <w:p w14:paraId="1DF1A03A">
      <w:pPr>
        <w:widowControl/>
        <w:autoSpaceDE w:val="0"/>
        <w:autoSpaceDN w:val="0"/>
        <w:adjustRightInd w:val="0"/>
        <w:snapToGrid w:val="0"/>
        <w:spacing w:line="480" w:lineRule="auto"/>
        <w:ind w:firstLine="482" w:firstLineChars="200"/>
        <w:jc w:val="left"/>
        <w:outlineLvl w:val="2"/>
        <w:rPr>
          <w:rFonts w:ascii="宋体" w:cs="宋体"/>
          <w:b/>
          <w:bCs/>
          <w:color w:val="auto"/>
          <w:sz w:val="24"/>
          <w:szCs w:val="24"/>
          <w:highlight w:val="none"/>
        </w:rPr>
      </w:pPr>
      <w:r>
        <w:rPr>
          <w:rFonts w:hint="eastAsia" w:ascii="宋体" w:hAnsi="宋体" w:cs="宋体"/>
          <w:b/>
          <w:bCs/>
          <w:color w:val="auto"/>
          <w:sz w:val="24"/>
          <w:szCs w:val="24"/>
          <w:highlight w:val="none"/>
        </w:rPr>
        <w:t>日期：</w:t>
      </w:r>
    </w:p>
    <w:p w14:paraId="599C93AE">
      <w:pPr>
        <w:pStyle w:val="4"/>
        <w:spacing w:before="0" w:after="0" w:line="360" w:lineRule="auto"/>
        <w:ind w:firstLine="420" w:firstLineChars="200"/>
        <w:rPr>
          <w:rFonts w:ascii="宋体" w:cs="宋体"/>
          <w:color w:val="auto"/>
          <w:sz w:val="21"/>
          <w:szCs w:val="21"/>
          <w:highlight w:val="none"/>
        </w:rPr>
      </w:pPr>
    </w:p>
    <w:p w14:paraId="66DA6668">
      <w:pPr>
        <w:rPr>
          <w:rFonts w:ascii="宋体" w:cs="宋体"/>
          <w:bCs/>
          <w:color w:val="auto"/>
          <w:szCs w:val="21"/>
          <w:highlight w:val="none"/>
        </w:rPr>
      </w:pPr>
    </w:p>
    <w:p w14:paraId="639788B5">
      <w:pPr>
        <w:pStyle w:val="4"/>
        <w:pageBreakBefore/>
        <w:ind w:firstLine="1928"/>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9、商品包装和快递包装承诺（如有）</w:t>
      </w:r>
    </w:p>
    <w:p w14:paraId="47647B4B">
      <w:pPr>
        <w:spacing w:before="317" w:beforeLines="100" w:after="317" w:afterLines="100" w:line="560" w:lineRule="exact"/>
        <w:ind w:left="482" w:hanging="482" w:hangingChars="200"/>
        <w:jc w:val="center"/>
        <w:rPr>
          <w:rFonts w:ascii="宋体" w:cs="仿宋"/>
          <w:b/>
          <w:bCs/>
          <w:color w:val="auto"/>
          <w:sz w:val="24"/>
          <w:szCs w:val="24"/>
          <w:highlight w:val="none"/>
        </w:rPr>
      </w:pPr>
      <w:r>
        <w:rPr>
          <w:rFonts w:hint="eastAsia" w:ascii="宋体" w:hAnsi="宋体" w:cs="仿宋"/>
          <w:b/>
          <w:bCs/>
          <w:color w:val="auto"/>
          <w:sz w:val="24"/>
          <w:szCs w:val="24"/>
          <w:highlight w:val="none"/>
        </w:rPr>
        <w:t>商品包装和快递包装承诺</w:t>
      </w:r>
    </w:p>
    <w:p w14:paraId="74DAC987">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本投标人现参与</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（项目名称、包号）</w:t>
      </w:r>
      <w:r>
        <w:rPr>
          <w:rFonts w:hint="eastAsia" w:ascii="宋体" w:hAnsi="宋体" w:cs="宋体"/>
          <w:color w:val="auto"/>
          <w:szCs w:val="21"/>
          <w:highlight w:val="none"/>
        </w:rPr>
        <w:t>项目（项目编号：</w:t>
      </w:r>
      <w:r>
        <w:rPr>
          <w:rFonts w:ascii="宋体" w:hAnsi="宋体" w:cs="宋体"/>
          <w:color w:val="auto"/>
          <w:szCs w:val="21"/>
          <w:highlight w:val="none"/>
          <w:u w:val="single"/>
        </w:rPr>
        <w:t xml:space="preserve">      </w:t>
      </w:r>
      <w:r>
        <w:rPr>
          <w:rFonts w:hint="eastAsia" w:ascii="宋体" w:hAnsi="宋体" w:cs="宋体"/>
          <w:color w:val="auto"/>
          <w:szCs w:val="21"/>
          <w:highlight w:val="none"/>
        </w:rPr>
        <w:t>）的采购活动，本公司承诺所供商品包装符合《商品包装政府采购需求标准（试行）》，快递包装符合《快递包装政府采购需求标准（试行）》。</w:t>
      </w:r>
    </w:p>
    <w:p w14:paraId="087245B8">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如上述声明不真实，愿意按照政府采购有关法律法规的规定接受处罚。</w:t>
      </w:r>
    </w:p>
    <w:p w14:paraId="22E9591F">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特此声明</w:t>
      </w:r>
    </w:p>
    <w:p w14:paraId="6D0CB35B">
      <w:pPr>
        <w:widowControl/>
        <w:autoSpaceDE w:val="0"/>
        <w:autoSpaceDN w:val="0"/>
        <w:adjustRightInd w:val="0"/>
        <w:snapToGrid w:val="0"/>
        <w:spacing w:line="480" w:lineRule="auto"/>
        <w:ind w:firstLine="482" w:firstLineChars="200"/>
        <w:jc w:val="left"/>
        <w:rPr>
          <w:rFonts w:ascii="宋体" w:cs="宋体"/>
          <w:b/>
          <w:bCs/>
          <w:color w:val="auto"/>
          <w:sz w:val="24"/>
          <w:szCs w:val="24"/>
          <w:highlight w:val="none"/>
        </w:rPr>
      </w:pPr>
    </w:p>
    <w:p w14:paraId="1B4993A3">
      <w:pPr>
        <w:pStyle w:val="2"/>
        <w:ind w:firstLine="2880"/>
        <w:rPr>
          <w:color w:val="auto"/>
          <w:highlight w:val="none"/>
        </w:rPr>
      </w:pPr>
    </w:p>
    <w:p w14:paraId="70B18524">
      <w:pPr>
        <w:widowControl/>
        <w:autoSpaceDE w:val="0"/>
        <w:autoSpaceDN w:val="0"/>
        <w:adjustRightInd w:val="0"/>
        <w:snapToGrid w:val="0"/>
        <w:spacing w:line="480" w:lineRule="auto"/>
        <w:ind w:firstLine="442" w:firstLineChars="200"/>
        <w:jc w:val="left"/>
        <w:outlineLvl w:val="2"/>
        <w:rPr>
          <w:rFonts w:ascii="宋体" w:cs="宋体"/>
          <w:b/>
          <w:bCs/>
          <w:color w:val="auto"/>
          <w:sz w:val="24"/>
          <w:szCs w:val="24"/>
          <w:highlight w:val="none"/>
        </w:rPr>
      </w:pPr>
      <w:r>
        <w:rPr>
          <w:rFonts w:hint="eastAsia" w:ascii="宋体" w:hAnsi="宋体" w:cs="宋体"/>
          <w:b/>
          <w:bCs/>
          <w:color w:val="auto"/>
          <w:sz w:val="22"/>
          <w:highlight w:val="none"/>
        </w:rPr>
        <w:t>磋商响应供应商（单位电子印章）</w:t>
      </w:r>
      <w:r>
        <w:rPr>
          <w:rFonts w:hint="eastAsia" w:ascii="宋体" w:hAnsi="宋体" w:cs="宋体"/>
          <w:b/>
          <w:bCs/>
          <w:color w:val="auto"/>
          <w:sz w:val="24"/>
          <w:szCs w:val="24"/>
          <w:highlight w:val="none"/>
        </w:rPr>
        <w:t>：</w:t>
      </w:r>
    </w:p>
    <w:p w14:paraId="654DA75E">
      <w:pPr>
        <w:widowControl/>
        <w:autoSpaceDE w:val="0"/>
        <w:autoSpaceDN w:val="0"/>
        <w:adjustRightInd w:val="0"/>
        <w:snapToGrid w:val="0"/>
        <w:spacing w:line="480" w:lineRule="auto"/>
        <w:ind w:firstLine="482" w:firstLineChars="200"/>
        <w:jc w:val="left"/>
        <w:outlineLvl w:val="2"/>
        <w:rPr>
          <w:rFonts w:ascii="宋体" w:cs="宋体"/>
          <w:b/>
          <w:bCs/>
          <w:color w:val="auto"/>
          <w:sz w:val="24"/>
          <w:szCs w:val="24"/>
          <w:highlight w:val="none"/>
        </w:rPr>
      </w:pPr>
      <w:r>
        <w:rPr>
          <w:rFonts w:hint="eastAsia" w:ascii="宋体" w:hAnsi="宋体" w:cs="宋体"/>
          <w:b/>
          <w:bCs/>
          <w:color w:val="auto"/>
          <w:sz w:val="24"/>
          <w:szCs w:val="24"/>
          <w:highlight w:val="none"/>
        </w:rPr>
        <w:t>日期：</w:t>
      </w:r>
    </w:p>
    <w:p w14:paraId="6F1AB390">
      <w:pPr>
        <w:pStyle w:val="2"/>
        <w:ind w:firstLine="1920"/>
        <w:rPr>
          <w:rFonts w:ascii="宋体" w:hAnsi="宋体" w:eastAsia="宋体" w:cs="宋体"/>
          <w:color w:val="auto"/>
          <w:sz w:val="24"/>
          <w:szCs w:val="24"/>
          <w:highlight w:val="none"/>
        </w:rPr>
      </w:pPr>
    </w:p>
    <w:p w14:paraId="6E678329">
      <w:pPr>
        <w:ind w:firstLine="1920"/>
        <w:rPr>
          <w:rFonts w:ascii="宋体" w:cs="宋体"/>
          <w:b/>
          <w:bCs/>
          <w:color w:val="auto"/>
          <w:sz w:val="24"/>
          <w:szCs w:val="24"/>
          <w:highlight w:val="none"/>
        </w:rPr>
      </w:pPr>
    </w:p>
    <w:p w14:paraId="141FB2CF">
      <w:pPr>
        <w:pStyle w:val="2"/>
        <w:ind w:firstLine="2880"/>
        <w:rPr>
          <w:color w:val="auto"/>
          <w:highlight w:val="none"/>
        </w:rPr>
      </w:pPr>
    </w:p>
    <w:p w14:paraId="1F1B6CDE">
      <w:pPr>
        <w:pageBreakBefore/>
        <w:spacing w:line="360" w:lineRule="auto"/>
        <w:ind w:firstLine="1928"/>
        <w:rPr>
          <w:rFonts w:ascii="宋体" w:hAnsi="宋体" w:cs="宋体"/>
          <w:b/>
          <w:bCs/>
          <w:color w:val="auto"/>
          <w:kern w:val="0"/>
          <w:sz w:val="24"/>
          <w:highlight w:val="none"/>
        </w:rPr>
      </w:pPr>
      <w:r>
        <w:rPr>
          <w:rFonts w:hint="eastAsia" w:ascii="宋体" w:hAnsi="宋体" w:cs="宋体"/>
          <w:b/>
          <w:bCs/>
          <w:color w:val="auto"/>
          <w:sz w:val="24"/>
          <w:szCs w:val="24"/>
          <w:highlight w:val="none"/>
        </w:rPr>
        <w:t>10、</w:t>
      </w:r>
      <w:r>
        <w:rPr>
          <w:rFonts w:hint="eastAsia" w:ascii="宋体" w:hAnsi="宋体" w:cs="宋体"/>
          <w:b/>
          <w:bCs/>
          <w:color w:val="auto"/>
          <w:kern w:val="0"/>
          <w:sz w:val="24"/>
          <w:highlight w:val="none"/>
        </w:rPr>
        <w:t>磋商保证金的交纳情况证明及开户许可证或基本存款账户信息（提供复印件加盖磋商响应供应商公章）</w:t>
      </w:r>
    </w:p>
    <w:p w14:paraId="7A2C46EE">
      <w:pPr>
        <w:pageBreakBefore/>
        <w:spacing w:line="360" w:lineRule="auto"/>
        <w:ind w:firstLine="1928"/>
        <w:rPr>
          <w:rFonts w:ascii="宋体" w:hAnsi="宋体" w:cs="宋体"/>
          <w:b/>
          <w:bCs/>
          <w:color w:val="auto"/>
          <w:kern w:val="0"/>
          <w:sz w:val="24"/>
          <w:highlight w:val="none"/>
        </w:rPr>
      </w:pPr>
      <w:bookmarkStart w:id="1194" w:name="OLE_LINK2"/>
      <w:r>
        <w:rPr>
          <w:rFonts w:hint="eastAsia" w:ascii="宋体" w:hAnsi="宋体" w:cs="宋体"/>
          <w:b/>
          <w:bCs/>
          <w:color w:val="auto"/>
          <w:sz w:val="24"/>
          <w:szCs w:val="24"/>
          <w:highlight w:val="none"/>
        </w:rPr>
        <w:t>11、其他资料</w:t>
      </w:r>
      <w:bookmarkEnd w:id="1194"/>
    </w:p>
    <w:p w14:paraId="0FAA00D7">
      <w:pPr>
        <w:pStyle w:val="33"/>
        <w:spacing w:before="158" w:after="158"/>
        <w:ind w:firstLine="1928"/>
        <w:rPr>
          <w:color w:val="auto"/>
          <w:highlight w:val="none"/>
        </w:rPr>
      </w:pPr>
    </w:p>
    <w:p w14:paraId="07EEECA2">
      <w:pPr>
        <w:rPr>
          <w:rFonts w:ascii="宋体" w:cs="宋体"/>
          <w:color w:val="auto"/>
          <w:highlight w:val="none"/>
        </w:rPr>
      </w:pPr>
    </w:p>
    <w:p w14:paraId="73F8C2FD">
      <w:pPr>
        <w:rPr>
          <w:rFonts w:ascii="宋体" w:cs="宋体"/>
          <w:color w:val="auto"/>
          <w:highlight w:val="none"/>
        </w:rPr>
      </w:pPr>
    </w:p>
    <w:p w14:paraId="295D5055">
      <w:pPr>
        <w:rPr>
          <w:rFonts w:ascii="宋体" w:cs="宋体"/>
          <w:color w:val="auto"/>
          <w:highlight w:val="none"/>
        </w:rPr>
      </w:pPr>
    </w:p>
    <w:p w14:paraId="7BDFA06C">
      <w:pPr>
        <w:rPr>
          <w:rFonts w:ascii="宋体" w:cs="宋体"/>
          <w:color w:val="auto"/>
          <w:highlight w:val="none"/>
        </w:rPr>
      </w:pPr>
    </w:p>
    <w:p w14:paraId="4D1A3D61">
      <w:pPr>
        <w:rPr>
          <w:rFonts w:ascii="宋体" w:cs="宋体"/>
          <w:color w:val="auto"/>
          <w:highlight w:val="none"/>
        </w:rPr>
      </w:pPr>
      <w:bookmarkStart w:id="1195" w:name="_Toc81341339"/>
      <w:bookmarkStart w:id="1196" w:name="_Toc22427"/>
      <w:r>
        <w:rPr>
          <w:rFonts w:ascii="宋体" w:cs="宋体"/>
          <w:color w:val="auto"/>
          <w:highlight w:val="none"/>
        </w:rPr>
        <w:br w:type="page"/>
      </w:r>
    </w:p>
    <w:p w14:paraId="02B18CAE">
      <w:pPr>
        <w:pStyle w:val="3"/>
        <w:ind w:firstLine="2560"/>
        <w:jc w:val="left"/>
        <w:rPr>
          <w:rFonts w:ascii="宋体" w:hAnsi="宋体" w:eastAsia="宋体" w:cs="宋体"/>
          <w:color w:val="auto"/>
          <w:highlight w:val="none"/>
        </w:rPr>
      </w:pPr>
      <w:r>
        <w:rPr>
          <w:rFonts w:hint="eastAsia" w:ascii="宋体" w:hAnsi="宋体" w:eastAsia="宋体" w:cs="宋体"/>
          <w:color w:val="auto"/>
          <w:highlight w:val="none"/>
        </w:rPr>
        <w:t>三、报价文件部分格式</w:t>
      </w:r>
      <w:bookmarkEnd w:id="1195"/>
      <w:bookmarkEnd w:id="1196"/>
    </w:p>
    <w:bookmarkEnd w:id="1159"/>
    <w:bookmarkEnd w:id="1160"/>
    <w:bookmarkEnd w:id="1161"/>
    <w:p w14:paraId="706EABE6">
      <w:pPr>
        <w:widowControl/>
        <w:ind w:left="2100" w:leftChars="1000" w:firstLine="2249"/>
        <w:rPr>
          <w:rFonts w:ascii="宋体" w:cs="宋体"/>
          <w:color w:val="auto"/>
          <w:kern w:val="0"/>
          <w:sz w:val="28"/>
          <w:szCs w:val="28"/>
          <w:highlight w:val="none"/>
        </w:rPr>
      </w:pPr>
    </w:p>
    <w:p w14:paraId="60C59BB4">
      <w:pPr>
        <w:keepNext w:val="0"/>
        <w:keepLines w:val="0"/>
        <w:pageBreakBefore w:val="0"/>
        <w:widowControl/>
        <w:kinsoku/>
        <w:wordWrap/>
        <w:overflowPunct/>
        <w:topLinePunct w:val="0"/>
        <w:autoSpaceDE/>
        <w:autoSpaceDN/>
        <w:bidi w:val="0"/>
        <w:adjustRightInd/>
        <w:ind w:left="2100" w:leftChars="1000" w:firstLine="0"/>
        <w:textAlignment w:val="auto"/>
        <w:rPr>
          <w:rFonts w:ascii="宋体" w:cs="宋体"/>
          <w:color w:val="auto"/>
          <w:sz w:val="28"/>
          <w:szCs w:val="28"/>
          <w:highlight w:val="none"/>
        </w:rPr>
      </w:pPr>
      <w:r>
        <w:rPr>
          <w:rFonts w:hint="eastAsia" w:ascii="宋体" w:hAnsi="宋体" w:cs="宋体"/>
          <w:color w:val="auto"/>
          <w:kern w:val="0"/>
          <w:sz w:val="28"/>
          <w:szCs w:val="28"/>
          <w:highlight w:val="none"/>
        </w:rPr>
        <w:t>项目名称：</w:t>
      </w:r>
    </w:p>
    <w:p w14:paraId="17F3309E">
      <w:pPr>
        <w:keepNext w:val="0"/>
        <w:keepLines w:val="0"/>
        <w:pageBreakBefore w:val="0"/>
        <w:widowControl/>
        <w:kinsoku/>
        <w:wordWrap/>
        <w:overflowPunct/>
        <w:topLinePunct w:val="0"/>
        <w:autoSpaceDE/>
        <w:autoSpaceDN/>
        <w:bidi w:val="0"/>
        <w:adjustRightInd/>
        <w:ind w:left="2100" w:leftChars="1000" w:firstLine="0"/>
        <w:jc w:val="center"/>
        <w:textAlignment w:val="auto"/>
        <w:rPr>
          <w:rFonts w:ascii="宋体" w:cs="宋体"/>
          <w:color w:val="auto"/>
          <w:kern w:val="0"/>
          <w:sz w:val="28"/>
          <w:szCs w:val="28"/>
          <w:highlight w:val="none"/>
        </w:rPr>
      </w:pPr>
    </w:p>
    <w:p w14:paraId="679CEA46">
      <w:pPr>
        <w:keepNext w:val="0"/>
        <w:keepLines w:val="0"/>
        <w:pageBreakBefore w:val="0"/>
        <w:widowControl/>
        <w:kinsoku/>
        <w:wordWrap/>
        <w:overflowPunct/>
        <w:topLinePunct w:val="0"/>
        <w:autoSpaceDE/>
        <w:autoSpaceDN/>
        <w:bidi w:val="0"/>
        <w:adjustRightInd/>
        <w:ind w:left="2100" w:leftChars="1000" w:firstLine="0"/>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项目编号：</w:t>
      </w:r>
    </w:p>
    <w:p w14:paraId="09D46736">
      <w:pPr>
        <w:pStyle w:val="84"/>
        <w:keepNext w:val="0"/>
        <w:keepLines w:val="0"/>
        <w:pageBreakBefore w:val="0"/>
        <w:numPr>
          <w:ilvl w:val="6"/>
          <w:numId w:val="0"/>
        </w:numPr>
        <w:kinsoku/>
        <w:wordWrap/>
        <w:overflowPunct/>
        <w:topLinePunct w:val="0"/>
        <w:autoSpaceDE/>
        <w:autoSpaceDN/>
        <w:bidi w:val="0"/>
        <w:adjustRightInd/>
        <w:ind w:firstLine="0"/>
        <w:textAlignment w:val="auto"/>
        <w:rPr>
          <w:color w:val="auto"/>
          <w:highlight w:val="none"/>
        </w:rPr>
      </w:pPr>
      <w:r>
        <w:rPr>
          <w:rFonts w:hint="eastAsia" w:ascii="宋体" w:hAnsi="宋体" w:cs="宋体"/>
          <w:color w:val="auto"/>
          <w:sz w:val="28"/>
          <w:szCs w:val="28"/>
          <w:highlight w:val="none"/>
        </w:rPr>
        <w:t xml:space="preserve"> </w:t>
      </w:r>
    </w:p>
    <w:p w14:paraId="348825AF">
      <w:pPr>
        <w:keepNext w:val="0"/>
        <w:keepLines w:val="0"/>
        <w:pageBreakBefore w:val="0"/>
        <w:widowControl/>
        <w:kinsoku/>
        <w:wordWrap/>
        <w:overflowPunct/>
        <w:topLinePunct w:val="0"/>
        <w:autoSpaceDE/>
        <w:autoSpaceDN/>
        <w:bidi w:val="0"/>
        <w:adjustRightInd/>
        <w:ind w:left="2100" w:leftChars="1000" w:firstLine="0"/>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包号：</w:t>
      </w:r>
    </w:p>
    <w:p w14:paraId="661A84B6">
      <w:pPr>
        <w:keepNext w:val="0"/>
        <w:keepLines w:val="0"/>
        <w:pageBreakBefore w:val="0"/>
        <w:widowControl/>
        <w:kinsoku/>
        <w:wordWrap/>
        <w:overflowPunct/>
        <w:topLinePunct w:val="0"/>
        <w:autoSpaceDE/>
        <w:autoSpaceDN/>
        <w:bidi w:val="0"/>
        <w:adjustRightInd/>
        <w:ind w:firstLine="0"/>
        <w:jc w:val="center"/>
        <w:textAlignment w:val="auto"/>
        <w:rPr>
          <w:rFonts w:ascii="宋体" w:cs="宋体"/>
          <w:color w:val="auto"/>
          <w:kern w:val="0"/>
          <w:sz w:val="72"/>
          <w:szCs w:val="72"/>
          <w:highlight w:val="none"/>
        </w:rPr>
      </w:pPr>
    </w:p>
    <w:p w14:paraId="226227AA">
      <w:pPr>
        <w:keepNext w:val="0"/>
        <w:keepLines w:val="0"/>
        <w:pageBreakBefore w:val="0"/>
        <w:widowControl/>
        <w:kinsoku/>
        <w:wordWrap/>
        <w:overflowPunct/>
        <w:topLinePunct w:val="0"/>
        <w:autoSpaceDE/>
        <w:autoSpaceDN/>
        <w:bidi w:val="0"/>
        <w:adjustRightInd/>
        <w:ind w:firstLine="0"/>
        <w:jc w:val="center"/>
        <w:textAlignment w:val="auto"/>
        <w:rPr>
          <w:rFonts w:ascii="宋体" w:cs="宋体"/>
          <w:b/>
          <w:bCs/>
          <w:color w:val="auto"/>
          <w:kern w:val="0"/>
          <w:sz w:val="84"/>
          <w:szCs w:val="84"/>
          <w:highlight w:val="none"/>
        </w:rPr>
      </w:pPr>
      <w:r>
        <w:rPr>
          <w:rFonts w:hint="eastAsia" w:ascii="宋体" w:hAnsi="宋体" w:cs="宋体"/>
          <w:b/>
          <w:bCs/>
          <w:color w:val="auto"/>
          <w:kern w:val="0"/>
          <w:sz w:val="84"/>
          <w:szCs w:val="84"/>
          <w:highlight w:val="none"/>
        </w:rPr>
        <w:t>响应文件</w:t>
      </w:r>
    </w:p>
    <w:p w14:paraId="2A986DAA">
      <w:pPr>
        <w:keepNext w:val="0"/>
        <w:keepLines w:val="0"/>
        <w:pageBreakBefore w:val="0"/>
        <w:widowControl/>
        <w:kinsoku/>
        <w:wordWrap/>
        <w:overflowPunct/>
        <w:topLinePunct w:val="0"/>
        <w:autoSpaceDE/>
        <w:autoSpaceDN/>
        <w:bidi w:val="0"/>
        <w:adjustRightInd/>
        <w:ind w:firstLine="0"/>
        <w:jc w:val="center"/>
        <w:textAlignment w:val="auto"/>
        <w:rPr>
          <w:rFonts w:ascii="宋体" w:cs="宋体"/>
          <w:color w:val="auto"/>
          <w:kern w:val="0"/>
          <w:sz w:val="28"/>
          <w:szCs w:val="28"/>
          <w:highlight w:val="none"/>
        </w:rPr>
      </w:pPr>
      <w:r>
        <w:rPr>
          <w:rFonts w:hint="eastAsia" w:ascii="宋体" w:hAnsi="宋体" w:cs="宋体"/>
          <w:b/>
          <w:bCs/>
          <w:color w:val="auto"/>
          <w:kern w:val="0"/>
          <w:sz w:val="84"/>
          <w:szCs w:val="84"/>
          <w:highlight w:val="none"/>
        </w:rPr>
        <w:t>（报价文件）</w:t>
      </w:r>
    </w:p>
    <w:p w14:paraId="34B3E27C">
      <w:pPr>
        <w:keepNext w:val="0"/>
        <w:keepLines w:val="0"/>
        <w:pageBreakBefore w:val="0"/>
        <w:widowControl/>
        <w:kinsoku/>
        <w:wordWrap/>
        <w:overflowPunct/>
        <w:topLinePunct w:val="0"/>
        <w:autoSpaceDE/>
        <w:autoSpaceDN/>
        <w:bidi w:val="0"/>
        <w:adjustRightInd/>
        <w:ind w:firstLine="0"/>
        <w:jc w:val="left"/>
        <w:textAlignment w:val="auto"/>
        <w:rPr>
          <w:rFonts w:ascii="宋体" w:cs="宋体"/>
          <w:color w:val="auto"/>
          <w:kern w:val="0"/>
          <w:sz w:val="28"/>
          <w:szCs w:val="28"/>
          <w:highlight w:val="none"/>
        </w:rPr>
      </w:pPr>
    </w:p>
    <w:p w14:paraId="74046CB6">
      <w:pPr>
        <w:pStyle w:val="84"/>
        <w:keepNext w:val="0"/>
        <w:keepLines w:val="0"/>
        <w:pageBreakBefore w:val="0"/>
        <w:numPr>
          <w:ilvl w:val="6"/>
          <w:numId w:val="0"/>
        </w:numPr>
        <w:kinsoku/>
        <w:wordWrap/>
        <w:overflowPunct/>
        <w:topLinePunct w:val="0"/>
        <w:autoSpaceDE/>
        <w:autoSpaceDN/>
        <w:bidi w:val="0"/>
        <w:adjustRightInd/>
        <w:ind w:firstLine="0"/>
        <w:textAlignment w:val="auto"/>
        <w:rPr>
          <w:color w:val="auto"/>
          <w:highlight w:val="none"/>
        </w:rPr>
      </w:pPr>
    </w:p>
    <w:p w14:paraId="68CB6EC3">
      <w:pPr>
        <w:keepNext w:val="0"/>
        <w:keepLines w:val="0"/>
        <w:pageBreakBefore w:val="0"/>
        <w:kinsoku/>
        <w:wordWrap/>
        <w:overflowPunct/>
        <w:topLinePunct w:val="0"/>
        <w:autoSpaceDE/>
        <w:autoSpaceDN/>
        <w:bidi w:val="0"/>
        <w:adjustRightInd/>
        <w:ind w:firstLine="0"/>
        <w:textAlignment w:val="auto"/>
        <w:rPr>
          <w:rFonts w:ascii="宋体" w:cs="宋体"/>
          <w:color w:val="auto"/>
          <w:kern w:val="0"/>
          <w:sz w:val="28"/>
          <w:szCs w:val="28"/>
          <w:highlight w:val="none"/>
        </w:rPr>
      </w:pPr>
    </w:p>
    <w:p w14:paraId="5F65175D">
      <w:pPr>
        <w:pStyle w:val="84"/>
        <w:keepNext w:val="0"/>
        <w:keepLines w:val="0"/>
        <w:pageBreakBefore w:val="0"/>
        <w:numPr>
          <w:ilvl w:val="6"/>
          <w:numId w:val="0"/>
        </w:numPr>
        <w:kinsoku/>
        <w:wordWrap/>
        <w:overflowPunct/>
        <w:topLinePunct w:val="0"/>
        <w:autoSpaceDE/>
        <w:autoSpaceDN/>
        <w:bidi w:val="0"/>
        <w:adjustRightInd/>
        <w:ind w:left="2520" w:firstLine="0"/>
        <w:textAlignment w:val="auto"/>
        <w:rPr>
          <w:rFonts w:ascii="宋体" w:cs="宋体"/>
          <w:color w:val="auto"/>
          <w:sz w:val="28"/>
          <w:szCs w:val="28"/>
          <w:highlight w:val="none"/>
        </w:rPr>
      </w:pPr>
    </w:p>
    <w:p w14:paraId="443E3389">
      <w:pPr>
        <w:keepNext w:val="0"/>
        <w:keepLines w:val="0"/>
        <w:pageBreakBefore w:val="0"/>
        <w:kinsoku/>
        <w:wordWrap/>
        <w:overflowPunct/>
        <w:topLinePunct w:val="0"/>
        <w:autoSpaceDE/>
        <w:autoSpaceDN/>
        <w:bidi w:val="0"/>
        <w:adjustRightInd/>
        <w:ind w:firstLine="0"/>
        <w:textAlignment w:val="auto"/>
        <w:rPr>
          <w:color w:val="auto"/>
          <w:highlight w:val="none"/>
        </w:rPr>
      </w:pPr>
    </w:p>
    <w:p w14:paraId="214BE610">
      <w:pPr>
        <w:pStyle w:val="84"/>
        <w:keepNext w:val="0"/>
        <w:keepLines w:val="0"/>
        <w:pageBreakBefore w:val="0"/>
        <w:numPr>
          <w:ilvl w:val="6"/>
          <w:numId w:val="0"/>
        </w:numPr>
        <w:kinsoku/>
        <w:wordWrap/>
        <w:overflowPunct/>
        <w:topLinePunct w:val="0"/>
        <w:autoSpaceDE/>
        <w:autoSpaceDN/>
        <w:bidi w:val="0"/>
        <w:adjustRightInd/>
        <w:ind w:left="2520" w:firstLine="0"/>
        <w:textAlignment w:val="auto"/>
        <w:rPr>
          <w:color w:val="auto"/>
          <w:highlight w:val="none"/>
        </w:rPr>
      </w:pPr>
    </w:p>
    <w:p w14:paraId="77C5BEBD">
      <w:pPr>
        <w:keepNext w:val="0"/>
        <w:keepLines w:val="0"/>
        <w:pageBreakBefore w:val="0"/>
        <w:widowControl/>
        <w:kinsoku/>
        <w:wordWrap/>
        <w:overflowPunct/>
        <w:topLinePunct w:val="0"/>
        <w:autoSpaceDE/>
        <w:autoSpaceDN/>
        <w:bidi w:val="0"/>
        <w:adjustRightInd/>
        <w:spacing w:line="360" w:lineRule="auto"/>
        <w:ind w:left="2100" w:leftChars="1000" w:firstLine="0"/>
        <w:jc w:val="left"/>
        <w:textAlignment w:val="auto"/>
        <w:rPr>
          <w:rFonts w:ascii="宋体" w:cs="宋体"/>
          <w:color w:val="auto"/>
          <w:sz w:val="28"/>
          <w:szCs w:val="28"/>
          <w:highlight w:val="none"/>
        </w:rPr>
      </w:pPr>
      <w:r>
        <w:rPr>
          <w:rFonts w:hint="eastAsia" w:ascii="宋体" w:hAnsi="宋体" w:cs="宋体"/>
          <w:color w:val="auto"/>
          <w:kern w:val="0"/>
          <w:sz w:val="28"/>
          <w:szCs w:val="28"/>
          <w:highlight w:val="none"/>
        </w:rPr>
        <w:t>磋商响应供应商</w:t>
      </w:r>
      <w:r>
        <w:rPr>
          <w:rFonts w:hint="eastAsia" w:ascii="宋体" w:hAnsi="宋体" w:cs="宋体"/>
          <w:b/>
          <w:bCs/>
          <w:color w:val="auto"/>
          <w:kern w:val="0"/>
          <w:sz w:val="28"/>
          <w:szCs w:val="28"/>
          <w:highlight w:val="none"/>
        </w:rPr>
        <w:t>（</w:t>
      </w:r>
      <w:r>
        <w:rPr>
          <w:rFonts w:hint="eastAsia" w:ascii="宋体" w:hAnsi="宋体" w:cs="宋体"/>
          <w:color w:val="auto"/>
          <w:kern w:val="0"/>
          <w:sz w:val="28"/>
          <w:szCs w:val="28"/>
          <w:highlight w:val="none"/>
        </w:rPr>
        <w:t>单位电子印章</w:t>
      </w:r>
      <w:r>
        <w:rPr>
          <w:rFonts w:hint="eastAsia" w:ascii="宋体" w:hAnsi="宋体" w:cs="宋体"/>
          <w:b/>
          <w:bCs/>
          <w:color w:val="auto"/>
          <w:kern w:val="0"/>
          <w:sz w:val="28"/>
          <w:szCs w:val="28"/>
          <w:highlight w:val="none"/>
        </w:rPr>
        <w:t>）</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 xml:space="preserve"> </w:t>
      </w:r>
    </w:p>
    <w:p w14:paraId="78334B13">
      <w:pPr>
        <w:keepNext w:val="0"/>
        <w:keepLines w:val="0"/>
        <w:pageBreakBefore w:val="0"/>
        <w:widowControl/>
        <w:kinsoku/>
        <w:wordWrap/>
        <w:overflowPunct/>
        <w:topLinePunct w:val="0"/>
        <w:autoSpaceDE/>
        <w:autoSpaceDN/>
        <w:bidi w:val="0"/>
        <w:adjustRightInd/>
        <w:spacing w:line="360" w:lineRule="auto"/>
        <w:ind w:left="2100" w:leftChars="1000" w:firstLine="0"/>
        <w:jc w:val="left"/>
        <w:textAlignment w:val="auto"/>
        <w:rPr>
          <w:rFonts w:ascii="宋体" w:cs="宋体"/>
          <w:color w:val="auto"/>
          <w:sz w:val="28"/>
          <w:szCs w:val="28"/>
          <w:highlight w:val="none"/>
        </w:rPr>
      </w:pPr>
      <w:r>
        <w:rPr>
          <w:rFonts w:hint="eastAsia" w:ascii="宋体" w:hAnsi="宋体" w:cs="宋体"/>
          <w:color w:val="auto"/>
          <w:kern w:val="0"/>
          <w:sz w:val="28"/>
          <w:szCs w:val="28"/>
          <w:highlight w:val="none"/>
        </w:rPr>
        <w:t>磋商响应供应商地址：</w:t>
      </w:r>
      <w:r>
        <w:rPr>
          <w:rFonts w:ascii="宋体" w:hAnsi="宋体" w:cs="宋体"/>
          <w:color w:val="auto"/>
          <w:kern w:val="0"/>
          <w:sz w:val="28"/>
          <w:szCs w:val="28"/>
          <w:highlight w:val="none"/>
        </w:rPr>
        <w:t xml:space="preserve"> </w:t>
      </w:r>
    </w:p>
    <w:p w14:paraId="62D3FFD3">
      <w:pPr>
        <w:keepNext w:val="0"/>
        <w:keepLines w:val="0"/>
        <w:pageBreakBefore w:val="0"/>
        <w:widowControl/>
        <w:kinsoku/>
        <w:wordWrap/>
        <w:overflowPunct/>
        <w:topLinePunct w:val="0"/>
        <w:autoSpaceDE/>
        <w:autoSpaceDN/>
        <w:bidi w:val="0"/>
        <w:adjustRightInd/>
        <w:spacing w:line="360" w:lineRule="auto"/>
        <w:ind w:left="2100" w:leftChars="1000" w:firstLine="0"/>
        <w:jc w:val="left"/>
        <w:textAlignment w:val="auto"/>
        <w:rPr>
          <w:rFonts w:ascii="宋体" w:cs="宋体"/>
          <w:color w:val="auto"/>
          <w:sz w:val="28"/>
          <w:szCs w:val="28"/>
          <w:highlight w:val="none"/>
        </w:rPr>
      </w:pPr>
      <w:r>
        <w:rPr>
          <w:rFonts w:hint="eastAsia" w:ascii="宋体" w:hAnsi="宋体" w:cs="宋体"/>
          <w:color w:val="auto"/>
          <w:kern w:val="0"/>
          <w:sz w:val="28"/>
          <w:szCs w:val="28"/>
          <w:highlight w:val="none"/>
        </w:rPr>
        <w:t>磋商响应供应商联系电话：</w:t>
      </w:r>
    </w:p>
    <w:p w14:paraId="7A0A3F74">
      <w:pPr>
        <w:keepNext w:val="0"/>
        <w:keepLines w:val="0"/>
        <w:pageBreakBefore w:val="0"/>
        <w:widowControl/>
        <w:kinsoku/>
        <w:wordWrap/>
        <w:overflowPunct/>
        <w:topLinePunct w:val="0"/>
        <w:autoSpaceDE/>
        <w:autoSpaceDN/>
        <w:bidi w:val="0"/>
        <w:adjustRightInd/>
        <w:spacing w:line="360" w:lineRule="auto"/>
        <w:ind w:left="2100" w:leftChars="1000" w:firstLine="0"/>
        <w:jc w:val="left"/>
        <w:textAlignment w:val="auto"/>
        <w:rPr>
          <w:rFonts w:ascii="宋体" w:cs="宋体"/>
          <w:color w:val="auto"/>
          <w:sz w:val="28"/>
          <w:szCs w:val="28"/>
          <w:highlight w:val="none"/>
        </w:rPr>
      </w:pPr>
      <w:r>
        <w:rPr>
          <w:rFonts w:hint="eastAsia" w:ascii="宋体" w:hAnsi="宋体" w:cs="宋体"/>
          <w:color w:val="auto"/>
          <w:kern w:val="0"/>
          <w:sz w:val="28"/>
          <w:szCs w:val="28"/>
          <w:highlight w:val="none"/>
        </w:rPr>
        <w:t>年</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月</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日</w:t>
      </w:r>
    </w:p>
    <w:p w14:paraId="7631445E">
      <w:pPr>
        <w:pStyle w:val="4"/>
        <w:pageBreakBefore/>
        <w:ind w:firstLine="1928"/>
        <w:rPr>
          <w:rFonts w:ascii="宋体" w:cs="宋体"/>
          <w:b/>
          <w:bCs/>
          <w:color w:val="auto"/>
          <w:sz w:val="24"/>
          <w:szCs w:val="24"/>
          <w:highlight w:val="none"/>
        </w:rPr>
      </w:pPr>
      <w:r>
        <w:rPr>
          <w:rFonts w:hint="eastAsia" w:ascii="宋体" w:hAnsi="宋体" w:cs="宋体"/>
          <w:b/>
          <w:bCs/>
          <w:color w:val="auto"/>
          <w:kern w:val="0"/>
          <w:sz w:val="24"/>
          <w:szCs w:val="22"/>
          <w:highlight w:val="none"/>
        </w:rPr>
        <w:t>（</w:t>
      </w:r>
      <w:r>
        <w:rPr>
          <w:rFonts w:ascii="宋体" w:hAnsi="宋体" w:cs="宋体"/>
          <w:b/>
          <w:bCs/>
          <w:color w:val="auto"/>
          <w:kern w:val="0"/>
          <w:sz w:val="24"/>
          <w:szCs w:val="22"/>
          <w:highlight w:val="none"/>
        </w:rPr>
        <w:t>1</w:t>
      </w:r>
      <w:r>
        <w:rPr>
          <w:rFonts w:hint="eastAsia" w:ascii="宋体" w:hAnsi="宋体" w:cs="宋体"/>
          <w:b/>
          <w:bCs/>
          <w:color w:val="auto"/>
          <w:kern w:val="0"/>
          <w:sz w:val="24"/>
          <w:szCs w:val="22"/>
          <w:highlight w:val="none"/>
        </w:rPr>
        <w:t>）★响应函</w:t>
      </w:r>
    </w:p>
    <w:p w14:paraId="5B18B478">
      <w:pPr>
        <w:pStyle w:val="4"/>
        <w:ind w:firstLine="1928"/>
        <w:jc w:val="center"/>
        <w:rPr>
          <w:rFonts w:ascii="宋体" w:cs="宋体"/>
          <w:color w:val="auto"/>
          <w:sz w:val="24"/>
          <w:szCs w:val="24"/>
          <w:highlight w:val="none"/>
        </w:rPr>
      </w:pPr>
      <w:r>
        <w:rPr>
          <w:rFonts w:hint="eastAsia" w:ascii="宋体" w:hAnsi="宋体" w:cs="宋体"/>
          <w:color w:val="auto"/>
          <w:sz w:val="24"/>
          <w:szCs w:val="24"/>
          <w:highlight w:val="none"/>
        </w:rPr>
        <w:t>★响应函</w:t>
      </w:r>
    </w:p>
    <w:p w14:paraId="5DD05634">
      <w:pPr>
        <w:spacing w:line="360" w:lineRule="auto"/>
        <w:rPr>
          <w:rFonts w:ascii="宋体" w:cs="宋体"/>
          <w:color w:val="auto"/>
          <w:szCs w:val="20"/>
          <w:highlight w:val="none"/>
        </w:rPr>
      </w:pPr>
      <w:r>
        <w:rPr>
          <w:rFonts w:hint="eastAsia" w:ascii="宋体" w:hAnsi="宋体" w:cs="宋体"/>
          <w:color w:val="auto"/>
          <w:szCs w:val="20"/>
          <w:highlight w:val="none"/>
          <w:u w:val="single"/>
        </w:rPr>
        <w:t>汾西县机关事务服务中心</w:t>
      </w:r>
      <w:r>
        <w:rPr>
          <w:rFonts w:ascii="宋体" w:hAnsi="宋体" w:cs="宋体"/>
          <w:color w:val="auto"/>
          <w:szCs w:val="20"/>
          <w:highlight w:val="none"/>
          <w:u w:val="single"/>
        </w:rPr>
        <w:t xml:space="preserve"> </w:t>
      </w:r>
      <w:r>
        <w:rPr>
          <w:rFonts w:hint="eastAsia" w:ascii="宋体" w:hAnsi="宋体" w:cs="宋体"/>
          <w:color w:val="auto"/>
          <w:szCs w:val="20"/>
          <w:highlight w:val="none"/>
        </w:rPr>
        <w:t>：</w:t>
      </w:r>
    </w:p>
    <w:p w14:paraId="1C87F756">
      <w:pPr>
        <w:pStyle w:val="116"/>
        <w:wordWrap w:val="0"/>
        <w:ind w:firstLine="420" w:firstLineChars="200"/>
        <w:rPr>
          <w:rFonts w:ascii="宋体" w:hAnsi="宋体" w:eastAsia="宋体" w:cs="宋体"/>
          <w:color w:val="auto"/>
          <w:sz w:val="21"/>
          <w:szCs w:val="21"/>
          <w:highlight w:val="none"/>
        </w:rPr>
      </w:pPr>
    </w:p>
    <w:p w14:paraId="27286E0B">
      <w:pPr>
        <w:pStyle w:val="116"/>
        <w:wordWrap w:val="0"/>
        <w:spacing w:line="360" w:lineRule="auto"/>
        <w:ind w:firstLine="420" w:firstLineChars="200"/>
        <w:rPr>
          <w:rFonts w:ascii="宋体" w:hAnsi="宋体" w:eastAsia="宋体" w:cs="宋体"/>
          <w:color w:val="auto"/>
          <w:sz w:val="21"/>
          <w:szCs w:val="21"/>
          <w:highlight w:val="none"/>
          <w:u w:val="singl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．我方已仔细研究了</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（项目名称、包号）</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施工磋商文件的全部内容，愿意以人民币</w:t>
      </w:r>
      <w:r>
        <w:rPr>
          <w:rFonts w:hint="eastAsia" w:ascii="宋体" w:hAnsi="宋体" w:eastAsia="宋体" w:cs="宋体"/>
          <w:color w:val="auto"/>
          <w:sz w:val="21"/>
          <w:szCs w:val="21"/>
          <w:highlight w:val="none"/>
          <w:u w:val="single"/>
        </w:rPr>
        <w:t xml:space="preserve">                       （大写）</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）的磋商总报价的磋商报价，合同履行期限：</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项目负责人：</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身份证号码：</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，按合同约定实施和完成承包工程，修补工程中的任何缺陷，工程质量达到</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标准。</w:t>
      </w:r>
    </w:p>
    <w:p w14:paraId="551260A1">
      <w:pPr>
        <w:spacing w:line="360" w:lineRule="auto"/>
        <w:ind w:firstLine="420" w:firstLineChars="200"/>
        <w:rPr>
          <w:rFonts w:ascii="宋体" w:cs="宋体"/>
          <w:color w:val="auto"/>
          <w:szCs w:val="20"/>
          <w:highlight w:val="none"/>
        </w:rPr>
      </w:pPr>
      <w:r>
        <w:rPr>
          <w:rFonts w:ascii="宋体" w:hAnsi="宋体" w:cs="宋体"/>
          <w:color w:val="auto"/>
          <w:szCs w:val="20"/>
          <w:highlight w:val="none"/>
        </w:rPr>
        <w:t>2</w:t>
      </w:r>
      <w:r>
        <w:rPr>
          <w:rFonts w:hint="eastAsia" w:ascii="宋体" w:hAnsi="宋体" w:cs="宋体"/>
          <w:color w:val="auto"/>
          <w:szCs w:val="20"/>
          <w:highlight w:val="none"/>
        </w:rPr>
        <w:t>．我方承诺在竞争性磋商有效期</w:t>
      </w:r>
      <w:r>
        <w:rPr>
          <w:rFonts w:ascii="宋体" w:hAnsi="宋体" w:cs="宋体"/>
          <w:color w:val="auto"/>
          <w:szCs w:val="20"/>
          <w:highlight w:val="none"/>
          <w:u w:val="single"/>
        </w:rPr>
        <w:t xml:space="preserve">    </w:t>
      </w:r>
      <w:r>
        <w:rPr>
          <w:rFonts w:hint="eastAsia" w:ascii="宋体" w:hAnsi="宋体" w:cs="宋体"/>
          <w:color w:val="auto"/>
          <w:szCs w:val="20"/>
          <w:highlight w:val="none"/>
        </w:rPr>
        <w:t>内不修改、撤销磋商响应文件。</w:t>
      </w:r>
    </w:p>
    <w:p w14:paraId="3D11E904">
      <w:pPr>
        <w:spacing w:line="360" w:lineRule="auto"/>
        <w:ind w:firstLine="420" w:firstLineChars="200"/>
        <w:rPr>
          <w:rFonts w:ascii="宋体" w:cs="宋体"/>
          <w:color w:val="auto"/>
          <w:szCs w:val="20"/>
          <w:highlight w:val="none"/>
        </w:rPr>
      </w:pPr>
      <w:r>
        <w:rPr>
          <w:rFonts w:ascii="宋体" w:hAnsi="宋体" w:cs="宋体"/>
          <w:color w:val="auto"/>
          <w:szCs w:val="20"/>
          <w:highlight w:val="none"/>
        </w:rPr>
        <w:t>3</w:t>
      </w:r>
      <w:r>
        <w:rPr>
          <w:rFonts w:hint="eastAsia" w:ascii="宋体" w:hAnsi="宋体" w:cs="宋体"/>
          <w:color w:val="auto"/>
          <w:szCs w:val="20"/>
          <w:highlight w:val="none"/>
        </w:rPr>
        <w:t>．如我方成交：</w:t>
      </w:r>
    </w:p>
    <w:p w14:paraId="732500D6">
      <w:pPr>
        <w:spacing w:line="360" w:lineRule="auto"/>
        <w:ind w:firstLine="420" w:firstLineChars="200"/>
        <w:rPr>
          <w:rFonts w:ascii="宋体" w:cs="宋体"/>
          <w:color w:val="auto"/>
          <w:szCs w:val="20"/>
          <w:highlight w:val="none"/>
        </w:rPr>
      </w:pPr>
      <w:r>
        <w:rPr>
          <w:rFonts w:hint="eastAsia" w:ascii="宋体" w:hAnsi="宋体" w:cs="宋体"/>
          <w:color w:val="auto"/>
          <w:szCs w:val="20"/>
          <w:highlight w:val="none"/>
        </w:rPr>
        <w:t>（</w:t>
      </w:r>
      <w:r>
        <w:rPr>
          <w:rFonts w:ascii="宋体" w:hAnsi="宋体" w:cs="宋体"/>
          <w:color w:val="auto"/>
          <w:szCs w:val="20"/>
          <w:highlight w:val="none"/>
        </w:rPr>
        <w:t>1</w:t>
      </w:r>
      <w:r>
        <w:rPr>
          <w:rFonts w:hint="eastAsia" w:ascii="宋体" w:hAnsi="宋体" w:cs="宋体"/>
          <w:color w:val="auto"/>
          <w:szCs w:val="20"/>
          <w:highlight w:val="none"/>
        </w:rPr>
        <w:t>）我方承诺在收到成交通知书后，在成交通知书规定的期限内与你方签订合同。</w:t>
      </w:r>
    </w:p>
    <w:p w14:paraId="6D9E0F65">
      <w:pPr>
        <w:spacing w:line="360" w:lineRule="auto"/>
        <w:ind w:firstLine="420" w:firstLineChars="200"/>
        <w:rPr>
          <w:rFonts w:ascii="宋体" w:cs="宋体"/>
          <w:color w:val="auto"/>
          <w:szCs w:val="20"/>
          <w:highlight w:val="none"/>
        </w:rPr>
      </w:pPr>
      <w:r>
        <w:rPr>
          <w:rFonts w:hint="eastAsia" w:ascii="宋体" w:hAnsi="宋体" w:cs="宋体"/>
          <w:color w:val="auto"/>
          <w:szCs w:val="20"/>
          <w:highlight w:val="none"/>
        </w:rPr>
        <w:t>（</w:t>
      </w:r>
      <w:r>
        <w:rPr>
          <w:rFonts w:ascii="宋体" w:hAnsi="宋体" w:cs="宋体"/>
          <w:color w:val="auto"/>
          <w:szCs w:val="20"/>
          <w:highlight w:val="none"/>
        </w:rPr>
        <w:t>2</w:t>
      </w:r>
      <w:r>
        <w:rPr>
          <w:rFonts w:hint="eastAsia" w:ascii="宋体" w:hAnsi="宋体" w:cs="宋体"/>
          <w:color w:val="auto"/>
          <w:szCs w:val="20"/>
          <w:highlight w:val="none"/>
        </w:rPr>
        <w:t>）我方承诺按照磋商文件规定向你方递交预付款担保。</w:t>
      </w:r>
    </w:p>
    <w:p w14:paraId="63C1870E">
      <w:pPr>
        <w:spacing w:line="360" w:lineRule="auto"/>
        <w:ind w:firstLine="420" w:firstLineChars="200"/>
        <w:rPr>
          <w:rFonts w:ascii="宋体" w:cs="宋体"/>
          <w:color w:val="auto"/>
          <w:szCs w:val="20"/>
          <w:highlight w:val="none"/>
        </w:rPr>
      </w:pPr>
      <w:r>
        <w:rPr>
          <w:rFonts w:hint="eastAsia" w:ascii="宋体" w:hAnsi="宋体" w:cs="宋体"/>
          <w:color w:val="auto"/>
          <w:szCs w:val="20"/>
          <w:highlight w:val="none"/>
        </w:rPr>
        <w:t>（</w:t>
      </w:r>
      <w:r>
        <w:rPr>
          <w:rFonts w:ascii="宋体" w:hAnsi="宋体" w:cs="宋体"/>
          <w:color w:val="auto"/>
          <w:szCs w:val="20"/>
          <w:highlight w:val="none"/>
        </w:rPr>
        <w:t>3</w:t>
      </w:r>
      <w:r>
        <w:rPr>
          <w:rFonts w:hint="eastAsia" w:ascii="宋体" w:hAnsi="宋体" w:cs="宋体"/>
          <w:color w:val="auto"/>
          <w:szCs w:val="20"/>
          <w:highlight w:val="none"/>
        </w:rPr>
        <w:t>）我方承诺在合同约定的期限内完成并移交全部合同工程。</w:t>
      </w:r>
    </w:p>
    <w:p w14:paraId="12671D8C">
      <w:pPr>
        <w:spacing w:line="360" w:lineRule="auto"/>
        <w:ind w:firstLine="420" w:firstLineChars="200"/>
        <w:rPr>
          <w:rFonts w:ascii="宋体" w:cs="宋体"/>
          <w:color w:val="auto"/>
          <w:szCs w:val="20"/>
          <w:highlight w:val="none"/>
        </w:rPr>
      </w:pPr>
      <w:r>
        <w:rPr>
          <w:rFonts w:ascii="宋体" w:hAnsi="宋体" w:cs="宋体"/>
          <w:color w:val="auto"/>
          <w:szCs w:val="20"/>
          <w:highlight w:val="none"/>
        </w:rPr>
        <w:t>4</w:t>
      </w:r>
      <w:r>
        <w:rPr>
          <w:rFonts w:hint="eastAsia" w:ascii="宋体" w:hAnsi="宋体" w:cs="宋体"/>
          <w:color w:val="auto"/>
          <w:szCs w:val="20"/>
          <w:highlight w:val="none"/>
        </w:rPr>
        <w:t>．我方在此声明，所递交的磋商响应文件及有关资料内容完整、真实和准确。</w:t>
      </w:r>
    </w:p>
    <w:p w14:paraId="18E54832">
      <w:pPr>
        <w:spacing w:line="360" w:lineRule="auto"/>
        <w:ind w:firstLine="420" w:firstLineChars="200"/>
        <w:rPr>
          <w:rFonts w:ascii="宋体" w:cs="宋体"/>
          <w:color w:val="auto"/>
          <w:szCs w:val="20"/>
          <w:highlight w:val="none"/>
        </w:rPr>
      </w:pPr>
      <w:r>
        <w:rPr>
          <w:rFonts w:ascii="宋体" w:hAnsi="宋体" w:cs="宋体"/>
          <w:color w:val="auto"/>
          <w:szCs w:val="20"/>
          <w:highlight w:val="none"/>
        </w:rPr>
        <w:t>5</w:t>
      </w:r>
      <w:r>
        <w:rPr>
          <w:rFonts w:hint="eastAsia" w:ascii="宋体" w:hAnsi="宋体" w:cs="宋体"/>
          <w:color w:val="auto"/>
          <w:szCs w:val="20"/>
          <w:highlight w:val="none"/>
        </w:rPr>
        <w:t>．（其他补充说明）。</w:t>
      </w:r>
    </w:p>
    <w:p w14:paraId="2F0F72D1">
      <w:pPr>
        <w:spacing w:line="360" w:lineRule="auto"/>
        <w:ind w:firstLine="422" w:firstLineChars="200"/>
        <w:rPr>
          <w:rFonts w:ascii="宋体" w:cs="宋体"/>
          <w:color w:val="auto"/>
          <w:kern w:val="0"/>
          <w:szCs w:val="20"/>
          <w:highlight w:val="none"/>
        </w:rPr>
      </w:pPr>
      <w:r>
        <w:rPr>
          <w:rFonts w:hint="eastAsia" w:ascii="宋体" w:hAnsi="宋体" w:cs="宋体"/>
          <w:b/>
          <w:color w:val="auto"/>
          <w:szCs w:val="20"/>
          <w:highlight w:val="none"/>
        </w:rPr>
        <w:t>说明：</w:t>
      </w:r>
      <w:r>
        <w:rPr>
          <w:rFonts w:hint="eastAsia" w:ascii="宋体" w:hAnsi="宋体" w:cs="宋体"/>
          <w:b/>
          <w:color w:val="auto"/>
          <w:kern w:val="0"/>
          <w:szCs w:val="20"/>
          <w:highlight w:val="none"/>
          <w:u w:val="single"/>
        </w:rPr>
        <w:t>磋商响应供应商在“山西省政府采购网”进行标书关联时，在政采云系统上填报的投标报价与加密的报价文件中所列的投标报价不一致时，以加密的报价文件中所列的金额为准进行修正</w:t>
      </w:r>
      <w:r>
        <w:rPr>
          <w:rFonts w:hint="eastAsia" w:ascii="宋体" w:hAnsi="宋体" w:cs="宋体"/>
          <w:b/>
          <w:color w:val="auto"/>
          <w:kern w:val="0"/>
          <w:szCs w:val="20"/>
          <w:highlight w:val="none"/>
        </w:rPr>
        <w:t>。</w:t>
      </w:r>
    </w:p>
    <w:p w14:paraId="7EB48ECB">
      <w:pPr>
        <w:spacing w:line="360" w:lineRule="auto"/>
        <w:ind w:firstLine="420" w:firstLineChars="200"/>
        <w:rPr>
          <w:rFonts w:ascii="宋体" w:cs="宋体"/>
          <w:color w:val="auto"/>
          <w:szCs w:val="20"/>
          <w:highlight w:val="none"/>
        </w:rPr>
      </w:pPr>
    </w:p>
    <w:p w14:paraId="6FD6FDE6">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磋商响应供应商（</w:t>
      </w:r>
      <w:r>
        <w:rPr>
          <w:rFonts w:hint="eastAsia" w:ascii="宋体" w:hAnsi="宋体"/>
          <w:color w:val="auto"/>
          <w:szCs w:val="21"/>
          <w:highlight w:val="none"/>
        </w:rPr>
        <w:t>单位电子印章</w:t>
      </w:r>
      <w:r>
        <w:rPr>
          <w:rFonts w:hint="eastAsia" w:ascii="宋体" w:hAnsi="宋体" w:cs="宋体"/>
          <w:color w:val="auto"/>
          <w:szCs w:val="21"/>
          <w:highlight w:val="none"/>
        </w:rPr>
        <w:t>）：</w:t>
      </w:r>
    </w:p>
    <w:p w14:paraId="25D7600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地址：</w:t>
      </w:r>
    </w:p>
    <w:p w14:paraId="528B0584">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电话：</w:t>
      </w:r>
    </w:p>
    <w:p w14:paraId="3A5F7C29">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传真：</w:t>
      </w:r>
    </w:p>
    <w:p w14:paraId="7C2AF740">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邮政编码：</w:t>
      </w:r>
    </w:p>
    <w:p w14:paraId="175C4199">
      <w:pPr>
        <w:spacing w:line="360" w:lineRule="auto"/>
        <w:ind w:firstLine="420" w:firstLineChars="200"/>
        <w:rPr>
          <w:rFonts w:ascii="宋体" w:cs="宋体"/>
          <w:b/>
          <w:bCs/>
          <w:color w:val="auto"/>
          <w:szCs w:val="21"/>
          <w:highlight w:val="none"/>
        </w:rPr>
      </w:pP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14:paraId="494D3B0F">
      <w:pPr>
        <w:pStyle w:val="4"/>
        <w:keepNext w:val="0"/>
        <w:keepLines w:val="0"/>
        <w:pageBreakBefore/>
        <w:spacing w:line="415" w:lineRule="auto"/>
        <w:ind w:firstLine="1767"/>
        <w:rPr>
          <w:rFonts w:ascii="宋体" w:hAnsi="宋体" w:cs="仿宋"/>
          <w:b/>
          <w:color w:val="auto"/>
          <w:sz w:val="22"/>
          <w:szCs w:val="22"/>
          <w:highlight w:val="none"/>
        </w:rPr>
      </w:pPr>
      <w:r>
        <w:rPr>
          <w:rFonts w:hint="eastAsia" w:ascii="宋体" w:hAnsi="宋体" w:cs="仿宋"/>
          <w:b/>
          <w:color w:val="auto"/>
          <w:sz w:val="22"/>
          <w:szCs w:val="22"/>
          <w:highlight w:val="none"/>
        </w:rPr>
        <w:t>（2）已标价工程量清单</w:t>
      </w:r>
    </w:p>
    <w:p w14:paraId="32DF9C4C">
      <w:pPr>
        <w:jc w:val="center"/>
        <w:rPr>
          <w:color w:val="auto"/>
          <w:highlight w:val="none"/>
        </w:rPr>
      </w:pPr>
    </w:p>
    <w:p w14:paraId="477BCE06">
      <w:pPr>
        <w:rPr>
          <w:rFonts w:ascii="宋体" w:hAnsi="宋体" w:cs="宋体"/>
          <w:color w:val="auto"/>
          <w:highlight w:val="none"/>
        </w:rPr>
      </w:pPr>
    </w:p>
    <w:p w14:paraId="739BA1C8">
      <w:pPr>
        <w:ind w:firstLine="1928"/>
        <w:rPr>
          <w:rFonts w:ascii="宋体" w:hAnsi="宋体" w:cs="宋体"/>
          <w:b/>
          <w:bCs/>
          <w:color w:val="auto"/>
          <w:sz w:val="24"/>
          <w:szCs w:val="21"/>
          <w:highlight w:val="none"/>
        </w:rPr>
      </w:pPr>
      <w:r>
        <w:rPr>
          <w:rFonts w:hint="eastAsia" w:ascii="宋体" w:hAnsi="宋体" w:cs="宋体"/>
          <w:b/>
          <w:bCs/>
          <w:color w:val="auto"/>
          <w:sz w:val="24"/>
          <w:szCs w:val="21"/>
          <w:highlight w:val="none"/>
        </w:rPr>
        <w:br w:type="page"/>
      </w:r>
    </w:p>
    <w:p w14:paraId="349A5B2F">
      <w:pPr>
        <w:ind w:firstLine="1928"/>
        <w:rPr>
          <w:rFonts w:ascii="宋体" w:cs="宋体"/>
          <w:color w:val="auto"/>
          <w:sz w:val="24"/>
          <w:szCs w:val="21"/>
          <w:highlight w:val="none"/>
        </w:rPr>
      </w:pPr>
      <w:r>
        <w:rPr>
          <w:rFonts w:hint="eastAsia" w:ascii="宋体" w:hAnsi="宋体" w:cs="宋体"/>
          <w:b/>
          <w:bCs/>
          <w:color w:val="auto"/>
          <w:sz w:val="24"/>
          <w:szCs w:val="21"/>
          <w:highlight w:val="none"/>
        </w:rPr>
        <w:t>（3）供应商认为其他需要提供的资料（如有）</w:t>
      </w:r>
    </w:p>
    <w:p w14:paraId="20A8F8B6">
      <w:pPr>
        <w:pStyle w:val="33"/>
        <w:spacing w:before="158" w:after="158"/>
        <w:ind w:left="1260" w:firstLine="1928"/>
        <w:rPr>
          <w:rFonts w:hAnsi="宋体" w:cs="宋体"/>
          <w:color w:val="auto"/>
          <w:highlight w:val="none"/>
        </w:rPr>
      </w:pPr>
    </w:p>
    <w:p w14:paraId="0D5A2168">
      <w:pPr>
        <w:pStyle w:val="33"/>
        <w:spacing w:before="158" w:after="158"/>
        <w:ind w:left="1260" w:firstLine="1928"/>
        <w:rPr>
          <w:rFonts w:hAnsi="宋体" w:cs="宋体"/>
          <w:color w:val="auto"/>
          <w:highlight w:val="none"/>
        </w:rPr>
      </w:pPr>
    </w:p>
    <w:p w14:paraId="55C04A9A">
      <w:pPr>
        <w:pStyle w:val="33"/>
        <w:spacing w:before="158" w:after="158"/>
        <w:ind w:left="1260" w:firstLine="1928"/>
        <w:rPr>
          <w:rFonts w:hAnsi="宋体" w:cs="宋体"/>
          <w:color w:val="auto"/>
          <w:highlight w:val="none"/>
        </w:rPr>
      </w:pPr>
    </w:p>
    <w:p w14:paraId="4CFADC26">
      <w:pPr>
        <w:pStyle w:val="33"/>
        <w:spacing w:before="158" w:after="158"/>
        <w:ind w:left="1260" w:firstLine="1928"/>
        <w:rPr>
          <w:rFonts w:hAnsi="宋体" w:cs="宋体"/>
          <w:color w:val="auto"/>
          <w:highlight w:val="none"/>
        </w:rPr>
      </w:pPr>
    </w:p>
    <w:p w14:paraId="4EDC6E5A">
      <w:pPr>
        <w:pStyle w:val="2"/>
        <w:pageBreakBefore/>
        <w:jc w:val="center"/>
        <w:rPr>
          <w:rFonts w:ascii="宋体" w:hAnsi="宋体" w:eastAsia="宋体" w:cs="宋体"/>
          <w:color w:val="auto"/>
          <w:highlight w:val="none"/>
        </w:rPr>
      </w:pPr>
      <w:bookmarkStart w:id="1197" w:name="_Toc4519"/>
      <w:bookmarkStart w:id="1198" w:name="_Toc4775"/>
      <w:bookmarkStart w:id="1199" w:name="_Toc9179"/>
      <w:bookmarkStart w:id="1200" w:name="_Toc81341340"/>
      <w:bookmarkStart w:id="1201" w:name="_Toc756"/>
      <w:r>
        <w:rPr>
          <w:rFonts w:hint="eastAsia" w:ascii="宋体" w:hAnsi="宋体" w:eastAsia="宋体" w:cs="宋体"/>
          <w:color w:val="auto"/>
          <w:highlight w:val="none"/>
        </w:rPr>
        <w:t>第六章</w:t>
      </w:r>
      <w:r>
        <w:rPr>
          <w:rFonts w:ascii="宋体" w:hAnsi="宋体" w:eastAsia="宋体" w:cs="宋体"/>
          <w:color w:val="auto"/>
          <w:highlight w:val="none"/>
        </w:rPr>
        <w:t xml:space="preserve">  </w:t>
      </w:r>
      <w:r>
        <w:rPr>
          <w:rFonts w:hint="eastAsia" w:ascii="宋体" w:hAnsi="宋体" w:eastAsia="宋体" w:cs="宋体"/>
          <w:color w:val="auto"/>
          <w:highlight w:val="none"/>
        </w:rPr>
        <w:t>评审办法</w:t>
      </w:r>
      <w:bookmarkEnd w:id="1197"/>
      <w:bookmarkEnd w:id="1198"/>
      <w:bookmarkEnd w:id="1199"/>
      <w:bookmarkEnd w:id="1200"/>
      <w:bookmarkEnd w:id="1201"/>
    </w:p>
    <w:p w14:paraId="798256A5">
      <w:pPr>
        <w:spacing w:line="360" w:lineRule="auto"/>
        <w:ind w:firstLine="480" w:firstLineChars="200"/>
        <w:rPr>
          <w:rFonts w:ascii="宋体" w:cs="宋体"/>
          <w:color w:val="auto"/>
          <w:kern w:val="0"/>
          <w:sz w:val="24"/>
          <w:highlight w:val="none"/>
        </w:rPr>
      </w:pPr>
    </w:p>
    <w:p w14:paraId="184303FC">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为公正、公平、科学地选择中标（成交）供应商，根据《政府采购竞争性磋商采购方式管理暂行办法》等有关法律法规的规定，并结合本项目的实际，制定本办法。</w:t>
      </w:r>
    </w:p>
    <w:p w14:paraId="5DFCA0C1">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本办法适用于本磋商文件规定项目的评审。</w:t>
      </w:r>
    </w:p>
    <w:p w14:paraId="3FAFED85">
      <w:pPr>
        <w:pStyle w:val="3"/>
        <w:spacing w:before="0" w:after="0" w:line="360" w:lineRule="auto"/>
        <w:ind w:firstLine="1680"/>
        <w:rPr>
          <w:rFonts w:ascii="宋体" w:hAnsi="宋体" w:eastAsia="宋体" w:cs="宋体"/>
          <w:color w:val="auto"/>
          <w:sz w:val="21"/>
          <w:szCs w:val="21"/>
          <w:highlight w:val="none"/>
        </w:rPr>
      </w:pPr>
      <w:bookmarkStart w:id="1202" w:name="_Toc4747"/>
      <w:bookmarkStart w:id="1203" w:name="_Toc81341341"/>
      <w:bookmarkStart w:id="1204" w:name="_Toc520824345"/>
      <w:bookmarkStart w:id="1205" w:name="_Toc482590097"/>
      <w:r>
        <w:rPr>
          <w:rFonts w:hint="eastAsia" w:ascii="宋体" w:hAnsi="宋体" w:eastAsia="宋体" w:cs="宋体"/>
          <w:color w:val="auto"/>
          <w:sz w:val="21"/>
          <w:szCs w:val="21"/>
          <w:highlight w:val="none"/>
        </w:rPr>
        <w:t>一、总则</w:t>
      </w:r>
      <w:bookmarkEnd w:id="1202"/>
      <w:bookmarkEnd w:id="1203"/>
      <w:bookmarkEnd w:id="1204"/>
      <w:bookmarkEnd w:id="1205"/>
    </w:p>
    <w:p w14:paraId="5B37E640">
      <w:pPr>
        <w:autoSpaceDE w:val="0"/>
        <w:autoSpaceDN w:val="0"/>
        <w:spacing w:line="360" w:lineRule="auto"/>
        <w:ind w:firstLine="422" w:firstLineChars="200"/>
        <w:jc w:val="left"/>
        <w:rPr>
          <w:rFonts w:ascii="宋体" w:cs="宋体"/>
          <w:color w:val="auto"/>
          <w:szCs w:val="21"/>
          <w:highlight w:val="none"/>
        </w:rPr>
      </w:pPr>
      <w:r>
        <w:rPr>
          <w:rFonts w:hint="eastAsia" w:ascii="宋体" w:hAnsi="宋体" w:cs="宋体"/>
          <w:b/>
          <w:color w:val="auto"/>
          <w:szCs w:val="21"/>
          <w:highlight w:val="none"/>
        </w:rPr>
        <w:t>本项目为工程类项目，采用综合评分法，满分</w:t>
      </w:r>
      <w:r>
        <w:rPr>
          <w:rFonts w:ascii="宋体" w:hAnsi="宋体" w:cs="宋体"/>
          <w:b/>
          <w:color w:val="auto"/>
          <w:szCs w:val="21"/>
          <w:highlight w:val="none"/>
        </w:rPr>
        <w:t>100</w:t>
      </w:r>
      <w:r>
        <w:rPr>
          <w:rFonts w:hint="eastAsia" w:ascii="宋体" w:hAnsi="宋体" w:cs="宋体"/>
          <w:b/>
          <w:color w:val="auto"/>
          <w:szCs w:val="21"/>
          <w:highlight w:val="none"/>
        </w:rPr>
        <w:t>分。</w:t>
      </w:r>
      <w:r>
        <w:rPr>
          <w:rFonts w:hint="eastAsia" w:ascii="宋体" w:hAnsi="宋体" w:cs="宋体"/>
          <w:color w:val="auto"/>
          <w:szCs w:val="21"/>
          <w:highlight w:val="none"/>
        </w:rPr>
        <w:t>磋商小组将对经磋商确定最终采购需求和提交最后报价的磋商响应供应商，根据商务技术、最后报价情况由各成员独立记名打分。评分过程中采用四舍五入法，并保留小数</w:t>
      </w:r>
      <w:r>
        <w:rPr>
          <w:rFonts w:ascii="宋体" w:hAnsi="宋体" w:cs="宋体"/>
          <w:color w:val="auto"/>
          <w:szCs w:val="21"/>
          <w:highlight w:val="none"/>
        </w:rPr>
        <w:t>2</w:t>
      </w:r>
      <w:r>
        <w:rPr>
          <w:rFonts w:hint="eastAsia" w:ascii="宋体" w:hAnsi="宋体" w:cs="宋体"/>
          <w:color w:val="auto"/>
          <w:szCs w:val="21"/>
          <w:highlight w:val="none"/>
        </w:rPr>
        <w:t>位。</w:t>
      </w:r>
    </w:p>
    <w:p w14:paraId="0A89046A">
      <w:pPr>
        <w:autoSpaceDE w:val="0"/>
        <w:autoSpaceDN w:val="0"/>
        <w:spacing w:line="360" w:lineRule="auto"/>
        <w:ind w:firstLine="422" w:firstLineChars="200"/>
        <w:jc w:val="left"/>
        <w:rPr>
          <w:rFonts w:ascii="宋体" w:cs="宋体"/>
          <w:color w:val="auto"/>
          <w:szCs w:val="21"/>
          <w:highlight w:val="none"/>
        </w:rPr>
      </w:pPr>
      <w:r>
        <w:rPr>
          <w:rFonts w:hint="eastAsia" w:ascii="宋体" w:hAnsi="宋体" w:cs="宋体"/>
          <w:b/>
          <w:color w:val="auto"/>
          <w:szCs w:val="21"/>
          <w:highlight w:val="none"/>
        </w:rPr>
        <w:t>磋商响应供应商最终得分</w:t>
      </w:r>
      <w:r>
        <w:rPr>
          <w:rFonts w:ascii="宋体" w:hAnsi="宋体" w:cs="宋体"/>
          <w:b/>
          <w:color w:val="auto"/>
          <w:szCs w:val="21"/>
          <w:highlight w:val="none"/>
        </w:rPr>
        <w:t>=</w:t>
      </w:r>
      <w:r>
        <w:rPr>
          <w:rFonts w:hint="eastAsia" w:ascii="宋体" w:hAnsi="宋体" w:cs="宋体"/>
          <w:b/>
          <w:color w:val="auto"/>
          <w:szCs w:val="21"/>
          <w:highlight w:val="none"/>
        </w:rPr>
        <w:t>商务技术分</w:t>
      </w:r>
      <w:r>
        <w:rPr>
          <w:rFonts w:ascii="宋体" w:hAnsi="宋体" w:cs="宋体"/>
          <w:b/>
          <w:color w:val="auto"/>
          <w:szCs w:val="21"/>
          <w:highlight w:val="none"/>
        </w:rPr>
        <w:t>+</w:t>
      </w:r>
      <w:r>
        <w:rPr>
          <w:rFonts w:hint="eastAsia" w:ascii="宋体" w:hAnsi="宋体" w:cs="宋体"/>
          <w:b/>
          <w:color w:val="auto"/>
          <w:szCs w:val="21"/>
          <w:highlight w:val="none"/>
        </w:rPr>
        <w:t>最后报价分</w:t>
      </w:r>
      <w:bookmarkStart w:id="1206" w:name="_Toc520824346"/>
      <w:bookmarkStart w:id="1207" w:name="_Toc482590098"/>
      <w:bookmarkStart w:id="1208" w:name="_Toc81341342"/>
      <w:bookmarkStart w:id="1209" w:name="_Toc9589"/>
    </w:p>
    <w:p w14:paraId="457AFDD8">
      <w:pPr>
        <w:pStyle w:val="3"/>
        <w:spacing w:before="0" w:after="0" w:line="360" w:lineRule="auto"/>
        <w:ind w:firstLine="168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二、评审程序</w:t>
      </w:r>
      <w:bookmarkEnd w:id="1206"/>
      <w:bookmarkEnd w:id="1207"/>
      <w:bookmarkEnd w:id="1208"/>
      <w:bookmarkEnd w:id="1209"/>
    </w:p>
    <w:p w14:paraId="1A692F2C">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2.1</w:t>
      </w:r>
      <w:r>
        <w:rPr>
          <w:rFonts w:hint="eastAsia" w:ascii="宋体" w:hAnsi="宋体" w:cs="宋体"/>
          <w:b/>
          <w:bCs/>
          <w:color w:val="auto"/>
          <w:szCs w:val="21"/>
          <w:highlight w:val="none"/>
        </w:rPr>
        <w:t>评审前</w:t>
      </w:r>
    </w:p>
    <w:p w14:paraId="50436D72">
      <w:pPr>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组织磋商小组签到、核对评委身份，推选磋商小组组长，由组长召集成员阅读磋商文件及相关补充、质疑、答复文件、项目书面说明等材料，了解采购项目基本情况、磋商有关事项等。</w:t>
      </w:r>
    </w:p>
    <w:p w14:paraId="45CA8CAC">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2.2</w:t>
      </w:r>
      <w:r>
        <w:rPr>
          <w:rFonts w:hint="eastAsia" w:ascii="宋体" w:hAnsi="宋体" w:cs="宋体"/>
          <w:b/>
          <w:bCs/>
          <w:color w:val="auto"/>
          <w:szCs w:val="21"/>
          <w:highlight w:val="none"/>
        </w:rPr>
        <w:t>磋商响应文件的资格、符合性审查</w:t>
      </w:r>
    </w:p>
    <w:p w14:paraId="06838FA9">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2.2.1</w:t>
      </w:r>
      <w:r>
        <w:rPr>
          <w:rFonts w:hint="eastAsia" w:ascii="宋体" w:hAnsi="宋体" w:cs="宋体"/>
          <w:bCs/>
          <w:color w:val="auto"/>
          <w:kern w:val="0"/>
          <w:szCs w:val="21"/>
          <w:highlight w:val="none"/>
        </w:rPr>
        <w:t>开标（标书信息开启）后，磋商小组首先依法对磋商响应供应商的资格文件进行审查，审查各磋商响应供应商的资格符合情况。</w:t>
      </w:r>
      <w:r>
        <w:rPr>
          <w:rFonts w:hint="eastAsia" w:ascii="宋体" w:hAnsi="宋体" w:cs="宋体"/>
          <w:color w:val="auto"/>
          <w:szCs w:val="21"/>
          <w:highlight w:val="none"/>
        </w:rPr>
        <w:t>磋商小组对磋商响应供应商所递交的资格证明材料仅负审核的责任。如发现磋商响应供应商所递交的资格证明材料不合法或与事实不符，采购人可取消其成交资格并追究磋商响应供应商的法律责任。</w:t>
      </w:r>
    </w:p>
    <w:p w14:paraId="002AEC76">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磋商响应供应商递交的资格证明材料无法证明其符合竞争性磋商文件规定的“磋商响应供应商资格要求”的，磋商小组将对其作“资格审查不合格”处理（无效投标），并不再进行后续评审。</w:t>
      </w:r>
    </w:p>
    <w:p w14:paraId="09BE28D6">
      <w:pPr>
        <w:spacing w:line="360" w:lineRule="auto"/>
        <w:ind w:firstLine="422" w:firstLineChars="200"/>
        <w:rPr>
          <w:rFonts w:ascii="宋体" w:cs="宋体"/>
          <w:b/>
          <w:color w:val="auto"/>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）供应商</w:t>
      </w:r>
      <w:r>
        <w:rPr>
          <w:rFonts w:hint="eastAsia" w:ascii="宋体" w:hAnsi="宋体" w:cs="宋体"/>
          <w:b/>
          <w:color w:val="auto"/>
          <w:szCs w:val="21"/>
          <w:highlight w:val="none"/>
        </w:rPr>
        <w:t>信用记录查询与使用：</w:t>
      </w:r>
      <w:r>
        <w:rPr>
          <w:rFonts w:hint="eastAsia" w:ascii="宋体" w:hAnsi="宋体" w:cs="宋体"/>
          <w:b/>
          <w:color w:val="auto"/>
          <w:kern w:val="0"/>
          <w:szCs w:val="21"/>
          <w:highlight w:val="none"/>
          <w:u w:val="single"/>
        </w:rPr>
        <w:t>见《磋商须知前附表》</w:t>
      </w:r>
      <w:r>
        <w:rPr>
          <w:rFonts w:hint="eastAsia" w:ascii="宋体" w:hAnsi="宋体" w:cs="宋体"/>
          <w:b/>
          <w:color w:val="auto"/>
          <w:szCs w:val="21"/>
          <w:highlight w:val="none"/>
        </w:rPr>
        <w:t>；</w:t>
      </w:r>
    </w:p>
    <w:p w14:paraId="5F315589">
      <w:pPr>
        <w:spacing w:line="360" w:lineRule="auto"/>
        <w:ind w:firstLine="422" w:firstLineChars="200"/>
        <w:rPr>
          <w:rFonts w:ascii="宋体" w:cs="宋体"/>
          <w:color w:val="auto"/>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3</w:t>
      </w:r>
      <w:r>
        <w:rPr>
          <w:rFonts w:hint="eastAsia" w:ascii="宋体" w:hAnsi="宋体" w:cs="宋体"/>
          <w:b/>
          <w:color w:val="auto"/>
          <w:kern w:val="0"/>
          <w:szCs w:val="21"/>
          <w:highlight w:val="none"/>
        </w:rPr>
        <w:t>）资格审查合格的磋商响应供应商不足三家的，项目不再进行评审。除采购任务取消情形外，采购人可选择以下方式之一处理：</w:t>
      </w:r>
    </w:p>
    <w:p w14:paraId="02AB4F0B">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）将本标项作废标处理，重新组织采购；</w:t>
      </w:r>
    </w:p>
    <w:p w14:paraId="0103FADE">
      <w:pPr>
        <w:spacing w:line="360" w:lineRule="auto"/>
        <w:ind w:firstLine="420" w:firstLineChars="200"/>
        <w:rPr>
          <w:rFonts w:ascii="宋体" w:cs="宋体"/>
          <w:color w:val="auto"/>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）按同级政府采购监督管理部门的审批意见采用其他采购方式组织采购。</w:t>
      </w:r>
    </w:p>
    <w:p w14:paraId="10BBCE07">
      <w:pPr>
        <w:spacing w:line="360" w:lineRule="auto"/>
        <w:ind w:firstLine="422" w:firstLineChars="200"/>
        <w:rPr>
          <w:rFonts w:ascii="宋体" w:cs="宋体"/>
          <w:color w:val="auto"/>
          <w:szCs w:val="21"/>
          <w:highlight w:val="none"/>
        </w:rPr>
      </w:pPr>
      <w:r>
        <w:rPr>
          <w:rFonts w:ascii="宋体" w:hAnsi="宋体" w:cs="宋体"/>
          <w:b/>
          <w:color w:val="auto"/>
          <w:szCs w:val="21"/>
          <w:highlight w:val="none"/>
        </w:rPr>
        <w:t>2.2.2</w:t>
      </w:r>
      <w:r>
        <w:rPr>
          <w:rFonts w:hint="eastAsia" w:ascii="宋体" w:hAnsi="宋体" w:cs="宋体"/>
          <w:b/>
          <w:color w:val="auto"/>
          <w:szCs w:val="21"/>
          <w:highlight w:val="none"/>
        </w:rPr>
        <w:t>对符合资格的磋商响应供应商的磋商响应文件进行符合性审查，以确定其是否满足采购文件的实质性要求。</w:t>
      </w:r>
    </w:p>
    <w:p w14:paraId="0FDB8F93">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2.2.3</w:t>
      </w:r>
      <w:r>
        <w:rPr>
          <w:rFonts w:hint="eastAsia" w:ascii="宋体" w:hAnsi="宋体" w:cs="宋体"/>
          <w:b/>
          <w:color w:val="auto"/>
          <w:kern w:val="0"/>
          <w:szCs w:val="21"/>
          <w:highlight w:val="none"/>
        </w:rPr>
        <w:t>《商务技术文件》存在下列情形之一的，经磋商小组认定后作无效标处理：</w:t>
      </w:r>
    </w:p>
    <w:p w14:paraId="751FA11E">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磋商响应文件没有对本采购文件作出实质性响应的，或不满足（不响应）本磋商文件中标注“★”的实质性要求条款的</w:t>
      </w:r>
      <w:r>
        <w:rPr>
          <w:rFonts w:hint="eastAsia" w:ascii="宋体" w:hAnsi="宋体" w:cs="宋体"/>
          <w:b/>
          <w:color w:val="auto"/>
          <w:w w:val="90"/>
          <w:kern w:val="0"/>
          <w:szCs w:val="21"/>
          <w:highlight w:val="none"/>
        </w:rPr>
        <w:t>；</w:t>
      </w:r>
    </w:p>
    <w:p w14:paraId="5975006D">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磋商响应文件存在一个或一个以上备选（替代）方案的</w:t>
      </w:r>
      <w:r>
        <w:rPr>
          <w:rFonts w:hint="eastAsia" w:ascii="宋体" w:hAnsi="宋体" w:cs="宋体"/>
          <w:b/>
          <w:color w:val="auto"/>
          <w:kern w:val="0"/>
          <w:szCs w:val="21"/>
          <w:highlight w:val="none"/>
        </w:rPr>
        <w:t>；</w:t>
      </w:r>
    </w:p>
    <w:p w14:paraId="789E43AA">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3</w:t>
      </w:r>
      <w:r>
        <w:rPr>
          <w:rFonts w:hint="eastAsia" w:ascii="宋体" w:hAnsi="宋体" w:cs="宋体"/>
          <w:b/>
          <w:color w:val="auto"/>
          <w:kern w:val="0"/>
          <w:szCs w:val="21"/>
          <w:highlight w:val="none"/>
        </w:rPr>
        <w:t>）</w:t>
      </w:r>
      <w:r>
        <w:rPr>
          <w:rFonts w:hint="eastAsia" w:ascii="宋体" w:hAnsi="宋体" w:cs="宋体"/>
          <w:b/>
          <w:color w:val="auto"/>
          <w:szCs w:val="21"/>
          <w:highlight w:val="none"/>
          <w:u w:val="single"/>
        </w:rPr>
        <w:t>仅提交“备份磋商响应文件”的</w:t>
      </w:r>
      <w:r>
        <w:rPr>
          <w:rFonts w:hint="eastAsia" w:ascii="宋体" w:hAnsi="宋体" w:cs="宋体"/>
          <w:b/>
          <w:color w:val="auto"/>
          <w:kern w:val="0"/>
          <w:szCs w:val="21"/>
          <w:highlight w:val="none"/>
        </w:rPr>
        <w:t>；</w:t>
      </w:r>
    </w:p>
    <w:p w14:paraId="6A96CA70">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4</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磋商响应文件未按本磋商文件《第二章磋商须知及前附表》或《第五章磋商响应文件格式》标注的要求进行盖章或签署的</w:t>
      </w:r>
      <w:r>
        <w:rPr>
          <w:rFonts w:hint="eastAsia" w:ascii="宋体" w:hAnsi="宋体" w:cs="宋体"/>
          <w:b/>
          <w:color w:val="auto"/>
          <w:kern w:val="0"/>
          <w:szCs w:val="21"/>
          <w:highlight w:val="none"/>
        </w:rPr>
        <w:t>；</w:t>
      </w:r>
    </w:p>
    <w:p w14:paraId="35E12A4B">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5</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磋商响应文件组成内容不齐全，本磋商文件规定必须提供而未提供的（属于资格审查范围的除外）</w:t>
      </w:r>
      <w:r>
        <w:rPr>
          <w:rFonts w:hint="eastAsia" w:ascii="宋体" w:hAnsi="宋体" w:cs="宋体"/>
          <w:b/>
          <w:color w:val="auto"/>
          <w:kern w:val="0"/>
          <w:szCs w:val="21"/>
          <w:highlight w:val="none"/>
        </w:rPr>
        <w:t>；</w:t>
      </w:r>
    </w:p>
    <w:p w14:paraId="1A203F8A">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6</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磋商响应文件标注的响应或偏离情况与事实不符，或提供了虚假材料的</w:t>
      </w:r>
      <w:r>
        <w:rPr>
          <w:rFonts w:hint="eastAsia" w:ascii="宋体" w:hAnsi="宋体" w:cs="宋体"/>
          <w:b/>
          <w:color w:val="auto"/>
          <w:kern w:val="0"/>
          <w:szCs w:val="21"/>
          <w:highlight w:val="none"/>
        </w:rPr>
        <w:t>；</w:t>
      </w:r>
    </w:p>
    <w:p w14:paraId="62323EC3">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7</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磋商响应文件有效期不符合本磋商文件要求的</w:t>
      </w:r>
      <w:r>
        <w:rPr>
          <w:rFonts w:hint="eastAsia" w:ascii="宋体" w:hAnsi="宋体" w:cs="宋体"/>
          <w:b/>
          <w:color w:val="auto"/>
          <w:kern w:val="0"/>
          <w:szCs w:val="21"/>
          <w:highlight w:val="none"/>
        </w:rPr>
        <w:t>；</w:t>
      </w:r>
    </w:p>
    <w:p w14:paraId="3C9EB06F">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8</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磋商响应文件含有采购人不能接受的附加条件的</w:t>
      </w:r>
      <w:r>
        <w:rPr>
          <w:rFonts w:hint="eastAsia" w:ascii="宋体" w:hAnsi="宋体" w:cs="宋体"/>
          <w:b/>
          <w:color w:val="auto"/>
          <w:kern w:val="0"/>
          <w:szCs w:val="21"/>
          <w:highlight w:val="none"/>
        </w:rPr>
        <w:t>；</w:t>
      </w:r>
    </w:p>
    <w:p w14:paraId="2EE353E3">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9</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参加同一合同项下政府采购活动的不同供应商之间存在利害关系并且存在影响政府采购公平竞争行为的</w:t>
      </w:r>
      <w:r>
        <w:rPr>
          <w:rFonts w:hint="eastAsia" w:ascii="宋体" w:hAnsi="宋体" w:cs="宋体"/>
          <w:b/>
          <w:color w:val="auto"/>
          <w:kern w:val="0"/>
          <w:szCs w:val="21"/>
          <w:highlight w:val="none"/>
        </w:rPr>
        <w:t>；</w:t>
      </w:r>
    </w:p>
    <w:p w14:paraId="621602D4">
      <w:pPr>
        <w:spacing w:line="360" w:lineRule="auto"/>
        <w:ind w:firstLine="422" w:firstLineChars="200"/>
        <w:rPr>
          <w:rFonts w:ascii="宋体" w:cs="宋体"/>
          <w:b/>
          <w:color w:val="auto"/>
          <w:kern w:val="0"/>
          <w:szCs w:val="21"/>
          <w:highlight w:val="none"/>
          <w:u w:val="single"/>
        </w:rPr>
      </w:pPr>
      <w:r>
        <w:rPr>
          <w:rFonts w:hint="eastAsia" w:ascii="宋体" w:hAnsi="宋体" w:cs="宋体"/>
          <w:b/>
          <w:color w:val="auto"/>
          <w:kern w:val="0"/>
          <w:szCs w:val="21"/>
          <w:highlight w:val="none"/>
          <w:u w:val="single"/>
        </w:rPr>
        <w:t>（</w:t>
      </w:r>
      <w:r>
        <w:rPr>
          <w:rFonts w:ascii="宋体" w:hAnsi="宋体" w:cs="宋体"/>
          <w:b/>
          <w:color w:val="auto"/>
          <w:kern w:val="0"/>
          <w:szCs w:val="21"/>
          <w:highlight w:val="none"/>
          <w:u w:val="single"/>
        </w:rPr>
        <w:t>10</w:t>
      </w:r>
      <w:r>
        <w:rPr>
          <w:rFonts w:hint="eastAsia" w:ascii="宋体" w:hAnsi="宋体" w:cs="宋体"/>
          <w:b/>
          <w:color w:val="auto"/>
          <w:kern w:val="0"/>
          <w:szCs w:val="21"/>
          <w:highlight w:val="none"/>
          <w:u w:val="single"/>
        </w:rPr>
        <w:t>）存在法律、法规和采购文件规定的其他无效情形的。</w:t>
      </w:r>
    </w:p>
    <w:p w14:paraId="01777748">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2.2.4</w:t>
      </w:r>
      <w:r>
        <w:rPr>
          <w:rFonts w:hint="eastAsia" w:ascii="宋体" w:hAnsi="宋体" w:cs="宋体"/>
          <w:b/>
          <w:color w:val="auto"/>
          <w:kern w:val="0"/>
          <w:szCs w:val="21"/>
          <w:highlight w:val="none"/>
        </w:rPr>
        <w:t>《磋商响应文件》存在下列情形之一的，经磋商小组认定后作无效标处理：</w:t>
      </w:r>
    </w:p>
    <w:p w14:paraId="5F27A6B9">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磋商响应文件没有对本采购文件作出实质性响应的，或不满足（不响应）本采购文件中标注“★”的实质性要求条款的</w:t>
      </w:r>
      <w:r>
        <w:rPr>
          <w:rFonts w:hint="eastAsia" w:ascii="宋体" w:hAnsi="宋体" w:cs="宋体"/>
          <w:b/>
          <w:color w:val="auto"/>
          <w:w w:val="90"/>
          <w:kern w:val="0"/>
          <w:szCs w:val="21"/>
          <w:highlight w:val="none"/>
        </w:rPr>
        <w:t>；</w:t>
      </w:r>
    </w:p>
    <w:p w14:paraId="0F33EF70">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磋商响应文件存在一个或一个以上备选（替代）投标方案的</w:t>
      </w:r>
      <w:r>
        <w:rPr>
          <w:rFonts w:hint="eastAsia" w:ascii="宋体" w:hAnsi="宋体" w:cs="宋体"/>
          <w:b/>
          <w:color w:val="auto"/>
          <w:kern w:val="0"/>
          <w:szCs w:val="21"/>
          <w:highlight w:val="none"/>
        </w:rPr>
        <w:t>；</w:t>
      </w:r>
    </w:p>
    <w:p w14:paraId="56754DAA">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3</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未按照磋商文件标明的币种报价的，或者磋商报价涵盖的内容不符合磋商文件要求的</w:t>
      </w:r>
      <w:r>
        <w:rPr>
          <w:rFonts w:hint="eastAsia" w:ascii="宋体" w:hAnsi="宋体" w:cs="宋体"/>
          <w:b/>
          <w:color w:val="auto"/>
          <w:kern w:val="0"/>
          <w:szCs w:val="21"/>
          <w:highlight w:val="none"/>
        </w:rPr>
        <w:t>；</w:t>
      </w:r>
    </w:p>
    <w:p w14:paraId="6D315284">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4</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报价出现前后不一致时拒绝按照磋商文件规定的错误修正原则进行修正的</w:t>
      </w:r>
      <w:r>
        <w:rPr>
          <w:rFonts w:hint="eastAsia" w:ascii="宋体" w:hAnsi="宋体" w:cs="宋体"/>
          <w:b/>
          <w:color w:val="auto"/>
          <w:kern w:val="0"/>
          <w:szCs w:val="21"/>
          <w:highlight w:val="none"/>
        </w:rPr>
        <w:t>；</w:t>
      </w:r>
    </w:p>
    <w:p w14:paraId="1837710A">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5</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磋商报价具有选择性的</w:t>
      </w:r>
      <w:r>
        <w:rPr>
          <w:rFonts w:hint="eastAsia" w:ascii="宋体" w:hAnsi="宋体" w:cs="宋体"/>
          <w:b/>
          <w:color w:val="auto"/>
          <w:kern w:val="0"/>
          <w:szCs w:val="21"/>
          <w:highlight w:val="none"/>
        </w:rPr>
        <w:t>；</w:t>
      </w:r>
    </w:p>
    <w:p w14:paraId="21F85371">
      <w:pPr>
        <w:spacing w:line="360" w:lineRule="auto"/>
        <w:ind w:firstLine="422" w:firstLineChars="200"/>
        <w:rPr>
          <w:rFonts w:ascii="宋体" w:cs="宋体"/>
          <w:b/>
          <w:color w:val="auto"/>
          <w:kern w:val="0"/>
          <w:szCs w:val="21"/>
          <w:highlight w:val="none"/>
          <w:u w:val="single"/>
        </w:rPr>
      </w:pPr>
      <w:r>
        <w:rPr>
          <w:rFonts w:hint="eastAsia" w:ascii="宋体" w:hAnsi="宋体" w:cs="宋体"/>
          <w:b/>
          <w:color w:val="auto"/>
          <w:kern w:val="0"/>
          <w:szCs w:val="21"/>
          <w:highlight w:val="none"/>
        </w:rPr>
        <w:t>（</w:t>
      </w:r>
      <w:r>
        <w:rPr>
          <w:rFonts w:ascii="宋体" w:hAnsi="宋体" w:cs="宋体"/>
          <w:b/>
          <w:color w:val="auto"/>
          <w:kern w:val="0"/>
          <w:szCs w:val="21"/>
          <w:highlight w:val="none"/>
        </w:rPr>
        <w:t>6</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报价超过磋商文件中规定的预算金额或者招标控制价的；</w:t>
      </w:r>
    </w:p>
    <w:p w14:paraId="4EA5E27A">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7</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磋商响应文件未按本磋商文件《第二章磋商须知及前附表》或《第五章磋商响应文件格式》标注的要求进行盖章或签署的</w:t>
      </w:r>
      <w:r>
        <w:rPr>
          <w:rFonts w:hint="eastAsia" w:ascii="宋体" w:hAnsi="宋体" w:cs="宋体"/>
          <w:b/>
          <w:color w:val="auto"/>
          <w:kern w:val="0"/>
          <w:szCs w:val="21"/>
          <w:highlight w:val="none"/>
        </w:rPr>
        <w:t>；</w:t>
      </w:r>
    </w:p>
    <w:p w14:paraId="4CEE46A6">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8</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磋商响应文件组成内容不齐全，本磋商文件规定必须提供而未提供的（属于资格审查范围的除外）</w:t>
      </w:r>
      <w:r>
        <w:rPr>
          <w:rFonts w:hint="eastAsia" w:ascii="宋体" w:hAnsi="宋体" w:cs="宋体"/>
          <w:b/>
          <w:color w:val="auto"/>
          <w:kern w:val="0"/>
          <w:szCs w:val="21"/>
          <w:highlight w:val="none"/>
        </w:rPr>
        <w:t>；</w:t>
      </w:r>
    </w:p>
    <w:p w14:paraId="6C193075">
      <w:pPr>
        <w:spacing w:line="360" w:lineRule="auto"/>
        <w:ind w:firstLine="422" w:firstLineChars="200"/>
        <w:rPr>
          <w:rFonts w:ascii="宋体" w:cs="宋体"/>
          <w:b/>
          <w:color w:val="auto"/>
          <w:kern w:val="0"/>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9</w:t>
      </w:r>
      <w:r>
        <w:rPr>
          <w:rFonts w:hint="eastAsia" w:ascii="宋体" w:hAnsi="宋体" w:cs="宋体"/>
          <w:b/>
          <w:color w:val="auto"/>
          <w:szCs w:val="21"/>
          <w:highlight w:val="none"/>
        </w:rPr>
        <w:t>）</w:t>
      </w:r>
      <w:r>
        <w:rPr>
          <w:rFonts w:hint="eastAsia" w:ascii="宋体" w:hAnsi="宋体" w:cs="宋体"/>
          <w:b/>
          <w:color w:val="auto"/>
          <w:szCs w:val="21"/>
          <w:highlight w:val="none"/>
          <w:u w:val="single"/>
        </w:rPr>
        <w:t>磋商小组认为磋商响应供应商的报价明显低于其他通过符合性审查的磋商响应供应商的报价有可能影响产品质量或者不能诚信履约时，磋商响应供应商不能在规定的时间证明其报价合理性的；</w:t>
      </w:r>
    </w:p>
    <w:p w14:paraId="1D64F6C3">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10</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磋商响应文件含有采购人不能接受的附加条件的</w:t>
      </w:r>
      <w:r>
        <w:rPr>
          <w:rFonts w:hint="eastAsia" w:ascii="宋体" w:hAnsi="宋体" w:cs="宋体"/>
          <w:b/>
          <w:color w:val="auto"/>
          <w:kern w:val="0"/>
          <w:szCs w:val="21"/>
          <w:highlight w:val="none"/>
        </w:rPr>
        <w:t>；</w:t>
      </w:r>
    </w:p>
    <w:p w14:paraId="455B4CDD">
      <w:pPr>
        <w:spacing w:line="360" w:lineRule="auto"/>
        <w:ind w:firstLine="422" w:firstLineChars="200"/>
        <w:rPr>
          <w:rFonts w:ascii="宋体" w:cs="宋体"/>
          <w:color w:val="auto"/>
          <w:w w:val="90"/>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11</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u w:val="single"/>
        </w:rPr>
        <w:t>存在法律、法规和磋商文件规定的其他无效情形的。</w:t>
      </w:r>
    </w:p>
    <w:p w14:paraId="5AA092B3">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2.3 </w:t>
      </w:r>
      <w:r>
        <w:rPr>
          <w:rFonts w:hint="eastAsia" w:ascii="宋体" w:hAnsi="宋体" w:cs="宋体"/>
          <w:b/>
          <w:bCs/>
          <w:color w:val="auto"/>
          <w:szCs w:val="21"/>
          <w:highlight w:val="none"/>
        </w:rPr>
        <w:t>磋商响应文件的磋商、澄清、说明或补正</w:t>
      </w:r>
    </w:p>
    <w:p w14:paraId="5D28C3C1">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2.3.1</w:t>
      </w:r>
      <w:r>
        <w:rPr>
          <w:rFonts w:hint="eastAsia" w:ascii="宋体" w:hAnsi="宋体" w:cs="宋体"/>
          <w:color w:val="auto"/>
          <w:kern w:val="0"/>
          <w:szCs w:val="21"/>
          <w:highlight w:val="none"/>
        </w:rPr>
        <w:t>对于磋商响应文件中含义不明确、同类问题表述不一致或者有明显文字和计算错误的内容，</w:t>
      </w:r>
      <w:r>
        <w:rPr>
          <w:rFonts w:hint="eastAsia" w:ascii="宋体" w:hAnsi="宋体" w:cs="宋体"/>
          <w:b/>
          <w:color w:val="auto"/>
          <w:kern w:val="0"/>
          <w:szCs w:val="21"/>
          <w:highlight w:val="none"/>
        </w:rPr>
        <w:t>磋商小组将通过“山西省政府采购网”在线询标的方式</w:t>
      </w:r>
      <w:r>
        <w:rPr>
          <w:rFonts w:hint="eastAsia" w:ascii="宋体" w:hAnsi="宋体" w:cs="宋体"/>
          <w:color w:val="auto"/>
          <w:kern w:val="0"/>
          <w:szCs w:val="21"/>
          <w:highlight w:val="none"/>
        </w:rPr>
        <w:t>要求磋商响应供应商在规定的时间内作出必要的澄清、说明或者补正，磋商响应供应商澄清、说明或补正时间为</w:t>
      </w:r>
      <w:r>
        <w:rPr>
          <w:rFonts w:ascii="宋体" w:hAnsi="宋体" w:cs="宋体"/>
          <w:color w:val="auto"/>
          <w:kern w:val="0"/>
          <w:szCs w:val="21"/>
          <w:highlight w:val="none"/>
        </w:rPr>
        <w:t>30</w:t>
      </w:r>
      <w:r>
        <w:rPr>
          <w:rFonts w:hint="eastAsia" w:ascii="宋体" w:hAnsi="宋体" w:cs="宋体"/>
          <w:color w:val="auto"/>
          <w:kern w:val="0"/>
          <w:szCs w:val="21"/>
          <w:highlight w:val="none"/>
        </w:rPr>
        <w:t>分钟。</w:t>
      </w:r>
    </w:p>
    <w:p w14:paraId="7FEA9E13">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2.3.2</w:t>
      </w:r>
      <w:r>
        <w:rPr>
          <w:rFonts w:hint="eastAsia" w:ascii="宋体" w:hAnsi="宋体" w:cs="宋体"/>
          <w:color w:val="auto"/>
          <w:kern w:val="0"/>
          <w:szCs w:val="21"/>
          <w:highlight w:val="none"/>
        </w:rPr>
        <w:t>磋商响应供应商的澄清、说明或者补正应当通过“山西省政府采购网”在线答复的方式提交，并加盖公章，或者由法定代表人或其授权的代表签字。磋商响应供应商的澄清、说明或者补正不得超出磋商响应文件的范围或者改变磋商响应文件的实质性内容。</w:t>
      </w:r>
    </w:p>
    <w:p w14:paraId="66BF2C5F">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2.3.3</w:t>
      </w:r>
      <w:r>
        <w:rPr>
          <w:rFonts w:hint="eastAsia" w:ascii="宋体" w:hAnsi="宋体" w:cs="宋体"/>
          <w:color w:val="auto"/>
          <w:kern w:val="0"/>
          <w:szCs w:val="21"/>
          <w:highlight w:val="none"/>
        </w:rPr>
        <w:t>评审过程中如有商务技术、报价磋商的，磋商小组所有成员汇总所有变动情况及要求通过“山西省政府采购网”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w:t>
      </w:r>
      <w:r>
        <w:rPr>
          <w:rFonts w:ascii="宋体" w:hAnsi="宋体" w:cs="宋体"/>
          <w:color w:val="auto"/>
          <w:kern w:val="0"/>
          <w:szCs w:val="21"/>
          <w:highlight w:val="none"/>
        </w:rPr>
        <w:t>30</w:t>
      </w:r>
      <w:r>
        <w:rPr>
          <w:rFonts w:hint="eastAsia" w:ascii="宋体" w:hAnsi="宋体" w:cs="宋体"/>
          <w:color w:val="auto"/>
          <w:kern w:val="0"/>
          <w:szCs w:val="21"/>
          <w:highlight w:val="none"/>
        </w:rPr>
        <w:t>分钟。</w:t>
      </w:r>
    </w:p>
    <w:p w14:paraId="4F1620E3">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2.3.4</w:t>
      </w:r>
      <w:r>
        <w:rPr>
          <w:rFonts w:hint="eastAsia" w:ascii="宋体" w:hAnsi="宋体" w:cs="宋体"/>
          <w:color w:val="auto"/>
          <w:kern w:val="0"/>
          <w:szCs w:val="21"/>
          <w:highlight w:val="none"/>
        </w:rPr>
        <w:t>在磋商过程中，</w:t>
      </w:r>
      <w:r>
        <w:rPr>
          <w:rFonts w:hint="eastAsia" w:ascii="宋体" w:hAnsi="宋体" w:cs="宋体"/>
          <w:b/>
          <w:bCs/>
          <w:color w:val="auto"/>
          <w:kern w:val="0"/>
          <w:szCs w:val="21"/>
          <w:highlight w:val="none"/>
        </w:rPr>
        <w:t>磋商小组可以根据磋商文件和磋商情况实质性变动采购需求中的技术、服务要求以及合同草案条款</w:t>
      </w:r>
      <w:r>
        <w:rPr>
          <w:rFonts w:hint="eastAsia" w:ascii="宋体" w:hAnsi="宋体" w:cs="宋体"/>
          <w:color w:val="auto"/>
          <w:kern w:val="0"/>
          <w:szCs w:val="21"/>
          <w:highlight w:val="none"/>
        </w:rPr>
        <w:t>，但不得变动磋商文件中的其他内容。实质性变动的内容，须经采购人代表确认。</w:t>
      </w:r>
    </w:p>
    <w:p w14:paraId="1EF87F48">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2.3.5</w:t>
      </w:r>
      <w:r>
        <w:rPr>
          <w:rFonts w:hint="eastAsia" w:ascii="宋体" w:hAnsi="宋体" w:cs="宋体"/>
          <w:color w:val="auto"/>
          <w:kern w:val="0"/>
          <w:szCs w:val="21"/>
          <w:highlight w:val="none"/>
        </w:rPr>
        <w:t>对磋商文件作出的实质性变动是磋商文件的有效组成部分，磋商小组通过“山西省政府采购网”在线询标的方式同时通知所有参加磋商的供应商。</w:t>
      </w:r>
    </w:p>
    <w:p w14:paraId="3E37A654">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2.3.6</w:t>
      </w:r>
      <w:r>
        <w:rPr>
          <w:rFonts w:hint="eastAsia" w:ascii="宋体" w:hAnsi="宋体" w:cs="宋体"/>
          <w:color w:val="auto"/>
          <w:kern w:val="0"/>
          <w:szCs w:val="21"/>
          <w:highlight w:val="none"/>
        </w:rPr>
        <w:t>按磋商程序规定开始并完成磋商。</w:t>
      </w:r>
    </w:p>
    <w:p w14:paraId="77F4AEB1">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2.3.7</w:t>
      </w:r>
      <w:r>
        <w:rPr>
          <w:rFonts w:hint="eastAsia" w:ascii="宋体" w:hAnsi="宋体" w:cs="宋体"/>
          <w:color w:val="auto"/>
          <w:kern w:val="0"/>
          <w:szCs w:val="21"/>
          <w:highlight w:val="none"/>
        </w:rPr>
        <w:t>所有磋商结束后，确定提交最后报价的供应商名单，确定提交最后报价的时间，并告知相关供应商，要求在规定时间内（</w:t>
      </w:r>
      <w:r>
        <w:rPr>
          <w:rFonts w:ascii="宋体" w:hAnsi="宋体" w:cs="宋体"/>
          <w:color w:val="auto"/>
          <w:kern w:val="0"/>
          <w:szCs w:val="21"/>
          <w:highlight w:val="none"/>
        </w:rPr>
        <w:t>30</w:t>
      </w:r>
      <w:r>
        <w:rPr>
          <w:rFonts w:hint="eastAsia" w:ascii="宋体" w:hAnsi="宋体" w:cs="宋体"/>
          <w:color w:val="auto"/>
          <w:kern w:val="0"/>
          <w:szCs w:val="21"/>
          <w:highlight w:val="none"/>
        </w:rPr>
        <w:t>分钟内）通过“山西省政府采购网”在线上传最后报价（须加盖公章，或者由法定代表人或其授权的代表签字）。</w:t>
      </w:r>
    </w:p>
    <w:p w14:paraId="00DEB5C4">
      <w:pPr>
        <w:spacing w:line="360" w:lineRule="auto"/>
        <w:ind w:firstLine="422" w:firstLineChars="200"/>
        <w:rPr>
          <w:rFonts w:ascii="宋体" w:cs="宋体"/>
          <w:color w:val="auto"/>
          <w:szCs w:val="21"/>
          <w:highlight w:val="none"/>
        </w:rPr>
      </w:pPr>
      <w:r>
        <w:rPr>
          <w:rFonts w:ascii="宋体" w:hAnsi="宋体" w:cs="宋体"/>
          <w:b/>
          <w:color w:val="auto"/>
          <w:kern w:val="0"/>
          <w:szCs w:val="21"/>
          <w:highlight w:val="none"/>
        </w:rPr>
        <w:t>2.3.7</w:t>
      </w:r>
      <w:r>
        <w:rPr>
          <w:rFonts w:hint="eastAsia" w:ascii="宋体" w:hAnsi="宋体" w:cs="宋体"/>
          <w:b/>
          <w:color w:val="auto"/>
          <w:kern w:val="0"/>
          <w:szCs w:val="21"/>
          <w:highlight w:val="none"/>
        </w:rPr>
        <w:t>上述询标、澄清、说明和补正工作如因客观原因无法通过“山西省政府采购网”在线进行的，将采用书面（含邮件）形式进行。</w:t>
      </w:r>
    </w:p>
    <w:p w14:paraId="7AEFBE3F">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2.4 </w:t>
      </w:r>
      <w:r>
        <w:rPr>
          <w:rFonts w:hint="eastAsia" w:ascii="宋体" w:hAnsi="宋体" w:cs="宋体"/>
          <w:b/>
          <w:bCs/>
          <w:color w:val="auto"/>
          <w:szCs w:val="21"/>
          <w:highlight w:val="none"/>
        </w:rPr>
        <w:t>磋商响应文件的错误修正</w:t>
      </w:r>
    </w:p>
    <w:p w14:paraId="5A6270DF">
      <w:pPr>
        <w:spacing w:line="360" w:lineRule="auto"/>
        <w:ind w:firstLine="422" w:firstLineChars="200"/>
        <w:rPr>
          <w:rFonts w:ascii="宋体" w:cs="宋体"/>
          <w:b/>
          <w:color w:val="auto"/>
          <w:kern w:val="0"/>
          <w:szCs w:val="21"/>
          <w:highlight w:val="none"/>
          <w:u w:val="single"/>
        </w:rPr>
      </w:pPr>
      <w:r>
        <w:rPr>
          <w:rFonts w:ascii="宋体" w:hAnsi="宋体" w:cs="宋体"/>
          <w:b/>
          <w:color w:val="auto"/>
          <w:kern w:val="0"/>
          <w:szCs w:val="21"/>
          <w:highlight w:val="none"/>
          <w:u w:val="single"/>
        </w:rPr>
        <w:t>2.4.1</w:t>
      </w:r>
      <w:r>
        <w:rPr>
          <w:rFonts w:hint="eastAsia" w:ascii="宋体" w:hAnsi="宋体" w:cs="宋体"/>
          <w:b/>
          <w:color w:val="auto"/>
          <w:kern w:val="0"/>
          <w:szCs w:val="21"/>
          <w:highlight w:val="none"/>
          <w:u w:val="single"/>
        </w:rPr>
        <w:t>《磋商响应文件》报价出现前后不一致的，按照下列规定修正：</w:t>
      </w:r>
    </w:p>
    <w:p w14:paraId="0D90F54E">
      <w:pPr>
        <w:spacing w:line="360" w:lineRule="auto"/>
        <w:ind w:firstLine="422" w:firstLineChars="200"/>
        <w:rPr>
          <w:rFonts w:ascii="宋体" w:cs="宋体"/>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1</w:t>
      </w:r>
      <w:r>
        <w:rPr>
          <w:rFonts w:hint="eastAsia" w:ascii="宋体" w:hAnsi="宋体" w:cs="宋体"/>
          <w:b/>
          <w:color w:val="auto"/>
          <w:kern w:val="0"/>
          <w:szCs w:val="21"/>
          <w:highlight w:val="none"/>
        </w:rPr>
        <w:t>）《磋商响应文件》中响应函与磋商响应文件中相应内容不一致的，以响应函为准</w:t>
      </w:r>
      <w:r>
        <w:rPr>
          <w:rFonts w:hint="eastAsia" w:ascii="宋体" w:hAnsi="宋体" w:cs="宋体"/>
          <w:color w:val="auto"/>
          <w:kern w:val="0"/>
          <w:szCs w:val="21"/>
          <w:highlight w:val="none"/>
        </w:rPr>
        <w:t>。</w:t>
      </w:r>
    </w:p>
    <w:p w14:paraId="0D1F6018">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2</w:t>
      </w:r>
      <w:r>
        <w:rPr>
          <w:rFonts w:hint="eastAsia" w:ascii="宋体" w:hAnsi="宋体" w:cs="宋体"/>
          <w:b/>
          <w:color w:val="auto"/>
          <w:kern w:val="0"/>
          <w:szCs w:val="21"/>
          <w:highlight w:val="none"/>
        </w:rPr>
        <w:t>）大写金额和小写金额不一致的，以大写金额为准；</w:t>
      </w:r>
    </w:p>
    <w:p w14:paraId="07B63963">
      <w:pPr>
        <w:spacing w:line="360" w:lineRule="auto"/>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3</w:t>
      </w:r>
      <w:r>
        <w:rPr>
          <w:rFonts w:hint="eastAsia" w:ascii="宋体" w:hAnsi="宋体" w:cs="宋体"/>
          <w:b/>
          <w:color w:val="auto"/>
          <w:kern w:val="0"/>
          <w:szCs w:val="21"/>
          <w:highlight w:val="none"/>
        </w:rPr>
        <w:t>）单价金额小数点或者百分比有明显错位的，应以响应函的总价为准，并修改单价；</w:t>
      </w:r>
    </w:p>
    <w:p w14:paraId="74C43512">
      <w:pPr>
        <w:spacing w:line="360" w:lineRule="auto"/>
        <w:ind w:firstLine="422" w:firstLineChars="200"/>
        <w:rPr>
          <w:rFonts w:ascii="宋体" w:cs="宋体"/>
          <w:color w:val="auto"/>
          <w:kern w:val="0"/>
          <w:szCs w:val="21"/>
          <w:highlight w:val="none"/>
        </w:rPr>
      </w:pPr>
      <w:r>
        <w:rPr>
          <w:rFonts w:hint="eastAsia" w:ascii="宋体" w:hAnsi="宋体" w:cs="宋体"/>
          <w:b/>
          <w:color w:val="auto"/>
          <w:kern w:val="0"/>
          <w:szCs w:val="21"/>
          <w:highlight w:val="none"/>
        </w:rPr>
        <w:t>（</w:t>
      </w:r>
      <w:r>
        <w:rPr>
          <w:rFonts w:ascii="宋体" w:hAnsi="宋体" w:cs="宋体"/>
          <w:b/>
          <w:color w:val="auto"/>
          <w:kern w:val="0"/>
          <w:szCs w:val="21"/>
          <w:highlight w:val="none"/>
        </w:rPr>
        <w:t>4</w:t>
      </w:r>
      <w:r>
        <w:rPr>
          <w:rFonts w:hint="eastAsia" w:ascii="宋体" w:hAnsi="宋体" w:cs="宋体"/>
          <w:b/>
          <w:color w:val="auto"/>
          <w:kern w:val="0"/>
          <w:szCs w:val="21"/>
          <w:highlight w:val="none"/>
        </w:rPr>
        <w:t>）总价金额与按单价汇总金额不一致的，以单价金额计算结果为准。</w:t>
      </w:r>
    </w:p>
    <w:p w14:paraId="2634F6E4">
      <w:pPr>
        <w:spacing w:line="360" w:lineRule="auto"/>
        <w:ind w:firstLine="422" w:firstLineChars="200"/>
        <w:rPr>
          <w:rFonts w:ascii="宋体" w:cs="宋体"/>
          <w:b/>
          <w:color w:val="auto"/>
          <w:kern w:val="0"/>
          <w:szCs w:val="21"/>
          <w:highlight w:val="none"/>
          <w:u w:val="single"/>
        </w:rPr>
      </w:pPr>
      <w:r>
        <w:rPr>
          <w:rFonts w:hint="eastAsia" w:ascii="宋体" w:hAnsi="宋体" w:cs="宋体"/>
          <w:b/>
          <w:color w:val="auto"/>
          <w:kern w:val="0"/>
          <w:szCs w:val="21"/>
          <w:highlight w:val="none"/>
          <w:u w:val="single"/>
        </w:rPr>
        <w:t>备注：同时出现两种以上不一致的，按照前款规定的顺序修正。修正后的报价按本章节第</w:t>
      </w:r>
      <w:r>
        <w:rPr>
          <w:rFonts w:ascii="宋体" w:hAnsi="宋体" w:cs="宋体"/>
          <w:b/>
          <w:color w:val="auto"/>
          <w:kern w:val="0"/>
          <w:szCs w:val="21"/>
          <w:highlight w:val="none"/>
          <w:u w:val="single"/>
        </w:rPr>
        <w:t>2.3.2</w:t>
      </w:r>
      <w:r>
        <w:rPr>
          <w:rFonts w:hint="eastAsia" w:ascii="宋体" w:hAnsi="宋体" w:cs="宋体"/>
          <w:b/>
          <w:color w:val="auto"/>
          <w:kern w:val="0"/>
          <w:szCs w:val="21"/>
          <w:highlight w:val="none"/>
          <w:u w:val="single"/>
        </w:rPr>
        <w:t>款的规定经磋商响应供应商确认后产生约束力，磋商响应供应商不确认的，其磋商响应无效。</w:t>
      </w:r>
    </w:p>
    <w:p w14:paraId="58F04C56">
      <w:pPr>
        <w:spacing w:line="360" w:lineRule="auto"/>
        <w:ind w:firstLine="422" w:firstLineChars="200"/>
        <w:rPr>
          <w:rFonts w:ascii="宋体" w:cs="宋体"/>
          <w:b/>
          <w:color w:val="auto"/>
          <w:kern w:val="0"/>
          <w:szCs w:val="21"/>
          <w:highlight w:val="none"/>
        </w:rPr>
      </w:pPr>
      <w:r>
        <w:rPr>
          <w:rFonts w:ascii="宋体" w:hAnsi="宋体" w:cs="宋体"/>
          <w:b/>
          <w:color w:val="auto"/>
          <w:kern w:val="0"/>
          <w:szCs w:val="21"/>
          <w:highlight w:val="none"/>
        </w:rPr>
        <w:t>2.4.2</w:t>
      </w:r>
      <w:r>
        <w:rPr>
          <w:rFonts w:hint="eastAsia" w:ascii="宋体" w:hAnsi="宋体" w:cs="宋体"/>
          <w:b/>
          <w:color w:val="auto"/>
          <w:kern w:val="0"/>
          <w:szCs w:val="21"/>
          <w:highlight w:val="none"/>
        </w:rPr>
        <w:t>对不同文字文本《磋商响应文件》的解释发生异议的，以中文文本为准。</w:t>
      </w:r>
    </w:p>
    <w:p w14:paraId="15AD7256">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2.5 </w:t>
      </w:r>
      <w:r>
        <w:rPr>
          <w:rFonts w:hint="eastAsia" w:ascii="宋体" w:hAnsi="宋体" w:cs="宋体"/>
          <w:b/>
          <w:bCs/>
          <w:color w:val="auto"/>
          <w:szCs w:val="21"/>
          <w:highlight w:val="none"/>
        </w:rPr>
        <w:t>磋商响应文件的评价、评分</w:t>
      </w:r>
    </w:p>
    <w:p w14:paraId="3A0800B8">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2.5.1</w:t>
      </w:r>
      <w:r>
        <w:rPr>
          <w:rFonts w:hint="eastAsia" w:ascii="宋体" w:hAnsi="宋体" w:cs="宋体"/>
          <w:color w:val="auto"/>
          <w:kern w:val="0"/>
          <w:szCs w:val="21"/>
          <w:highlight w:val="none"/>
        </w:rPr>
        <w:t>磋商小组应当按照招标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14:paraId="60106484">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2.5.2</w:t>
      </w:r>
      <w:r>
        <w:rPr>
          <w:rFonts w:hint="eastAsia" w:ascii="宋体" w:hAnsi="宋体" w:cs="宋体"/>
          <w:color w:val="auto"/>
          <w:kern w:val="0"/>
          <w:szCs w:val="21"/>
          <w:highlight w:val="none"/>
        </w:rPr>
        <w:t>对采购组织机构工作人员汇总的评审结果进行确认。如发现分值汇总计算错误、分项评分超出评分标准范围、客观评分不一致以及存在畸高、畸低情形的，磋商小组组长应提醒相关评审人员当场改正或书面说明理由，拒不改正又不作书面说明的，由现场监督员如实记载后存入项目档案资料。</w:t>
      </w:r>
    </w:p>
    <w:p w14:paraId="6FECF557">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2.6 </w:t>
      </w:r>
      <w:r>
        <w:rPr>
          <w:rFonts w:hint="eastAsia" w:ascii="宋体" w:hAnsi="宋体" w:cs="宋体"/>
          <w:b/>
          <w:bCs/>
          <w:color w:val="auto"/>
          <w:szCs w:val="21"/>
          <w:highlight w:val="none"/>
        </w:rPr>
        <w:t>修改评审结果</w:t>
      </w:r>
    </w:p>
    <w:p w14:paraId="708CFF31">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2.6.1</w:t>
      </w:r>
      <w:r>
        <w:rPr>
          <w:rFonts w:hint="eastAsia" w:ascii="宋体" w:hAnsi="宋体" w:cs="宋体"/>
          <w:b/>
          <w:color w:val="auto"/>
          <w:szCs w:val="21"/>
          <w:highlight w:val="none"/>
        </w:rPr>
        <w:t>评标结果汇总完成后，除下列情形外，任何人不得修改评标结果：</w:t>
      </w:r>
    </w:p>
    <w:p w14:paraId="6C26ECEA">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）分值汇总计算错误的；</w:t>
      </w:r>
    </w:p>
    <w:p w14:paraId="2C5BBF6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）分项评分超出评分标准范围的；</w:t>
      </w:r>
    </w:p>
    <w:p w14:paraId="56CB7A29">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）磋商小组成员对客观评审因素评分不一致的；</w:t>
      </w:r>
    </w:p>
    <w:p w14:paraId="571A4E43">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）经磋商小组认定评分畸高、畸低的。</w:t>
      </w:r>
    </w:p>
    <w:p w14:paraId="2739323D">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2.6.2</w:t>
      </w:r>
      <w:r>
        <w:rPr>
          <w:rFonts w:hint="eastAsia" w:ascii="宋体" w:hAnsi="宋体" w:cs="宋体"/>
          <w:b/>
          <w:color w:val="auto"/>
          <w:szCs w:val="21"/>
          <w:highlight w:val="none"/>
        </w:rPr>
        <w:t>评标报告签署前，经复核发现存在以上情形之一的，磋商小组将当场修改评标结果，并在评标报告中记载。</w:t>
      </w:r>
    </w:p>
    <w:p w14:paraId="58491617">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2.7 </w:t>
      </w:r>
      <w:r>
        <w:rPr>
          <w:rFonts w:hint="eastAsia" w:ascii="宋体" w:hAnsi="宋体" w:cs="宋体"/>
          <w:b/>
          <w:bCs/>
          <w:color w:val="auto"/>
          <w:szCs w:val="21"/>
          <w:highlight w:val="none"/>
        </w:rPr>
        <w:t>供应商排序及推荐中标（成交）候选供应商。</w:t>
      </w:r>
    </w:p>
    <w:p w14:paraId="06E15896">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磋商小组根据以下规定确定供应商排名并推荐中标（成交）候选供应商。</w:t>
      </w:r>
    </w:p>
    <w:p w14:paraId="0E101902">
      <w:pPr>
        <w:spacing w:line="360" w:lineRule="auto"/>
        <w:ind w:firstLine="422" w:firstLineChars="200"/>
        <w:rPr>
          <w:rFonts w:ascii="宋体" w:cs="宋体"/>
          <w:color w:val="auto"/>
          <w:kern w:val="0"/>
          <w:szCs w:val="21"/>
          <w:highlight w:val="none"/>
        </w:rPr>
      </w:pPr>
      <w:r>
        <w:rPr>
          <w:rFonts w:ascii="宋体" w:hAnsi="宋体" w:cs="宋体"/>
          <w:b/>
          <w:color w:val="auto"/>
          <w:szCs w:val="21"/>
          <w:highlight w:val="none"/>
        </w:rPr>
        <w:t>2.7.1</w:t>
      </w:r>
      <w:r>
        <w:rPr>
          <w:rFonts w:hint="eastAsia" w:ascii="宋体" w:hAnsi="宋体" w:cs="宋体"/>
          <w:b/>
          <w:color w:val="auto"/>
          <w:szCs w:val="21"/>
          <w:highlight w:val="none"/>
        </w:rPr>
        <w:t>磋商小组根据各磋商响应供应商的综合得分（商务技术分与最后报价得分之和）从高到低依次进行排名排序。特殊情形按以下原则处理：</w:t>
      </w:r>
    </w:p>
    <w:p w14:paraId="1A9C2324">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）综合得分相同的，按最后报价低的优先原则确定排名；</w:t>
      </w:r>
    </w:p>
    <w:p w14:paraId="72FCE58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）综合得分和最后报价均相同的，按技术指标得分从高到低确定排名；</w:t>
      </w:r>
    </w:p>
    <w:p w14:paraId="6AFD865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）综合得分、最后报价和商务技术得分均相同的由磋商小组全体成员记名投票按少数服从多数的原则确定排名。</w:t>
      </w:r>
    </w:p>
    <w:p w14:paraId="1B188B68">
      <w:pPr>
        <w:spacing w:line="360" w:lineRule="auto"/>
        <w:ind w:firstLine="422" w:firstLineChars="200"/>
        <w:jc w:val="left"/>
        <w:rPr>
          <w:rFonts w:ascii="宋体" w:cs="宋体"/>
          <w:color w:val="auto"/>
          <w:szCs w:val="21"/>
          <w:highlight w:val="none"/>
        </w:rPr>
      </w:pPr>
      <w:r>
        <w:rPr>
          <w:rFonts w:ascii="宋体" w:hAnsi="宋体" w:cs="宋体"/>
          <w:b/>
          <w:color w:val="auto"/>
          <w:szCs w:val="21"/>
          <w:highlight w:val="none"/>
        </w:rPr>
        <w:t>2.7.2</w:t>
      </w:r>
      <w:r>
        <w:rPr>
          <w:rFonts w:hint="eastAsia" w:ascii="宋体" w:hAnsi="宋体" w:cs="宋体"/>
          <w:b/>
          <w:color w:val="auto"/>
          <w:szCs w:val="21"/>
          <w:highlight w:val="none"/>
        </w:rPr>
        <w:t>根据最终得分排序，磋商小组直接确定供应商或通过书面评审报告的形式，向采购人推荐综合得分由高到低顺序推荐</w:t>
      </w:r>
      <w:r>
        <w:rPr>
          <w:rFonts w:ascii="宋体" w:hAnsi="宋体" w:cs="宋体"/>
          <w:b/>
          <w:color w:val="auto"/>
          <w:szCs w:val="21"/>
          <w:highlight w:val="none"/>
        </w:rPr>
        <w:t>3</w:t>
      </w:r>
      <w:r>
        <w:rPr>
          <w:rFonts w:hint="eastAsia" w:ascii="宋体" w:hAnsi="宋体" w:cs="宋体"/>
          <w:b/>
          <w:color w:val="auto"/>
          <w:szCs w:val="21"/>
          <w:highlight w:val="none"/>
        </w:rPr>
        <w:t>名</w:t>
      </w:r>
      <w:r>
        <w:rPr>
          <w:rFonts w:hint="eastAsia" w:ascii="宋体" w:hAnsi="宋体" w:cs="宋体"/>
          <w:b/>
          <w:color w:val="auto"/>
          <w:kern w:val="0"/>
          <w:szCs w:val="21"/>
          <w:highlight w:val="none"/>
        </w:rPr>
        <w:t>成交候选供应商</w:t>
      </w:r>
      <w:r>
        <w:rPr>
          <w:rFonts w:hint="eastAsia" w:ascii="宋体" w:hAnsi="宋体" w:cs="宋体"/>
          <w:b/>
          <w:color w:val="auto"/>
          <w:szCs w:val="21"/>
          <w:highlight w:val="none"/>
        </w:rPr>
        <w:t>。</w:t>
      </w:r>
    </w:p>
    <w:p w14:paraId="17A8E4BC">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2.8 </w:t>
      </w:r>
      <w:r>
        <w:rPr>
          <w:rFonts w:hint="eastAsia" w:ascii="宋体" w:hAnsi="宋体" w:cs="宋体"/>
          <w:b/>
          <w:bCs/>
          <w:color w:val="auto"/>
          <w:szCs w:val="21"/>
          <w:highlight w:val="none"/>
        </w:rPr>
        <w:t>起草、签署评审报告</w:t>
      </w:r>
    </w:p>
    <w:p w14:paraId="455BAC8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评审结束后，磋商小组将通过“山西省政府采购网”起草评审报告，磋商小组成员应当在评审报告上签字（或加注电子签章），对自己的评审意见承担法律责任。对评审报告有异议的，应当在评审报告上签署不同意见，并说明理由，否则视为同意评审报告。</w:t>
      </w:r>
    </w:p>
    <w:p w14:paraId="68F5B125">
      <w:pPr>
        <w:keepNext/>
        <w:keepLines/>
        <w:spacing w:line="360" w:lineRule="auto"/>
        <w:ind w:firstLine="422" w:firstLineChars="200"/>
        <w:outlineLvl w:val="2"/>
        <w:rPr>
          <w:rFonts w:ascii="宋体" w:cs="宋体"/>
          <w:b/>
          <w:bCs/>
          <w:color w:val="auto"/>
          <w:szCs w:val="21"/>
          <w:highlight w:val="none"/>
        </w:rPr>
      </w:pPr>
      <w:r>
        <w:rPr>
          <w:rFonts w:ascii="宋体" w:hAnsi="宋体" w:cs="宋体"/>
          <w:b/>
          <w:bCs/>
          <w:color w:val="auto"/>
          <w:szCs w:val="21"/>
          <w:highlight w:val="none"/>
        </w:rPr>
        <w:t xml:space="preserve">2.9 </w:t>
      </w:r>
      <w:r>
        <w:rPr>
          <w:rFonts w:hint="eastAsia" w:ascii="宋体" w:hAnsi="宋体" w:cs="宋体"/>
          <w:b/>
          <w:bCs/>
          <w:color w:val="auto"/>
          <w:szCs w:val="21"/>
          <w:highlight w:val="none"/>
        </w:rPr>
        <w:t>重新评审</w:t>
      </w:r>
    </w:p>
    <w:p w14:paraId="3499C1F1">
      <w:pPr>
        <w:spacing w:line="360" w:lineRule="auto"/>
        <w:ind w:firstLine="422" w:firstLineChars="200"/>
        <w:rPr>
          <w:rFonts w:ascii="宋体" w:cs="宋体"/>
          <w:b/>
          <w:color w:val="auto"/>
          <w:szCs w:val="21"/>
          <w:highlight w:val="none"/>
        </w:rPr>
      </w:pPr>
      <w:r>
        <w:rPr>
          <w:rFonts w:hint="eastAsia" w:ascii="宋体" w:hAnsi="宋体" w:cs="宋体"/>
          <w:b/>
          <w:color w:val="auto"/>
          <w:szCs w:val="21"/>
          <w:highlight w:val="none"/>
        </w:rPr>
        <w:t>评审报告签署后，采购人或者采购代理机构发现存在下列情形之一的，将组织原磋商小组进行重新评审，重新评审改变评标结果的，将书面报告同级财政部门：</w:t>
      </w:r>
    </w:p>
    <w:p w14:paraId="09B20AC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）分值汇总计算错误的；</w:t>
      </w:r>
    </w:p>
    <w:p w14:paraId="0E55228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）分项评分超出评分标准范围的；</w:t>
      </w:r>
    </w:p>
    <w:p w14:paraId="731B716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）磋商小组成员对客观评审因素评分不一致的；</w:t>
      </w:r>
    </w:p>
    <w:p w14:paraId="7ED9A798">
      <w:pPr>
        <w:spacing w:line="360" w:lineRule="auto"/>
        <w:ind w:firstLine="420" w:firstLineChars="200"/>
        <w:rPr>
          <w:rFonts w:ascii="宋体" w:cs="宋体"/>
          <w:color w:val="auto"/>
          <w:w w:val="9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）经磋商小组认定评分畸高、畸低的。</w:t>
      </w:r>
      <w:bookmarkStart w:id="1210" w:name="_Toc520824347"/>
      <w:bookmarkStart w:id="1211" w:name="_Toc482590099"/>
    </w:p>
    <w:p w14:paraId="7EFF811A">
      <w:pPr>
        <w:pStyle w:val="3"/>
        <w:spacing w:before="0" w:after="0" w:line="360" w:lineRule="auto"/>
        <w:ind w:firstLine="562" w:firstLineChars="200"/>
        <w:rPr>
          <w:rFonts w:ascii="宋体" w:hAnsi="宋体" w:eastAsia="宋体" w:cs="宋体"/>
          <w:color w:val="auto"/>
          <w:sz w:val="28"/>
          <w:szCs w:val="28"/>
          <w:highlight w:val="none"/>
        </w:rPr>
      </w:pPr>
      <w:bookmarkStart w:id="1212" w:name="_Toc998"/>
      <w:bookmarkStart w:id="1213" w:name="_Toc81341343"/>
    </w:p>
    <w:p w14:paraId="2B08D1A3">
      <w:pPr>
        <w:pStyle w:val="3"/>
        <w:pageBreakBefore/>
        <w:spacing w:before="0" w:after="0" w:line="360" w:lineRule="auto"/>
        <w:ind w:firstLine="224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三、评分标准</w:t>
      </w:r>
      <w:bookmarkEnd w:id="1210"/>
      <w:bookmarkEnd w:id="1211"/>
      <w:bookmarkEnd w:id="1212"/>
      <w:bookmarkEnd w:id="1213"/>
      <w:bookmarkStart w:id="1214" w:name="PO_3000009629_PM051"/>
    </w:p>
    <w:p w14:paraId="0C5F1231">
      <w:pPr>
        <w:spacing w:line="360" w:lineRule="auto"/>
        <w:ind w:firstLine="482" w:firstLineChars="200"/>
        <w:rPr>
          <w:rFonts w:ascii="宋体" w:cs="宋体"/>
          <w:b/>
          <w:bCs/>
          <w:color w:val="auto"/>
          <w:sz w:val="24"/>
          <w:szCs w:val="28"/>
          <w:highlight w:val="none"/>
        </w:rPr>
      </w:pPr>
      <w:r>
        <w:rPr>
          <w:rFonts w:hint="eastAsia" w:ascii="宋体" w:hAnsi="宋体" w:cs="宋体"/>
          <w:b/>
          <w:bCs/>
          <w:color w:val="auto"/>
          <w:sz w:val="24"/>
          <w:szCs w:val="28"/>
          <w:highlight w:val="none"/>
        </w:rPr>
        <w:t>（</w:t>
      </w:r>
      <w:r>
        <w:rPr>
          <w:rFonts w:ascii="宋体" w:hAnsi="宋体" w:cs="宋体"/>
          <w:b/>
          <w:bCs/>
          <w:color w:val="auto"/>
          <w:sz w:val="24"/>
          <w:szCs w:val="28"/>
          <w:highlight w:val="none"/>
        </w:rPr>
        <w:t>1</w:t>
      </w:r>
      <w:r>
        <w:rPr>
          <w:rFonts w:hint="eastAsia" w:ascii="宋体" w:hAnsi="宋体" w:cs="宋体"/>
          <w:b/>
          <w:bCs/>
          <w:color w:val="auto"/>
          <w:sz w:val="24"/>
          <w:szCs w:val="28"/>
          <w:highlight w:val="none"/>
        </w:rPr>
        <w:t>）资格性审查</w:t>
      </w:r>
    </w:p>
    <w:tbl>
      <w:tblPr>
        <w:tblStyle w:val="65"/>
        <w:tblW w:w="535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7"/>
        <w:gridCol w:w="1103"/>
        <w:gridCol w:w="3609"/>
        <w:gridCol w:w="4406"/>
      </w:tblGrid>
      <w:tr w14:paraId="56AF4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2" w:type="pct"/>
            <w:tcBorders>
              <w:right w:val="single" w:color="auto" w:sz="4" w:space="0"/>
            </w:tcBorders>
            <w:shd w:val="clear" w:color="auto" w:fill="FAFAFA"/>
            <w:vAlign w:val="center"/>
          </w:tcPr>
          <w:p w14:paraId="36498937">
            <w:pPr>
              <w:autoSpaceDE w:val="0"/>
              <w:autoSpaceDN w:val="0"/>
              <w:adjustRightInd w:val="0"/>
              <w:spacing w:line="288" w:lineRule="auto"/>
              <w:jc w:val="center"/>
              <w:rPr>
                <w:rFonts w:ascii="宋体" w:cs="宋体"/>
                <w:b/>
                <w:color w:val="auto"/>
                <w:szCs w:val="21"/>
                <w:highlight w:val="none"/>
              </w:rPr>
            </w:pPr>
            <w:r>
              <w:rPr>
                <w:rFonts w:hint="eastAsia" w:ascii="宋体" w:hAnsi="宋体" w:cs="宋体"/>
                <w:b/>
                <w:color w:val="auto"/>
                <w:szCs w:val="21"/>
                <w:highlight w:val="none"/>
              </w:rPr>
              <w:t>序号</w:t>
            </w:r>
          </w:p>
        </w:tc>
        <w:tc>
          <w:tcPr>
            <w:tcW w:w="567" w:type="pct"/>
            <w:tcBorders>
              <w:left w:val="single" w:color="auto" w:sz="4" w:space="0"/>
            </w:tcBorders>
            <w:shd w:val="clear" w:color="auto" w:fill="FAFAFA"/>
            <w:vAlign w:val="center"/>
          </w:tcPr>
          <w:p w14:paraId="3E21CB49">
            <w:pPr>
              <w:autoSpaceDE w:val="0"/>
              <w:autoSpaceDN w:val="0"/>
              <w:adjustRightInd w:val="0"/>
              <w:spacing w:line="288" w:lineRule="auto"/>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1855" w:type="pct"/>
            <w:shd w:val="clear" w:color="auto" w:fill="FAFAFA"/>
            <w:vAlign w:val="center"/>
          </w:tcPr>
          <w:p w14:paraId="31809439">
            <w:pPr>
              <w:autoSpaceDE w:val="0"/>
              <w:autoSpaceDN w:val="0"/>
              <w:adjustRightInd w:val="0"/>
              <w:spacing w:line="288" w:lineRule="auto"/>
              <w:jc w:val="center"/>
              <w:rPr>
                <w:rFonts w:ascii="宋体" w:cs="宋体"/>
                <w:b/>
                <w:color w:val="auto"/>
                <w:szCs w:val="21"/>
                <w:highlight w:val="none"/>
              </w:rPr>
            </w:pPr>
            <w:r>
              <w:rPr>
                <w:rFonts w:hint="eastAsia" w:ascii="宋体" w:hAnsi="宋体" w:cs="宋体"/>
                <w:b/>
                <w:color w:val="auto"/>
                <w:szCs w:val="21"/>
                <w:highlight w:val="none"/>
              </w:rPr>
              <w:t>评审因素</w:t>
            </w:r>
          </w:p>
        </w:tc>
        <w:tc>
          <w:tcPr>
            <w:tcW w:w="2264" w:type="pct"/>
            <w:shd w:val="clear" w:color="auto" w:fill="FAFAFA"/>
            <w:vAlign w:val="center"/>
          </w:tcPr>
          <w:p w14:paraId="2CC32D58">
            <w:pPr>
              <w:autoSpaceDE w:val="0"/>
              <w:autoSpaceDN w:val="0"/>
              <w:adjustRightInd w:val="0"/>
              <w:spacing w:line="288" w:lineRule="auto"/>
              <w:jc w:val="center"/>
              <w:rPr>
                <w:rFonts w:ascii="宋体" w:cs="宋体"/>
                <w:b/>
                <w:color w:val="auto"/>
                <w:szCs w:val="21"/>
                <w:highlight w:val="none"/>
              </w:rPr>
            </w:pPr>
            <w:r>
              <w:rPr>
                <w:rFonts w:hint="eastAsia" w:ascii="宋体" w:hAnsi="宋体" w:cs="宋体"/>
                <w:b/>
                <w:color w:val="auto"/>
                <w:szCs w:val="21"/>
                <w:highlight w:val="none"/>
              </w:rPr>
              <w:t>评审标准</w:t>
            </w:r>
          </w:p>
        </w:tc>
      </w:tr>
      <w:tr w14:paraId="23A75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2" w:type="pct"/>
            <w:tcBorders>
              <w:right w:val="single" w:color="auto" w:sz="4" w:space="0"/>
            </w:tcBorders>
            <w:vAlign w:val="center"/>
          </w:tcPr>
          <w:p w14:paraId="1E0D37CD">
            <w:pPr>
              <w:autoSpaceDE w:val="0"/>
              <w:autoSpaceDN w:val="0"/>
              <w:adjustRightInd w:val="0"/>
              <w:spacing w:line="288" w:lineRule="auto"/>
              <w:jc w:val="center"/>
              <w:rPr>
                <w:rFonts w:ascii="宋体" w:cs="宋体"/>
                <w:color w:val="auto"/>
                <w:szCs w:val="21"/>
                <w:highlight w:val="none"/>
              </w:rPr>
            </w:pPr>
            <w:r>
              <w:rPr>
                <w:rFonts w:ascii="宋体" w:hAnsi="宋体" w:cs="宋体"/>
                <w:color w:val="auto"/>
                <w:szCs w:val="21"/>
                <w:highlight w:val="none"/>
              </w:rPr>
              <w:t>1</w:t>
            </w:r>
          </w:p>
        </w:tc>
        <w:tc>
          <w:tcPr>
            <w:tcW w:w="567" w:type="pct"/>
            <w:tcBorders>
              <w:left w:val="single" w:color="auto" w:sz="4" w:space="0"/>
            </w:tcBorders>
            <w:vAlign w:val="center"/>
          </w:tcPr>
          <w:p w14:paraId="7C22734F">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1855" w:type="pct"/>
            <w:vAlign w:val="center"/>
          </w:tcPr>
          <w:p w14:paraId="50AE949C">
            <w:pPr>
              <w:autoSpaceDE w:val="0"/>
              <w:autoSpaceDN w:val="0"/>
              <w:adjustRightInd w:val="0"/>
              <w:spacing w:line="288" w:lineRule="auto"/>
              <w:jc w:val="center"/>
              <w:rPr>
                <w:rFonts w:ascii="宋体" w:cs="宋体"/>
                <w:color w:val="auto"/>
                <w:szCs w:val="21"/>
                <w:highlight w:val="none"/>
              </w:rPr>
            </w:pPr>
            <w:r>
              <w:rPr>
                <w:rFonts w:hint="eastAsia" w:ascii="宋体" w:cs="宋体"/>
                <w:color w:val="auto"/>
                <w:szCs w:val="21"/>
                <w:highlight w:val="none"/>
              </w:rPr>
              <w:t>具有独立承担民事责任的能力</w:t>
            </w:r>
          </w:p>
        </w:tc>
        <w:tc>
          <w:tcPr>
            <w:tcW w:w="2264" w:type="pct"/>
            <w:vAlign w:val="center"/>
          </w:tcPr>
          <w:p w14:paraId="548808B3">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提供供应商信用承诺书。</w:t>
            </w:r>
          </w:p>
          <w:p w14:paraId="01C2A7AD">
            <w:pPr>
              <w:autoSpaceDE w:val="0"/>
              <w:autoSpaceDN w:val="0"/>
              <w:adjustRightInd w:val="0"/>
              <w:spacing w:line="360" w:lineRule="exact"/>
              <w:ind w:left="84" w:leftChars="40" w:right="84" w:rightChars="40"/>
              <w:jc w:val="left"/>
              <w:rPr>
                <w:rFonts w:ascii="宋体" w:cs="宋体"/>
                <w:color w:val="auto"/>
                <w:szCs w:val="21"/>
                <w:highlight w:val="none"/>
              </w:rPr>
            </w:pPr>
            <w:r>
              <w:rPr>
                <w:rFonts w:hint="eastAsia" w:ascii="宋体" w:hAnsi="宋体" w:cs="宋体"/>
                <w:color w:val="auto"/>
                <w:szCs w:val="21"/>
                <w:highlight w:val="none"/>
              </w:rPr>
              <w:t>以上证明材料须符合要求、有效、完整。否则，响应无效。</w:t>
            </w:r>
          </w:p>
        </w:tc>
      </w:tr>
      <w:tr w14:paraId="1317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2" w:type="pct"/>
            <w:tcBorders>
              <w:right w:val="single" w:color="auto" w:sz="4" w:space="0"/>
            </w:tcBorders>
            <w:vAlign w:val="center"/>
          </w:tcPr>
          <w:p w14:paraId="662F27BC">
            <w:pPr>
              <w:autoSpaceDE w:val="0"/>
              <w:autoSpaceDN w:val="0"/>
              <w:adjustRightInd w:val="0"/>
              <w:spacing w:line="288" w:lineRule="auto"/>
              <w:jc w:val="center"/>
              <w:rPr>
                <w:rFonts w:ascii="宋体" w:cs="宋体"/>
                <w:color w:val="auto"/>
                <w:szCs w:val="21"/>
                <w:highlight w:val="none"/>
              </w:rPr>
            </w:pPr>
            <w:r>
              <w:rPr>
                <w:rFonts w:ascii="宋体" w:hAnsi="宋体" w:cs="宋体"/>
                <w:color w:val="auto"/>
                <w:szCs w:val="21"/>
                <w:highlight w:val="none"/>
              </w:rPr>
              <w:t>2</w:t>
            </w:r>
          </w:p>
        </w:tc>
        <w:tc>
          <w:tcPr>
            <w:tcW w:w="567" w:type="pct"/>
            <w:tcBorders>
              <w:left w:val="single" w:color="auto" w:sz="4" w:space="0"/>
            </w:tcBorders>
            <w:vAlign w:val="center"/>
          </w:tcPr>
          <w:p w14:paraId="3A144DD6">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财务报告</w:t>
            </w:r>
          </w:p>
        </w:tc>
        <w:tc>
          <w:tcPr>
            <w:tcW w:w="1855" w:type="pct"/>
            <w:vAlign w:val="center"/>
          </w:tcPr>
          <w:p w14:paraId="37FACBDB">
            <w:pPr>
              <w:autoSpaceDE w:val="0"/>
              <w:autoSpaceDN w:val="0"/>
              <w:adjustRightInd w:val="0"/>
              <w:spacing w:line="288" w:lineRule="auto"/>
              <w:jc w:val="center"/>
              <w:rPr>
                <w:rFonts w:ascii="宋体" w:cs="宋体"/>
                <w:color w:val="auto"/>
                <w:szCs w:val="21"/>
                <w:highlight w:val="none"/>
              </w:rPr>
            </w:pPr>
            <w:r>
              <w:rPr>
                <w:rFonts w:hint="eastAsia" w:ascii="宋体" w:hAnsi="宋体" w:cs="宋体"/>
                <w:color w:val="auto"/>
                <w:szCs w:val="21"/>
                <w:highlight w:val="none"/>
              </w:rPr>
              <w:t>具有良好的商业信誉和健全的财务会计制度</w:t>
            </w:r>
          </w:p>
        </w:tc>
        <w:tc>
          <w:tcPr>
            <w:tcW w:w="2264" w:type="pct"/>
            <w:tcBorders>
              <w:bottom w:val="single" w:color="auto" w:sz="4" w:space="0"/>
            </w:tcBorders>
            <w:vAlign w:val="center"/>
          </w:tcPr>
          <w:p w14:paraId="2B6B647B">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提供供应商信用承诺书。</w:t>
            </w:r>
          </w:p>
          <w:p w14:paraId="51FA86F1">
            <w:pPr>
              <w:autoSpaceDE w:val="0"/>
              <w:autoSpaceDN w:val="0"/>
              <w:adjustRightInd w:val="0"/>
              <w:spacing w:line="360" w:lineRule="exact"/>
              <w:ind w:left="84" w:leftChars="40" w:right="84" w:rightChars="40"/>
              <w:jc w:val="left"/>
              <w:rPr>
                <w:rFonts w:ascii="宋体" w:cs="宋体"/>
                <w:color w:val="auto"/>
                <w:szCs w:val="21"/>
                <w:highlight w:val="none"/>
              </w:rPr>
            </w:pPr>
            <w:r>
              <w:rPr>
                <w:rFonts w:hint="eastAsia" w:ascii="宋体" w:hAnsi="宋体" w:cs="宋体"/>
                <w:color w:val="auto"/>
                <w:szCs w:val="21"/>
                <w:highlight w:val="none"/>
              </w:rPr>
              <w:t>以上证明材料须符合要求、有效、完整。否则，响应无效。</w:t>
            </w:r>
          </w:p>
        </w:tc>
      </w:tr>
      <w:tr w14:paraId="3129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2" w:type="pct"/>
            <w:tcBorders>
              <w:right w:val="single" w:color="auto" w:sz="4" w:space="0"/>
            </w:tcBorders>
            <w:vAlign w:val="center"/>
          </w:tcPr>
          <w:p w14:paraId="0FEB3F94">
            <w:pPr>
              <w:autoSpaceDE w:val="0"/>
              <w:autoSpaceDN w:val="0"/>
              <w:adjustRightInd w:val="0"/>
              <w:spacing w:line="288" w:lineRule="auto"/>
              <w:jc w:val="center"/>
              <w:rPr>
                <w:rFonts w:ascii="宋体" w:cs="宋体"/>
                <w:color w:val="auto"/>
                <w:szCs w:val="21"/>
                <w:highlight w:val="none"/>
              </w:rPr>
            </w:pPr>
            <w:r>
              <w:rPr>
                <w:rFonts w:ascii="宋体" w:hAnsi="宋体" w:cs="宋体"/>
                <w:color w:val="auto"/>
                <w:szCs w:val="21"/>
                <w:highlight w:val="none"/>
              </w:rPr>
              <w:t>3</w:t>
            </w:r>
          </w:p>
        </w:tc>
        <w:tc>
          <w:tcPr>
            <w:tcW w:w="567" w:type="pct"/>
            <w:tcBorders>
              <w:left w:val="single" w:color="auto" w:sz="4" w:space="0"/>
            </w:tcBorders>
            <w:vAlign w:val="center"/>
          </w:tcPr>
          <w:p w14:paraId="4EF2BFD2">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855" w:type="pct"/>
            <w:vAlign w:val="center"/>
          </w:tcPr>
          <w:p w14:paraId="51B5B7D3">
            <w:pPr>
              <w:autoSpaceDE w:val="0"/>
              <w:autoSpaceDN w:val="0"/>
              <w:adjustRightInd w:val="0"/>
              <w:spacing w:line="288" w:lineRule="auto"/>
              <w:jc w:val="center"/>
              <w:rPr>
                <w:rFonts w:ascii="宋体" w:cs="宋体"/>
                <w:color w:val="auto"/>
                <w:szCs w:val="21"/>
                <w:highlight w:val="none"/>
              </w:rPr>
            </w:pPr>
            <w:r>
              <w:rPr>
                <w:rFonts w:hint="eastAsia" w:ascii="宋体" w:hAnsi="宋体" w:cs="宋体"/>
                <w:color w:val="auto"/>
                <w:szCs w:val="21"/>
                <w:highlight w:val="none"/>
              </w:rPr>
              <w:t>具有履行合同所必需的设备和专业技术能力</w:t>
            </w:r>
          </w:p>
        </w:tc>
        <w:tc>
          <w:tcPr>
            <w:tcW w:w="2264" w:type="pct"/>
            <w:tcBorders>
              <w:top w:val="single" w:color="auto" w:sz="4" w:space="0"/>
              <w:bottom w:val="single" w:color="auto" w:sz="4" w:space="0"/>
            </w:tcBorders>
            <w:vAlign w:val="center"/>
          </w:tcPr>
          <w:p w14:paraId="435A0001">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提供供应商信用承诺书。</w:t>
            </w:r>
          </w:p>
          <w:p w14:paraId="6EBF04D8">
            <w:pPr>
              <w:autoSpaceDE w:val="0"/>
              <w:autoSpaceDN w:val="0"/>
              <w:adjustRightInd w:val="0"/>
              <w:spacing w:line="360" w:lineRule="exact"/>
              <w:ind w:left="84" w:leftChars="40" w:right="84" w:rightChars="40"/>
              <w:jc w:val="left"/>
              <w:rPr>
                <w:rFonts w:ascii="宋体" w:cs="宋体"/>
                <w:color w:val="auto"/>
                <w:szCs w:val="21"/>
                <w:highlight w:val="none"/>
              </w:rPr>
            </w:pPr>
            <w:r>
              <w:rPr>
                <w:rFonts w:hint="eastAsia" w:ascii="宋体" w:hAnsi="宋体" w:cs="宋体"/>
                <w:color w:val="auto"/>
                <w:szCs w:val="21"/>
                <w:highlight w:val="none"/>
              </w:rPr>
              <w:t>以上证明材料须符合要求、有效、完整。否则，响应无效。</w:t>
            </w:r>
          </w:p>
        </w:tc>
      </w:tr>
      <w:tr w14:paraId="7C771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2" w:type="pct"/>
            <w:tcBorders>
              <w:right w:val="single" w:color="auto" w:sz="4" w:space="0"/>
            </w:tcBorders>
            <w:vAlign w:val="center"/>
          </w:tcPr>
          <w:p w14:paraId="2CCBBEED">
            <w:pPr>
              <w:autoSpaceDE w:val="0"/>
              <w:autoSpaceDN w:val="0"/>
              <w:adjustRightInd w:val="0"/>
              <w:spacing w:line="288" w:lineRule="auto"/>
              <w:jc w:val="center"/>
              <w:rPr>
                <w:rFonts w:ascii="宋体" w:cs="宋体"/>
                <w:color w:val="auto"/>
                <w:szCs w:val="21"/>
                <w:highlight w:val="none"/>
              </w:rPr>
            </w:pPr>
            <w:r>
              <w:rPr>
                <w:rFonts w:ascii="宋体" w:hAnsi="宋体" w:cs="宋体"/>
                <w:color w:val="auto"/>
                <w:szCs w:val="21"/>
                <w:highlight w:val="none"/>
              </w:rPr>
              <w:t>4</w:t>
            </w:r>
          </w:p>
        </w:tc>
        <w:tc>
          <w:tcPr>
            <w:tcW w:w="567" w:type="pct"/>
            <w:tcBorders>
              <w:left w:val="single" w:color="auto" w:sz="4" w:space="0"/>
            </w:tcBorders>
            <w:vAlign w:val="center"/>
          </w:tcPr>
          <w:p w14:paraId="1F684931">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855" w:type="pct"/>
            <w:vAlign w:val="center"/>
          </w:tcPr>
          <w:p w14:paraId="7ECC8E06">
            <w:pPr>
              <w:autoSpaceDE w:val="0"/>
              <w:autoSpaceDN w:val="0"/>
              <w:adjustRightInd w:val="0"/>
              <w:spacing w:line="288" w:lineRule="auto"/>
              <w:jc w:val="center"/>
              <w:rPr>
                <w:rFonts w:ascii="宋体" w:cs="宋体"/>
                <w:color w:val="auto"/>
                <w:szCs w:val="21"/>
                <w:highlight w:val="none"/>
              </w:rPr>
            </w:pPr>
            <w:r>
              <w:rPr>
                <w:rFonts w:hint="eastAsia" w:ascii="宋体" w:hAnsi="宋体" w:cs="宋体"/>
                <w:color w:val="auto"/>
                <w:szCs w:val="21"/>
                <w:highlight w:val="none"/>
              </w:rPr>
              <w:t>具有依法缴纳税收和社会保障金的良好记录</w:t>
            </w:r>
          </w:p>
        </w:tc>
        <w:tc>
          <w:tcPr>
            <w:tcW w:w="2264" w:type="pct"/>
            <w:tcBorders>
              <w:top w:val="single" w:color="auto" w:sz="4" w:space="0"/>
              <w:bottom w:val="single" w:color="auto" w:sz="4" w:space="0"/>
            </w:tcBorders>
            <w:vAlign w:val="center"/>
          </w:tcPr>
          <w:p w14:paraId="08718959">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提供供应商信用承诺书。</w:t>
            </w:r>
          </w:p>
          <w:p w14:paraId="06AED6E7">
            <w:pPr>
              <w:autoSpaceDE w:val="0"/>
              <w:autoSpaceDN w:val="0"/>
              <w:adjustRightInd w:val="0"/>
              <w:spacing w:line="360" w:lineRule="exact"/>
              <w:ind w:left="84" w:leftChars="40" w:right="84" w:rightChars="40"/>
              <w:jc w:val="left"/>
              <w:rPr>
                <w:rFonts w:ascii="宋体" w:cs="宋体"/>
                <w:color w:val="auto"/>
                <w:szCs w:val="21"/>
                <w:highlight w:val="none"/>
              </w:rPr>
            </w:pPr>
            <w:r>
              <w:rPr>
                <w:rFonts w:hint="eastAsia" w:ascii="宋体" w:hAnsi="宋体" w:cs="宋体"/>
                <w:color w:val="auto"/>
                <w:szCs w:val="21"/>
                <w:highlight w:val="none"/>
              </w:rPr>
              <w:t>以上证明材料须符合要求、有效、完整。否则，响应无效。</w:t>
            </w:r>
          </w:p>
        </w:tc>
      </w:tr>
      <w:tr w14:paraId="3710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2" w:type="pct"/>
            <w:tcBorders>
              <w:right w:val="single" w:color="auto" w:sz="4" w:space="0"/>
            </w:tcBorders>
            <w:vAlign w:val="center"/>
          </w:tcPr>
          <w:p w14:paraId="00E96C99">
            <w:pPr>
              <w:autoSpaceDE w:val="0"/>
              <w:autoSpaceDN w:val="0"/>
              <w:adjustRightInd w:val="0"/>
              <w:spacing w:line="288" w:lineRule="auto"/>
              <w:jc w:val="center"/>
              <w:rPr>
                <w:rFonts w:ascii="宋体" w:cs="宋体"/>
                <w:color w:val="auto"/>
                <w:szCs w:val="21"/>
                <w:highlight w:val="none"/>
              </w:rPr>
            </w:pPr>
            <w:r>
              <w:rPr>
                <w:rFonts w:ascii="宋体" w:hAnsi="宋体" w:cs="宋体"/>
                <w:color w:val="auto"/>
                <w:szCs w:val="21"/>
                <w:highlight w:val="none"/>
              </w:rPr>
              <w:t>5</w:t>
            </w:r>
          </w:p>
        </w:tc>
        <w:tc>
          <w:tcPr>
            <w:tcW w:w="567" w:type="pct"/>
            <w:tcBorders>
              <w:left w:val="single" w:color="auto" w:sz="4" w:space="0"/>
            </w:tcBorders>
            <w:vAlign w:val="center"/>
          </w:tcPr>
          <w:p w14:paraId="15F7D39F">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855" w:type="pct"/>
            <w:vAlign w:val="center"/>
          </w:tcPr>
          <w:p w14:paraId="5F7E2A6A">
            <w:pPr>
              <w:autoSpaceDE w:val="0"/>
              <w:autoSpaceDN w:val="0"/>
              <w:adjustRightInd w:val="0"/>
              <w:spacing w:line="288" w:lineRule="auto"/>
              <w:jc w:val="center"/>
              <w:rPr>
                <w:rFonts w:ascii="宋体" w:cs="宋体"/>
                <w:color w:val="auto"/>
                <w:szCs w:val="21"/>
                <w:highlight w:val="none"/>
              </w:rPr>
            </w:pPr>
            <w:r>
              <w:rPr>
                <w:rFonts w:hint="eastAsia" w:ascii="宋体" w:hAnsi="宋体" w:cs="宋体"/>
                <w:color w:val="auto"/>
                <w:szCs w:val="21"/>
                <w:highlight w:val="none"/>
              </w:rPr>
              <w:t>参加本次采购活动前三年内在经营活动中没有重大违法记录</w:t>
            </w:r>
          </w:p>
        </w:tc>
        <w:tc>
          <w:tcPr>
            <w:tcW w:w="2264" w:type="pct"/>
            <w:tcBorders>
              <w:top w:val="single" w:color="auto" w:sz="4" w:space="0"/>
              <w:bottom w:val="single" w:color="auto" w:sz="4" w:space="0"/>
            </w:tcBorders>
            <w:vAlign w:val="center"/>
          </w:tcPr>
          <w:p w14:paraId="062E1DEF">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提供供应商信用承诺书。</w:t>
            </w:r>
          </w:p>
          <w:p w14:paraId="323F0788">
            <w:pPr>
              <w:autoSpaceDE w:val="0"/>
              <w:autoSpaceDN w:val="0"/>
              <w:adjustRightInd w:val="0"/>
              <w:spacing w:line="360" w:lineRule="exact"/>
              <w:ind w:left="84" w:leftChars="40" w:right="84" w:rightChars="40"/>
              <w:jc w:val="left"/>
              <w:rPr>
                <w:rFonts w:ascii="宋体" w:cs="宋体"/>
                <w:color w:val="auto"/>
                <w:szCs w:val="21"/>
                <w:highlight w:val="none"/>
              </w:rPr>
            </w:pPr>
            <w:r>
              <w:rPr>
                <w:rFonts w:hint="eastAsia" w:ascii="宋体" w:hAnsi="宋体" w:cs="宋体"/>
                <w:color w:val="auto"/>
                <w:szCs w:val="21"/>
                <w:highlight w:val="none"/>
              </w:rPr>
              <w:t>以上证明材料须符合要求、有效、完整。否则，响应无效。</w:t>
            </w:r>
          </w:p>
        </w:tc>
      </w:tr>
      <w:tr w14:paraId="0E8D1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2" w:type="pct"/>
            <w:tcBorders>
              <w:right w:val="single" w:color="auto" w:sz="4" w:space="0"/>
            </w:tcBorders>
            <w:vAlign w:val="center"/>
          </w:tcPr>
          <w:p w14:paraId="186CFDC1">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567" w:type="pct"/>
            <w:tcBorders>
              <w:left w:val="single" w:color="auto" w:sz="4" w:space="0"/>
            </w:tcBorders>
            <w:vAlign w:val="center"/>
          </w:tcPr>
          <w:p w14:paraId="284F867E">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采购政策</w:t>
            </w:r>
          </w:p>
        </w:tc>
        <w:tc>
          <w:tcPr>
            <w:tcW w:w="1855" w:type="pct"/>
            <w:vAlign w:val="center"/>
          </w:tcPr>
          <w:p w14:paraId="0DE75E2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2264" w:type="pct"/>
            <w:tcBorders>
              <w:top w:val="single" w:color="auto" w:sz="4" w:space="0"/>
              <w:bottom w:val="single" w:color="auto" w:sz="4" w:space="0"/>
            </w:tcBorders>
            <w:vAlign w:val="center"/>
          </w:tcPr>
          <w:p w14:paraId="0013B180">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请根据要求单独上传《中小企业声明函》，格式以采购文件要求为准</w:t>
            </w:r>
          </w:p>
        </w:tc>
      </w:tr>
      <w:tr w14:paraId="5C276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312" w:type="pct"/>
            <w:tcBorders>
              <w:right w:val="single" w:color="auto" w:sz="4" w:space="0"/>
            </w:tcBorders>
            <w:vAlign w:val="center"/>
          </w:tcPr>
          <w:p w14:paraId="560004A5">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567" w:type="pct"/>
            <w:tcBorders>
              <w:left w:val="single" w:color="auto" w:sz="4" w:space="0"/>
            </w:tcBorders>
            <w:vAlign w:val="center"/>
          </w:tcPr>
          <w:p w14:paraId="59BF0912">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855" w:type="pct"/>
            <w:vAlign w:val="center"/>
          </w:tcPr>
          <w:p w14:paraId="10CBEB15">
            <w:pPr>
              <w:spacing w:line="360" w:lineRule="exact"/>
              <w:ind w:firstLine="1680"/>
              <w:jc w:val="left"/>
              <w:rPr>
                <w:rFonts w:ascii="宋体" w:hAnsi="宋体" w:cs="宋体"/>
                <w:color w:val="auto"/>
                <w:szCs w:val="21"/>
                <w:highlight w:val="none"/>
              </w:rPr>
            </w:pPr>
            <w:r>
              <w:rPr>
                <w:rFonts w:hint="eastAsia" w:ascii="宋体" w:hAnsi="宋体" w:cs="宋体"/>
                <w:color w:val="auto"/>
                <w:szCs w:val="21"/>
                <w:highlight w:val="none"/>
              </w:rPr>
              <w:t>未被“信用中国”（www.creditchina.gov.cn）列入失信被执行人、重大税收违法失信主体、未被中国政府采购网（www.ccgp.gov.cn）列入政府采购严重违法失信行为记录名单的证明材料</w:t>
            </w:r>
          </w:p>
        </w:tc>
        <w:tc>
          <w:tcPr>
            <w:tcW w:w="2264" w:type="pct"/>
            <w:tcBorders>
              <w:top w:val="single" w:color="auto" w:sz="4" w:space="0"/>
              <w:bottom w:val="single" w:color="auto" w:sz="4" w:space="0"/>
            </w:tcBorders>
            <w:vAlign w:val="center"/>
          </w:tcPr>
          <w:p w14:paraId="7A063B8C">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符合磋商文件的要求</w:t>
            </w:r>
          </w:p>
        </w:tc>
      </w:tr>
      <w:tr w14:paraId="4852C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312" w:type="pct"/>
            <w:tcBorders>
              <w:right w:val="single" w:color="auto" w:sz="4" w:space="0"/>
            </w:tcBorders>
            <w:vAlign w:val="center"/>
          </w:tcPr>
          <w:p w14:paraId="6FEE900A">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567" w:type="pct"/>
            <w:tcBorders>
              <w:left w:val="single" w:color="auto" w:sz="4" w:space="0"/>
            </w:tcBorders>
            <w:vAlign w:val="center"/>
          </w:tcPr>
          <w:p w14:paraId="2E18D575">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855" w:type="pct"/>
            <w:vAlign w:val="center"/>
          </w:tcPr>
          <w:p w14:paraId="09C1ACDE">
            <w:pPr>
              <w:autoSpaceDE w:val="0"/>
              <w:autoSpaceDN w:val="0"/>
              <w:adjustRightInd w:val="0"/>
              <w:spacing w:line="288" w:lineRule="auto"/>
              <w:jc w:val="center"/>
              <w:rPr>
                <w:rFonts w:ascii="宋体" w:hAnsi="宋体" w:cs="宋体"/>
                <w:color w:val="auto"/>
                <w:szCs w:val="21"/>
                <w:highlight w:val="none"/>
              </w:rPr>
            </w:pPr>
            <w:r>
              <w:rPr>
                <w:rFonts w:hint="eastAsia" w:ascii="宋体" w:hAnsi="宋体" w:cs="宋体"/>
                <w:color w:val="auto"/>
                <w:szCs w:val="21"/>
                <w:highlight w:val="none"/>
              </w:rPr>
              <w:t>与“采购人不存在利害关系及其他违规行为”的证明材料</w:t>
            </w:r>
          </w:p>
        </w:tc>
        <w:tc>
          <w:tcPr>
            <w:tcW w:w="2264" w:type="pct"/>
            <w:tcBorders>
              <w:top w:val="single" w:color="auto" w:sz="4" w:space="0"/>
            </w:tcBorders>
            <w:vAlign w:val="center"/>
          </w:tcPr>
          <w:p w14:paraId="66117F70">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按照磋商文件要求提供并签署公章</w:t>
            </w:r>
          </w:p>
        </w:tc>
      </w:tr>
      <w:tr w14:paraId="3FBEB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312" w:type="pct"/>
            <w:tcBorders>
              <w:right w:val="single" w:color="auto" w:sz="4" w:space="0"/>
            </w:tcBorders>
            <w:vAlign w:val="center"/>
          </w:tcPr>
          <w:p w14:paraId="2BACCF7E">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567" w:type="pct"/>
            <w:tcBorders>
              <w:left w:val="single" w:color="auto" w:sz="4" w:space="0"/>
            </w:tcBorders>
            <w:vAlign w:val="center"/>
          </w:tcPr>
          <w:p w14:paraId="1FA0CED8">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855" w:type="pct"/>
            <w:vAlign w:val="center"/>
          </w:tcPr>
          <w:p w14:paraId="772C058A">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政府采购供应商信用承诺书</w:t>
            </w:r>
          </w:p>
        </w:tc>
        <w:tc>
          <w:tcPr>
            <w:tcW w:w="2264" w:type="pct"/>
            <w:tcBorders>
              <w:top w:val="single" w:color="auto" w:sz="4" w:space="0"/>
            </w:tcBorders>
            <w:vAlign w:val="center"/>
          </w:tcPr>
          <w:p w14:paraId="6EDD6D80">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符合磋商文件的要求</w:t>
            </w:r>
          </w:p>
        </w:tc>
      </w:tr>
      <w:tr w14:paraId="0854C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2" w:type="pct"/>
            <w:tcBorders>
              <w:right w:val="single" w:color="auto" w:sz="4" w:space="0"/>
            </w:tcBorders>
            <w:vAlign w:val="center"/>
          </w:tcPr>
          <w:p w14:paraId="1276735E">
            <w:pPr>
              <w:spacing w:line="288" w:lineRule="auto"/>
              <w:jc w:val="center"/>
              <w:rPr>
                <w:rFonts w:ascii="宋体" w:cs="宋体"/>
                <w:color w:val="auto"/>
                <w:szCs w:val="21"/>
                <w:highlight w:val="none"/>
              </w:rPr>
            </w:pPr>
            <w:r>
              <w:rPr>
                <w:rFonts w:hint="eastAsia" w:ascii="宋体" w:hAnsi="宋体" w:cs="宋体"/>
                <w:color w:val="auto"/>
                <w:szCs w:val="21"/>
                <w:highlight w:val="none"/>
              </w:rPr>
              <w:t>10</w:t>
            </w:r>
          </w:p>
        </w:tc>
        <w:tc>
          <w:tcPr>
            <w:tcW w:w="567" w:type="pct"/>
            <w:tcBorders>
              <w:left w:val="single" w:color="auto" w:sz="4" w:space="0"/>
            </w:tcBorders>
            <w:vAlign w:val="center"/>
          </w:tcPr>
          <w:p w14:paraId="6534A1C8">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855" w:type="pct"/>
            <w:vAlign w:val="center"/>
          </w:tcPr>
          <w:p w14:paraId="2F2F5E2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“非联合体”的证明材料</w:t>
            </w:r>
          </w:p>
        </w:tc>
        <w:tc>
          <w:tcPr>
            <w:tcW w:w="2264" w:type="pct"/>
            <w:vAlign w:val="center"/>
          </w:tcPr>
          <w:p w14:paraId="473CF376">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符合磋商文件的要求</w:t>
            </w:r>
          </w:p>
        </w:tc>
      </w:tr>
      <w:tr w14:paraId="60DA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312" w:type="pct"/>
            <w:tcBorders>
              <w:right w:val="single" w:color="auto" w:sz="4" w:space="0"/>
            </w:tcBorders>
            <w:vAlign w:val="center"/>
          </w:tcPr>
          <w:p w14:paraId="384F68D3">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567" w:type="pct"/>
            <w:tcBorders>
              <w:left w:val="single" w:color="auto" w:sz="4" w:space="0"/>
            </w:tcBorders>
            <w:vAlign w:val="center"/>
          </w:tcPr>
          <w:p w14:paraId="597532B4">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特定资质</w:t>
            </w:r>
          </w:p>
        </w:tc>
        <w:tc>
          <w:tcPr>
            <w:tcW w:w="1855" w:type="pct"/>
            <w:vAlign w:val="center"/>
          </w:tcPr>
          <w:p w14:paraId="00270B3F">
            <w:pPr>
              <w:spacing w:line="288" w:lineRule="auto"/>
              <w:jc w:val="center"/>
              <w:rPr>
                <w:rFonts w:ascii="宋体" w:cs="宋体"/>
                <w:color w:val="auto"/>
                <w:szCs w:val="21"/>
                <w:highlight w:val="none"/>
              </w:rPr>
            </w:pPr>
            <w:r>
              <w:rPr>
                <w:rFonts w:hint="eastAsia" w:ascii="宋体" w:hAnsi="宋体" w:cs="宋体"/>
                <w:bCs/>
                <w:color w:val="auto"/>
                <w:szCs w:val="21"/>
                <w:highlight w:val="none"/>
              </w:rPr>
              <w:t>特定资格要求</w:t>
            </w:r>
          </w:p>
        </w:tc>
        <w:tc>
          <w:tcPr>
            <w:tcW w:w="2264" w:type="pct"/>
            <w:vAlign w:val="center"/>
          </w:tcPr>
          <w:p w14:paraId="74E719EB">
            <w:pPr>
              <w:autoSpaceDE w:val="0"/>
              <w:autoSpaceDN w:val="0"/>
              <w:adjustRightInd w:val="0"/>
              <w:spacing w:line="360" w:lineRule="exact"/>
              <w:ind w:left="84" w:leftChars="40" w:right="84" w:rightChars="40"/>
              <w:jc w:val="left"/>
              <w:rPr>
                <w:rFonts w:ascii="宋体" w:cs="宋体"/>
                <w:color w:val="auto"/>
                <w:szCs w:val="21"/>
                <w:highlight w:val="none"/>
              </w:rPr>
            </w:pPr>
            <w:r>
              <w:rPr>
                <w:rFonts w:hint="eastAsia" w:ascii="宋体" w:hAnsi="宋体" w:cs="宋体"/>
                <w:color w:val="auto"/>
                <w:szCs w:val="21"/>
                <w:highlight w:val="none"/>
              </w:rPr>
              <w:t>供应商须具备有效的</w:t>
            </w:r>
            <w:r>
              <w:rPr>
                <w:rFonts w:hint="eastAsia" w:cs="宋体"/>
                <w:bCs/>
                <w:color w:val="auto"/>
                <w:szCs w:val="21"/>
                <w:highlight w:val="none"/>
              </w:rPr>
              <w:t>消防设施工程专业承包贰级及以上</w:t>
            </w:r>
            <w:r>
              <w:rPr>
                <w:rFonts w:hint="eastAsia" w:ascii="宋体" w:hAnsi="宋体" w:cs="宋体"/>
                <w:color w:val="auto"/>
                <w:szCs w:val="21"/>
                <w:highlight w:val="none"/>
              </w:rPr>
              <w:t>资质，有效营业执照、安全生产许可证，并在人员、设备、资金等方面具有相应的施工能力</w:t>
            </w:r>
          </w:p>
        </w:tc>
      </w:tr>
      <w:tr w14:paraId="42DCF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2" w:type="pct"/>
            <w:tcBorders>
              <w:right w:val="single" w:color="auto" w:sz="4" w:space="0"/>
            </w:tcBorders>
            <w:vAlign w:val="center"/>
          </w:tcPr>
          <w:p w14:paraId="3125EA0F">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567" w:type="pct"/>
            <w:tcBorders>
              <w:left w:val="single" w:color="auto" w:sz="4" w:space="0"/>
            </w:tcBorders>
            <w:vAlign w:val="center"/>
          </w:tcPr>
          <w:p w14:paraId="1691020A">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855" w:type="pct"/>
            <w:vAlign w:val="center"/>
          </w:tcPr>
          <w:p w14:paraId="54080323">
            <w:pPr>
              <w:spacing w:line="288" w:lineRule="auto"/>
              <w:jc w:val="center"/>
              <w:rPr>
                <w:rFonts w:ascii="宋体" w:hAnsi="宋体" w:cs="宋体"/>
                <w:bCs/>
                <w:color w:val="auto"/>
                <w:szCs w:val="21"/>
                <w:highlight w:val="none"/>
              </w:rPr>
            </w:pPr>
            <w:r>
              <w:rPr>
                <w:rFonts w:hint="eastAsia" w:ascii="宋体" w:hAnsi="宋体" w:cs="宋体"/>
                <w:bCs/>
                <w:color w:val="auto"/>
                <w:szCs w:val="21"/>
                <w:highlight w:val="none"/>
              </w:rPr>
              <w:t>人员配置</w:t>
            </w:r>
          </w:p>
        </w:tc>
        <w:tc>
          <w:tcPr>
            <w:tcW w:w="2264" w:type="pct"/>
            <w:vAlign w:val="center"/>
          </w:tcPr>
          <w:p w14:paraId="526D36D2">
            <w:pPr>
              <w:autoSpaceDE w:val="0"/>
              <w:autoSpaceDN w:val="0"/>
              <w:adjustRightInd w:val="0"/>
              <w:spacing w:line="360" w:lineRule="exact"/>
              <w:ind w:left="84" w:leftChars="40" w:right="84" w:rightChars="40"/>
              <w:jc w:val="left"/>
              <w:rPr>
                <w:rFonts w:ascii="宋体" w:hAnsi="宋体" w:cs="宋体"/>
                <w:color w:val="auto"/>
                <w:szCs w:val="21"/>
                <w:highlight w:val="none"/>
              </w:rPr>
            </w:pPr>
            <w:r>
              <w:rPr>
                <w:rFonts w:hint="eastAsia" w:ascii="宋体" w:hAnsi="宋体" w:cs="宋体"/>
                <w:color w:val="auto"/>
                <w:szCs w:val="21"/>
                <w:highlight w:val="none"/>
              </w:rPr>
              <w:t>最低人数要求：建造师、技术负责人、施工员、质检员或质量员、安全员、劳务员、各一名（本工程的项目技术负责人须有相关专业中级及以上职称资格证书，安全员须提供有效安全生产考核合格证书，建造师必须提供机电工程专业的二级建造师注册证书，并提供建造师本人的有效安全生产考核合格证书（B证），其他人员须有相应的上岗证）</w:t>
            </w:r>
          </w:p>
        </w:tc>
      </w:tr>
    </w:tbl>
    <w:p w14:paraId="334AD8C3">
      <w:pPr>
        <w:spacing w:line="360" w:lineRule="auto"/>
        <w:ind w:firstLine="482" w:firstLineChars="200"/>
        <w:rPr>
          <w:rFonts w:ascii="宋体" w:hAnsi="宋体" w:cs="宋体"/>
          <w:b/>
          <w:bCs/>
          <w:color w:val="auto"/>
          <w:sz w:val="24"/>
          <w:szCs w:val="28"/>
          <w:highlight w:val="none"/>
        </w:rPr>
      </w:pPr>
    </w:p>
    <w:p w14:paraId="596A7D0A">
      <w:pPr>
        <w:spacing w:line="360" w:lineRule="auto"/>
        <w:ind w:firstLine="482" w:firstLineChars="200"/>
        <w:rPr>
          <w:rFonts w:ascii="宋体" w:hAnsi="宋体" w:cs="宋体"/>
          <w:b/>
          <w:bCs/>
          <w:color w:val="auto"/>
          <w:sz w:val="24"/>
          <w:szCs w:val="28"/>
          <w:highlight w:val="none"/>
        </w:rPr>
      </w:pPr>
    </w:p>
    <w:p w14:paraId="654BDE6B">
      <w:pPr>
        <w:spacing w:line="360" w:lineRule="auto"/>
        <w:ind w:firstLine="482" w:firstLineChars="200"/>
        <w:rPr>
          <w:rFonts w:ascii="宋体" w:cs="宋体"/>
          <w:b/>
          <w:bCs/>
          <w:color w:val="auto"/>
          <w:sz w:val="24"/>
          <w:szCs w:val="28"/>
          <w:highlight w:val="none"/>
        </w:rPr>
      </w:pPr>
      <w:r>
        <w:rPr>
          <w:rFonts w:hint="eastAsia" w:ascii="宋体" w:hAnsi="宋体" w:cs="宋体"/>
          <w:b/>
          <w:bCs/>
          <w:color w:val="auto"/>
          <w:sz w:val="24"/>
          <w:szCs w:val="28"/>
          <w:highlight w:val="none"/>
        </w:rPr>
        <w:t>（</w:t>
      </w:r>
      <w:r>
        <w:rPr>
          <w:rFonts w:ascii="宋体" w:hAnsi="宋体" w:cs="宋体"/>
          <w:b/>
          <w:bCs/>
          <w:color w:val="auto"/>
          <w:sz w:val="24"/>
          <w:szCs w:val="28"/>
          <w:highlight w:val="none"/>
        </w:rPr>
        <w:t>2</w:t>
      </w:r>
      <w:r>
        <w:rPr>
          <w:rFonts w:hint="eastAsia" w:ascii="宋体" w:hAnsi="宋体" w:cs="宋体"/>
          <w:b/>
          <w:bCs/>
          <w:color w:val="auto"/>
          <w:sz w:val="24"/>
          <w:szCs w:val="28"/>
          <w:highlight w:val="none"/>
        </w:rPr>
        <w:t>）符合性审查</w:t>
      </w:r>
    </w:p>
    <w:bookmarkEnd w:id="1214"/>
    <w:tbl>
      <w:tblPr>
        <w:tblStyle w:val="65"/>
        <w:tblW w:w="9125" w:type="dxa"/>
        <w:jc w:val="center"/>
        <w:tblLayout w:type="fixed"/>
        <w:tblCellMar>
          <w:top w:w="0" w:type="dxa"/>
          <w:left w:w="108" w:type="dxa"/>
          <w:bottom w:w="0" w:type="dxa"/>
          <w:right w:w="108" w:type="dxa"/>
        </w:tblCellMar>
      </w:tblPr>
      <w:tblGrid>
        <w:gridCol w:w="760"/>
        <w:gridCol w:w="3544"/>
        <w:gridCol w:w="3577"/>
        <w:gridCol w:w="1244"/>
      </w:tblGrid>
      <w:tr w14:paraId="2B903700">
        <w:tblPrEx>
          <w:tblCellMar>
            <w:top w:w="0" w:type="dxa"/>
            <w:left w:w="108" w:type="dxa"/>
            <w:bottom w:w="0" w:type="dxa"/>
            <w:right w:w="108" w:type="dxa"/>
          </w:tblCellMar>
        </w:tblPrEx>
        <w:trPr>
          <w:trHeight w:val="541"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vAlign w:val="center"/>
          </w:tcPr>
          <w:p w14:paraId="2AA09D64">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b/>
                <w:color w:val="auto"/>
                <w:szCs w:val="24"/>
                <w:highlight w:val="none"/>
              </w:rPr>
            </w:pPr>
            <w:bookmarkStart w:id="1215" w:name="PO_TDCUS_ITEM_SM_TITLE_1_0"/>
            <w:r>
              <w:rPr>
                <w:rFonts w:hint="eastAsia"/>
                <w:b/>
                <w:color w:val="auto"/>
                <w:szCs w:val="24"/>
                <w:highlight w:val="none"/>
              </w:rPr>
              <w:t>序号</w:t>
            </w:r>
          </w:p>
        </w:tc>
        <w:tc>
          <w:tcPr>
            <w:tcW w:w="3544" w:type="dxa"/>
            <w:tcBorders>
              <w:top w:val="single" w:color="000000" w:sz="4" w:space="0"/>
              <w:left w:val="single" w:color="000000" w:sz="4" w:space="0"/>
              <w:bottom w:val="single" w:color="000000" w:sz="4" w:space="0"/>
              <w:right w:val="single" w:color="000000" w:sz="4" w:space="0"/>
              <w:tl2br w:val="nil"/>
              <w:tr2bl w:val="nil"/>
            </w:tcBorders>
            <w:vAlign w:val="center"/>
          </w:tcPr>
          <w:p w14:paraId="6EC2DC18">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b/>
                <w:color w:val="auto"/>
                <w:szCs w:val="24"/>
                <w:highlight w:val="none"/>
              </w:rPr>
            </w:pPr>
            <w:r>
              <w:rPr>
                <w:rFonts w:hint="eastAsia"/>
                <w:b/>
                <w:color w:val="auto"/>
                <w:szCs w:val="24"/>
                <w:highlight w:val="none"/>
              </w:rPr>
              <w:t>内容</w:t>
            </w:r>
          </w:p>
        </w:tc>
        <w:tc>
          <w:tcPr>
            <w:tcW w:w="3577" w:type="dxa"/>
            <w:tcBorders>
              <w:top w:val="single" w:color="000000" w:sz="4" w:space="0"/>
              <w:left w:val="single" w:color="000000" w:sz="4" w:space="0"/>
              <w:bottom w:val="single" w:color="000000" w:sz="4" w:space="0"/>
              <w:right w:val="single" w:color="000000" w:sz="4" w:space="0"/>
              <w:tl2br w:val="nil"/>
              <w:tr2bl w:val="nil"/>
            </w:tcBorders>
            <w:vAlign w:val="center"/>
          </w:tcPr>
          <w:p w14:paraId="44826B98">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b/>
                <w:color w:val="auto"/>
                <w:szCs w:val="24"/>
                <w:highlight w:val="none"/>
              </w:rPr>
            </w:pPr>
            <w:r>
              <w:rPr>
                <w:rFonts w:hint="eastAsia"/>
                <w:b/>
                <w:color w:val="auto"/>
                <w:szCs w:val="24"/>
                <w:highlight w:val="none"/>
              </w:rPr>
              <w:t>评审标准</w:t>
            </w:r>
          </w:p>
        </w:tc>
        <w:tc>
          <w:tcPr>
            <w:tcW w:w="1244" w:type="dxa"/>
            <w:tcBorders>
              <w:top w:val="single" w:color="000000" w:sz="4" w:space="0"/>
              <w:left w:val="single" w:color="000000" w:sz="4" w:space="0"/>
              <w:bottom w:val="single" w:color="000000" w:sz="4" w:space="0"/>
              <w:right w:val="single" w:color="000000" w:sz="4" w:space="0"/>
              <w:tl2br w:val="nil"/>
              <w:tr2bl w:val="nil"/>
            </w:tcBorders>
            <w:vAlign w:val="center"/>
          </w:tcPr>
          <w:p w14:paraId="5A668F31">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b/>
                <w:color w:val="auto"/>
                <w:szCs w:val="24"/>
                <w:highlight w:val="none"/>
              </w:rPr>
            </w:pPr>
            <w:r>
              <w:rPr>
                <w:rFonts w:hint="eastAsia"/>
                <w:b/>
                <w:color w:val="auto"/>
                <w:szCs w:val="24"/>
                <w:highlight w:val="none"/>
              </w:rPr>
              <w:t>备注</w:t>
            </w:r>
          </w:p>
        </w:tc>
      </w:tr>
      <w:tr w14:paraId="620C58E9">
        <w:tblPrEx>
          <w:tblCellMar>
            <w:top w:w="0" w:type="dxa"/>
            <w:left w:w="108" w:type="dxa"/>
            <w:bottom w:w="0" w:type="dxa"/>
            <w:right w:w="108" w:type="dxa"/>
          </w:tblCellMar>
        </w:tblPrEx>
        <w:trPr>
          <w:trHeight w:val="417"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vAlign w:val="center"/>
          </w:tcPr>
          <w:p w14:paraId="569AB990">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1</w:t>
            </w:r>
          </w:p>
        </w:tc>
        <w:tc>
          <w:tcPr>
            <w:tcW w:w="3544" w:type="dxa"/>
            <w:tcBorders>
              <w:top w:val="single" w:color="000000" w:sz="4" w:space="0"/>
              <w:left w:val="single" w:color="000000" w:sz="4" w:space="0"/>
              <w:bottom w:val="single" w:color="000000" w:sz="4" w:space="0"/>
              <w:right w:val="single" w:color="000000" w:sz="4" w:space="0"/>
              <w:tl2br w:val="nil"/>
              <w:tr2bl w:val="nil"/>
            </w:tcBorders>
            <w:vAlign w:val="center"/>
          </w:tcPr>
          <w:p w14:paraId="08CDBCDB">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总报价</w:t>
            </w:r>
          </w:p>
        </w:tc>
        <w:tc>
          <w:tcPr>
            <w:tcW w:w="3577" w:type="dxa"/>
            <w:tcBorders>
              <w:top w:val="single" w:color="000000" w:sz="4" w:space="0"/>
              <w:left w:val="single" w:color="000000" w:sz="4" w:space="0"/>
              <w:bottom w:val="single" w:color="000000" w:sz="4" w:space="0"/>
              <w:right w:val="single" w:color="000000" w:sz="4" w:space="0"/>
              <w:tl2br w:val="nil"/>
              <w:tr2bl w:val="nil"/>
            </w:tcBorders>
            <w:vAlign w:val="center"/>
          </w:tcPr>
          <w:p w14:paraId="57D2D47B">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低于（含等于）最高限价</w:t>
            </w:r>
          </w:p>
        </w:tc>
        <w:tc>
          <w:tcPr>
            <w:tcW w:w="1244" w:type="dxa"/>
            <w:tcBorders>
              <w:top w:val="single" w:color="000000" w:sz="4" w:space="0"/>
              <w:left w:val="single" w:color="000000" w:sz="4" w:space="0"/>
              <w:bottom w:val="single" w:color="000000" w:sz="4" w:space="0"/>
              <w:right w:val="single" w:color="000000" w:sz="4" w:space="0"/>
              <w:tl2br w:val="nil"/>
              <w:tr2bl w:val="nil"/>
            </w:tcBorders>
            <w:vAlign w:val="center"/>
          </w:tcPr>
          <w:p w14:paraId="4E2E51FE">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rFonts w:ascii="Times New Roman" w:hAnsi="Times New Roman" w:eastAsia="Times New Roman"/>
                <w:color w:val="auto"/>
                <w:sz w:val="20"/>
                <w:szCs w:val="24"/>
                <w:highlight w:val="none"/>
              </w:rPr>
            </w:pPr>
          </w:p>
        </w:tc>
      </w:tr>
      <w:tr w14:paraId="0F0E2C9C">
        <w:tblPrEx>
          <w:tblCellMar>
            <w:top w:w="0" w:type="dxa"/>
            <w:left w:w="108" w:type="dxa"/>
            <w:bottom w:w="0" w:type="dxa"/>
            <w:right w:w="108" w:type="dxa"/>
          </w:tblCellMar>
        </w:tblPrEx>
        <w:trPr>
          <w:trHeight w:val="541"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vAlign w:val="center"/>
          </w:tcPr>
          <w:p w14:paraId="0EBBC21B">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2</w:t>
            </w:r>
          </w:p>
        </w:tc>
        <w:tc>
          <w:tcPr>
            <w:tcW w:w="3544" w:type="dxa"/>
            <w:tcBorders>
              <w:top w:val="single" w:color="000000" w:sz="4" w:space="0"/>
              <w:left w:val="single" w:color="000000" w:sz="4" w:space="0"/>
              <w:bottom w:val="single" w:color="000000" w:sz="4" w:space="0"/>
              <w:right w:val="single" w:color="000000" w:sz="4" w:space="0"/>
              <w:tl2br w:val="nil"/>
              <w:tr2bl w:val="nil"/>
            </w:tcBorders>
            <w:vAlign w:val="center"/>
          </w:tcPr>
          <w:p w14:paraId="54124905">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工期</w:t>
            </w:r>
          </w:p>
        </w:tc>
        <w:tc>
          <w:tcPr>
            <w:tcW w:w="3577" w:type="dxa"/>
            <w:tcBorders>
              <w:top w:val="single" w:color="000000" w:sz="4" w:space="0"/>
              <w:left w:val="single" w:color="000000" w:sz="4" w:space="0"/>
              <w:bottom w:val="single" w:color="000000" w:sz="4" w:space="0"/>
              <w:right w:val="single" w:color="000000" w:sz="4" w:space="0"/>
              <w:tl2br w:val="nil"/>
              <w:tr2bl w:val="nil"/>
            </w:tcBorders>
            <w:vAlign w:val="center"/>
          </w:tcPr>
          <w:p w14:paraId="5C881C08">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vAlign w:val="center"/>
          </w:tcPr>
          <w:p w14:paraId="6CA8493A">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rFonts w:ascii="Times New Roman" w:hAnsi="Times New Roman" w:eastAsia="Times New Roman"/>
                <w:color w:val="auto"/>
                <w:sz w:val="20"/>
                <w:szCs w:val="24"/>
                <w:highlight w:val="none"/>
              </w:rPr>
            </w:pPr>
          </w:p>
        </w:tc>
      </w:tr>
      <w:tr w14:paraId="78B0738F">
        <w:tblPrEx>
          <w:tblCellMar>
            <w:top w:w="0" w:type="dxa"/>
            <w:left w:w="108" w:type="dxa"/>
            <w:bottom w:w="0" w:type="dxa"/>
            <w:right w:w="108" w:type="dxa"/>
          </w:tblCellMar>
        </w:tblPrEx>
        <w:trPr>
          <w:trHeight w:val="541"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vAlign w:val="center"/>
          </w:tcPr>
          <w:p w14:paraId="2DD21DF0">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3</w:t>
            </w:r>
          </w:p>
        </w:tc>
        <w:tc>
          <w:tcPr>
            <w:tcW w:w="3544" w:type="dxa"/>
            <w:tcBorders>
              <w:top w:val="single" w:color="000000" w:sz="4" w:space="0"/>
              <w:left w:val="single" w:color="000000" w:sz="4" w:space="0"/>
              <w:bottom w:val="single" w:color="000000" w:sz="4" w:space="0"/>
              <w:right w:val="single" w:color="000000" w:sz="4" w:space="0"/>
              <w:tl2br w:val="nil"/>
              <w:tr2bl w:val="nil"/>
            </w:tcBorders>
            <w:vAlign w:val="center"/>
          </w:tcPr>
          <w:p w14:paraId="70D33BAE">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工程质量</w:t>
            </w:r>
          </w:p>
        </w:tc>
        <w:tc>
          <w:tcPr>
            <w:tcW w:w="3577" w:type="dxa"/>
            <w:tcBorders>
              <w:top w:val="single" w:color="000000" w:sz="4" w:space="0"/>
              <w:left w:val="single" w:color="000000" w:sz="4" w:space="0"/>
              <w:bottom w:val="single" w:color="000000" w:sz="4" w:space="0"/>
              <w:right w:val="single" w:color="000000" w:sz="4" w:space="0"/>
              <w:tl2br w:val="nil"/>
              <w:tr2bl w:val="nil"/>
            </w:tcBorders>
            <w:vAlign w:val="center"/>
          </w:tcPr>
          <w:p w14:paraId="72A56497">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vAlign w:val="center"/>
          </w:tcPr>
          <w:p w14:paraId="4E10E1BA">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rFonts w:ascii="Times New Roman" w:hAnsi="Times New Roman" w:eastAsia="Times New Roman"/>
                <w:color w:val="auto"/>
                <w:sz w:val="20"/>
                <w:szCs w:val="24"/>
                <w:highlight w:val="none"/>
              </w:rPr>
            </w:pPr>
          </w:p>
        </w:tc>
      </w:tr>
      <w:tr w14:paraId="14DEC1C5">
        <w:tblPrEx>
          <w:tblCellMar>
            <w:top w:w="0" w:type="dxa"/>
            <w:left w:w="108" w:type="dxa"/>
            <w:bottom w:w="0" w:type="dxa"/>
            <w:right w:w="108" w:type="dxa"/>
          </w:tblCellMar>
        </w:tblPrEx>
        <w:trPr>
          <w:trHeight w:val="588"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vAlign w:val="center"/>
          </w:tcPr>
          <w:p w14:paraId="244E30BC">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4</w:t>
            </w:r>
          </w:p>
        </w:tc>
        <w:tc>
          <w:tcPr>
            <w:tcW w:w="3544" w:type="dxa"/>
            <w:tcBorders>
              <w:top w:val="single" w:color="000000" w:sz="4" w:space="0"/>
              <w:left w:val="single" w:color="000000" w:sz="4" w:space="0"/>
              <w:bottom w:val="single" w:color="000000" w:sz="4" w:space="0"/>
              <w:right w:val="single" w:color="000000" w:sz="4" w:space="0"/>
              <w:tl2br w:val="nil"/>
              <w:tr2bl w:val="nil"/>
            </w:tcBorders>
            <w:vAlign w:val="center"/>
          </w:tcPr>
          <w:p w14:paraId="66B05278">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响应性有效期要求</w:t>
            </w:r>
          </w:p>
        </w:tc>
        <w:tc>
          <w:tcPr>
            <w:tcW w:w="3577" w:type="dxa"/>
            <w:tcBorders>
              <w:top w:val="single" w:color="000000" w:sz="4" w:space="0"/>
              <w:left w:val="single" w:color="000000" w:sz="4" w:space="0"/>
              <w:bottom w:val="single" w:color="000000" w:sz="4" w:space="0"/>
              <w:right w:val="single" w:color="000000" w:sz="4" w:space="0"/>
              <w:tl2br w:val="nil"/>
              <w:tr2bl w:val="nil"/>
            </w:tcBorders>
            <w:vAlign w:val="center"/>
          </w:tcPr>
          <w:p w14:paraId="1558ABF3">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vAlign w:val="center"/>
          </w:tcPr>
          <w:p w14:paraId="05C94167">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rFonts w:ascii="Times New Roman" w:hAnsi="Times New Roman" w:eastAsia="Times New Roman"/>
                <w:color w:val="auto"/>
                <w:sz w:val="20"/>
                <w:szCs w:val="24"/>
                <w:highlight w:val="none"/>
              </w:rPr>
            </w:pPr>
          </w:p>
        </w:tc>
      </w:tr>
      <w:tr w14:paraId="692250AB">
        <w:tblPrEx>
          <w:tblCellMar>
            <w:top w:w="0" w:type="dxa"/>
            <w:left w:w="108" w:type="dxa"/>
            <w:bottom w:w="0" w:type="dxa"/>
            <w:right w:w="108" w:type="dxa"/>
          </w:tblCellMar>
        </w:tblPrEx>
        <w:trPr>
          <w:trHeight w:val="588"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vAlign w:val="center"/>
          </w:tcPr>
          <w:p w14:paraId="40BC62A1">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5</w:t>
            </w:r>
          </w:p>
        </w:tc>
        <w:tc>
          <w:tcPr>
            <w:tcW w:w="3544" w:type="dxa"/>
            <w:tcBorders>
              <w:top w:val="single" w:color="000000" w:sz="4" w:space="0"/>
              <w:left w:val="single" w:color="000000" w:sz="4" w:space="0"/>
              <w:bottom w:val="single" w:color="000000" w:sz="4" w:space="0"/>
              <w:right w:val="single" w:color="000000" w:sz="4" w:space="0"/>
              <w:tl2br w:val="nil"/>
              <w:tr2bl w:val="nil"/>
            </w:tcBorders>
            <w:vAlign w:val="center"/>
          </w:tcPr>
          <w:p w14:paraId="16209FF2">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投标保证金缴纳情况</w:t>
            </w:r>
          </w:p>
        </w:tc>
        <w:tc>
          <w:tcPr>
            <w:tcW w:w="3577" w:type="dxa"/>
            <w:tcBorders>
              <w:top w:val="single" w:color="000000" w:sz="4" w:space="0"/>
              <w:left w:val="single" w:color="000000" w:sz="4" w:space="0"/>
              <w:bottom w:val="single" w:color="000000" w:sz="4" w:space="0"/>
              <w:right w:val="single" w:color="000000" w:sz="4" w:space="0"/>
              <w:tl2br w:val="nil"/>
              <w:tr2bl w:val="nil"/>
            </w:tcBorders>
            <w:vAlign w:val="center"/>
          </w:tcPr>
          <w:p w14:paraId="7CA4B823">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vAlign w:val="center"/>
          </w:tcPr>
          <w:p w14:paraId="563923E1">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rFonts w:ascii="Times New Roman" w:hAnsi="Times New Roman" w:eastAsia="Times New Roman"/>
                <w:color w:val="auto"/>
                <w:sz w:val="20"/>
                <w:szCs w:val="24"/>
                <w:highlight w:val="none"/>
              </w:rPr>
            </w:pPr>
          </w:p>
        </w:tc>
      </w:tr>
      <w:tr w14:paraId="53220FEA">
        <w:tblPrEx>
          <w:tblCellMar>
            <w:top w:w="0" w:type="dxa"/>
            <w:left w:w="108" w:type="dxa"/>
            <w:bottom w:w="0" w:type="dxa"/>
            <w:right w:w="108" w:type="dxa"/>
          </w:tblCellMar>
        </w:tblPrEx>
        <w:trPr>
          <w:trHeight w:val="617"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vAlign w:val="center"/>
          </w:tcPr>
          <w:p w14:paraId="647D9978">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6</w:t>
            </w:r>
          </w:p>
        </w:tc>
        <w:tc>
          <w:tcPr>
            <w:tcW w:w="3544" w:type="dxa"/>
            <w:tcBorders>
              <w:top w:val="single" w:color="000000" w:sz="4" w:space="0"/>
              <w:left w:val="single" w:color="000000" w:sz="4" w:space="0"/>
              <w:bottom w:val="single" w:color="000000" w:sz="4" w:space="0"/>
              <w:right w:val="single" w:color="000000" w:sz="4" w:space="0"/>
              <w:tl2br w:val="nil"/>
              <w:tr2bl w:val="nil"/>
            </w:tcBorders>
            <w:vAlign w:val="center"/>
          </w:tcPr>
          <w:p w14:paraId="41757945">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技术标准和要求</w:t>
            </w:r>
          </w:p>
        </w:tc>
        <w:tc>
          <w:tcPr>
            <w:tcW w:w="3577" w:type="dxa"/>
            <w:tcBorders>
              <w:top w:val="single" w:color="000000" w:sz="4" w:space="0"/>
              <w:left w:val="single" w:color="000000" w:sz="4" w:space="0"/>
              <w:bottom w:val="single" w:color="000000" w:sz="4" w:space="0"/>
              <w:right w:val="single" w:color="000000" w:sz="4" w:space="0"/>
              <w:tl2br w:val="nil"/>
              <w:tr2bl w:val="nil"/>
            </w:tcBorders>
            <w:vAlign w:val="center"/>
          </w:tcPr>
          <w:p w14:paraId="52BA1C64">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vAlign w:val="center"/>
          </w:tcPr>
          <w:p w14:paraId="48DFF761">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rFonts w:ascii="Times New Roman" w:hAnsi="Times New Roman" w:eastAsia="Times New Roman"/>
                <w:color w:val="auto"/>
                <w:sz w:val="20"/>
                <w:szCs w:val="24"/>
                <w:highlight w:val="none"/>
              </w:rPr>
            </w:pPr>
          </w:p>
        </w:tc>
      </w:tr>
      <w:tr w14:paraId="74211833">
        <w:tblPrEx>
          <w:tblCellMar>
            <w:top w:w="0" w:type="dxa"/>
            <w:left w:w="108" w:type="dxa"/>
            <w:bottom w:w="0" w:type="dxa"/>
            <w:right w:w="108" w:type="dxa"/>
          </w:tblCellMar>
        </w:tblPrEx>
        <w:trPr>
          <w:trHeight w:val="610"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vAlign w:val="center"/>
          </w:tcPr>
          <w:p w14:paraId="5CC96F61">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7</w:t>
            </w:r>
          </w:p>
        </w:tc>
        <w:tc>
          <w:tcPr>
            <w:tcW w:w="3544" w:type="dxa"/>
            <w:tcBorders>
              <w:top w:val="single" w:color="000000" w:sz="4" w:space="0"/>
              <w:left w:val="single" w:color="000000" w:sz="4" w:space="0"/>
              <w:bottom w:val="single" w:color="000000" w:sz="4" w:space="0"/>
              <w:right w:val="single" w:color="000000" w:sz="4" w:space="0"/>
              <w:tl2br w:val="nil"/>
              <w:tr2bl w:val="nil"/>
            </w:tcBorders>
            <w:vAlign w:val="center"/>
          </w:tcPr>
          <w:p w14:paraId="36C2C13E">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已标价工程量清单</w:t>
            </w:r>
          </w:p>
        </w:tc>
        <w:tc>
          <w:tcPr>
            <w:tcW w:w="3577" w:type="dxa"/>
            <w:tcBorders>
              <w:top w:val="single" w:color="000000" w:sz="4" w:space="0"/>
              <w:left w:val="single" w:color="000000" w:sz="4" w:space="0"/>
              <w:bottom w:val="single" w:color="000000" w:sz="4" w:space="0"/>
              <w:right w:val="single" w:color="000000" w:sz="4" w:space="0"/>
              <w:tl2br w:val="nil"/>
              <w:tr2bl w:val="nil"/>
            </w:tcBorders>
            <w:vAlign w:val="center"/>
          </w:tcPr>
          <w:p w14:paraId="687C3BAA">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color w:val="auto"/>
                <w:szCs w:val="24"/>
                <w:highlight w:val="none"/>
              </w:rPr>
            </w:pPr>
            <w:r>
              <w:rPr>
                <w:rFonts w:hint="eastAsia"/>
                <w:color w:val="auto"/>
                <w:szCs w:val="24"/>
                <w:highlight w:val="none"/>
              </w:rPr>
              <w:t>符合磋商文件要求</w:t>
            </w:r>
          </w:p>
        </w:tc>
        <w:tc>
          <w:tcPr>
            <w:tcW w:w="1244" w:type="dxa"/>
            <w:tcBorders>
              <w:top w:val="single" w:color="000000" w:sz="4" w:space="0"/>
              <w:left w:val="single" w:color="000000" w:sz="4" w:space="0"/>
              <w:bottom w:val="single" w:color="000000" w:sz="4" w:space="0"/>
              <w:right w:val="single" w:color="000000" w:sz="4" w:space="0"/>
              <w:tl2br w:val="nil"/>
              <w:tr2bl w:val="nil"/>
            </w:tcBorders>
            <w:vAlign w:val="center"/>
          </w:tcPr>
          <w:p w14:paraId="0109E84A">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rFonts w:ascii="Times New Roman" w:hAnsi="Times New Roman" w:eastAsia="Times New Roman"/>
                <w:color w:val="auto"/>
                <w:sz w:val="20"/>
                <w:szCs w:val="24"/>
                <w:highlight w:val="none"/>
              </w:rPr>
            </w:pPr>
          </w:p>
        </w:tc>
      </w:tr>
      <w:tr w14:paraId="3294A1C1">
        <w:tblPrEx>
          <w:tblCellMar>
            <w:top w:w="0" w:type="dxa"/>
            <w:left w:w="108" w:type="dxa"/>
            <w:bottom w:w="0" w:type="dxa"/>
            <w:right w:w="108" w:type="dxa"/>
          </w:tblCellMar>
        </w:tblPrEx>
        <w:trPr>
          <w:trHeight w:val="90" w:hRule="atLeast"/>
          <w:jc w:val="center"/>
        </w:trPr>
        <w:tc>
          <w:tcPr>
            <w:tcW w:w="760" w:type="dxa"/>
            <w:tcBorders>
              <w:top w:val="single" w:color="000000" w:sz="4" w:space="0"/>
              <w:left w:val="single" w:color="000000" w:sz="4" w:space="0"/>
              <w:bottom w:val="single" w:color="000000" w:sz="4" w:space="0"/>
              <w:right w:val="single" w:color="000000" w:sz="4" w:space="0"/>
              <w:tl2br w:val="nil"/>
              <w:tr2bl w:val="nil"/>
            </w:tcBorders>
            <w:vAlign w:val="center"/>
          </w:tcPr>
          <w:p w14:paraId="34AA5B02">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center"/>
              <w:textAlignment w:val="auto"/>
              <w:rPr>
                <w:rFonts w:ascii="Times New Roman" w:hAnsi="Times New Roman" w:eastAsia="Times New Roman"/>
                <w:color w:val="auto"/>
                <w:sz w:val="20"/>
                <w:szCs w:val="24"/>
                <w:highlight w:val="none"/>
              </w:rPr>
            </w:pPr>
          </w:p>
        </w:tc>
        <w:tc>
          <w:tcPr>
            <w:tcW w:w="8365"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0672321F">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left"/>
              <w:textAlignment w:val="auto"/>
              <w:rPr>
                <w:color w:val="auto"/>
                <w:szCs w:val="24"/>
                <w:highlight w:val="none"/>
              </w:rPr>
            </w:pPr>
            <w:r>
              <w:rPr>
                <w:rFonts w:hint="eastAsia"/>
                <w:color w:val="auto"/>
                <w:szCs w:val="24"/>
                <w:highlight w:val="none"/>
              </w:rPr>
              <w:t>1、审查内容若有一项未提供或提供的内容不符合规定，将导致其不具备磋商资格，且不允许在开标后补正。</w:t>
            </w:r>
          </w:p>
          <w:p w14:paraId="65F9934B">
            <w:pPr>
              <w:pStyle w:val="473"/>
              <w:keepNext w:val="0"/>
              <w:keepLines w:val="0"/>
              <w:pageBreakBefore w:val="0"/>
              <w:widowControl w:val="0"/>
              <w:kinsoku/>
              <w:wordWrap/>
              <w:overflowPunct w:val="0"/>
              <w:topLinePunct w:val="0"/>
              <w:autoSpaceDE w:val="0"/>
              <w:autoSpaceDN w:val="0"/>
              <w:bidi w:val="0"/>
              <w:adjustRightInd/>
              <w:snapToGrid/>
              <w:spacing w:line="377" w:lineRule="auto"/>
              <w:ind w:firstLine="0"/>
              <w:jc w:val="left"/>
              <w:textAlignment w:val="auto"/>
              <w:rPr>
                <w:color w:val="auto"/>
                <w:szCs w:val="24"/>
                <w:highlight w:val="none"/>
              </w:rPr>
            </w:pPr>
            <w:r>
              <w:rPr>
                <w:rFonts w:hint="eastAsia"/>
                <w:color w:val="auto"/>
                <w:szCs w:val="24"/>
                <w:highlight w:val="none"/>
              </w:rPr>
              <w:t>2、上述表中所列内容如与本项目所属行业的相关规定有不符之处，以行业相关规定为准。</w:t>
            </w:r>
          </w:p>
        </w:tc>
      </w:tr>
    </w:tbl>
    <w:p w14:paraId="0B0E261C">
      <w:pPr>
        <w:spacing w:line="360" w:lineRule="auto"/>
        <w:ind w:firstLine="1920"/>
        <w:rPr>
          <w:rFonts w:ascii="宋体" w:hAnsi="宋体" w:cs="宋体"/>
          <w:b/>
          <w:bCs/>
          <w:color w:val="auto"/>
          <w:sz w:val="24"/>
          <w:szCs w:val="28"/>
          <w:highlight w:val="none"/>
        </w:rPr>
      </w:pPr>
    </w:p>
    <w:p w14:paraId="38D8AE1B">
      <w:pPr>
        <w:spacing w:line="360" w:lineRule="auto"/>
        <w:ind w:firstLine="1928"/>
        <w:rPr>
          <w:rFonts w:ascii="宋体" w:cs="宋体"/>
          <w:b/>
          <w:bCs/>
          <w:color w:val="auto"/>
          <w:sz w:val="24"/>
          <w:szCs w:val="28"/>
          <w:highlight w:val="none"/>
        </w:rPr>
      </w:pPr>
      <w:r>
        <w:rPr>
          <w:rFonts w:hint="eastAsia" w:ascii="宋体" w:hAnsi="宋体" w:cs="宋体"/>
          <w:b/>
          <w:bCs/>
          <w:color w:val="auto"/>
          <w:sz w:val="24"/>
          <w:szCs w:val="28"/>
          <w:highlight w:val="none"/>
        </w:rPr>
        <w:t>（</w:t>
      </w:r>
      <w:r>
        <w:rPr>
          <w:rFonts w:ascii="宋体" w:hAnsi="宋体" w:cs="宋体"/>
          <w:b/>
          <w:bCs/>
          <w:color w:val="auto"/>
          <w:sz w:val="24"/>
          <w:szCs w:val="28"/>
          <w:highlight w:val="none"/>
        </w:rPr>
        <w:t>3</w:t>
      </w:r>
      <w:r>
        <w:rPr>
          <w:rFonts w:hint="eastAsia" w:ascii="宋体" w:hAnsi="宋体" w:cs="宋体"/>
          <w:b/>
          <w:bCs/>
          <w:color w:val="auto"/>
          <w:sz w:val="24"/>
          <w:szCs w:val="28"/>
          <w:highlight w:val="none"/>
        </w:rPr>
        <w:t>）评分方法</w:t>
      </w:r>
      <w:bookmarkEnd w:id="1215"/>
      <w:bookmarkStart w:id="1216" w:name="PO_TDCUS_ITEM_SM_TABLE_1_0"/>
      <w:r>
        <w:rPr>
          <w:rFonts w:ascii="宋体" w:hAnsi="宋体" w:cs="宋体"/>
          <w:b/>
          <w:bCs/>
          <w:color w:val="auto"/>
          <w:sz w:val="24"/>
          <w:szCs w:val="28"/>
          <w:highlight w:val="none"/>
        </w:rPr>
        <w:t xml:space="preserve"> </w:t>
      </w:r>
    </w:p>
    <w:bookmarkEnd w:id="1216"/>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5B1A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08" w:type="dxa"/>
            <w:tcBorders>
              <w:top w:val="single" w:color="auto" w:sz="4" w:space="0"/>
              <w:left w:val="single" w:color="auto" w:sz="4" w:space="0"/>
              <w:bottom w:val="single" w:color="auto" w:sz="4" w:space="0"/>
              <w:right w:val="single" w:color="auto" w:sz="4" w:space="0"/>
            </w:tcBorders>
            <w:vAlign w:val="center"/>
          </w:tcPr>
          <w:p w14:paraId="6B9C028B">
            <w:pPr>
              <w:keepNext w:val="0"/>
              <w:keepLines w:val="0"/>
              <w:pageBreakBefore w:val="0"/>
              <w:widowControl w:val="0"/>
              <w:kinsoku/>
              <w:wordWrap/>
              <w:overflowPunct w:val="0"/>
              <w:topLinePunct w:val="0"/>
              <w:autoSpaceDE w:val="0"/>
              <w:autoSpaceDN w:val="0"/>
              <w:bidi w:val="0"/>
              <w:adjustRightInd/>
              <w:snapToGrid/>
              <w:spacing w:line="420" w:lineRule="exact"/>
              <w:ind w:firstLine="0" w:firstLineChars="0"/>
              <w:textAlignment w:val="auto"/>
              <w:rPr>
                <w:rFonts w:ascii="宋体" w:hAnsi="宋体" w:cs="宋体"/>
                <w:color w:val="auto"/>
                <w:szCs w:val="21"/>
                <w:highlight w:val="none"/>
              </w:rPr>
            </w:pPr>
            <w:bookmarkStart w:id="1217" w:name="_Toc81341344"/>
            <w:bookmarkStart w:id="1218" w:name="_Toc474729562"/>
            <w:bookmarkStart w:id="1219" w:name="_Toc23347"/>
            <w:bookmarkStart w:id="1220" w:name="_Toc520824348"/>
            <w:bookmarkStart w:id="1221" w:name="_Toc440162797"/>
            <w:r>
              <w:rPr>
                <w:rFonts w:hint="eastAsia" w:ascii="宋体" w:hAnsi="宋体" w:cs="宋体"/>
                <w:b/>
                <w:bCs/>
                <w:color w:val="auto"/>
                <w:szCs w:val="21"/>
                <w:highlight w:val="none"/>
              </w:rPr>
              <w:t>一、商务部分</w:t>
            </w:r>
            <w:r>
              <w:rPr>
                <w:rFonts w:hint="eastAsia" w:ascii="宋体" w:hAnsi="宋体" w:cs="Arial"/>
                <w:b/>
                <w:color w:val="auto"/>
                <w:szCs w:val="21"/>
                <w:highlight w:val="none"/>
              </w:rPr>
              <w:t>（15分）</w:t>
            </w:r>
            <w:r>
              <w:rPr>
                <w:rFonts w:hint="eastAsia" w:ascii="宋体" w:hAnsi="宋体" w:cs="宋体"/>
                <w:b/>
                <w:bCs/>
                <w:color w:val="auto"/>
                <w:szCs w:val="21"/>
                <w:highlight w:val="none"/>
              </w:rPr>
              <w:t xml:space="preserve">  (由磋商小组共同认定)</w:t>
            </w:r>
          </w:p>
        </w:tc>
      </w:tr>
      <w:tr w14:paraId="5229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8" w:type="dxa"/>
            <w:tcBorders>
              <w:top w:val="single" w:color="auto" w:sz="4" w:space="0"/>
              <w:left w:val="single" w:color="auto" w:sz="4" w:space="0"/>
              <w:bottom w:val="single" w:color="auto" w:sz="4" w:space="0"/>
              <w:right w:val="single" w:color="auto" w:sz="4" w:space="0"/>
            </w:tcBorders>
            <w:vAlign w:val="center"/>
          </w:tcPr>
          <w:p w14:paraId="24853EEA">
            <w:pPr>
              <w:keepNext w:val="0"/>
              <w:keepLines w:val="0"/>
              <w:pageBreakBefore w:val="0"/>
              <w:widowControl w:val="0"/>
              <w:kinsoku/>
              <w:wordWrap/>
              <w:overflowPunct w:val="0"/>
              <w:topLinePunct w:val="0"/>
              <w:autoSpaceDE w:val="0"/>
              <w:autoSpaceDN w:val="0"/>
              <w:bidi w:val="0"/>
              <w:adjustRightInd/>
              <w:snapToGrid/>
              <w:spacing w:line="420" w:lineRule="exact"/>
              <w:ind w:firstLine="0" w:firstLine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1、供应商合同执行能力（业绩）（15分）</w:t>
            </w:r>
          </w:p>
          <w:p w14:paraId="26CB61CA">
            <w:pPr>
              <w:keepNext w:val="0"/>
              <w:keepLines w:val="0"/>
              <w:pageBreakBefore w:val="0"/>
              <w:widowControl w:val="0"/>
              <w:kinsoku/>
              <w:wordWrap/>
              <w:overflowPunct w:val="0"/>
              <w:topLinePunct w:val="0"/>
              <w:autoSpaceDE w:val="0"/>
              <w:autoSpaceDN w:val="0"/>
              <w:bidi w:val="0"/>
              <w:adjustRightInd/>
              <w:snapToGrid/>
              <w:spacing w:line="420" w:lineRule="exact"/>
              <w:ind w:firstLine="0" w:firstLine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 供应商近5年（投标截止日</w:t>
            </w:r>
            <w:r>
              <w:rPr>
                <w:rFonts w:hint="eastAsia" w:cs="宋体"/>
                <w:color w:val="auto"/>
                <w:kern w:val="0"/>
                <w:szCs w:val="21"/>
                <w:highlight w:val="none"/>
              </w:rPr>
              <w:t>前五年</w:t>
            </w:r>
            <w:r>
              <w:rPr>
                <w:rFonts w:hint="eastAsia" w:ascii="宋体" w:hAnsi="宋体" w:cs="宋体"/>
                <w:color w:val="auto"/>
                <w:kern w:val="0"/>
                <w:szCs w:val="21"/>
                <w:highlight w:val="none"/>
              </w:rPr>
              <w:t>）承担过一项同类型工程得5分，最高15分；须提供合同协议书、交竣工验收证明。</w:t>
            </w:r>
          </w:p>
          <w:p w14:paraId="6373407F">
            <w:pPr>
              <w:keepNext w:val="0"/>
              <w:keepLines w:val="0"/>
              <w:pageBreakBefore w:val="0"/>
              <w:widowControl w:val="0"/>
              <w:kinsoku/>
              <w:wordWrap/>
              <w:overflowPunct w:val="0"/>
              <w:topLinePunct w:val="0"/>
              <w:autoSpaceDE w:val="0"/>
              <w:autoSpaceDN w:val="0"/>
              <w:bidi w:val="0"/>
              <w:adjustRightInd/>
              <w:snapToGrid/>
              <w:spacing w:line="420" w:lineRule="exact"/>
              <w:ind w:firstLine="0" w:firstLine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注：（1）同类型工程是指： </w:t>
            </w:r>
            <w:r>
              <w:rPr>
                <w:rFonts w:hint="eastAsia" w:ascii="宋体" w:hAnsi="宋体" w:cs="宋体"/>
                <w:color w:val="auto"/>
                <w:kern w:val="0"/>
                <w:szCs w:val="21"/>
                <w:highlight w:val="none"/>
                <w:u w:val="single"/>
              </w:rPr>
              <w:t xml:space="preserve">与本项目相同或相近的工程，不区分规模 </w:t>
            </w:r>
            <w:r>
              <w:rPr>
                <w:rFonts w:hint="eastAsia" w:ascii="宋体" w:hAnsi="宋体" w:cs="宋体"/>
                <w:color w:val="auto"/>
                <w:kern w:val="0"/>
                <w:szCs w:val="21"/>
                <w:highlight w:val="none"/>
              </w:rPr>
              <w:t>。</w:t>
            </w:r>
          </w:p>
          <w:p w14:paraId="577E383A">
            <w:pPr>
              <w:keepNext w:val="0"/>
              <w:keepLines w:val="0"/>
              <w:pageBreakBefore w:val="0"/>
              <w:widowControl w:val="0"/>
              <w:kinsoku/>
              <w:wordWrap/>
              <w:overflowPunct w:val="0"/>
              <w:topLinePunct w:val="0"/>
              <w:autoSpaceDE w:val="0"/>
              <w:autoSpaceDN w:val="0"/>
              <w:bidi w:val="0"/>
              <w:adjustRightInd/>
              <w:snapToGrid/>
              <w:spacing w:line="420" w:lineRule="exact"/>
              <w:ind w:firstLine="0" w:firstLineChars="0"/>
              <w:textAlignment w:val="auto"/>
              <w:rPr>
                <w:rFonts w:ascii="宋体" w:hAnsi="宋体" w:cs="宋体"/>
                <w:color w:val="auto"/>
                <w:kern w:val="0"/>
                <w:szCs w:val="21"/>
                <w:highlight w:val="none"/>
              </w:rPr>
            </w:pPr>
            <w:r>
              <w:rPr>
                <w:rFonts w:hint="eastAsia" w:cs="宋体"/>
                <w:color w:val="auto"/>
                <w:kern w:val="0"/>
                <w:szCs w:val="21"/>
                <w:highlight w:val="none"/>
              </w:rPr>
              <w:t>（2）</w:t>
            </w:r>
            <w:r>
              <w:rPr>
                <w:rFonts w:hint="eastAsia" w:ascii="宋体" w:hAnsi="宋体" w:cs="宋体"/>
                <w:color w:val="auto"/>
                <w:kern w:val="0"/>
                <w:szCs w:val="21"/>
                <w:highlight w:val="none"/>
              </w:rPr>
              <w:t>同类型工程时间认定以交竣工验收证明的时间为准。</w:t>
            </w:r>
          </w:p>
          <w:p w14:paraId="203FFF16">
            <w:pPr>
              <w:keepNext w:val="0"/>
              <w:keepLines w:val="0"/>
              <w:pageBreakBefore w:val="0"/>
              <w:widowControl w:val="0"/>
              <w:kinsoku/>
              <w:wordWrap/>
              <w:overflowPunct w:val="0"/>
              <w:topLinePunct w:val="0"/>
              <w:autoSpaceDE w:val="0"/>
              <w:autoSpaceDN w:val="0"/>
              <w:bidi w:val="0"/>
              <w:adjustRightInd/>
              <w:snapToGrid/>
              <w:spacing w:line="420" w:lineRule="exact"/>
              <w:ind w:firstLine="0" w:firstLineChars="0"/>
              <w:textAlignment w:val="auto"/>
              <w:rPr>
                <w:rFonts w:ascii="宋体" w:hAnsi="宋体" w:cs="Arial"/>
                <w:bCs/>
                <w:color w:val="auto"/>
                <w:szCs w:val="21"/>
                <w:highlight w:val="none"/>
              </w:rPr>
            </w:pPr>
            <w:r>
              <w:rPr>
                <w:rFonts w:hint="eastAsia" w:cs="宋体"/>
                <w:color w:val="auto"/>
                <w:kern w:val="0"/>
                <w:szCs w:val="21"/>
                <w:highlight w:val="none"/>
              </w:rPr>
              <w:t>（3）</w:t>
            </w:r>
            <w:r>
              <w:rPr>
                <w:rFonts w:hint="eastAsia" w:ascii="宋体" w:hAnsi="宋体" w:cs="宋体"/>
                <w:color w:val="auto"/>
                <w:kern w:val="0"/>
                <w:szCs w:val="21"/>
                <w:highlight w:val="none"/>
              </w:rPr>
              <w:t>业绩证明材料扫描件不完整或不符合以上内容要求或不清晰，导致无法判断是否符合以上要求的，均不得分。</w:t>
            </w:r>
          </w:p>
        </w:tc>
      </w:tr>
      <w:tr w14:paraId="2AD3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108" w:type="dxa"/>
            <w:tcBorders>
              <w:top w:val="single" w:color="auto" w:sz="4" w:space="0"/>
              <w:left w:val="single" w:color="auto" w:sz="4" w:space="0"/>
              <w:bottom w:val="single" w:color="auto" w:sz="4" w:space="0"/>
              <w:right w:val="single" w:color="auto" w:sz="4" w:space="0"/>
            </w:tcBorders>
            <w:vAlign w:val="center"/>
          </w:tcPr>
          <w:p w14:paraId="22C641B5">
            <w:pPr>
              <w:keepNext w:val="0"/>
              <w:keepLines w:val="0"/>
              <w:pageBreakBefore w:val="0"/>
              <w:widowControl w:val="0"/>
              <w:kinsoku/>
              <w:wordWrap/>
              <w:overflowPunct w:val="0"/>
              <w:topLinePunct w:val="0"/>
              <w:autoSpaceDE w:val="0"/>
              <w:autoSpaceDN w:val="0"/>
              <w:bidi w:val="0"/>
              <w:adjustRightInd/>
              <w:snapToGrid/>
              <w:spacing w:line="420" w:lineRule="exact"/>
              <w:ind w:firstLine="0" w:firstLineChars="0"/>
              <w:textAlignment w:val="auto"/>
              <w:rPr>
                <w:rFonts w:ascii="宋体" w:hAnsi="宋体" w:cs="宋体"/>
                <w:b/>
                <w:bCs/>
                <w:color w:val="auto"/>
                <w:szCs w:val="21"/>
                <w:highlight w:val="none"/>
              </w:rPr>
            </w:pPr>
            <w:r>
              <w:rPr>
                <w:rFonts w:hint="eastAsia" w:ascii="宋体" w:hAnsi="宋体" w:cs="宋体"/>
                <w:b/>
                <w:bCs/>
                <w:color w:val="auto"/>
                <w:szCs w:val="21"/>
                <w:highlight w:val="none"/>
              </w:rPr>
              <w:t>二、施工组织设计部分</w:t>
            </w:r>
            <w:r>
              <w:rPr>
                <w:rFonts w:hint="eastAsia" w:ascii="宋体" w:hAnsi="宋体"/>
                <w:b/>
                <w:bCs/>
                <w:color w:val="auto"/>
                <w:szCs w:val="21"/>
                <w:highlight w:val="none"/>
              </w:rPr>
              <w:t>(55</w:t>
            </w:r>
            <w:r>
              <w:rPr>
                <w:rFonts w:hint="eastAsia" w:ascii="宋体" w:hAnsi="宋体" w:cs="宋体"/>
                <w:b/>
                <w:bCs/>
                <w:color w:val="auto"/>
                <w:szCs w:val="21"/>
                <w:highlight w:val="none"/>
              </w:rPr>
              <w:t>分</w:t>
            </w:r>
            <w:r>
              <w:rPr>
                <w:rFonts w:hint="eastAsia" w:ascii="宋体" w:hAnsi="宋体"/>
                <w:b/>
                <w:bCs/>
                <w:color w:val="auto"/>
                <w:szCs w:val="21"/>
                <w:highlight w:val="none"/>
              </w:rPr>
              <w:t>)</w:t>
            </w:r>
          </w:p>
        </w:tc>
      </w:tr>
      <w:tr w14:paraId="69CE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108" w:type="dxa"/>
            <w:tcBorders>
              <w:top w:val="single" w:color="auto" w:sz="4" w:space="0"/>
              <w:left w:val="single" w:color="auto" w:sz="4" w:space="0"/>
              <w:bottom w:val="single" w:color="auto" w:sz="4" w:space="0"/>
              <w:right w:val="single" w:color="auto" w:sz="4" w:space="0"/>
            </w:tcBorders>
            <w:vAlign w:val="center"/>
          </w:tcPr>
          <w:p w14:paraId="0EA4A0AB">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1、施工组织方案（10 分）</w:t>
            </w:r>
          </w:p>
          <w:p w14:paraId="5CB46788">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针对本项目制定的施工组织方案（包括总体概述，设计概况，技术、物资、劳动组织准备，施工到竣工验收等组织方案等）：</w:t>
            </w:r>
          </w:p>
          <w:p w14:paraId="0FF4BB14">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①制定的项目施工组织方案完整、详细，针对性强，合理可行的，得 10 分；</w:t>
            </w:r>
          </w:p>
          <w:p w14:paraId="3AB9AC9B">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②制定的项目施工组织方案较完整、详细、针对性较强，基本合理可行的，得 8 分；</w:t>
            </w:r>
          </w:p>
          <w:p w14:paraId="001F94F2">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③制定的项目施工组织方案简单、内容较模糊的，针对性不强得 6 分；</w:t>
            </w:r>
          </w:p>
          <w:p w14:paraId="56A1CB33">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④制定的项目施工组织方案较差、内容模糊、方案不太合理的，得 3 分；</w:t>
            </w:r>
          </w:p>
          <w:p w14:paraId="17FD41B7">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⑤不提供不得分。</w:t>
            </w:r>
          </w:p>
        </w:tc>
      </w:tr>
      <w:tr w14:paraId="1FE6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8" w:type="dxa"/>
            <w:tcBorders>
              <w:top w:val="single" w:color="auto" w:sz="4" w:space="0"/>
              <w:left w:val="single" w:color="auto" w:sz="4" w:space="0"/>
              <w:bottom w:val="single" w:color="auto" w:sz="4" w:space="0"/>
              <w:right w:val="single" w:color="auto" w:sz="4" w:space="0"/>
            </w:tcBorders>
            <w:vAlign w:val="center"/>
          </w:tcPr>
          <w:p w14:paraId="3F360682">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2、技术措施（15 分）</w:t>
            </w:r>
          </w:p>
          <w:p w14:paraId="16A47535">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针对本项目制定的技术措施，包括但不限于以下内容：</w:t>
            </w:r>
          </w:p>
          <w:p w14:paraId="3E312CC6">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⑴项目承包范围：总平面布置图（现场交通、现场作业区、施工设备机具、安全通道的布置等）</w:t>
            </w:r>
          </w:p>
          <w:p w14:paraId="7F8F7C72">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⑵施工现场条件（地质、水文、气象条件）；</w:t>
            </w:r>
          </w:p>
          <w:p w14:paraId="3EA61D6C">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⑶工程特征、重点、难点分析；</w:t>
            </w:r>
          </w:p>
          <w:p w14:paraId="05C38364">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⑷重点环节施工方案；</w:t>
            </w:r>
          </w:p>
          <w:p w14:paraId="38944DEC">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⑸雨季施工、夜间施工、降排水等方案；</w:t>
            </w:r>
          </w:p>
          <w:p w14:paraId="2C7E3239">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⑹不利气象、地质、突发情况处理方案；</w:t>
            </w:r>
          </w:p>
          <w:p w14:paraId="0059863C">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①制定的技术措施包含上述全部内容且内容详细、全面、科学、针对性强、合理可行的，得 15 分；</w:t>
            </w:r>
          </w:p>
          <w:p w14:paraId="057F50E4">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②制定的技术措施包含上述部分内容且内容较全面、较科学、针对性较强、合理可行的，得 13 分；③制定的技术措施包含上述部分内容，但内容一般清晰、一般科学、针对性一般、基本合理可行的，得 10 分；</w:t>
            </w:r>
          </w:p>
          <w:p w14:paraId="004EEAF0">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④制定的技术措施包含上述部分内容但内容不全面、不科学、针对性不强的，得 8 分；</w:t>
            </w:r>
          </w:p>
          <w:p w14:paraId="6E97AC32">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⑤制定的技术措施包含上述部分内容但内容不详细、逻辑性较差、不太合理的，得 4 分；</w:t>
            </w:r>
          </w:p>
          <w:p w14:paraId="4BB5FE3B">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cs="宋体"/>
                <w:color w:val="auto"/>
                <w:szCs w:val="21"/>
                <w:highlight w:val="none"/>
              </w:rPr>
            </w:pPr>
            <w:r>
              <w:rPr>
                <w:rFonts w:ascii="宋体" w:hAnsi="宋体" w:cs="宋体"/>
                <w:color w:val="auto"/>
                <w:szCs w:val="21"/>
                <w:highlight w:val="none"/>
              </w:rPr>
              <w:t>⑥不提供不得分。</w:t>
            </w:r>
          </w:p>
        </w:tc>
      </w:tr>
      <w:tr w14:paraId="3D38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108" w:type="dxa"/>
            <w:tcBorders>
              <w:top w:val="single" w:color="auto" w:sz="4" w:space="0"/>
              <w:left w:val="single" w:color="auto" w:sz="4" w:space="0"/>
              <w:bottom w:val="single" w:color="auto" w:sz="4" w:space="0"/>
              <w:right w:val="single" w:color="auto" w:sz="4" w:space="0"/>
            </w:tcBorders>
            <w:vAlign w:val="center"/>
          </w:tcPr>
          <w:p w14:paraId="7BEAFB9D">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3、质量管理与措施（10 分）</w:t>
            </w:r>
          </w:p>
          <w:p w14:paraId="00C3B498">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针对本项目制定的施工质量管理与措施（工程质量保证描述、施工管理描述、工程技术管理描述、施工质量控制描述、专项质量保证措施等）</w:t>
            </w:r>
          </w:p>
          <w:p w14:paraId="6EF3D6C0">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①制定的工程质量管理与措施详细，合理可行，针对性强的，得 10 分；</w:t>
            </w:r>
          </w:p>
          <w:p w14:paraId="1B82720C">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②制定的工程质量管理与措施较详细，基本合理可行，针对性较强的，得 8 分；</w:t>
            </w:r>
          </w:p>
          <w:p w14:paraId="765E03C2">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③制定的工程质量管理与措施内容模糊，针对性不强的，得 6 分；</w:t>
            </w:r>
          </w:p>
          <w:p w14:paraId="0FC31BAC">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④制定的工程质量管理与措施简单，针对性差的，得 4 分；</w:t>
            </w:r>
          </w:p>
          <w:p w14:paraId="4B094211">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⑤不提供不得分。</w:t>
            </w:r>
          </w:p>
        </w:tc>
      </w:tr>
      <w:tr w14:paraId="5A94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108" w:type="dxa"/>
            <w:tcBorders>
              <w:top w:val="single" w:color="auto" w:sz="4" w:space="0"/>
              <w:left w:val="single" w:color="auto" w:sz="4" w:space="0"/>
              <w:bottom w:val="single" w:color="auto" w:sz="4" w:space="0"/>
              <w:right w:val="single" w:color="auto" w:sz="4" w:space="0"/>
            </w:tcBorders>
            <w:vAlign w:val="center"/>
          </w:tcPr>
          <w:p w14:paraId="37386615">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4、安全文明施工保障措施方案（</w:t>
            </w:r>
            <w:r>
              <w:rPr>
                <w:rFonts w:hint="eastAsia" w:ascii="宋体" w:hAnsi="宋体" w:eastAsia="华文中宋" w:cs="宋体"/>
                <w:color w:val="auto"/>
                <w:szCs w:val="21"/>
                <w:highlight w:val="none"/>
              </w:rPr>
              <w:t>6</w:t>
            </w:r>
            <w:r>
              <w:rPr>
                <w:rFonts w:ascii="宋体" w:hAnsi="宋体" w:eastAsia="华文中宋" w:cs="宋体"/>
                <w:color w:val="auto"/>
                <w:szCs w:val="21"/>
                <w:highlight w:val="none"/>
              </w:rPr>
              <w:t xml:space="preserve"> 分）</w:t>
            </w:r>
          </w:p>
          <w:p w14:paraId="09B105C1">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针对本项目制定的安全文明施工保障措施方案（在施工的各个环节、管理制度和操作规程、现场管控等）</w:t>
            </w:r>
          </w:p>
          <w:p w14:paraId="67367396">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 xml:space="preserve">①对相关风险分析透彻，制定了合理可行的安全文明施工保障措施方案，针对性及准确性强的，得 </w:t>
            </w:r>
            <w:r>
              <w:rPr>
                <w:rFonts w:hint="eastAsia" w:ascii="宋体" w:hAnsi="宋体" w:eastAsia="华文中宋" w:cs="宋体"/>
                <w:color w:val="auto"/>
                <w:szCs w:val="21"/>
                <w:highlight w:val="none"/>
              </w:rPr>
              <w:t>6</w:t>
            </w:r>
            <w:r>
              <w:rPr>
                <w:rFonts w:ascii="宋体" w:hAnsi="宋体" w:eastAsia="华文中宋" w:cs="宋体"/>
                <w:color w:val="auto"/>
                <w:szCs w:val="21"/>
                <w:highlight w:val="none"/>
              </w:rPr>
              <w:t xml:space="preserve"> 分；</w:t>
            </w:r>
          </w:p>
          <w:p w14:paraId="2EFD1D5B">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 xml:space="preserve">②对相关风险理解一般，制定的安全文明施工保障措施方案可行性基本可行的，得 </w:t>
            </w:r>
            <w:r>
              <w:rPr>
                <w:rFonts w:hint="eastAsia" w:ascii="宋体" w:hAnsi="宋体" w:eastAsia="华文中宋" w:cs="宋体"/>
                <w:color w:val="auto"/>
                <w:szCs w:val="21"/>
                <w:highlight w:val="none"/>
              </w:rPr>
              <w:t>4</w:t>
            </w:r>
            <w:r>
              <w:rPr>
                <w:rFonts w:ascii="宋体" w:hAnsi="宋体" w:eastAsia="华文中宋" w:cs="宋体"/>
                <w:color w:val="auto"/>
                <w:szCs w:val="21"/>
                <w:highlight w:val="none"/>
              </w:rPr>
              <w:t xml:space="preserve"> 分；</w:t>
            </w:r>
          </w:p>
          <w:p w14:paraId="3F5BFA0F">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 xml:space="preserve">③对相关风险理解不明确，制定的安全文明施工保障措施方案可行性差的，得 </w:t>
            </w:r>
            <w:r>
              <w:rPr>
                <w:rFonts w:hint="eastAsia" w:ascii="宋体" w:hAnsi="宋体" w:eastAsia="华文中宋" w:cs="宋体"/>
                <w:color w:val="auto"/>
                <w:szCs w:val="21"/>
                <w:highlight w:val="none"/>
              </w:rPr>
              <w:t>2</w:t>
            </w:r>
            <w:r>
              <w:rPr>
                <w:rFonts w:ascii="宋体" w:hAnsi="宋体" w:eastAsia="华文中宋" w:cs="宋体"/>
                <w:color w:val="auto"/>
                <w:szCs w:val="21"/>
                <w:highlight w:val="none"/>
              </w:rPr>
              <w:t xml:space="preserve"> 分；</w:t>
            </w:r>
          </w:p>
          <w:p w14:paraId="4694EEA9">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ascii="宋体" w:hAnsi="宋体" w:eastAsia="华文中宋" w:cs="宋体"/>
                <w:color w:val="auto"/>
                <w:szCs w:val="21"/>
                <w:highlight w:val="none"/>
              </w:rPr>
              <w:t>④不提供不得分。</w:t>
            </w:r>
          </w:p>
        </w:tc>
      </w:tr>
      <w:tr w14:paraId="0347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9108" w:type="dxa"/>
            <w:tcBorders>
              <w:top w:val="single" w:color="auto" w:sz="4" w:space="0"/>
              <w:left w:val="single" w:color="auto" w:sz="4" w:space="0"/>
              <w:bottom w:val="single" w:color="auto" w:sz="4" w:space="0"/>
              <w:right w:val="single" w:color="auto" w:sz="4" w:space="0"/>
            </w:tcBorders>
            <w:vAlign w:val="center"/>
          </w:tcPr>
          <w:p w14:paraId="130D890F">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5、工程进度计划与措施（6分）</w:t>
            </w:r>
          </w:p>
          <w:p w14:paraId="094FBD2C">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针对本项目制定的项目施工进度计划方案（包括施工过程、工期计划安排和保障措施等）</w:t>
            </w:r>
          </w:p>
          <w:p w14:paraId="531907B7">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①关键思路清晰、准确、完整，计划编制合理可行，对关键节点的控制措施有力、合理、可行的，得 6 分；</w:t>
            </w:r>
          </w:p>
          <w:p w14:paraId="0249E34E">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②关键思路基本清晰、准确，计划编制基本合理，对关键节点的控制措施基本可行的， 得 4分；</w:t>
            </w:r>
          </w:p>
          <w:p w14:paraId="67A1E96C">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③关键思路准确较差，计划编制合理性较差，或对关键节点的控制措施可行性较差的，  得 2 分；</w:t>
            </w:r>
          </w:p>
          <w:p w14:paraId="4984B605">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④不提供不得分。</w:t>
            </w:r>
          </w:p>
        </w:tc>
      </w:tr>
      <w:tr w14:paraId="70A6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108" w:type="dxa"/>
            <w:tcBorders>
              <w:top w:val="single" w:color="auto" w:sz="4" w:space="0"/>
              <w:left w:val="single" w:color="auto" w:sz="4" w:space="0"/>
              <w:bottom w:val="single" w:color="auto" w:sz="4" w:space="0"/>
              <w:right w:val="single" w:color="auto" w:sz="4" w:space="0"/>
            </w:tcBorders>
            <w:vAlign w:val="center"/>
          </w:tcPr>
          <w:p w14:paraId="6F4C917F">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6、资源配备计划（8 分）</w:t>
            </w:r>
          </w:p>
          <w:p w14:paraId="6776ABE6">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1.根据本项目拟投入人员的结构、人员配置分工、人员信息、员工稳定性保障等</w:t>
            </w:r>
          </w:p>
          <w:p w14:paraId="4EAD8393">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①人员分工合理，安排配合得当，得 4 分；</w:t>
            </w:r>
          </w:p>
          <w:p w14:paraId="719D8341">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②人员分工一般合理，配合度一般，得 3 分</w:t>
            </w:r>
          </w:p>
          <w:p w14:paraId="42C1412F">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③人员分工较差，无配合度，得 2 分</w:t>
            </w:r>
          </w:p>
          <w:p w14:paraId="0AEE898F">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④不提供不得分。</w:t>
            </w:r>
          </w:p>
          <w:p w14:paraId="7C1FF27C">
            <w:pPr>
              <w:keepNext w:val="0"/>
              <w:keepLines w:val="0"/>
              <w:pageBreakBefore w:val="0"/>
              <w:widowControl w:val="0"/>
              <w:tabs>
                <w:tab w:val="right" w:pos="7020"/>
              </w:tabs>
              <w:kinsoku/>
              <w:wordWrap/>
              <w:overflowPunct w:val="0"/>
              <w:topLinePunct w:val="0"/>
              <w:autoSpaceDE w:val="0"/>
              <w:autoSpaceDN w:val="0"/>
              <w:bidi w:val="0"/>
              <w:adjustRightInd/>
              <w:snapToGrid/>
              <w:spacing w:line="360" w:lineRule="auto"/>
              <w:ind w:firstLine="0" w:firstLineChars="0"/>
              <w:textAlignment w:val="auto"/>
              <w:rPr>
                <w:rFonts w:ascii="宋体" w:hAnsi="宋体" w:eastAsia="华文中宋" w:cs="宋体"/>
                <w:color w:val="auto"/>
                <w:szCs w:val="21"/>
                <w:highlight w:val="none"/>
              </w:rPr>
            </w:pPr>
            <w:r>
              <w:rPr>
                <w:rFonts w:hint="eastAsia" w:ascii="宋体" w:hAnsi="宋体" w:eastAsia="华文中宋" w:cs="宋体"/>
                <w:color w:val="auto"/>
                <w:szCs w:val="21"/>
                <w:highlight w:val="none"/>
              </w:rPr>
              <w:t>2.根据本项目拟投入的主要仪器设备、设施情况等提供主要设备的照片等证明材料复印件，每提供一项得 1 分，最高得 4 分。</w:t>
            </w:r>
          </w:p>
        </w:tc>
      </w:tr>
      <w:tr w14:paraId="49AA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8" w:type="dxa"/>
            <w:tcBorders>
              <w:top w:val="single" w:color="auto" w:sz="4" w:space="0"/>
              <w:left w:val="single" w:color="auto" w:sz="4" w:space="0"/>
              <w:bottom w:val="single" w:color="auto" w:sz="4" w:space="0"/>
              <w:right w:val="single" w:color="auto" w:sz="4" w:space="0"/>
            </w:tcBorders>
            <w:vAlign w:val="center"/>
          </w:tcPr>
          <w:p w14:paraId="3E9A89EE">
            <w:pPr>
              <w:keepNext w:val="0"/>
              <w:keepLines w:val="0"/>
              <w:pageBreakBefore w:val="0"/>
              <w:widowControl w:val="0"/>
              <w:kinsoku/>
              <w:wordWrap/>
              <w:overflowPunct w:val="0"/>
              <w:topLinePunct w:val="0"/>
              <w:autoSpaceDE w:val="0"/>
              <w:autoSpaceDN w:val="0"/>
              <w:bidi w:val="0"/>
              <w:adjustRightInd/>
              <w:snapToGrid/>
              <w:spacing w:line="420" w:lineRule="exact"/>
              <w:ind w:firstLine="0" w:firstLineChars="0"/>
              <w:textAlignment w:val="auto"/>
              <w:rPr>
                <w:rFonts w:ascii="宋体" w:hAnsi="宋体"/>
                <w:color w:val="auto"/>
                <w:szCs w:val="21"/>
                <w:highlight w:val="none"/>
              </w:rPr>
            </w:pPr>
            <w:r>
              <w:rPr>
                <w:rFonts w:hint="eastAsia" w:ascii="宋体" w:hAnsi="宋体" w:cs="宋体"/>
                <w:b/>
                <w:bCs/>
                <w:color w:val="auto"/>
                <w:szCs w:val="21"/>
                <w:highlight w:val="none"/>
              </w:rPr>
              <w:t>三、价格部分（30分）</w:t>
            </w:r>
          </w:p>
        </w:tc>
      </w:tr>
      <w:tr w14:paraId="3AC4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108" w:type="dxa"/>
            <w:tcBorders>
              <w:top w:val="single" w:color="auto" w:sz="4" w:space="0"/>
              <w:left w:val="single" w:color="auto" w:sz="4" w:space="0"/>
              <w:bottom w:val="single" w:color="auto" w:sz="4" w:space="0"/>
              <w:right w:val="single" w:color="auto" w:sz="4" w:space="0"/>
            </w:tcBorders>
            <w:vAlign w:val="center"/>
          </w:tcPr>
          <w:p w14:paraId="21A604DC">
            <w:pPr>
              <w:keepNext w:val="0"/>
              <w:keepLines w:val="0"/>
              <w:pageBreakBefore w:val="0"/>
              <w:widowControl w:val="0"/>
              <w:kinsoku/>
              <w:wordWrap/>
              <w:overflowPunct w:val="0"/>
              <w:topLinePunct w:val="0"/>
              <w:autoSpaceDE w:val="0"/>
              <w:autoSpaceDN w:val="0"/>
              <w:bidi w:val="0"/>
              <w:adjustRightInd/>
              <w:snapToGrid/>
              <w:spacing w:line="360" w:lineRule="auto"/>
              <w:ind w:firstLine="0" w:firstLineChars="0"/>
              <w:textAlignment w:val="auto"/>
              <w:rPr>
                <w:rFonts w:cs="宋体"/>
                <w:color w:val="auto"/>
                <w:szCs w:val="21"/>
                <w:highlight w:val="none"/>
              </w:rPr>
            </w:pPr>
            <w:r>
              <w:rPr>
                <w:rFonts w:hint="eastAsia" w:cs="宋体"/>
                <w:color w:val="auto"/>
                <w:szCs w:val="21"/>
                <w:highlight w:val="none"/>
              </w:rPr>
              <w:t>满足磋商文件要求且评审价格最低的响应报价为评标基准价，其价格分满分 30 分。其他供应商的报价得分依据下列公式计算：</w:t>
            </w:r>
          </w:p>
          <w:p w14:paraId="791521F1">
            <w:pPr>
              <w:keepNext w:val="0"/>
              <w:keepLines w:val="0"/>
              <w:pageBreakBefore w:val="0"/>
              <w:widowControl w:val="0"/>
              <w:kinsoku/>
              <w:wordWrap/>
              <w:overflowPunct w:val="0"/>
              <w:topLinePunct w:val="0"/>
              <w:autoSpaceDE w:val="0"/>
              <w:autoSpaceDN w:val="0"/>
              <w:bidi w:val="0"/>
              <w:adjustRightInd/>
              <w:snapToGrid/>
              <w:spacing w:line="360" w:lineRule="auto"/>
              <w:ind w:firstLine="0" w:firstLineChars="0"/>
              <w:textAlignment w:val="auto"/>
              <w:rPr>
                <w:color w:val="auto"/>
                <w:szCs w:val="21"/>
                <w:highlight w:val="none"/>
              </w:rPr>
            </w:pPr>
            <w:r>
              <w:rPr>
                <w:rFonts w:hint="eastAsia" w:cs="宋体"/>
                <w:color w:val="auto"/>
                <w:szCs w:val="21"/>
                <w:highlight w:val="none"/>
              </w:rPr>
              <w:t>报价得分=（评标基准价/投标报价）×30。</w:t>
            </w:r>
          </w:p>
        </w:tc>
      </w:tr>
      <w:tr w14:paraId="7675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108" w:type="dxa"/>
            <w:tcBorders>
              <w:top w:val="single" w:color="auto" w:sz="4" w:space="0"/>
              <w:left w:val="single" w:color="auto" w:sz="4" w:space="0"/>
              <w:bottom w:val="single" w:color="auto" w:sz="4" w:space="0"/>
              <w:right w:val="single" w:color="auto" w:sz="4" w:space="0"/>
            </w:tcBorders>
            <w:vAlign w:val="center"/>
          </w:tcPr>
          <w:p w14:paraId="37028359">
            <w:pPr>
              <w:keepNext w:val="0"/>
              <w:keepLines w:val="0"/>
              <w:pageBreakBefore w:val="0"/>
              <w:widowControl w:val="0"/>
              <w:kinsoku/>
              <w:wordWrap/>
              <w:overflowPunct w:val="0"/>
              <w:topLinePunct w:val="0"/>
              <w:autoSpaceDE w:val="0"/>
              <w:autoSpaceDN w:val="0"/>
              <w:bidi w:val="0"/>
              <w:adjustRightInd/>
              <w:snapToGrid/>
              <w:spacing w:line="360" w:lineRule="auto"/>
              <w:ind w:firstLine="0" w:firstLineChars="0"/>
              <w:textAlignment w:val="auto"/>
              <w:rPr>
                <w:rFonts w:hint="eastAsia" w:cs="宋体"/>
                <w:color w:val="auto"/>
                <w:szCs w:val="21"/>
                <w:highlight w:val="none"/>
              </w:rPr>
            </w:pPr>
            <w:r>
              <w:rPr>
                <w:rFonts w:hint="eastAsia" w:cs="宋体"/>
                <w:color w:val="auto"/>
                <w:szCs w:val="21"/>
                <w:highlight w:val="none"/>
              </w:rPr>
              <w:t>相关说明： 政府采购评审中出现下列情形之一的，评审委员会应当启动异常低价投标（响应）审查程序： （一）投标（响应）报价低于全部通过符合性审查供应商投标（响应）报价平均值50%的，即投标（响应）报价&lt;全部通过符合性审查供应商投标（响应）报价平均值×50%； （二）投标（响应）报价低于通过符合性审查且报价次低供应商投标（响应）报价50%的，即投标（响应）报价&lt;通过符合性审查且报价次低供应商投标（响应）报价×50%； （三）投标（响应）报价低于采购项目最高限价45%的，即投标（响应）报价&lt;采购项目最高限价×45%； （四）其他评审委员会认为供应商报价过低，有可能影响产品质量或者不能诚信履约的情形。（五）评审委员会应当结合项目情况，依据专业经验对报价合理性进行判断。如果投标（响应）供应商不提供书面说明、证明材料，或者提供的书面说明、证明材料不能证明其报价合理性的，应当将其作为无效投标（响应）处理。审查相关情况应当在评审报告中记录。 （六）对于启动异常低价程序要求提供说明材料的情况，应至少为供应商提供30分钟准备说明时间，最长限定时间由评审委员会视评审进度决定供应商说明材料应至少包括价格构成、成本测算依据、报价合理性说明等。</w:t>
            </w:r>
          </w:p>
        </w:tc>
      </w:tr>
    </w:tbl>
    <w:p w14:paraId="100C923F">
      <w:pPr>
        <w:pStyle w:val="3"/>
        <w:spacing w:before="0" w:after="0" w:line="360" w:lineRule="auto"/>
        <w:ind w:firstLine="224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四、其他评审事项规定</w:t>
      </w:r>
    </w:p>
    <w:bookmarkEnd w:id="1217"/>
    <w:bookmarkEnd w:id="1218"/>
    <w:bookmarkEnd w:id="1219"/>
    <w:bookmarkEnd w:id="1220"/>
    <w:bookmarkEnd w:id="1221"/>
    <w:p w14:paraId="4D532F7C">
      <w:pPr>
        <w:pStyle w:val="4"/>
        <w:spacing w:before="0" w:after="0" w:line="420" w:lineRule="exact"/>
        <w:ind w:firstLine="420" w:firstLineChars="200"/>
        <w:jc w:val="left"/>
        <w:rPr>
          <w:rFonts w:ascii="宋体" w:cs="宋体"/>
          <w:color w:val="auto"/>
          <w:sz w:val="21"/>
          <w:szCs w:val="21"/>
          <w:highlight w:val="none"/>
        </w:rPr>
      </w:pPr>
      <w:r>
        <w:rPr>
          <w:rFonts w:ascii="宋体" w:hAnsi="宋体" w:cs="宋体"/>
          <w:color w:val="auto"/>
          <w:sz w:val="21"/>
          <w:szCs w:val="21"/>
          <w:highlight w:val="none"/>
        </w:rPr>
        <w:t xml:space="preserve">4.1 </w:t>
      </w:r>
      <w:r>
        <w:rPr>
          <w:rFonts w:hint="eastAsia" w:ascii="宋体" w:hAnsi="宋体" w:cs="宋体"/>
          <w:color w:val="auto"/>
          <w:sz w:val="21"/>
          <w:szCs w:val="21"/>
          <w:highlight w:val="none"/>
        </w:rPr>
        <w:t>磋商响应供应商违法等重大事项的处理</w:t>
      </w:r>
    </w:p>
    <w:p w14:paraId="0B519585">
      <w:pPr>
        <w:spacing w:line="420" w:lineRule="exact"/>
        <w:ind w:firstLine="422" w:firstLineChars="200"/>
        <w:rPr>
          <w:rFonts w:ascii="宋体" w:cs="宋体"/>
          <w:b/>
          <w:color w:val="auto"/>
          <w:kern w:val="0"/>
          <w:szCs w:val="21"/>
          <w:highlight w:val="none"/>
        </w:rPr>
      </w:pPr>
      <w:r>
        <w:rPr>
          <w:rFonts w:hint="eastAsia" w:ascii="宋体" w:hAnsi="宋体" w:cs="宋体"/>
          <w:b/>
          <w:color w:val="auto"/>
          <w:kern w:val="0"/>
          <w:szCs w:val="21"/>
          <w:highlight w:val="none"/>
        </w:rPr>
        <w:t>磋商响应供应商有下列情形之一的，磋商响应无效且将《磋商响应文件》、《询标记录》等报同级政府采购监管部门或有关职能部门查处：</w:t>
      </w:r>
    </w:p>
    <w:p w14:paraId="53E1D141">
      <w:pPr>
        <w:spacing w:line="42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）未如实提供债权债务、重大违法记录、利害关系等信息，影响或者可能影响成交结果的；</w:t>
      </w:r>
    </w:p>
    <w:p w14:paraId="19257E76">
      <w:pPr>
        <w:spacing w:line="42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）不遵循公平竞争原则、恶意串通、妨碍其他磋商响应供应商的竞争、损害采购人或其他磋商响应供应商合法权益的；</w:t>
      </w:r>
    </w:p>
    <w:p w14:paraId="4E713228">
      <w:pPr>
        <w:spacing w:line="42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）政府采购活动中存在违法行为的；</w:t>
      </w:r>
    </w:p>
    <w:p w14:paraId="679E18B2">
      <w:pPr>
        <w:spacing w:line="42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）其他严重干扰招投标秩序的行为的。</w:t>
      </w:r>
    </w:p>
    <w:p w14:paraId="372661A5">
      <w:pPr>
        <w:pStyle w:val="4"/>
        <w:spacing w:before="0" w:after="0" w:line="420" w:lineRule="exact"/>
        <w:ind w:firstLine="420" w:firstLineChars="200"/>
        <w:jc w:val="left"/>
        <w:rPr>
          <w:rFonts w:ascii="宋体" w:cs="宋体"/>
          <w:color w:val="auto"/>
          <w:sz w:val="21"/>
          <w:szCs w:val="21"/>
          <w:highlight w:val="none"/>
        </w:rPr>
      </w:pPr>
      <w:r>
        <w:rPr>
          <w:rFonts w:ascii="宋体" w:hAnsi="宋体" w:cs="宋体"/>
          <w:color w:val="auto"/>
          <w:sz w:val="21"/>
          <w:szCs w:val="21"/>
          <w:highlight w:val="none"/>
        </w:rPr>
        <w:t xml:space="preserve">4.2 </w:t>
      </w:r>
      <w:r>
        <w:rPr>
          <w:rFonts w:hint="eastAsia" w:ascii="宋体" w:hAnsi="宋体" w:cs="宋体"/>
          <w:color w:val="auto"/>
          <w:sz w:val="21"/>
          <w:szCs w:val="21"/>
          <w:highlight w:val="none"/>
        </w:rPr>
        <w:t>废标适用情形</w:t>
      </w:r>
    </w:p>
    <w:p w14:paraId="567CCFE1">
      <w:pPr>
        <w:spacing w:line="420" w:lineRule="exact"/>
        <w:ind w:firstLine="422" w:firstLineChars="200"/>
        <w:rPr>
          <w:rFonts w:ascii="宋体" w:cs="宋体"/>
          <w:b/>
          <w:color w:val="auto"/>
          <w:szCs w:val="21"/>
          <w:highlight w:val="none"/>
        </w:rPr>
      </w:pPr>
      <w:r>
        <w:rPr>
          <w:rFonts w:hint="eastAsia" w:ascii="宋体" w:hAnsi="宋体" w:cs="宋体"/>
          <w:b/>
          <w:color w:val="auto"/>
          <w:szCs w:val="21"/>
          <w:highlight w:val="none"/>
        </w:rPr>
        <w:t>在招标采购中，出现下列情形之一的，项目将予以废标：</w:t>
      </w:r>
    </w:p>
    <w:p w14:paraId="0D3FDBE2">
      <w:pPr>
        <w:widowControl/>
        <w:spacing w:line="42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）符合专业条件的供应商或者对竞争性磋商文件作实质响应的供应商不足三家的；</w:t>
      </w:r>
    </w:p>
    <w:p w14:paraId="65E32B37">
      <w:pPr>
        <w:widowControl/>
        <w:spacing w:line="42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）出现影响采购公正的违法、违规行为的；</w:t>
      </w:r>
    </w:p>
    <w:p w14:paraId="56FDCD12">
      <w:pPr>
        <w:widowControl/>
        <w:spacing w:line="42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）磋商响应供应商的报价均超过了采购预算，采购人不能支付的；</w:t>
      </w:r>
    </w:p>
    <w:p w14:paraId="61B1218D">
      <w:pPr>
        <w:widowControl/>
        <w:spacing w:line="420" w:lineRule="exact"/>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）因重大变故，采购任务取消的。</w:t>
      </w:r>
    </w:p>
    <w:p w14:paraId="6360FB48">
      <w:pPr>
        <w:pStyle w:val="4"/>
        <w:spacing w:before="0" w:after="0" w:line="420" w:lineRule="exact"/>
        <w:ind w:firstLine="420" w:firstLineChars="200"/>
        <w:jc w:val="left"/>
        <w:rPr>
          <w:rFonts w:ascii="宋体" w:cs="宋体"/>
          <w:color w:val="auto"/>
          <w:sz w:val="21"/>
          <w:szCs w:val="21"/>
          <w:highlight w:val="none"/>
        </w:rPr>
      </w:pPr>
      <w:r>
        <w:rPr>
          <w:rFonts w:ascii="宋体" w:hAnsi="宋体" w:cs="宋体"/>
          <w:color w:val="auto"/>
          <w:sz w:val="21"/>
          <w:szCs w:val="21"/>
          <w:highlight w:val="none"/>
        </w:rPr>
        <w:t xml:space="preserve">4.3 </w:t>
      </w:r>
      <w:r>
        <w:rPr>
          <w:rFonts w:hint="eastAsia" w:ascii="宋体" w:hAnsi="宋体" w:cs="宋体"/>
          <w:color w:val="auto"/>
          <w:sz w:val="21"/>
          <w:szCs w:val="21"/>
          <w:highlight w:val="none"/>
        </w:rPr>
        <w:t>可中止电子交易活动的情形</w:t>
      </w:r>
    </w:p>
    <w:p w14:paraId="1A94E9ED">
      <w:pPr>
        <w:spacing w:line="420" w:lineRule="exact"/>
        <w:ind w:firstLine="422" w:firstLineChars="200"/>
        <w:rPr>
          <w:rFonts w:ascii="宋体" w:cs="宋体"/>
          <w:color w:val="auto"/>
          <w:szCs w:val="21"/>
          <w:highlight w:val="none"/>
        </w:rPr>
      </w:pPr>
      <w:r>
        <w:rPr>
          <w:rFonts w:hint="eastAsia" w:ascii="宋体" w:hAnsi="宋体" w:cs="宋体"/>
          <w:b/>
          <w:color w:val="auto"/>
          <w:szCs w:val="21"/>
          <w:highlight w:val="none"/>
        </w:rPr>
        <w:t>采购过程中出现以下情形，导致电子交易平台无法正常运行，或者无法保证电子交易的公平、公正和安全时，采购组织机构可中止电子交易活动：</w:t>
      </w:r>
    </w:p>
    <w:p w14:paraId="5DDEEABC">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（一）电子交易平台发生故障而无法登录访问的；</w:t>
      </w:r>
    </w:p>
    <w:p w14:paraId="4BE00CA2">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（二）电子交易平台应用或数据库出现错误，不能进行正常操作的；</w:t>
      </w:r>
    </w:p>
    <w:p w14:paraId="6D5170A0">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（三）电子交易平台发现严重安全漏洞，有潜在泄密危险的；</w:t>
      </w:r>
    </w:p>
    <w:p w14:paraId="685A98CB">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（四）病毒发作导致不能进行正常操作的；</w:t>
      </w:r>
    </w:p>
    <w:p w14:paraId="76A48886">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（五）其他无法保证电子交易的公平、公正和安全的情况。</w:t>
      </w:r>
    </w:p>
    <w:p w14:paraId="21166249">
      <w:pPr>
        <w:spacing w:line="420" w:lineRule="exact"/>
        <w:ind w:firstLine="422" w:firstLineChars="200"/>
        <w:rPr>
          <w:rFonts w:ascii="宋体" w:cs="宋体"/>
          <w:color w:val="auto"/>
          <w:highlight w:val="none"/>
        </w:rPr>
      </w:pPr>
      <w:r>
        <w:rPr>
          <w:rFonts w:hint="eastAsia" w:ascii="宋体" w:hAnsi="宋体" w:cs="宋体"/>
          <w:b/>
          <w:color w:val="auto"/>
          <w:szCs w:val="21"/>
          <w:highlight w:val="none"/>
        </w:rPr>
        <w:t>出现前款规定情形，不影响采购公平、公正性的，采购组织机构可以待上述情形消除后继续组织电子交易活动，也可以决定某些环节以纸质形式进行；影响或可能影响采购公平、公正性的，将重新采购。</w:t>
      </w:r>
    </w:p>
    <w:sectPr>
      <w:headerReference r:id="rId16" w:type="first"/>
      <w:footerReference r:id="rId17" w:type="even"/>
      <w:pgSz w:w="11906" w:h="16838"/>
      <w:pgMar w:top="1440" w:right="1417" w:bottom="1440" w:left="1417" w:header="850"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Century">
    <w:altName w:val="Times New Roman"/>
    <w:panose1 w:val="02040604050505020304"/>
    <w:charset w:val="00"/>
    <w:family w:val="roman"/>
    <w:pitch w:val="default"/>
    <w:sig w:usb0="00000000" w:usb1="00000000" w:usb2="00000000" w:usb3="00000000" w:csb0="0000009F" w:csb1="00000000"/>
  </w:font>
  <w:font w:name="Futura Lt">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Century Schoolbook">
    <w:altName w:val="Segoe Print"/>
    <w:panose1 w:val="0204060405050502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华文行楷">
    <w:altName w:val="微软雅黑"/>
    <w:panose1 w:val="02010800040101010101"/>
    <w:charset w:val="86"/>
    <w:family w:val="auto"/>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方正姚体">
    <w:altName w:val="宋体"/>
    <w:panose1 w:val="02010601030101010101"/>
    <w:charset w:val="86"/>
    <w:family w:val="auto"/>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0000009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MS UI Gothic">
    <w:panose1 w:val="020B0600070205080204"/>
    <w:charset w:val="80"/>
    <w:family w:val="swiss"/>
    <w:pitch w:val="default"/>
    <w:sig w:usb0="E00002FF" w:usb1="6AC7FDFB" w:usb2="08000012" w:usb3="00000000" w:csb0="4002009F" w:csb1="DFD7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D589">
    <w:pPr>
      <w:pStyle w:val="4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EA1B6">
    <w:pPr>
      <w:pStyle w:val="41"/>
      <w:tabs>
        <w:tab w:val="center" w:pos="4592"/>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8EA170">
                          <w:pPr>
                            <w:pStyle w:val="41"/>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oMYEcYBAACcAwAADgAAAGRycy9lMm9Eb2MueG1srVPNjtMwEL4j8Q6W&#10;7zTZC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EOb8IYzKwy9+Pnnj/OvP+ff39nr&#10;pE/vsaKyW0+FcXjvBqqd40jBRHtog0lfIsQoT+qeLurCEJlMl1bL1aqklKTc7BB+cX/dB4wfwBmW&#10;jJoHer6sqjh+wjiWziWpm3U3Suv8hNr+FyDMMQJ5B6bbick4cbLisBsmejvXnIhdT3tQc0trz5n+&#10;aEnmtDKzEWZjNxmpI/p3h0hj5OkS6ghFrJJDj5b5TQuWtuJfP1fd/1S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gxgRxgEAAJwDAAAOAAAAAAAAAAEAIAAAAB4BAABkcnMvZTJvRG9jLnht&#10;bFBLBQYAAAAABgAGAFkBAABWBQAAAAA=&#10;">
              <v:fill on="f" focussize="0,0"/>
              <v:stroke on="f"/>
              <v:imagedata o:title=""/>
              <o:lock v:ext="edit" aspectratio="f"/>
              <v:textbox inset="0mm,0mm,0mm,0mm" style="mso-fit-shape-to-text:t;">
                <w:txbxContent>
                  <w:p w14:paraId="0E8EA170">
                    <w:pPr>
                      <w:pStyle w:val="4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E6EA">
    <w:pPr>
      <w:pStyle w:val="41"/>
      <w:framePr w:wrap="around" w:vAnchor="text" w:hAnchor="margin" w:xAlign="outside" w:y="1"/>
      <w:ind w:firstLine="1446"/>
      <w:rPr>
        <w:rStyle w:val="71"/>
      </w:rPr>
    </w:pPr>
    <w:r>
      <w:rPr>
        <w:rStyle w:val="71"/>
      </w:rPr>
      <w:fldChar w:fldCharType="begin"/>
    </w:r>
    <w:r>
      <w:rPr>
        <w:rStyle w:val="71"/>
      </w:rPr>
      <w:instrText xml:space="preserve">PAGE  </w:instrText>
    </w:r>
    <w:r>
      <w:rPr>
        <w:rStyle w:val="71"/>
      </w:rPr>
      <w:fldChar w:fldCharType="end"/>
    </w:r>
  </w:p>
  <w:p w14:paraId="189157A8">
    <w:pPr>
      <w:pStyle w:val="41"/>
      <w:ind w:right="360" w:firstLine="144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26EA1">
    <w:pPr>
      <w:pStyle w:val="41"/>
      <w:framePr w:wrap="around" w:vAnchor="text" w:hAnchor="margin" w:xAlign="center" w:y="1"/>
      <w:jc w:val="center"/>
      <w:rPr>
        <w:rStyle w:val="71"/>
      </w:rPr>
    </w:pPr>
    <w:r>
      <w:rPr>
        <w:rStyle w:val="71"/>
      </w:rPr>
      <w:fldChar w:fldCharType="begin"/>
    </w:r>
    <w:r>
      <w:rPr>
        <w:rStyle w:val="71"/>
      </w:rPr>
      <w:instrText xml:space="preserve">PAGE  </w:instrText>
    </w:r>
    <w:r>
      <w:rPr>
        <w:rStyle w:val="71"/>
      </w:rPr>
      <w:fldChar w:fldCharType="end"/>
    </w:r>
  </w:p>
  <w:p w14:paraId="5E1AD5CD">
    <w:pPr>
      <w:pStyle w:val="4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09C5">
    <w:pPr>
      <w:pStyle w:val="41"/>
      <w:framePr w:wrap="around" w:vAnchor="text" w:hAnchor="margin" w:xAlign="center" w:y="1"/>
      <w:jc w:val="center"/>
      <w:rPr>
        <w:rStyle w:val="71"/>
      </w:rPr>
    </w:pPr>
  </w:p>
  <w:p w14:paraId="34A2B185">
    <w:pPr>
      <w:pStyle w:val="41"/>
      <w:framePr w:wrap="around" w:vAnchor="text" w:hAnchor="page" w:x="6439" w:y="332"/>
      <w:jc w:val="center"/>
      <w:rPr>
        <w:rStyle w:val="71"/>
      </w:rPr>
    </w:pPr>
  </w:p>
  <w:p w14:paraId="608104D2">
    <w:pPr>
      <w:pStyle w:val="41"/>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4445" r="0" b="5080"/>
              <wp:wrapNone/>
              <wp:docPr id="2" name="直线 102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25"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wk4q7ZAAAADAEA&#10;AA8AAAAAAAAAAQAgAAAAIgAAAGRycy9kb3ducmV2LnhtbFBLAQIUABQAAAAIAIdO4kBBvCcX4AEA&#10;ANIDAAAOAAAAAAAAAAEAIAAAACgBAABkcnMvZTJvRG9jLnhtbFBLBQYAAAAABgAGAFkBAAB6BQAA&#10;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E851E">
    <w:pPr>
      <w:pStyle w:val="41"/>
      <w:pBdr>
        <w:top w:val="single" w:color="auto" w:sz="4" w:space="0"/>
      </w:pBdr>
      <w:tabs>
        <w:tab w:val="left" w:pos="3958"/>
        <w:tab w:val="clear" w:pos="4153"/>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AF77C">
    <w:pPr>
      <w:pStyle w:val="41"/>
      <w:jc w:val="center"/>
    </w:pPr>
  </w:p>
  <w:p w14:paraId="2AB50074">
    <w:pPr>
      <w:pStyle w:val="4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14992">
    <w:pPr>
      <w:pStyle w:val="41"/>
      <w:pBdr>
        <w:top w:val="single" w:color="auto" w:sz="4" w:space="0"/>
      </w:pBdr>
      <w:tabs>
        <w:tab w:val="left" w:pos="3958"/>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D6D4728">
                          <w:pPr>
                            <w:pStyle w:val="41"/>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WhQLTAQAApQMAAA4AAABkcnMvZTJvRG9jLnhtbK1TzY7TMBC+I/EO&#10;lu80aRFL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cWxO25x4Jcf3y8/f19+fSPL&#10;evU6K9QHaDDxPmBqGt76Afdmvge8zMQHFW3+IiWCcdT3fNVXDomI/Gi9Wq9rDAmMzQ7iVw/PQ4T0&#10;TnpLssFoxAEWXfnpA6QxdU7J1Zy/08aUIRpHekZvXr6qy4NrBMGNwxqZxNhsttKwHyZme9+ekViP&#10;S8Cow52nxLx3qHHel9mIs7GfjWOI+tBhj8tSD8KbY8JuSpO5wgg7FcbpFZrTpuX1+NsvWQ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JoWhQLTAQAApQMAAA4AAAAAAAAAAQAgAAAAHwEA&#10;AGRycy9lMm9Eb2MueG1sUEsFBgAAAAAGAAYAWQEAAGQFAAAAAA==&#10;">
              <v:fill on="f" focussize="0,0"/>
              <v:stroke on="f" weight="0.5pt"/>
              <v:imagedata o:title=""/>
              <o:lock v:ext="edit" aspectratio="f"/>
              <v:textbox inset="0mm,0mm,0mm,0mm" style="mso-fit-shape-to-text:t;">
                <w:txbxContent>
                  <w:p w14:paraId="2D6D4728">
                    <w:pPr>
                      <w:pStyle w:val="41"/>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v:textbox>
            </v:shape>
          </w:pict>
        </mc:Fallback>
      </mc:AlternateConten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9AF9">
    <w:pPr>
      <w:pStyle w:val="41"/>
      <w:pBdr>
        <w:top w:val="single" w:color="auto" w:sz="4" w:space="0"/>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C81904">
                          <w:pPr>
                            <w:pStyle w:val="41"/>
                            <w:rPr>
                              <w:rFonts w:ascii="宋体" w:cs="宋体"/>
                            </w:rPr>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&#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31x5rTAQAApQMAAA4AAAAAAAAAAQAgAAAAHwEA&#10;AGRycy9lMm9Eb2MueG1sUEsFBgAAAAAGAAYAWQEAAGQFAAAAAA==&#10;">
              <v:fill on="f" focussize="0,0"/>
              <v:stroke on="f" weight="0.5pt"/>
              <v:imagedata o:title=""/>
              <o:lock v:ext="edit" aspectratio="f"/>
              <v:textbox inset="0mm,0mm,0mm,0mm" style="mso-fit-shape-to-text:t;">
                <w:txbxContent>
                  <w:p w14:paraId="1DC81904">
                    <w:pPr>
                      <w:pStyle w:val="41"/>
                      <w:rPr>
                        <w:rFonts w:ascii="宋体" w:cs="宋体"/>
                      </w:rPr>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v:textbox>
            </v:shape>
          </w:pict>
        </mc:Fallback>
      </mc:AlternateContent>
    </w:r>
  </w:p>
  <w:p w14:paraId="2839E8E6">
    <w:pPr>
      <w:pStyle w:val="4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1F8C">
    <w:pPr>
      <w:pStyle w:val="41"/>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w:t>
    </w:r>
    <w:r>
      <w:rPr>
        <w:rFonts w:eastAsia="仿宋_GB2312"/>
        <w:sz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DD9D">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4A950">
    <w:pPr>
      <w:pStyle w:val="4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7EA7">
    <w:pPr>
      <w:pStyle w:val="43"/>
      <w:pBdr>
        <w:bottom w:val="none" w:color="auto" w:sz="0" w:space="0"/>
      </w:pBdr>
      <w:rPr>
        <w:rStyle w:val="70"/>
        <w:rFonts w:ascii="宋体" w:cs="宋体"/>
        <w:b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45EA">
    <w:pPr>
      <w:pStyle w:val="43"/>
      <w:pBdr>
        <w:bottom w:val="none" w:color="auto" w:sz="0" w:space="0"/>
      </w:pBdr>
      <w:rPr>
        <w:rStyle w:val="70"/>
        <w:rFonts w:ascii="宋体" w:cs="宋体"/>
        <w:b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266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CD4AE"/>
    <w:multiLevelType w:val="singleLevel"/>
    <w:tmpl w:val="85BCD4AE"/>
    <w:lvl w:ilvl="0" w:tentative="0">
      <w:start w:val="10"/>
      <w:numFmt w:val="decimal"/>
      <w:suff w:val="nothing"/>
      <w:lvlText w:val="（%1）"/>
      <w:lvlJc w:val="left"/>
    </w:lvl>
  </w:abstractNum>
  <w:abstractNum w:abstractNumId="1">
    <w:nsid w:val="91BC9CFF"/>
    <w:multiLevelType w:val="singleLevel"/>
    <w:tmpl w:val="91BC9CFF"/>
    <w:lvl w:ilvl="0" w:tentative="0">
      <w:start w:val="1"/>
      <w:numFmt w:val="decimal"/>
      <w:suff w:val="space"/>
      <w:lvlText w:val="%1."/>
      <w:lvlJc w:val="left"/>
    </w:lvl>
  </w:abstractNum>
  <w:abstractNum w:abstractNumId="2">
    <w:nsid w:val="C3485835"/>
    <w:multiLevelType w:val="singleLevel"/>
    <w:tmpl w:val="C3485835"/>
    <w:lvl w:ilvl="0" w:tentative="0">
      <w:start w:val="1"/>
      <w:numFmt w:val="decimal"/>
      <w:suff w:val="space"/>
      <w:lvlText w:val="（%1）"/>
      <w:lvlJc w:val="left"/>
    </w:lvl>
  </w:abstractNum>
  <w:abstractNum w:abstractNumId="3">
    <w:nsid w:val="CB6FD4E4"/>
    <w:multiLevelType w:val="singleLevel"/>
    <w:tmpl w:val="CB6FD4E4"/>
    <w:lvl w:ilvl="0" w:tentative="0">
      <w:start w:val="1"/>
      <w:numFmt w:val="decimal"/>
      <w:suff w:val="nothing"/>
      <w:lvlText w:val="（%1）"/>
      <w:lvlJc w:val="left"/>
      <w:pPr>
        <w:ind w:left="180"/>
      </w:pPr>
      <w:rPr>
        <w:rFonts w:cs="Times New Roman"/>
      </w:rPr>
    </w:lvl>
  </w:abstractNum>
  <w:abstractNum w:abstractNumId="4">
    <w:nsid w:val="D91A6FAE"/>
    <w:multiLevelType w:val="singleLevel"/>
    <w:tmpl w:val="D91A6FAE"/>
    <w:lvl w:ilvl="0" w:tentative="0">
      <w:start w:val="1"/>
      <w:numFmt w:val="decimal"/>
      <w:suff w:val="nothing"/>
      <w:lvlText w:val="（%1）"/>
      <w:lvlJc w:val="left"/>
      <w:rPr>
        <w:rFonts w:cs="Times New Roman"/>
      </w:rPr>
    </w:lvl>
  </w:abstractNum>
  <w:abstractNum w:abstractNumId="5">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6">
    <w:nsid w:val="FFFFFF81"/>
    <w:multiLevelType w:val="singleLevel"/>
    <w:tmpl w:val="FFFFFF81"/>
    <w:lvl w:ilvl="0" w:tentative="0">
      <w:start w:val="1"/>
      <w:numFmt w:val="bullet"/>
      <w:pStyle w:val="27"/>
      <w:lvlText w:val=""/>
      <w:lvlJc w:val="left"/>
      <w:pPr>
        <w:tabs>
          <w:tab w:val="left" w:pos="1620"/>
        </w:tabs>
        <w:ind w:left="1620" w:hanging="360"/>
      </w:pPr>
      <w:rPr>
        <w:rFonts w:hint="default" w:ascii="Wingdings" w:hAnsi="Wingdings"/>
      </w:rPr>
    </w:lvl>
  </w:abstractNum>
  <w:abstractNum w:abstractNumId="7">
    <w:nsid w:val="FFFFFF88"/>
    <w:multiLevelType w:val="singleLevel"/>
    <w:tmpl w:val="FFFFFF88"/>
    <w:lvl w:ilvl="0" w:tentative="0">
      <w:start w:val="1"/>
      <w:numFmt w:val="decimal"/>
      <w:pStyle w:val="34"/>
      <w:lvlText w:val="%1."/>
      <w:lvlJc w:val="left"/>
      <w:pPr>
        <w:tabs>
          <w:tab w:val="left" w:pos="360"/>
        </w:tabs>
        <w:ind w:left="360" w:hanging="360"/>
      </w:pPr>
      <w:rPr>
        <w:rFonts w:cs="Times New Roman"/>
      </w:rPr>
    </w:lvl>
  </w:abstractNum>
  <w:abstractNum w:abstractNumId="8">
    <w:nsid w:val="00000006"/>
    <w:multiLevelType w:val="singleLevel"/>
    <w:tmpl w:val="00000006"/>
    <w:lvl w:ilvl="0" w:tentative="0">
      <w:start w:val="1"/>
      <w:numFmt w:val="decimal"/>
      <w:suff w:val="nothing"/>
      <w:lvlText w:val="（%1）"/>
      <w:lvlJc w:val="left"/>
    </w:lvl>
  </w:abstractNum>
  <w:abstractNum w:abstractNumId="9">
    <w:nsid w:val="0000001F"/>
    <w:multiLevelType w:val="multilevel"/>
    <w:tmpl w:val="0000001F"/>
    <w:lvl w:ilvl="0" w:tentative="0">
      <w:start w:val="1"/>
      <w:numFmt w:val="decimal"/>
      <w:pStyle w:val="685"/>
      <w:lvlText w:val="图%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00"/>
        </w:tabs>
        <w:ind w:left="1200" w:hanging="360"/>
      </w:pPr>
      <w:rPr>
        <w:rFonts w:hint="default" w:ascii="宋体" w:eastAsia="宋体" w:cs="Times New Roman"/>
      </w:rPr>
    </w:lvl>
    <w:lvl w:ilvl="3" w:tentative="0">
      <w:start w:val="1"/>
      <w:numFmt w:val="decimalFullWidth"/>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2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rPr>
        <w:rFonts w:cs="Times New Roman"/>
      </w:rPr>
    </w:lvl>
    <w:lvl w:ilvl="3" w:tentative="0">
      <w:start w:val="1"/>
      <w:numFmt w:val="decimal"/>
      <w:pStyle w:val="418"/>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12">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33"/>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3">
    <w:nsid w:val="01EE354D"/>
    <w:multiLevelType w:val="multilevel"/>
    <w:tmpl w:val="01EE354D"/>
    <w:lvl w:ilvl="0" w:tentative="0">
      <w:start w:val="1"/>
      <w:numFmt w:val="decimal"/>
      <w:pStyle w:val="652"/>
      <w:lvlText w:val="%1."/>
      <w:lvlJc w:val="left"/>
      <w:pPr>
        <w:ind w:left="420" w:hanging="420"/>
      </w:pPr>
      <w:rPr>
        <w:rFonts w:hint="eastAsia" w:cs="Times New Roman"/>
      </w:rPr>
    </w:lvl>
    <w:lvl w:ilvl="1" w:tentative="0">
      <w:start w:val="1"/>
      <w:numFmt w:val="lowerLetter"/>
      <w:pStyle w:val="749"/>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4">
    <w:nsid w:val="13D91EA9"/>
    <w:multiLevelType w:val="multilevel"/>
    <w:tmpl w:val="13D91EA9"/>
    <w:lvl w:ilvl="0" w:tentative="0">
      <w:start w:val="1"/>
      <w:numFmt w:val="decimal"/>
      <w:pStyle w:val="744"/>
      <w:lvlText w:val="%1."/>
      <w:lvlJc w:val="left"/>
      <w:pPr>
        <w:ind w:left="425" w:hanging="425"/>
      </w:pPr>
      <w:rPr>
        <w:rFonts w:cs="Times New Roman"/>
      </w:rPr>
    </w:lvl>
    <w:lvl w:ilvl="1" w:tentative="0">
      <w:start w:val="1"/>
      <w:numFmt w:val="decimal"/>
      <w:pStyle w:val="819"/>
      <w:lvlText w:val="%1.%2."/>
      <w:lvlJc w:val="left"/>
      <w:pPr>
        <w:ind w:left="567" w:hanging="567"/>
      </w:pPr>
      <w:rPr>
        <w:rFonts w:cs="Times New Roman"/>
      </w:rPr>
    </w:lvl>
    <w:lvl w:ilvl="2" w:tentative="0">
      <w:start w:val="1"/>
      <w:numFmt w:val="decimal"/>
      <w:pStyle w:val="806"/>
      <w:lvlText w:val="%1.%2.%3."/>
      <w:lvlJc w:val="left"/>
      <w:pPr>
        <w:ind w:left="709" w:hanging="709"/>
      </w:pPr>
      <w:rPr>
        <w:rFonts w:cs="Times New Roman"/>
      </w:rPr>
    </w:lvl>
    <w:lvl w:ilvl="3" w:tentative="0">
      <w:start w:val="1"/>
      <w:numFmt w:val="decimal"/>
      <w:pStyle w:val="171"/>
      <w:lvlText w:val="%1.%2.%3.%4."/>
      <w:lvlJc w:val="left"/>
      <w:pPr>
        <w:ind w:left="851" w:hanging="851"/>
      </w:pPr>
      <w:rPr>
        <w:rFonts w:cs="Times New Roman"/>
      </w:rPr>
    </w:lvl>
    <w:lvl w:ilvl="4" w:tentative="0">
      <w:start w:val="1"/>
      <w:numFmt w:val="decimal"/>
      <w:pStyle w:val="823"/>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15">
    <w:nsid w:val="18A777E8"/>
    <w:multiLevelType w:val="multilevel"/>
    <w:tmpl w:val="18A777E8"/>
    <w:lvl w:ilvl="0" w:tentative="0">
      <w:start w:val="1"/>
      <w:numFmt w:val="decimal"/>
      <w:pStyle w:val="39"/>
      <w:suff w:val="nothing"/>
      <w:lvlText w:val="%1."/>
      <w:lvlJc w:val="left"/>
      <w:rPr>
        <w:rFonts w:hint="eastAsia" w:cs="Times New Roman"/>
        <w:b/>
        <w:i w:val="0"/>
        <w:sz w:val="32"/>
        <w:szCs w:val="32"/>
      </w:rPr>
    </w:lvl>
    <w:lvl w:ilvl="1" w:tentative="0">
      <w:start w:val="0"/>
      <w:numFmt w:val="decimal"/>
      <w:pStyle w:val="761"/>
      <w:suff w:val="nothing"/>
      <w:lvlText w:val="%1.%2."/>
      <w:lvlJc w:val="left"/>
      <w:pPr>
        <w:ind w:left="380" w:hanging="380"/>
      </w:pPr>
      <w:rPr>
        <w:rFonts w:hint="eastAsia" w:cs="Times New Roman"/>
        <w:b/>
        <w:i w:val="0"/>
        <w:sz w:val="28"/>
        <w:szCs w:val="28"/>
      </w:rPr>
    </w:lvl>
    <w:lvl w:ilvl="2" w:tentative="0">
      <w:start w:val="1"/>
      <w:numFmt w:val="decimal"/>
      <w:pStyle w:val="427"/>
      <w:suff w:val="nothing"/>
      <w:lvlText w:val="%1.%2.%3."/>
      <w:lvlJc w:val="left"/>
      <w:rPr>
        <w:rFonts w:hint="eastAsia" w:cs="Times New Roman"/>
        <w:b/>
        <w:i w:val="0"/>
        <w:sz w:val="24"/>
        <w:szCs w:val="24"/>
      </w:rPr>
    </w:lvl>
    <w:lvl w:ilvl="3" w:tentative="0">
      <w:start w:val="1"/>
      <w:numFmt w:val="decimal"/>
      <w:pStyle w:val="512"/>
      <w:suff w:val="nothing"/>
      <w:lvlText w:val="%1.%2.%3.%4."/>
      <w:lvlJc w:val="left"/>
      <w:rPr>
        <w:rFonts w:hint="eastAsia" w:cs="Times New Roman"/>
        <w:b/>
        <w:i w:val="0"/>
        <w:sz w:val="21"/>
        <w:szCs w:val="21"/>
      </w:rPr>
    </w:lvl>
    <w:lvl w:ilvl="4" w:tentative="0">
      <w:start w:val="1"/>
      <w:numFmt w:val="decimal"/>
      <w:lvlText w:val="%1.%2.%3.%4.%5."/>
      <w:lvlJc w:val="left"/>
      <w:pPr>
        <w:tabs>
          <w:tab w:val="left" w:pos="9067"/>
        </w:tabs>
        <w:ind w:left="9067" w:hanging="992"/>
      </w:pPr>
      <w:rPr>
        <w:rFonts w:hint="eastAsia" w:cs="Times New Roman"/>
      </w:rPr>
    </w:lvl>
    <w:lvl w:ilvl="5" w:tentative="0">
      <w:start w:val="1"/>
      <w:numFmt w:val="decimal"/>
      <w:lvlText w:val="%1.%2.%3.%4.%5.%6."/>
      <w:lvlJc w:val="left"/>
      <w:pPr>
        <w:tabs>
          <w:tab w:val="left" w:pos="9209"/>
        </w:tabs>
        <w:ind w:left="9209" w:hanging="1134"/>
      </w:pPr>
      <w:rPr>
        <w:rFonts w:hint="eastAsia" w:cs="Times New Roman"/>
      </w:rPr>
    </w:lvl>
    <w:lvl w:ilvl="6" w:tentative="0">
      <w:start w:val="1"/>
      <w:numFmt w:val="decimal"/>
      <w:lvlText w:val="%1.%2.%3.%4.%5.%6.%7."/>
      <w:lvlJc w:val="left"/>
      <w:pPr>
        <w:tabs>
          <w:tab w:val="left" w:pos="9351"/>
        </w:tabs>
        <w:ind w:left="9351" w:hanging="1276"/>
      </w:pPr>
      <w:rPr>
        <w:rFonts w:hint="eastAsia" w:cs="Times New Roman"/>
      </w:rPr>
    </w:lvl>
    <w:lvl w:ilvl="7" w:tentative="0">
      <w:start w:val="1"/>
      <w:numFmt w:val="decimal"/>
      <w:lvlText w:val="%1.%2.%3.%4.%5.%6.%7.%8."/>
      <w:lvlJc w:val="left"/>
      <w:pPr>
        <w:tabs>
          <w:tab w:val="left" w:pos="9493"/>
        </w:tabs>
        <w:ind w:left="9493" w:hanging="1418"/>
      </w:pPr>
      <w:rPr>
        <w:rFonts w:hint="eastAsia" w:cs="Times New Roman"/>
      </w:rPr>
    </w:lvl>
    <w:lvl w:ilvl="8" w:tentative="0">
      <w:start w:val="1"/>
      <w:numFmt w:val="decimal"/>
      <w:lvlText w:val="%1.%2.%3.%4.%5.%6.%7.%8.%9."/>
      <w:lvlJc w:val="left"/>
      <w:pPr>
        <w:tabs>
          <w:tab w:val="left" w:pos="9634"/>
        </w:tabs>
        <w:ind w:left="9634" w:hanging="1559"/>
      </w:pPr>
      <w:rPr>
        <w:rFonts w:hint="eastAsia" w:cs="Times New Roman"/>
      </w:rPr>
    </w:lvl>
  </w:abstractNum>
  <w:abstractNum w:abstractNumId="16">
    <w:nsid w:val="1B9E447F"/>
    <w:multiLevelType w:val="multilevel"/>
    <w:tmpl w:val="1B9E447F"/>
    <w:lvl w:ilvl="0" w:tentative="0">
      <w:start w:val="1"/>
      <w:numFmt w:val="bullet"/>
      <w:pStyle w:val="77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20DB3338"/>
    <w:multiLevelType w:val="multilevel"/>
    <w:tmpl w:val="20DB3338"/>
    <w:lvl w:ilvl="0" w:tentative="0">
      <w:start w:val="4"/>
      <w:numFmt w:val="decimal"/>
      <w:lvlText w:val="%1．"/>
      <w:lvlJc w:val="left"/>
      <w:pPr>
        <w:tabs>
          <w:tab w:val="left" w:pos="360"/>
        </w:tabs>
        <w:ind w:left="360" w:hanging="360"/>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cs="Times New Roman"/>
      </w:rPr>
    </w:lvl>
    <w:lvl w:ilvl="4" w:tentative="0">
      <w:start w:val="1"/>
      <w:numFmt w:val="decimal"/>
      <w:pStyle w:val="603"/>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2213619F"/>
    <w:multiLevelType w:val="multilevel"/>
    <w:tmpl w:val="2213619F"/>
    <w:lvl w:ilvl="0" w:tentative="0">
      <w:start w:val="1"/>
      <w:numFmt w:val="decimal"/>
      <w:pStyle w:val="14"/>
      <w:lvlText w:val="[%1]."/>
      <w:lvlJc w:val="left"/>
      <w:pPr>
        <w:tabs>
          <w:tab w:val="left" w:pos="420"/>
        </w:tabs>
        <w:ind w:left="420" w:hanging="420"/>
      </w:pPr>
      <w:rPr>
        <w:rFonts w:hint="eastAsia" w:cs="Times New Roman"/>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19">
    <w:nsid w:val="27F10E20"/>
    <w:multiLevelType w:val="multilevel"/>
    <w:tmpl w:val="27F10E20"/>
    <w:lvl w:ilvl="0" w:tentative="0">
      <w:start w:val="1"/>
      <w:numFmt w:val="chineseCountingThousand"/>
      <w:pStyle w:val="720"/>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35B05358"/>
    <w:multiLevelType w:val="multilevel"/>
    <w:tmpl w:val="35B05358"/>
    <w:lvl w:ilvl="0" w:tentative="0">
      <w:start w:val="1"/>
      <w:numFmt w:val="bullet"/>
      <w:pStyle w:val="23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1">
    <w:nsid w:val="36E406B1"/>
    <w:multiLevelType w:val="multilevel"/>
    <w:tmpl w:val="36E406B1"/>
    <w:lvl w:ilvl="0" w:tentative="0">
      <w:start w:val="1"/>
      <w:numFmt w:val="bullet"/>
      <w:pStyle w:val="69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8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37957695"/>
    <w:multiLevelType w:val="singleLevel"/>
    <w:tmpl w:val="37957695"/>
    <w:lvl w:ilvl="0" w:tentative="0">
      <w:start w:val="1"/>
      <w:numFmt w:val="decimal"/>
      <w:suff w:val="nothing"/>
      <w:lvlText w:val="（%1）"/>
      <w:lvlJc w:val="left"/>
    </w:lvl>
  </w:abstractNum>
  <w:abstractNum w:abstractNumId="23">
    <w:nsid w:val="3A3A027A"/>
    <w:multiLevelType w:val="multilevel"/>
    <w:tmpl w:val="3A3A027A"/>
    <w:lvl w:ilvl="0" w:tentative="0">
      <w:start w:val="1"/>
      <w:numFmt w:val="decimal"/>
      <w:lvlText w:val="%1"/>
      <w:lvlJc w:val="left"/>
      <w:pPr>
        <w:tabs>
          <w:tab w:val="left" w:pos="0"/>
        </w:tabs>
        <w:ind w:hanging="425"/>
      </w:pPr>
      <w:rPr>
        <w:rFonts w:hint="eastAsia" w:cs="Times New Roman"/>
      </w:rPr>
    </w:lvl>
    <w:lvl w:ilvl="1" w:tentative="0">
      <w:start w:val="1"/>
      <w:numFmt w:val="decimal"/>
      <w:pStyle w:val="599"/>
      <w:lvlText w:val="%1.%2"/>
      <w:lvlJc w:val="left"/>
      <w:pPr>
        <w:tabs>
          <w:tab w:val="left" w:pos="567"/>
        </w:tabs>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1931"/>
        </w:tabs>
        <w:ind w:left="1559" w:hanging="708"/>
      </w:pPr>
      <w:rPr>
        <w:rFonts w:hint="eastAsia" w:cs="Times New Roman"/>
      </w:rPr>
    </w:lvl>
    <w:lvl w:ilvl="4" w:tentative="0">
      <w:start w:val="1"/>
      <w:numFmt w:val="decimal"/>
      <w:lvlText w:val="%1.%2.%3.%4.%5"/>
      <w:lvlJc w:val="left"/>
      <w:pPr>
        <w:tabs>
          <w:tab w:val="left" w:pos="2356"/>
        </w:tabs>
        <w:ind w:left="2126" w:hanging="850"/>
      </w:pPr>
      <w:rPr>
        <w:rFonts w:hint="eastAsia" w:cs="Times New Roman"/>
      </w:rPr>
    </w:lvl>
    <w:lvl w:ilvl="5" w:tentative="0">
      <w:start w:val="1"/>
      <w:numFmt w:val="decimal"/>
      <w:lvlText w:val="%1.%2.%3.%4.%5.%6"/>
      <w:lvlJc w:val="left"/>
      <w:pPr>
        <w:tabs>
          <w:tab w:val="left" w:pos="3141"/>
        </w:tabs>
        <w:ind w:left="2835" w:hanging="1134"/>
      </w:pPr>
      <w:rPr>
        <w:rFonts w:hint="eastAsia" w:cs="Times New Roman"/>
      </w:rPr>
    </w:lvl>
    <w:lvl w:ilvl="6" w:tentative="0">
      <w:start w:val="1"/>
      <w:numFmt w:val="decimal"/>
      <w:lvlText w:val="%1.%2.%3.%4.%5.%6.%7"/>
      <w:lvlJc w:val="left"/>
      <w:pPr>
        <w:tabs>
          <w:tab w:val="left" w:pos="3566"/>
        </w:tabs>
        <w:ind w:left="3402" w:hanging="1276"/>
      </w:pPr>
      <w:rPr>
        <w:rFonts w:hint="eastAsia" w:cs="Times New Roman"/>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4">
    <w:nsid w:val="3CFD7D5B"/>
    <w:multiLevelType w:val="multilevel"/>
    <w:tmpl w:val="3CFD7D5B"/>
    <w:lvl w:ilvl="0" w:tentative="0">
      <w:start w:val="1"/>
      <w:numFmt w:val="chineseCountingThousand"/>
      <w:pStyle w:val="280"/>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5">
    <w:nsid w:val="3E1A3692"/>
    <w:multiLevelType w:val="multilevel"/>
    <w:tmpl w:val="3E1A3692"/>
    <w:lvl w:ilvl="0" w:tentative="0">
      <w:start w:val="1"/>
      <w:numFmt w:val="chineseCountingThousand"/>
      <w:pStyle w:val="467"/>
      <w:suff w:val="space"/>
      <w:lvlText w:val="%1."/>
      <w:lvlJc w:val="left"/>
      <w:rPr>
        <w:rFonts w:hint="eastAsia" w:cs="Times New Roman"/>
      </w:rPr>
    </w:lvl>
    <w:lvl w:ilvl="1" w:tentative="0">
      <w:start w:val="1"/>
      <w:numFmt w:val="chineseCountingThousand"/>
      <w:pStyle w:val="422"/>
      <w:suff w:val="space"/>
      <w:lvlText w:val="(%2)"/>
      <w:lvlJc w:val="left"/>
      <w:rPr>
        <w:rFonts w:hint="eastAsia" w:cs="Times New Roman"/>
      </w:rPr>
    </w:lvl>
    <w:lvl w:ilvl="2" w:tentative="0">
      <w:start w:val="1"/>
      <w:numFmt w:val="decimal"/>
      <w:pStyle w:val="524"/>
      <w:suff w:val="space"/>
      <w:lvlText w:val="%3."/>
      <w:lvlJc w:val="left"/>
      <w:pPr>
        <w:ind w:firstLine="284"/>
      </w:pPr>
      <w:rPr>
        <w:rFonts w:hint="eastAsia" w:cs="Times New Roman"/>
      </w:rPr>
    </w:lvl>
    <w:lvl w:ilvl="3" w:tentative="0">
      <w:start w:val="1"/>
      <w:numFmt w:val="decimal"/>
      <w:pStyle w:val="586"/>
      <w:suff w:val="space"/>
      <w:lvlText w:val="(%4)"/>
      <w:lvlJc w:val="left"/>
      <w:pPr>
        <w:ind w:firstLine="284"/>
      </w:pPr>
      <w:rPr>
        <w:rFonts w:hint="eastAsia" w:cs="Times New Roman"/>
      </w:rPr>
    </w:lvl>
    <w:lvl w:ilvl="4" w:tentative="0">
      <w:start w:val="1"/>
      <w:numFmt w:val="decimal"/>
      <w:pStyle w:val="423"/>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6">
    <w:nsid w:val="4AF31D51"/>
    <w:multiLevelType w:val="multilevel"/>
    <w:tmpl w:val="4AF31D51"/>
    <w:lvl w:ilvl="0" w:tentative="0">
      <w:start w:val="1"/>
      <w:numFmt w:val="bullet"/>
      <w:pStyle w:val="55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7">
    <w:nsid w:val="4B9D13A2"/>
    <w:multiLevelType w:val="multilevel"/>
    <w:tmpl w:val="4B9D13A2"/>
    <w:lvl w:ilvl="0" w:tentative="0">
      <w:start w:val="1"/>
      <w:numFmt w:val="bullet"/>
      <w:pStyle w:val="66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4E7107F0"/>
    <w:multiLevelType w:val="multilevel"/>
    <w:tmpl w:val="4E7107F0"/>
    <w:lvl w:ilvl="0" w:tentative="0">
      <w:start w:val="1"/>
      <w:numFmt w:val="bullet"/>
      <w:pStyle w:val="28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pPr>
      <w:rPr>
        <w:rFonts w:hint="eastAsia" w:cs="Times New Roman"/>
      </w:rPr>
    </w:lvl>
    <w:lvl w:ilvl="2" w:tentative="0">
      <w:start w:val="1"/>
      <w:numFmt w:val="decimal"/>
      <w:suff w:val="nothing"/>
      <w:lvlText w:val="%1.%2.%3 "/>
      <w:lvlJc w:val="left"/>
      <w:pPr>
        <w:ind w:left="420"/>
      </w:pPr>
      <w:rPr>
        <w:rFonts w:hint="eastAsia" w:cs="Times New Roman"/>
      </w:rPr>
    </w:lvl>
    <w:lvl w:ilvl="3" w:tentative="0">
      <w:start w:val="1"/>
      <w:numFmt w:val="decimal"/>
      <w:suff w:val="nothing"/>
      <w:lvlText w:val="%1.%2.%3.%4 "/>
      <w:lvlJc w:val="left"/>
      <w:pPr>
        <w:ind w:left="420"/>
      </w:pPr>
      <w:rPr>
        <w:rFonts w:hint="eastAsia" w:cs="Times New Roman"/>
      </w:rPr>
    </w:lvl>
    <w:lvl w:ilvl="4" w:tentative="0">
      <w:start w:val="1"/>
      <w:numFmt w:val="decimal"/>
      <w:suff w:val="nothing"/>
      <w:lvlText w:val="%1.%2.%3.%4.%5 "/>
      <w:lvlJc w:val="left"/>
      <w:pPr>
        <w:ind w:left="420"/>
      </w:pPr>
      <w:rPr>
        <w:rFonts w:hint="eastAsia" w:cs="Times New Roman"/>
      </w:rPr>
    </w:lvl>
    <w:lvl w:ilvl="5" w:tentative="0">
      <w:start w:val="1"/>
      <w:numFmt w:val="decimal"/>
      <w:suff w:val="nothing"/>
      <w:lvlText w:val="%1.%2.%3.%4.%5.%6 "/>
      <w:lvlJc w:val="left"/>
      <w:pPr>
        <w:ind w:left="420"/>
      </w:pPr>
      <w:rPr>
        <w:rFonts w:hint="eastAsia" w:cs="Times New Roman"/>
      </w:rPr>
    </w:lvl>
    <w:lvl w:ilvl="6" w:tentative="0">
      <w:start w:val="1"/>
      <w:numFmt w:val="decimal"/>
      <w:suff w:val="nothing"/>
      <w:lvlText w:val="%7."/>
      <w:lvlJc w:val="left"/>
      <w:pPr>
        <w:ind w:left="420"/>
      </w:pPr>
      <w:rPr>
        <w:rFonts w:hint="eastAsia" w:cs="Times New Roman"/>
      </w:rPr>
    </w:lvl>
    <w:lvl w:ilvl="7" w:tentative="0">
      <w:start w:val="1"/>
      <w:numFmt w:val="none"/>
      <w:suff w:val="nothing"/>
      <w:lvlText w:val=""/>
      <w:lvlJc w:val="left"/>
      <w:pPr>
        <w:ind w:left="420"/>
      </w:pPr>
      <w:rPr>
        <w:rFonts w:hint="eastAsia" w:cs="Times New Roman"/>
      </w:rPr>
    </w:lvl>
    <w:lvl w:ilvl="8" w:tentative="0">
      <w:start w:val="1"/>
      <w:numFmt w:val="none"/>
      <w:suff w:val="nothing"/>
      <w:lvlText w:val=""/>
      <w:lvlJc w:val="left"/>
      <w:pPr>
        <w:ind w:left="420"/>
      </w:pPr>
      <w:rPr>
        <w:rFonts w:hint="eastAsia" w:cs="Times New Roman"/>
      </w:rPr>
    </w:lvl>
  </w:abstractNum>
  <w:abstractNum w:abstractNumId="29">
    <w:nsid w:val="54267737"/>
    <w:multiLevelType w:val="multilevel"/>
    <w:tmpl w:val="54267737"/>
    <w:lvl w:ilvl="0" w:tentative="0">
      <w:start w:val="1"/>
      <w:numFmt w:val="bullet"/>
      <w:pStyle w:val="502"/>
      <w:lvlText w:val=""/>
      <w:lvlJc w:val="left"/>
      <w:pPr>
        <w:tabs>
          <w:tab w:val="left" w:pos="397"/>
        </w:tabs>
        <w:ind w:left="397" w:hanging="397"/>
      </w:pPr>
      <w:rPr>
        <w:rFonts w:hint="default" w:ascii="Wingdings" w:hAnsi="Wingdings"/>
        <w:sz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30">
    <w:nsid w:val="56C87F2F"/>
    <w:multiLevelType w:val="multilevel"/>
    <w:tmpl w:val="56C87F2F"/>
    <w:lvl w:ilvl="0" w:tentative="0">
      <w:start w:val="1"/>
      <w:numFmt w:val="decimal"/>
      <w:lvlText w:val="第 %1 部分."/>
      <w:lvlJc w:val="left"/>
      <w:pPr>
        <w:ind w:left="425" w:hanging="425"/>
      </w:pPr>
      <w:rPr>
        <w:rFonts w:hint="eastAsia"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pStyle w:val="809"/>
      <w:lvlText w:val="%1.%2.%3.%4.%5"/>
      <w:lvlJc w:val="left"/>
      <w:pPr>
        <w:ind w:left="1984" w:hanging="850"/>
      </w:pPr>
      <w:rPr>
        <w:rFonts w:cs="Times New Roman"/>
      </w:rPr>
    </w:lvl>
    <w:lvl w:ilvl="5" w:tentative="0">
      <w:start w:val="1"/>
      <w:numFmt w:val="decimal"/>
      <w:lvlText w:val="%1.%2.%3.%4.%5.%6"/>
      <w:lvlJc w:val="left"/>
      <w:pPr>
        <w:ind w:left="2694"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31">
    <w:nsid w:val="58E8074C"/>
    <w:multiLevelType w:val="multilevel"/>
    <w:tmpl w:val="58E8074C"/>
    <w:lvl w:ilvl="0" w:tentative="0">
      <w:start w:val="1"/>
      <w:numFmt w:val="decimal"/>
      <w:pStyle w:val="70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2">
    <w:nsid w:val="67403E98"/>
    <w:multiLevelType w:val="singleLevel"/>
    <w:tmpl w:val="67403E98"/>
    <w:lvl w:ilvl="0" w:tentative="0">
      <w:start w:val="1"/>
      <w:numFmt w:val="bullet"/>
      <w:pStyle w:val="759"/>
      <w:lvlText w:val=""/>
      <w:lvlJc w:val="left"/>
      <w:pPr>
        <w:tabs>
          <w:tab w:val="left" w:pos="360"/>
        </w:tabs>
        <w:ind w:left="360" w:hanging="360"/>
      </w:pPr>
      <w:rPr>
        <w:rFonts w:hint="default" w:ascii="Symbol" w:hAnsi="Symbol"/>
      </w:rPr>
    </w:lvl>
  </w:abstractNum>
  <w:abstractNum w:abstractNumId="33">
    <w:nsid w:val="698619EB"/>
    <w:multiLevelType w:val="multilevel"/>
    <w:tmpl w:val="698619EB"/>
    <w:lvl w:ilvl="0" w:tentative="0">
      <w:start w:val="1"/>
      <w:numFmt w:val="decimal"/>
      <w:pStyle w:val="371"/>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76D52E27"/>
    <w:multiLevelType w:val="multilevel"/>
    <w:tmpl w:val="76D52E27"/>
    <w:lvl w:ilvl="0" w:tentative="0">
      <w:start w:val="1"/>
      <w:numFmt w:val="bullet"/>
      <w:pStyle w:val="43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5">
    <w:nsid w:val="7755585C"/>
    <w:multiLevelType w:val="multilevel"/>
    <w:tmpl w:val="7755585C"/>
    <w:lvl w:ilvl="0" w:tentative="0">
      <w:start w:val="1"/>
      <w:numFmt w:val="bullet"/>
      <w:pStyle w:val="137"/>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8"/>
  </w:num>
  <w:num w:numId="2">
    <w:abstractNumId w:val="5"/>
  </w:num>
  <w:num w:numId="3">
    <w:abstractNumId w:val="6"/>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5"/>
  </w:num>
  <w:num w:numId="8">
    <w:abstractNumId w:val="14"/>
  </w:num>
  <w:num w:numId="9">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8"/>
  </w:num>
  <w:num w:numId="12">
    <w:abstractNumId w:val="33"/>
    <w:lvlOverride w:ilvl="0">
      <w:startOverride w:val="1"/>
    </w:lvlOverride>
  </w:num>
  <w:num w:numId="13">
    <w:abstractNumId w:val="11"/>
  </w:num>
  <w:num w:numId="14">
    <w:abstractNumId w:val="25"/>
  </w:num>
  <w:num w:numId="15">
    <w:abstractNumId w:val="34"/>
  </w:num>
  <w:num w:numId="16">
    <w:abstractNumId w:val="29"/>
  </w:num>
  <w:num w:numId="17">
    <w:abstractNumId w:val="10"/>
  </w:num>
  <w:num w:numId="18">
    <w:abstractNumId w:val="12"/>
  </w:num>
  <w:num w:numId="19">
    <w:abstractNumId w:val="26"/>
  </w:num>
  <w:num w:numId="20">
    <w:abstractNumId w:val="23"/>
  </w:num>
  <w:num w:numId="21">
    <w:abstractNumId w:val="17"/>
  </w:num>
  <w:num w:numId="22">
    <w:abstractNumId w:val="13"/>
  </w:num>
  <w:num w:numId="23">
    <w:abstractNumId w:val="27"/>
  </w:num>
  <w:num w:numId="24">
    <w:abstractNumId w:val="9"/>
  </w:num>
  <w:num w:numId="25">
    <w:abstractNumId w:val="31"/>
  </w:num>
  <w:num w:numId="26">
    <w:abstractNumId w:val="19"/>
  </w:num>
  <w:num w:numId="27">
    <w:abstractNumId w:val="32"/>
  </w:num>
  <w:num w:numId="28">
    <w:abstractNumId w:val="16"/>
  </w:num>
  <w:num w:numId="29">
    <w:abstractNumId w:val="30"/>
  </w:num>
  <w:num w:numId="30">
    <w:abstractNumId w:val="4"/>
  </w:num>
  <w:num w:numId="31">
    <w:abstractNumId w:val="22"/>
  </w:num>
  <w:num w:numId="32">
    <w:abstractNumId w:val="8"/>
  </w:num>
  <w:num w:numId="33">
    <w:abstractNumId w:val="0"/>
  </w:num>
  <w:num w:numId="34">
    <w:abstractNumId w:val="2"/>
  </w:num>
  <w:num w:numId="35">
    <w:abstractNumId w:val="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formatting="1" w:enforcement="0"/>
  <w:defaultTabStop w:val="420"/>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GU5MzdjY2Q0ZDIzYTQ1MTk1Mzk1MDZlMTc5ZjUifQ=="/>
  </w:docVars>
  <w:rsids>
    <w:rsidRoot w:val="002C6521"/>
    <w:rsid w:val="00001FDE"/>
    <w:rsid w:val="00002CA9"/>
    <w:rsid w:val="00003BAC"/>
    <w:rsid w:val="00003CB6"/>
    <w:rsid w:val="000041A5"/>
    <w:rsid w:val="000043A0"/>
    <w:rsid w:val="000048A6"/>
    <w:rsid w:val="00005111"/>
    <w:rsid w:val="000056B4"/>
    <w:rsid w:val="0000579D"/>
    <w:rsid w:val="000058C6"/>
    <w:rsid w:val="0000599E"/>
    <w:rsid w:val="00006304"/>
    <w:rsid w:val="00006B8D"/>
    <w:rsid w:val="00006E95"/>
    <w:rsid w:val="00007144"/>
    <w:rsid w:val="00007584"/>
    <w:rsid w:val="000077D6"/>
    <w:rsid w:val="00010142"/>
    <w:rsid w:val="000105B0"/>
    <w:rsid w:val="0001088A"/>
    <w:rsid w:val="000115D5"/>
    <w:rsid w:val="00012105"/>
    <w:rsid w:val="000130E4"/>
    <w:rsid w:val="00013556"/>
    <w:rsid w:val="00013974"/>
    <w:rsid w:val="00014E09"/>
    <w:rsid w:val="0001547E"/>
    <w:rsid w:val="00015F97"/>
    <w:rsid w:val="0001731A"/>
    <w:rsid w:val="000175E0"/>
    <w:rsid w:val="00017888"/>
    <w:rsid w:val="00017AD3"/>
    <w:rsid w:val="00017E56"/>
    <w:rsid w:val="00020A64"/>
    <w:rsid w:val="00020ABB"/>
    <w:rsid w:val="0002181D"/>
    <w:rsid w:val="00021F7A"/>
    <w:rsid w:val="00022998"/>
    <w:rsid w:val="00024EF6"/>
    <w:rsid w:val="0002527D"/>
    <w:rsid w:val="0002531C"/>
    <w:rsid w:val="00025B40"/>
    <w:rsid w:val="00026BB8"/>
    <w:rsid w:val="00027712"/>
    <w:rsid w:val="00030445"/>
    <w:rsid w:val="00030E5A"/>
    <w:rsid w:val="000310B8"/>
    <w:rsid w:val="000310CF"/>
    <w:rsid w:val="0003142A"/>
    <w:rsid w:val="0003187B"/>
    <w:rsid w:val="00031E05"/>
    <w:rsid w:val="00031E13"/>
    <w:rsid w:val="000327A0"/>
    <w:rsid w:val="00032C15"/>
    <w:rsid w:val="0003349B"/>
    <w:rsid w:val="00035548"/>
    <w:rsid w:val="000360CB"/>
    <w:rsid w:val="000370D2"/>
    <w:rsid w:val="00037CA1"/>
    <w:rsid w:val="000400B9"/>
    <w:rsid w:val="00040625"/>
    <w:rsid w:val="000409F9"/>
    <w:rsid w:val="00040A06"/>
    <w:rsid w:val="00040A15"/>
    <w:rsid w:val="000416F4"/>
    <w:rsid w:val="00041D87"/>
    <w:rsid w:val="000427DA"/>
    <w:rsid w:val="000432B8"/>
    <w:rsid w:val="000438C0"/>
    <w:rsid w:val="00044B25"/>
    <w:rsid w:val="0004592C"/>
    <w:rsid w:val="00045C8E"/>
    <w:rsid w:val="00045CF0"/>
    <w:rsid w:val="00045F70"/>
    <w:rsid w:val="00047516"/>
    <w:rsid w:val="00047A43"/>
    <w:rsid w:val="00050FE6"/>
    <w:rsid w:val="00051D87"/>
    <w:rsid w:val="00053306"/>
    <w:rsid w:val="00055310"/>
    <w:rsid w:val="00055AFD"/>
    <w:rsid w:val="000562B5"/>
    <w:rsid w:val="00056351"/>
    <w:rsid w:val="000568E8"/>
    <w:rsid w:val="00056D53"/>
    <w:rsid w:val="000570F0"/>
    <w:rsid w:val="00057CB0"/>
    <w:rsid w:val="00057EC8"/>
    <w:rsid w:val="00057FA9"/>
    <w:rsid w:val="000608C7"/>
    <w:rsid w:val="000612B2"/>
    <w:rsid w:val="000617F4"/>
    <w:rsid w:val="00062AD3"/>
    <w:rsid w:val="00062E3B"/>
    <w:rsid w:val="00063425"/>
    <w:rsid w:val="000648F5"/>
    <w:rsid w:val="00064C30"/>
    <w:rsid w:val="00065283"/>
    <w:rsid w:val="00066A9B"/>
    <w:rsid w:val="00066C4B"/>
    <w:rsid w:val="00066D1E"/>
    <w:rsid w:val="00066E10"/>
    <w:rsid w:val="000670A4"/>
    <w:rsid w:val="000672A6"/>
    <w:rsid w:val="000677D2"/>
    <w:rsid w:val="000709DF"/>
    <w:rsid w:val="00070F6F"/>
    <w:rsid w:val="0007122C"/>
    <w:rsid w:val="0007246F"/>
    <w:rsid w:val="000727E4"/>
    <w:rsid w:val="0007327F"/>
    <w:rsid w:val="00073E2D"/>
    <w:rsid w:val="00074D6C"/>
    <w:rsid w:val="00074D7D"/>
    <w:rsid w:val="00075898"/>
    <w:rsid w:val="00076B23"/>
    <w:rsid w:val="00081707"/>
    <w:rsid w:val="00081EF1"/>
    <w:rsid w:val="0008225D"/>
    <w:rsid w:val="00082302"/>
    <w:rsid w:val="00083498"/>
    <w:rsid w:val="000840FD"/>
    <w:rsid w:val="00085E7F"/>
    <w:rsid w:val="00086506"/>
    <w:rsid w:val="00086D59"/>
    <w:rsid w:val="000870F4"/>
    <w:rsid w:val="000871B0"/>
    <w:rsid w:val="00087397"/>
    <w:rsid w:val="000873C5"/>
    <w:rsid w:val="0008758F"/>
    <w:rsid w:val="00087BCE"/>
    <w:rsid w:val="00087DEA"/>
    <w:rsid w:val="00087F46"/>
    <w:rsid w:val="00087F82"/>
    <w:rsid w:val="00090D30"/>
    <w:rsid w:val="000910E0"/>
    <w:rsid w:val="00091FB1"/>
    <w:rsid w:val="00092C93"/>
    <w:rsid w:val="0009302B"/>
    <w:rsid w:val="000939A8"/>
    <w:rsid w:val="00093D08"/>
    <w:rsid w:val="00094432"/>
    <w:rsid w:val="000948A2"/>
    <w:rsid w:val="00096032"/>
    <w:rsid w:val="0009690B"/>
    <w:rsid w:val="000969BA"/>
    <w:rsid w:val="00096D33"/>
    <w:rsid w:val="0009740B"/>
    <w:rsid w:val="00097C55"/>
    <w:rsid w:val="00097E0A"/>
    <w:rsid w:val="000A0118"/>
    <w:rsid w:val="000A0491"/>
    <w:rsid w:val="000A055F"/>
    <w:rsid w:val="000A059A"/>
    <w:rsid w:val="000A0B68"/>
    <w:rsid w:val="000A0BB6"/>
    <w:rsid w:val="000A1704"/>
    <w:rsid w:val="000A24F5"/>
    <w:rsid w:val="000A25B7"/>
    <w:rsid w:val="000A3641"/>
    <w:rsid w:val="000A4AC4"/>
    <w:rsid w:val="000A57B4"/>
    <w:rsid w:val="000A597F"/>
    <w:rsid w:val="000A5E53"/>
    <w:rsid w:val="000A640C"/>
    <w:rsid w:val="000A75AB"/>
    <w:rsid w:val="000A7C90"/>
    <w:rsid w:val="000B04E9"/>
    <w:rsid w:val="000B0892"/>
    <w:rsid w:val="000B09FF"/>
    <w:rsid w:val="000B0CFD"/>
    <w:rsid w:val="000B1B34"/>
    <w:rsid w:val="000B2C22"/>
    <w:rsid w:val="000B3279"/>
    <w:rsid w:val="000B43C5"/>
    <w:rsid w:val="000B453A"/>
    <w:rsid w:val="000B4B19"/>
    <w:rsid w:val="000B4B8C"/>
    <w:rsid w:val="000B4CB8"/>
    <w:rsid w:val="000B7579"/>
    <w:rsid w:val="000C02D9"/>
    <w:rsid w:val="000C2E25"/>
    <w:rsid w:val="000C2EF8"/>
    <w:rsid w:val="000C43C4"/>
    <w:rsid w:val="000C43CF"/>
    <w:rsid w:val="000C4621"/>
    <w:rsid w:val="000C6043"/>
    <w:rsid w:val="000C635E"/>
    <w:rsid w:val="000C6CBC"/>
    <w:rsid w:val="000C7E11"/>
    <w:rsid w:val="000D01B2"/>
    <w:rsid w:val="000D03EC"/>
    <w:rsid w:val="000D0925"/>
    <w:rsid w:val="000D251B"/>
    <w:rsid w:val="000D28D8"/>
    <w:rsid w:val="000D2A75"/>
    <w:rsid w:val="000D2F4B"/>
    <w:rsid w:val="000D348F"/>
    <w:rsid w:val="000D3F8A"/>
    <w:rsid w:val="000D3FD1"/>
    <w:rsid w:val="000D48F1"/>
    <w:rsid w:val="000D5B04"/>
    <w:rsid w:val="000D6D88"/>
    <w:rsid w:val="000D6E97"/>
    <w:rsid w:val="000D6ED3"/>
    <w:rsid w:val="000E0B47"/>
    <w:rsid w:val="000E0C9E"/>
    <w:rsid w:val="000E13AB"/>
    <w:rsid w:val="000E1EF6"/>
    <w:rsid w:val="000E2E68"/>
    <w:rsid w:val="000E4C14"/>
    <w:rsid w:val="000E5F53"/>
    <w:rsid w:val="000E5F93"/>
    <w:rsid w:val="000E705A"/>
    <w:rsid w:val="000E706D"/>
    <w:rsid w:val="000E79FE"/>
    <w:rsid w:val="000F08D2"/>
    <w:rsid w:val="000F0FAC"/>
    <w:rsid w:val="000F126F"/>
    <w:rsid w:val="000F170C"/>
    <w:rsid w:val="000F2054"/>
    <w:rsid w:val="000F2CFD"/>
    <w:rsid w:val="000F33A8"/>
    <w:rsid w:val="000F4E84"/>
    <w:rsid w:val="000F5946"/>
    <w:rsid w:val="000F6CB5"/>
    <w:rsid w:val="000F718F"/>
    <w:rsid w:val="000F7308"/>
    <w:rsid w:val="00100280"/>
    <w:rsid w:val="001004A6"/>
    <w:rsid w:val="00101D91"/>
    <w:rsid w:val="00102392"/>
    <w:rsid w:val="001028C7"/>
    <w:rsid w:val="00103278"/>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6A24"/>
    <w:rsid w:val="00116DD3"/>
    <w:rsid w:val="00116FD8"/>
    <w:rsid w:val="0012057D"/>
    <w:rsid w:val="00120D8A"/>
    <w:rsid w:val="00120E41"/>
    <w:rsid w:val="0012168B"/>
    <w:rsid w:val="001216B8"/>
    <w:rsid w:val="001221CB"/>
    <w:rsid w:val="001222BE"/>
    <w:rsid w:val="001223D1"/>
    <w:rsid w:val="00122EEB"/>
    <w:rsid w:val="00122F86"/>
    <w:rsid w:val="00123102"/>
    <w:rsid w:val="00123AEB"/>
    <w:rsid w:val="00123EDD"/>
    <w:rsid w:val="001240EE"/>
    <w:rsid w:val="00124B9D"/>
    <w:rsid w:val="00125024"/>
    <w:rsid w:val="00125CFA"/>
    <w:rsid w:val="001265E9"/>
    <w:rsid w:val="00127C67"/>
    <w:rsid w:val="00130244"/>
    <w:rsid w:val="0013173E"/>
    <w:rsid w:val="0013193D"/>
    <w:rsid w:val="001328F6"/>
    <w:rsid w:val="00133D9D"/>
    <w:rsid w:val="00134D7F"/>
    <w:rsid w:val="00135C50"/>
    <w:rsid w:val="001361CC"/>
    <w:rsid w:val="00136376"/>
    <w:rsid w:val="00136A47"/>
    <w:rsid w:val="00136A5D"/>
    <w:rsid w:val="00136EF0"/>
    <w:rsid w:val="00137508"/>
    <w:rsid w:val="00137AE0"/>
    <w:rsid w:val="00137E7D"/>
    <w:rsid w:val="0014006C"/>
    <w:rsid w:val="00140483"/>
    <w:rsid w:val="001404B9"/>
    <w:rsid w:val="00140556"/>
    <w:rsid w:val="00141D14"/>
    <w:rsid w:val="00142748"/>
    <w:rsid w:val="00142BE2"/>
    <w:rsid w:val="0014355C"/>
    <w:rsid w:val="001445ED"/>
    <w:rsid w:val="0014709C"/>
    <w:rsid w:val="001473C5"/>
    <w:rsid w:val="00147A86"/>
    <w:rsid w:val="00147C64"/>
    <w:rsid w:val="00147CFC"/>
    <w:rsid w:val="00150C68"/>
    <w:rsid w:val="00150C8C"/>
    <w:rsid w:val="001515AA"/>
    <w:rsid w:val="00151EDE"/>
    <w:rsid w:val="001524F2"/>
    <w:rsid w:val="00153226"/>
    <w:rsid w:val="0015380A"/>
    <w:rsid w:val="00153989"/>
    <w:rsid w:val="00156515"/>
    <w:rsid w:val="00156A63"/>
    <w:rsid w:val="00156AC4"/>
    <w:rsid w:val="001570F3"/>
    <w:rsid w:val="001571E1"/>
    <w:rsid w:val="001572E2"/>
    <w:rsid w:val="00157456"/>
    <w:rsid w:val="001576DC"/>
    <w:rsid w:val="00157834"/>
    <w:rsid w:val="00157DD4"/>
    <w:rsid w:val="001606E6"/>
    <w:rsid w:val="001615EA"/>
    <w:rsid w:val="001615F6"/>
    <w:rsid w:val="0016169A"/>
    <w:rsid w:val="00161F6E"/>
    <w:rsid w:val="00162589"/>
    <w:rsid w:val="00162617"/>
    <w:rsid w:val="00162B1A"/>
    <w:rsid w:val="00163C9C"/>
    <w:rsid w:val="001641BF"/>
    <w:rsid w:val="00164670"/>
    <w:rsid w:val="001646CC"/>
    <w:rsid w:val="00164DED"/>
    <w:rsid w:val="00165C4E"/>
    <w:rsid w:val="00165E4F"/>
    <w:rsid w:val="00166FD2"/>
    <w:rsid w:val="00167AF8"/>
    <w:rsid w:val="001707C4"/>
    <w:rsid w:val="00170BED"/>
    <w:rsid w:val="001716E7"/>
    <w:rsid w:val="0017249C"/>
    <w:rsid w:val="001725F9"/>
    <w:rsid w:val="00173848"/>
    <w:rsid w:val="00174331"/>
    <w:rsid w:val="00175A59"/>
    <w:rsid w:val="001763F7"/>
    <w:rsid w:val="001767B2"/>
    <w:rsid w:val="00180DA8"/>
    <w:rsid w:val="00181168"/>
    <w:rsid w:val="001815C8"/>
    <w:rsid w:val="0018343B"/>
    <w:rsid w:val="001853FD"/>
    <w:rsid w:val="0018543D"/>
    <w:rsid w:val="00186A15"/>
    <w:rsid w:val="0018788F"/>
    <w:rsid w:val="0019001E"/>
    <w:rsid w:val="001907CD"/>
    <w:rsid w:val="0019115E"/>
    <w:rsid w:val="001917CB"/>
    <w:rsid w:val="00191C0A"/>
    <w:rsid w:val="00193921"/>
    <w:rsid w:val="00193D1F"/>
    <w:rsid w:val="001945E5"/>
    <w:rsid w:val="001947C4"/>
    <w:rsid w:val="00194EF6"/>
    <w:rsid w:val="00195049"/>
    <w:rsid w:val="00195553"/>
    <w:rsid w:val="0019559B"/>
    <w:rsid w:val="00195AA4"/>
    <w:rsid w:val="001963DA"/>
    <w:rsid w:val="001967F1"/>
    <w:rsid w:val="00197559"/>
    <w:rsid w:val="0019794D"/>
    <w:rsid w:val="00197C6F"/>
    <w:rsid w:val="00197E8B"/>
    <w:rsid w:val="001A066E"/>
    <w:rsid w:val="001A0FD5"/>
    <w:rsid w:val="001A1005"/>
    <w:rsid w:val="001A1932"/>
    <w:rsid w:val="001A2AFE"/>
    <w:rsid w:val="001A3611"/>
    <w:rsid w:val="001A3815"/>
    <w:rsid w:val="001A3CCF"/>
    <w:rsid w:val="001A436E"/>
    <w:rsid w:val="001A552B"/>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3D5"/>
    <w:rsid w:val="001D357A"/>
    <w:rsid w:val="001D3B25"/>
    <w:rsid w:val="001D4197"/>
    <w:rsid w:val="001D48C5"/>
    <w:rsid w:val="001D5799"/>
    <w:rsid w:val="001D61F7"/>
    <w:rsid w:val="001E0291"/>
    <w:rsid w:val="001E0682"/>
    <w:rsid w:val="001E0760"/>
    <w:rsid w:val="001E11E9"/>
    <w:rsid w:val="001E1A59"/>
    <w:rsid w:val="001E20E8"/>
    <w:rsid w:val="001E33B2"/>
    <w:rsid w:val="001E35A9"/>
    <w:rsid w:val="001E38DC"/>
    <w:rsid w:val="001E4363"/>
    <w:rsid w:val="001E4C61"/>
    <w:rsid w:val="001E53D6"/>
    <w:rsid w:val="001E6220"/>
    <w:rsid w:val="001E7169"/>
    <w:rsid w:val="001E7835"/>
    <w:rsid w:val="001E7D97"/>
    <w:rsid w:val="001F01EE"/>
    <w:rsid w:val="001F165C"/>
    <w:rsid w:val="001F176D"/>
    <w:rsid w:val="001F1D8C"/>
    <w:rsid w:val="001F2929"/>
    <w:rsid w:val="001F2B14"/>
    <w:rsid w:val="001F2B9D"/>
    <w:rsid w:val="001F3266"/>
    <w:rsid w:val="001F34EA"/>
    <w:rsid w:val="001F3C5C"/>
    <w:rsid w:val="001F3CA9"/>
    <w:rsid w:val="001F3F09"/>
    <w:rsid w:val="001F5704"/>
    <w:rsid w:val="001F5E2E"/>
    <w:rsid w:val="001F65B5"/>
    <w:rsid w:val="001F6823"/>
    <w:rsid w:val="001F6DAA"/>
    <w:rsid w:val="001F77DB"/>
    <w:rsid w:val="001F78F6"/>
    <w:rsid w:val="001F79A1"/>
    <w:rsid w:val="001F7FE9"/>
    <w:rsid w:val="0020053E"/>
    <w:rsid w:val="00200EFD"/>
    <w:rsid w:val="00201866"/>
    <w:rsid w:val="00202C7E"/>
    <w:rsid w:val="00202F7F"/>
    <w:rsid w:val="00203176"/>
    <w:rsid w:val="00203FD9"/>
    <w:rsid w:val="00205598"/>
    <w:rsid w:val="00205AB9"/>
    <w:rsid w:val="00205F87"/>
    <w:rsid w:val="00207B81"/>
    <w:rsid w:val="00207B9E"/>
    <w:rsid w:val="0021000E"/>
    <w:rsid w:val="0021052B"/>
    <w:rsid w:val="0021083F"/>
    <w:rsid w:val="0021091B"/>
    <w:rsid w:val="00210EE5"/>
    <w:rsid w:val="00210F3C"/>
    <w:rsid w:val="0021235A"/>
    <w:rsid w:val="00212768"/>
    <w:rsid w:val="002131A1"/>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EB8"/>
    <w:rsid w:val="00231E23"/>
    <w:rsid w:val="00232EF4"/>
    <w:rsid w:val="00233778"/>
    <w:rsid w:val="00235987"/>
    <w:rsid w:val="00236A14"/>
    <w:rsid w:val="002403D4"/>
    <w:rsid w:val="00240721"/>
    <w:rsid w:val="002407C0"/>
    <w:rsid w:val="0024187E"/>
    <w:rsid w:val="002419A5"/>
    <w:rsid w:val="002423E4"/>
    <w:rsid w:val="0024285B"/>
    <w:rsid w:val="00243A23"/>
    <w:rsid w:val="0024405C"/>
    <w:rsid w:val="00244595"/>
    <w:rsid w:val="0024515A"/>
    <w:rsid w:val="002454C7"/>
    <w:rsid w:val="0024557C"/>
    <w:rsid w:val="002457B4"/>
    <w:rsid w:val="002460B4"/>
    <w:rsid w:val="0025021D"/>
    <w:rsid w:val="00250B08"/>
    <w:rsid w:val="00250B43"/>
    <w:rsid w:val="0025154D"/>
    <w:rsid w:val="00251C73"/>
    <w:rsid w:val="00252D0A"/>
    <w:rsid w:val="00253D8D"/>
    <w:rsid w:val="0025412D"/>
    <w:rsid w:val="00254C94"/>
    <w:rsid w:val="00255577"/>
    <w:rsid w:val="00255EB0"/>
    <w:rsid w:val="0025605B"/>
    <w:rsid w:val="00256D72"/>
    <w:rsid w:val="00257644"/>
    <w:rsid w:val="00257E96"/>
    <w:rsid w:val="0026039C"/>
    <w:rsid w:val="00260BCC"/>
    <w:rsid w:val="00261125"/>
    <w:rsid w:val="00262715"/>
    <w:rsid w:val="002639E3"/>
    <w:rsid w:val="00263CCB"/>
    <w:rsid w:val="0026531A"/>
    <w:rsid w:val="00265481"/>
    <w:rsid w:val="002658B9"/>
    <w:rsid w:val="00265D7F"/>
    <w:rsid w:val="002667EA"/>
    <w:rsid w:val="00266DCF"/>
    <w:rsid w:val="002706E8"/>
    <w:rsid w:val="00271A75"/>
    <w:rsid w:val="002720A9"/>
    <w:rsid w:val="00272220"/>
    <w:rsid w:val="0027384E"/>
    <w:rsid w:val="00275168"/>
    <w:rsid w:val="002756EE"/>
    <w:rsid w:val="00275B09"/>
    <w:rsid w:val="00275CC1"/>
    <w:rsid w:val="00275DB6"/>
    <w:rsid w:val="0027641E"/>
    <w:rsid w:val="00277A19"/>
    <w:rsid w:val="00277E62"/>
    <w:rsid w:val="0028057D"/>
    <w:rsid w:val="0028076F"/>
    <w:rsid w:val="002814DA"/>
    <w:rsid w:val="002817AB"/>
    <w:rsid w:val="00281F8F"/>
    <w:rsid w:val="002820D9"/>
    <w:rsid w:val="00282FB7"/>
    <w:rsid w:val="002830D3"/>
    <w:rsid w:val="002843D3"/>
    <w:rsid w:val="00285389"/>
    <w:rsid w:val="002858EA"/>
    <w:rsid w:val="0028619A"/>
    <w:rsid w:val="00286308"/>
    <w:rsid w:val="0028650F"/>
    <w:rsid w:val="00286D93"/>
    <w:rsid w:val="002874A6"/>
    <w:rsid w:val="002877BD"/>
    <w:rsid w:val="00287BC6"/>
    <w:rsid w:val="00291308"/>
    <w:rsid w:val="0029240A"/>
    <w:rsid w:val="00294161"/>
    <w:rsid w:val="0029421D"/>
    <w:rsid w:val="00295BFD"/>
    <w:rsid w:val="0029620C"/>
    <w:rsid w:val="002A096D"/>
    <w:rsid w:val="002A17B6"/>
    <w:rsid w:val="002A2D5B"/>
    <w:rsid w:val="002A2FF8"/>
    <w:rsid w:val="002A5CE8"/>
    <w:rsid w:val="002A5F7B"/>
    <w:rsid w:val="002A6AF3"/>
    <w:rsid w:val="002A6F68"/>
    <w:rsid w:val="002A791F"/>
    <w:rsid w:val="002B0C26"/>
    <w:rsid w:val="002B1270"/>
    <w:rsid w:val="002B1300"/>
    <w:rsid w:val="002B1335"/>
    <w:rsid w:val="002B4672"/>
    <w:rsid w:val="002B48BF"/>
    <w:rsid w:val="002B52AD"/>
    <w:rsid w:val="002B595D"/>
    <w:rsid w:val="002B5B64"/>
    <w:rsid w:val="002B6113"/>
    <w:rsid w:val="002B62B2"/>
    <w:rsid w:val="002C1A23"/>
    <w:rsid w:val="002C1BD4"/>
    <w:rsid w:val="002C3413"/>
    <w:rsid w:val="002C34DB"/>
    <w:rsid w:val="002C3A32"/>
    <w:rsid w:val="002C3F5F"/>
    <w:rsid w:val="002C3FB8"/>
    <w:rsid w:val="002C4286"/>
    <w:rsid w:val="002C43FB"/>
    <w:rsid w:val="002C6521"/>
    <w:rsid w:val="002C7531"/>
    <w:rsid w:val="002C799A"/>
    <w:rsid w:val="002D02BF"/>
    <w:rsid w:val="002D09D8"/>
    <w:rsid w:val="002D0D97"/>
    <w:rsid w:val="002D0FFC"/>
    <w:rsid w:val="002D1274"/>
    <w:rsid w:val="002D12A3"/>
    <w:rsid w:val="002D13B2"/>
    <w:rsid w:val="002D22FD"/>
    <w:rsid w:val="002D2AB5"/>
    <w:rsid w:val="002D34F7"/>
    <w:rsid w:val="002D3B93"/>
    <w:rsid w:val="002D3FC8"/>
    <w:rsid w:val="002D49C1"/>
    <w:rsid w:val="002D4CE5"/>
    <w:rsid w:val="002D4DBE"/>
    <w:rsid w:val="002D572B"/>
    <w:rsid w:val="002D61AE"/>
    <w:rsid w:val="002D63B1"/>
    <w:rsid w:val="002D6E1E"/>
    <w:rsid w:val="002D6E28"/>
    <w:rsid w:val="002D7B66"/>
    <w:rsid w:val="002E068C"/>
    <w:rsid w:val="002E0814"/>
    <w:rsid w:val="002E10ED"/>
    <w:rsid w:val="002E1195"/>
    <w:rsid w:val="002E138B"/>
    <w:rsid w:val="002E1CEB"/>
    <w:rsid w:val="002E1EDB"/>
    <w:rsid w:val="002E2633"/>
    <w:rsid w:val="002E4A80"/>
    <w:rsid w:val="002E4E1F"/>
    <w:rsid w:val="002E4FD2"/>
    <w:rsid w:val="002E5BD1"/>
    <w:rsid w:val="002E5E97"/>
    <w:rsid w:val="002E5EF6"/>
    <w:rsid w:val="002E69F3"/>
    <w:rsid w:val="002E6B8E"/>
    <w:rsid w:val="002E7D66"/>
    <w:rsid w:val="002F05B5"/>
    <w:rsid w:val="002F0EA9"/>
    <w:rsid w:val="002F11D3"/>
    <w:rsid w:val="002F13FD"/>
    <w:rsid w:val="002F173B"/>
    <w:rsid w:val="002F1786"/>
    <w:rsid w:val="002F23BF"/>
    <w:rsid w:val="002F35D7"/>
    <w:rsid w:val="002F3D19"/>
    <w:rsid w:val="002F3F9C"/>
    <w:rsid w:val="002F4011"/>
    <w:rsid w:val="002F4627"/>
    <w:rsid w:val="002F49F1"/>
    <w:rsid w:val="002F4D7A"/>
    <w:rsid w:val="002F56CA"/>
    <w:rsid w:val="002F5993"/>
    <w:rsid w:val="002F5EF4"/>
    <w:rsid w:val="002F77E2"/>
    <w:rsid w:val="002F7FB2"/>
    <w:rsid w:val="00300492"/>
    <w:rsid w:val="0030154F"/>
    <w:rsid w:val="0030213B"/>
    <w:rsid w:val="0030250D"/>
    <w:rsid w:val="00303102"/>
    <w:rsid w:val="003039C5"/>
    <w:rsid w:val="00303F21"/>
    <w:rsid w:val="00304516"/>
    <w:rsid w:val="00304877"/>
    <w:rsid w:val="003053DB"/>
    <w:rsid w:val="00305923"/>
    <w:rsid w:val="003068EE"/>
    <w:rsid w:val="003107D0"/>
    <w:rsid w:val="0031262E"/>
    <w:rsid w:val="00312872"/>
    <w:rsid w:val="00314042"/>
    <w:rsid w:val="00314D51"/>
    <w:rsid w:val="00316DD0"/>
    <w:rsid w:val="0032062D"/>
    <w:rsid w:val="0032098C"/>
    <w:rsid w:val="00320A8B"/>
    <w:rsid w:val="00320DA3"/>
    <w:rsid w:val="0032127D"/>
    <w:rsid w:val="003214CF"/>
    <w:rsid w:val="00321780"/>
    <w:rsid w:val="003221F2"/>
    <w:rsid w:val="003232A4"/>
    <w:rsid w:val="00325443"/>
    <w:rsid w:val="00325A67"/>
    <w:rsid w:val="00326532"/>
    <w:rsid w:val="00327492"/>
    <w:rsid w:val="003278C2"/>
    <w:rsid w:val="00327A1E"/>
    <w:rsid w:val="00327FA9"/>
    <w:rsid w:val="003300FC"/>
    <w:rsid w:val="00332BCC"/>
    <w:rsid w:val="00333425"/>
    <w:rsid w:val="00333EEA"/>
    <w:rsid w:val="00333F63"/>
    <w:rsid w:val="00334730"/>
    <w:rsid w:val="00334877"/>
    <w:rsid w:val="00334980"/>
    <w:rsid w:val="00334D2C"/>
    <w:rsid w:val="00334D61"/>
    <w:rsid w:val="00335630"/>
    <w:rsid w:val="00335E9C"/>
    <w:rsid w:val="00336806"/>
    <w:rsid w:val="00337500"/>
    <w:rsid w:val="00342F4A"/>
    <w:rsid w:val="0034352E"/>
    <w:rsid w:val="00343A6B"/>
    <w:rsid w:val="00344650"/>
    <w:rsid w:val="00344AF0"/>
    <w:rsid w:val="0034529B"/>
    <w:rsid w:val="00346141"/>
    <w:rsid w:val="0034628E"/>
    <w:rsid w:val="00346452"/>
    <w:rsid w:val="003470A0"/>
    <w:rsid w:val="00350989"/>
    <w:rsid w:val="00350C11"/>
    <w:rsid w:val="0035144D"/>
    <w:rsid w:val="0035148D"/>
    <w:rsid w:val="003518B2"/>
    <w:rsid w:val="00352028"/>
    <w:rsid w:val="00352207"/>
    <w:rsid w:val="00352219"/>
    <w:rsid w:val="003524F3"/>
    <w:rsid w:val="00353D80"/>
    <w:rsid w:val="0035423E"/>
    <w:rsid w:val="0035426A"/>
    <w:rsid w:val="00354F6E"/>
    <w:rsid w:val="00355724"/>
    <w:rsid w:val="003557D5"/>
    <w:rsid w:val="0035618F"/>
    <w:rsid w:val="003567ED"/>
    <w:rsid w:val="00356E5A"/>
    <w:rsid w:val="00357103"/>
    <w:rsid w:val="00357685"/>
    <w:rsid w:val="0035792B"/>
    <w:rsid w:val="0036087D"/>
    <w:rsid w:val="00360E0A"/>
    <w:rsid w:val="00361561"/>
    <w:rsid w:val="00361D3C"/>
    <w:rsid w:val="00361DE8"/>
    <w:rsid w:val="003637D6"/>
    <w:rsid w:val="00364EED"/>
    <w:rsid w:val="003652E8"/>
    <w:rsid w:val="00365585"/>
    <w:rsid w:val="00366485"/>
    <w:rsid w:val="0036684E"/>
    <w:rsid w:val="00366EAD"/>
    <w:rsid w:val="00367367"/>
    <w:rsid w:val="003674C6"/>
    <w:rsid w:val="00370CDF"/>
    <w:rsid w:val="003712AD"/>
    <w:rsid w:val="00371CBD"/>
    <w:rsid w:val="003721D1"/>
    <w:rsid w:val="003731EA"/>
    <w:rsid w:val="00373C9A"/>
    <w:rsid w:val="00374207"/>
    <w:rsid w:val="003744F1"/>
    <w:rsid w:val="003759E3"/>
    <w:rsid w:val="00375C8E"/>
    <w:rsid w:val="00376699"/>
    <w:rsid w:val="00376DD0"/>
    <w:rsid w:val="0038038C"/>
    <w:rsid w:val="00380B6F"/>
    <w:rsid w:val="00380D97"/>
    <w:rsid w:val="00383355"/>
    <w:rsid w:val="00384283"/>
    <w:rsid w:val="00385277"/>
    <w:rsid w:val="003857F6"/>
    <w:rsid w:val="00385CBA"/>
    <w:rsid w:val="00386B2E"/>
    <w:rsid w:val="00386C8B"/>
    <w:rsid w:val="00387C4A"/>
    <w:rsid w:val="00391E35"/>
    <w:rsid w:val="00392AB5"/>
    <w:rsid w:val="00393DC4"/>
    <w:rsid w:val="00393FB0"/>
    <w:rsid w:val="0039465C"/>
    <w:rsid w:val="0039515F"/>
    <w:rsid w:val="00395D69"/>
    <w:rsid w:val="00396E0F"/>
    <w:rsid w:val="00396F86"/>
    <w:rsid w:val="00397B50"/>
    <w:rsid w:val="003A0A75"/>
    <w:rsid w:val="003A0C25"/>
    <w:rsid w:val="003A180D"/>
    <w:rsid w:val="003A1FC5"/>
    <w:rsid w:val="003A20BA"/>
    <w:rsid w:val="003A2936"/>
    <w:rsid w:val="003A2CCC"/>
    <w:rsid w:val="003A4145"/>
    <w:rsid w:val="003A4212"/>
    <w:rsid w:val="003A4525"/>
    <w:rsid w:val="003A4C7A"/>
    <w:rsid w:val="003B12E1"/>
    <w:rsid w:val="003B1473"/>
    <w:rsid w:val="003B17AA"/>
    <w:rsid w:val="003B1F50"/>
    <w:rsid w:val="003B2C3D"/>
    <w:rsid w:val="003B2D96"/>
    <w:rsid w:val="003B3133"/>
    <w:rsid w:val="003B3136"/>
    <w:rsid w:val="003B3B0E"/>
    <w:rsid w:val="003B3B39"/>
    <w:rsid w:val="003B512D"/>
    <w:rsid w:val="003B60E4"/>
    <w:rsid w:val="003B76C6"/>
    <w:rsid w:val="003C03B9"/>
    <w:rsid w:val="003C16E7"/>
    <w:rsid w:val="003C172B"/>
    <w:rsid w:val="003C191C"/>
    <w:rsid w:val="003C253C"/>
    <w:rsid w:val="003C316C"/>
    <w:rsid w:val="003C3246"/>
    <w:rsid w:val="003C4267"/>
    <w:rsid w:val="003C44E1"/>
    <w:rsid w:val="003C5824"/>
    <w:rsid w:val="003C6389"/>
    <w:rsid w:val="003C6D11"/>
    <w:rsid w:val="003C77B0"/>
    <w:rsid w:val="003C7ABC"/>
    <w:rsid w:val="003C7C47"/>
    <w:rsid w:val="003D00A7"/>
    <w:rsid w:val="003D1B3F"/>
    <w:rsid w:val="003D2A34"/>
    <w:rsid w:val="003D2FC7"/>
    <w:rsid w:val="003D357C"/>
    <w:rsid w:val="003D3EAD"/>
    <w:rsid w:val="003D4351"/>
    <w:rsid w:val="003D4450"/>
    <w:rsid w:val="003D4758"/>
    <w:rsid w:val="003D4B81"/>
    <w:rsid w:val="003D531C"/>
    <w:rsid w:val="003D54DC"/>
    <w:rsid w:val="003D65A6"/>
    <w:rsid w:val="003D69B9"/>
    <w:rsid w:val="003D6ADA"/>
    <w:rsid w:val="003D7697"/>
    <w:rsid w:val="003E0037"/>
    <w:rsid w:val="003E0451"/>
    <w:rsid w:val="003E1456"/>
    <w:rsid w:val="003E1E12"/>
    <w:rsid w:val="003E1FCB"/>
    <w:rsid w:val="003E2D7B"/>
    <w:rsid w:val="003E3523"/>
    <w:rsid w:val="003E42DD"/>
    <w:rsid w:val="003E51C7"/>
    <w:rsid w:val="003E5322"/>
    <w:rsid w:val="003E5387"/>
    <w:rsid w:val="003E5D4A"/>
    <w:rsid w:val="003E626D"/>
    <w:rsid w:val="003E747B"/>
    <w:rsid w:val="003E7822"/>
    <w:rsid w:val="003E7D92"/>
    <w:rsid w:val="003F06CE"/>
    <w:rsid w:val="003F0A4D"/>
    <w:rsid w:val="003F0B2F"/>
    <w:rsid w:val="003F0D2C"/>
    <w:rsid w:val="003F0D84"/>
    <w:rsid w:val="003F20C7"/>
    <w:rsid w:val="003F27CA"/>
    <w:rsid w:val="003F3377"/>
    <w:rsid w:val="003F39FE"/>
    <w:rsid w:val="003F3A62"/>
    <w:rsid w:val="003F3ABE"/>
    <w:rsid w:val="003F4A13"/>
    <w:rsid w:val="003F4C74"/>
    <w:rsid w:val="003F4D20"/>
    <w:rsid w:val="003F5E2E"/>
    <w:rsid w:val="003F6649"/>
    <w:rsid w:val="003F6E5B"/>
    <w:rsid w:val="003F6F94"/>
    <w:rsid w:val="003F75B1"/>
    <w:rsid w:val="003F7731"/>
    <w:rsid w:val="003F7C40"/>
    <w:rsid w:val="00400541"/>
    <w:rsid w:val="0040087B"/>
    <w:rsid w:val="00400FEF"/>
    <w:rsid w:val="0040132A"/>
    <w:rsid w:val="00401704"/>
    <w:rsid w:val="00401823"/>
    <w:rsid w:val="0040245D"/>
    <w:rsid w:val="00402F41"/>
    <w:rsid w:val="00403065"/>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17EF4"/>
    <w:rsid w:val="00422C2D"/>
    <w:rsid w:val="00422EA3"/>
    <w:rsid w:val="00423869"/>
    <w:rsid w:val="00424231"/>
    <w:rsid w:val="004245AB"/>
    <w:rsid w:val="00424AA9"/>
    <w:rsid w:val="00425CFC"/>
    <w:rsid w:val="004261F4"/>
    <w:rsid w:val="00426A09"/>
    <w:rsid w:val="00427A57"/>
    <w:rsid w:val="00427CCA"/>
    <w:rsid w:val="00430081"/>
    <w:rsid w:val="00430A86"/>
    <w:rsid w:val="004313EF"/>
    <w:rsid w:val="00431687"/>
    <w:rsid w:val="0043278B"/>
    <w:rsid w:val="004337B5"/>
    <w:rsid w:val="00433CCC"/>
    <w:rsid w:val="004340EE"/>
    <w:rsid w:val="00434C2B"/>
    <w:rsid w:val="00435B88"/>
    <w:rsid w:val="00436F07"/>
    <w:rsid w:val="00437959"/>
    <w:rsid w:val="004402C6"/>
    <w:rsid w:val="00440EB7"/>
    <w:rsid w:val="0044123F"/>
    <w:rsid w:val="00441BC2"/>
    <w:rsid w:val="00441C86"/>
    <w:rsid w:val="00442CEA"/>
    <w:rsid w:val="00443372"/>
    <w:rsid w:val="004436EC"/>
    <w:rsid w:val="0044434F"/>
    <w:rsid w:val="00444B78"/>
    <w:rsid w:val="00444F5E"/>
    <w:rsid w:val="00445FD3"/>
    <w:rsid w:val="00446634"/>
    <w:rsid w:val="00446BF5"/>
    <w:rsid w:val="00446EF5"/>
    <w:rsid w:val="00450309"/>
    <w:rsid w:val="004511AF"/>
    <w:rsid w:val="0045193A"/>
    <w:rsid w:val="00451B82"/>
    <w:rsid w:val="00451F45"/>
    <w:rsid w:val="00452A3E"/>
    <w:rsid w:val="00452CA2"/>
    <w:rsid w:val="00452CBF"/>
    <w:rsid w:val="004555C8"/>
    <w:rsid w:val="00456823"/>
    <w:rsid w:val="004569E1"/>
    <w:rsid w:val="00457742"/>
    <w:rsid w:val="00457F89"/>
    <w:rsid w:val="00460327"/>
    <w:rsid w:val="00461725"/>
    <w:rsid w:val="00462A53"/>
    <w:rsid w:val="00462EA7"/>
    <w:rsid w:val="00463979"/>
    <w:rsid w:val="00464C89"/>
    <w:rsid w:val="004650EB"/>
    <w:rsid w:val="00465378"/>
    <w:rsid w:val="00465636"/>
    <w:rsid w:val="00467D92"/>
    <w:rsid w:val="00467DA3"/>
    <w:rsid w:val="004726A6"/>
    <w:rsid w:val="004734AF"/>
    <w:rsid w:val="0047364D"/>
    <w:rsid w:val="004736C9"/>
    <w:rsid w:val="00473D30"/>
    <w:rsid w:val="004744EE"/>
    <w:rsid w:val="00475D40"/>
    <w:rsid w:val="0047750C"/>
    <w:rsid w:val="004779AC"/>
    <w:rsid w:val="00480151"/>
    <w:rsid w:val="0048107B"/>
    <w:rsid w:val="004811F8"/>
    <w:rsid w:val="00481606"/>
    <w:rsid w:val="004819DB"/>
    <w:rsid w:val="00482FDC"/>
    <w:rsid w:val="00483622"/>
    <w:rsid w:val="00483B81"/>
    <w:rsid w:val="00483F38"/>
    <w:rsid w:val="00484176"/>
    <w:rsid w:val="00484438"/>
    <w:rsid w:val="00484546"/>
    <w:rsid w:val="004847FC"/>
    <w:rsid w:val="00484F51"/>
    <w:rsid w:val="00485B1E"/>
    <w:rsid w:val="00485EE7"/>
    <w:rsid w:val="0049057C"/>
    <w:rsid w:val="00491A79"/>
    <w:rsid w:val="004926FD"/>
    <w:rsid w:val="00492B65"/>
    <w:rsid w:val="004942A4"/>
    <w:rsid w:val="004958FB"/>
    <w:rsid w:val="00495AD5"/>
    <w:rsid w:val="00497E89"/>
    <w:rsid w:val="004A0BCB"/>
    <w:rsid w:val="004A181D"/>
    <w:rsid w:val="004A244B"/>
    <w:rsid w:val="004A2D58"/>
    <w:rsid w:val="004A2F5A"/>
    <w:rsid w:val="004A42D7"/>
    <w:rsid w:val="004A4E0C"/>
    <w:rsid w:val="004A607A"/>
    <w:rsid w:val="004A61EC"/>
    <w:rsid w:val="004A68CF"/>
    <w:rsid w:val="004A7A79"/>
    <w:rsid w:val="004A7B30"/>
    <w:rsid w:val="004B01B0"/>
    <w:rsid w:val="004B19A8"/>
    <w:rsid w:val="004B2E87"/>
    <w:rsid w:val="004B3943"/>
    <w:rsid w:val="004B3A9C"/>
    <w:rsid w:val="004B4B12"/>
    <w:rsid w:val="004B4DB9"/>
    <w:rsid w:val="004B529B"/>
    <w:rsid w:val="004B5325"/>
    <w:rsid w:val="004B540A"/>
    <w:rsid w:val="004B5565"/>
    <w:rsid w:val="004B57B9"/>
    <w:rsid w:val="004B65B0"/>
    <w:rsid w:val="004C1581"/>
    <w:rsid w:val="004C1622"/>
    <w:rsid w:val="004C177B"/>
    <w:rsid w:val="004C2340"/>
    <w:rsid w:val="004C3A19"/>
    <w:rsid w:val="004C3C6F"/>
    <w:rsid w:val="004C3E0C"/>
    <w:rsid w:val="004C4C6D"/>
    <w:rsid w:val="004C50CE"/>
    <w:rsid w:val="004C55B2"/>
    <w:rsid w:val="004C57D2"/>
    <w:rsid w:val="004C74A8"/>
    <w:rsid w:val="004C7882"/>
    <w:rsid w:val="004D03D2"/>
    <w:rsid w:val="004D0577"/>
    <w:rsid w:val="004D0919"/>
    <w:rsid w:val="004D17F7"/>
    <w:rsid w:val="004D2186"/>
    <w:rsid w:val="004D2302"/>
    <w:rsid w:val="004D2621"/>
    <w:rsid w:val="004D3875"/>
    <w:rsid w:val="004D38B0"/>
    <w:rsid w:val="004D396F"/>
    <w:rsid w:val="004D3CBB"/>
    <w:rsid w:val="004D4236"/>
    <w:rsid w:val="004D4B33"/>
    <w:rsid w:val="004D50DB"/>
    <w:rsid w:val="004D586C"/>
    <w:rsid w:val="004D6919"/>
    <w:rsid w:val="004E0079"/>
    <w:rsid w:val="004E0206"/>
    <w:rsid w:val="004E04F2"/>
    <w:rsid w:val="004E114E"/>
    <w:rsid w:val="004E1F6B"/>
    <w:rsid w:val="004E344B"/>
    <w:rsid w:val="004E41C2"/>
    <w:rsid w:val="004E447F"/>
    <w:rsid w:val="004E458F"/>
    <w:rsid w:val="004E4F3A"/>
    <w:rsid w:val="004E580A"/>
    <w:rsid w:val="004E69E5"/>
    <w:rsid w:val="004E6AEB"/>
    <w:rsid w:val="004F01E2"/>
    <w:rsid w:val="004F0541"/>
    <w:rsid w:val="004F0A32"/>
    <w:rsid w:val="004F0B14"/>
    <w:rsid w:val="004F2315"/>
    <w:rsid w:val="004F2492"/>
    <w:rsid w:val="004F3026"/>
    <w:rsid w:val="004F50D5"/>
    <w:rsid w:val="004F5208"/>
    <w:rsid w:val="004F585A"/>
    <w:rsid w:val="004F5B76"/>
    <w:rsid w:val="004F67B3"/>
    <w:rsid w:val="004F74FB"/>
    <w:rsid w:val="004F7A9C"/>
    <w:rsid w:val="004F7DA6"/>
    <w:rsid w:val="005005F3"/>
    <w:rsid w:val="005024CB"/>
    <w:rsid w:val="00502D6C"/>
    <w:rsid w:val="00503337"/>
    <w:rsid w:val="005035AA"/>
    <w:rsid w:val="00503C0D"/>
    <w:rsid w:val="00503CF3"/>
    <w:rsid w:val="00504213"/>
    <w:rsid w:val="00504749"/>
    <w:rsid w:val="00504DCA"/>
    <w:rsid w:val="005052A3"/>
    <w:rsid w:val="005055DD"/>
    <w:rsid w:val="005058D4"/>
    <w:rsid w:val="00505D49"/>
    <w:rsid w:val="0050638A"/>
    <w:rsid w:val="00507059"/>
    <w:rsid w:val="005073CE"/>
    <w:rsid w:val="005109FA"/>
    <w:rsid w:val="00511811"/>
    <w:rsid w:val="00511D39"/>
    <w:rsid w:val="00512046"/>
    <w:rsid w:val="00512F04"/>
    <w:rsid w:val="00513E47"/>
    <w:rsid w:val="00514225"/>
    <w:rsid w:val="00514FD9"/>
    <w:rsid w:val="005152CA"/>
    <w:rsid w:val="005153EB"/>
    <w:rsid w:val="00515C02"/>
    <w:rsid w:val="0051641A"/>
    <w:rsid w:val="005200A3"/>
    <w:rsid w:val="005208E4"/>
    <w:rsid w:val="00520C9B"/>
    <w:rsid w:val="005218B7"/>
    <w:rsid w:val="005221F8"/>
    <w:rsid w:val="00522CBD"/>
    <w:rsid w:val="00522EAB"/>
    <w:rsid w:val="00523A02"/>
    <w:rsid w:val="00524D62"/>
    <w:rsid w:val="00524FE3"/>
    <w:rsid w:val="005267E4"/>
    <w:rsid w:val="00527A74"/>
    <w:rsid w:val="0053122D"/>
    <w:rsid w:val="005316AD"/>
    <w:rsid w:val="00531C1C"/>
    <w:rsid w:val="00532034"/>
    <w:rsid w:val="00532063"/>
    <w:rsid w:val="00532531"/>
    <w:rsid w:val="00532C75"/>
    <w:rsid w:val="0053304A"/>
    <w:rsid w:val="00533238"/>
    <w:rsid w:val="00533283"/>
    <w:rsid w:val="00533998"/>
    <w:rsid w:val="00533A2A"/>
    <w:rsid w:val="00533B97"/>
    <w:rsid w:val="00533EC0"/>
    <w:rsid w:val="00536394"/>
    <w:rsid w:val="005363B1"/>
    <w:rsid w:val="00536880"/>
    <w:rsid w:val="0053690C"/>
    <w:rsid w:val="005370D9"/>
    <w:rsid w:val="005374B7"/>
    <w:rsid w:val="00537A61"/>
    <w:rsid w:val="00537F10"/>
    <w:rsid w:val="005400D5"/>
    <w:rsid w:val="00540926"/>
    <w:rsid w:val="005411B9"/>
    <w:rsid w:val="00541E2E"/>
    <w:rsid w:val="00541FE9"/>
    <w:rsid w:val="005423F1"/>
    <w:rsid w:val="005426AA"/>
    <w:rsid w:val="00542A8C"/>
    <w:rsid w:val="00543521"/>
    <w:rsid w:val="005438C9"/>
    <w:rsid w:val="005441EA"/>
    <w:rsid w:val="00544780"/>
    <w:rsid w:val="00544996"/>
    <w:rsid w:val="00544E19"/>
    <w:rsid w:val="005456DE"/>
    <w:rsid w:val="00546753"/>
    <w:rsid w:val="00546E33"/>
    <w:rsid w:val="00547B3E"/>
    <w:rsid w:val="00547FBB"/>
    <w:rsid w:val="00550573"/>
    <w:rsid w:val="00550674"/>
    <w:rsid w:val="00550EAD"/>
    <w:rsid w:val="0055137A"/>
    <w:rsid w:val="00552481"/>
    <w:rsid w:val="00552FCB"/>
    <w:rsid w:val="00553340"/>
    <w:rsid w:val="005537C6"/>
    <w:rsid w:val="00553E8B"/>
    <w:rsid w:val="005547EC"/>
    <w:rsid w:val="00554D55"/>
    <w:rsid w:val="0055573F"/>
    <w:rsid w:val="005563C1"/>
    <w:rsid w:val="00556599"/>
    <w:rsid w:val="0055677A"/>
    <w:rsid w:val="005574FC"/>
    <w:rsid w:val="005577D8"/>
    <w:rsid w:val="0056012A"/>
    <w:rsid w:val="00561BE3"/>
    <w:rsid w:val="00561C88"/>
    <w:rsid w:val="00562AEB"/>
    <w:rsid w:val="00562FD4"/>
    <w:rsid w:val="00563753"/>
    <w:rsid w:val="005646DB"/>
    <w:rsid w:val="0056614F"/>
    <w:rsid w:val="005663CD"/>
    <w:rsid w:val="00566A91"/>
    <w:rsid w:val="0056722A"/>
    <w:rsid w:val="005673D2"/>
    <w:rsid w:val="005677E2"/>
    <w:rsid w:val="005678E7"/>
    <w:rsid w:val="00571156"/>
    <w:rsid w:val="00571CDA"/>
    <w:rsid w:val="00572288"/>
    <w:rsid w:val="00572B50"/>
    <w:rsid w:val="005734E0"/>
    <w:rsid w:val="0057410C"/>
    <w:rsid w:val="00574FC3"/>
    <w:rsid w:val="005761C9"/>
    <w:rsid w:val="00576EBD"/>
    <w:rsid w:val="0057762D"/>
    <w:rsid w:val="005779EF"/>
    <w:rsid w:val="0058027A"/>
    <w:rsid w:val="00580379"/>
    <w:rsid w:val="00580398"/>
    <w:rsid w:val="00580712"/>
    <w:rsid w:val="00580FC0"/>
    <w:rsid w:val="00581784"/>
    <w:rsid w:val="00581799"/>
    <w:rsid w:val="00581B27"/>
    <w:rsid w:val="00581F1C"/>
    <w:rsid w:val="00583CA1"/>
    <w:rsid w:val="005847B6"/>
    <w:rsid w:val="005855D1"/>
    <w:rsid w:val="0058560A"/>
    <w:rsid w:val="00585EB2"/>
    <w:rsid w:val="0058645E"/>
    <w:rsid w:val="0058666F"/>
    <w:rsid w:val="0058798D"/>
    <w:rsid w:val="00587EC0"/>
    <w:rsid w:val="0059020A"/>
    <w:rsid w:val="00591467"/>
    <w:rsid w:val="00591881"/>
    <w:rsid w:val="00593066"/>
    <w:rsid w:val="00593608"/>
    <w:rsid w:val="005947B8"/>
    <w:rsid w:val="00594C23"/>
    <w:rsid w:val="00594F03"/>
    <w:rsid w:val="00595893"/>
    <w:rsid w:val="00595D3F"/>
    <w:rsid w:val="00596488"/>
    <w:rsid w:val="00597D32"/>
    <w:rsid w:val="005A0474"/>
    <w:rsid w:val="005A39A9"/>
    <w:rsid w:val="005A4A4C"/>
    <w:rsid w:val="005A4A82"/>
    <w:rsid w:val="005A63AF"/>
    <w:rsid w:val="005A6ACE"/>
    <w:rsid w:val="005A733A"/>
    <w:rsid w:val="005A7F3F"/>
    <w:rsid w:val="005B037E"/>
    <w:rsid w:val="005B0A8B"/>
    <w:rsid w:val="005B0EB0"/>
    <w:rsid w:val="005B2471"/>
    <w:rsid w:val="005B251B"/>
    <w:rsid w:val="005B2EAB"/>
    <w:rsid w:val="005B47F7"/>
    <w:rsid w:val="005B5A12"/>
    <w:rsid w:val="005B6F1F"/>
    <w:rsid w:val="005B73A6"/>
    <w:rsid w:val="005B77DA"/>
    <w:rsid w:val="005C0780"/>
    <w:rsid w:val="005C1B8E"/>
    <w:rsid w:val="005C1DAC"/>
    <w:rsid w:val="005C2031"/>
    <w:rsid w:val="005C210E"/>
    <w:rsid w:val="005C2671"/>
    <w:rsid w:val="005C29A3"/>
    <w:rsid w:val="005C29D6"/>
    <w:rsid w:val="005C29E2"/>
    <w:rsid w:val="005C39DE"/>
    <w:rsid w:val="005C41A8"/>
    <w:rsid w:val="005C44C9"/>
    <w:rsid w:val="005C5345"/>
    <w:rsid w:val="005C5FB8"/>
    <w:rsid w:val="005C66C5"/>
    <w:rsid w:val="005C789B"/>
    <w:rsid w:val="005C7962"/>
    <w:rsid w:val="005D0100"/>
    <w:rsid w:val="005D0757"/>
    <w:rsid w:val="005D09F7"/>
    <w:rsid w:val="005D0C2C"/>
    <w:rsid w:val="005D0DB8"/>
    <w:rsid w:val="005D23BA"/>
    <w:rsid w:val="005D2F3D"/>
    <w:rsid w:val="005D3095"/>
    <w:rsid w:val="005D3E19"/>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5387"/>
    <w:rsid w:val="005E5D4B"/>
    <w:rsid w:val="005E666A"/>
    <w:rsid w:val="005E69F6"/>
    <w:rsid w:val="005E6C58"/>
    <w:rsid w:val="005E7A9C"/>
    <w:rsid w:val="005E7D65"/>
    <w:rsid w:val="005E7EC4"/>
    <w:rsid w:val="005F1677"/>
    <w:rsid w:val="005F1C94"/>
    <w:rsid w:val="005F2341"/>
    <w:rsid w:val="005F23CF"/>
    <w:rsid w:val="005F2C9B"/>
    <w:rsid w:val="005F33DB"/>
    <w:rsid w:val="005F3784"/>
    <w:rsid w:val="005F3897"/>
    <w:rsid w:val="005F38BC"/>
    <w:rsid w:val="005F45E1"/>
    <w:rsid w:val="005F4829"/>
    <w:rsid w:val="005F5C04"/>
    <w:rsid w:val="005F66A9"/>
    <w:rsid w:val="005F6EE6"/>
    <w:rsid w:val="005F79F2"/>
    <w:rsid w:val="00600996"/>
    <w:rsid w:val="00600C92"/>
    <w:rsid w:val="00600FD1"/>
    <w:rsid w:val="00601236"/>
    <w:rsid w:val="006028ED"/>
    <w:rsid w:val="0060336E"/>
    <w:rsid w:val="006033D0"/>
    <w:rsid w:val="00603EE6"/>
    <w:rsid w:val="00603FBA"/>
    <w:rsid w:val="0060434F"/>
    <w:rsid w:val="0060466C"/>
    <w:rsid w:val="00604701"/>
    <w:rsid w:val="00605633"/>
    <w:rsid w:val="0060569A"/>
    <w:rsid w:val="00605A07"/>
    <w:rsid w:val="00606453"/>
    <w:rsid w:val="00606B06"/>
    <w:rsid w:val="00607642"/>
    <w:rsid w:val="0060780F"/>
    <w:rsid w:val="00607F43"/>
    <w:rsid w:val="006107B7"/>
    <w:rsid w:val="00610B03"/>
    <w:rsid w:val="00612AE9"/>
    <w:rsid w:val="0061430C"/>
    <w:rsid w:val="00614CC0"/>
    <w:rsid w:val="00615765"/>
    <w:rsid w:val="0061796F"/>
    <w:rsid w:val="00617D6C"/>
    <w:rsid w:val="00620120"/>
    <w:rsid w:val="0062067D"/>
    <w:rsid w:val="00621105"/>
    <w:rsid w:val="00621622"/>
    <w:rsid w:val="006219F0"/>
    <w:rsid w:val="00621C2F"/>
    <w:rsid w:val="006223C6"/>
    <w:rsid w:val="00622499"/>
    <w:rsid w:val="006229C4"/>
    <w:rsid w:val="00623DDF"/>
    <w:rsid w:val="006248AA"/>
    <w:rsid w:val="00624AF0"/>
    <w:rsid w:val="00625003"/>
    <w:rsid w:val="006253EE"/>
    <w:rsid w:val="00625EA4"/>
    <w:rsid w:val="00625F15"/>
    <w:rsid w:val="00630A82"/>
    <w:rsid w:val="00632656"/>
    <w:rsid w:val="00632C5E"/>
    <w:rsid w:val="00632E07"/>
    <w:rsid w:val="006339C4"/>
    <w:rsid w:val="00633E01"/>
    <w:rsid w:val="00635E40"/>
    <w:rsid w:val="00636B77"/>
    <w:rsid w:val="0063785B"/>
    <w:rsid w:val="00640BE8"/>
    <w:rsid w:val="00641AAA"/>
    <w:rsid w:val="006428AF"/>
    <w:rsid w:val="006433A3"/>
    <w:rsid w:val="006433E7"/>
    <w:rsid w:val="00643598"/>
    <w:rsid w:val="00643978"/>
    <w:rsid w:val="00643D41"/>
    <w:rsid w:val="00644652"/>
    <w:rsid w:val="00644E53"/>
    <w:rsid w:val="00645337"/>
    <w:rsid w:val="0064610A"/>
    <w:rsid w:val="00647A95"/>
    <w:rsid w:val="00650B28"/>
    <w:rsid w:val="00650CA9"/>
    <w:rsid w:val="00650D78"/>
    <w:rsid w:val="00651457"/>
    <w:rsid w:val="00651C24"/>
    <w:rsid w:val="00651CDD"/>
    <w:rsid w:val="00651CF1"/>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212"/>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5E2F"/>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5888"/>
    <w:rsid w:val="00696001"/>
    <w:rsid w:val="00697020"/>
    <w:rsid w:val="00697A42"/>
    <w:rsid w:val="00697D08"/>
    <w:rsid w:val="006A074B"/>
    <w:rsid w:val="006A0DFB"/>
    <w:rsid w:val="006A1249"/>
    <w:rsid w:val="006A1A24"/>
    <w:rsid w:val="006A1A96"/>
    <w:rsid w:val="006A2F55"/>
    <w:rsid w:val="006A4431"/>
    <w:rsid w:val="006A4D8E"/>
    <w:rsid w:val="006A4F3D"/>
    <w:rsid w:val="006A56FA"/>
    <w:rsid w:val="006A64B1"/>
    <w:rsid w:val="006A7BF4"/>
    <w:rsid w:val="006A7D32"/>
    <w:rsid w:val="006B0C21"/>
    <w:rsid w:val="006B31F3"/>
    <w:rsid w:val="006B3CD4"/>
    <w:rsid w:val="006B3D25"/>
    <w:rsid w:val="006B3E30"/>
    <w:rsid w:val="006B3E5E"/>
    <w:rsid w:val="006B5DB9"/>
    <w:rsid w:val="006B685B"/>
    <w:rsid w:val="006B6F1C"/>
    <w:rsid w:val="006C051A"/>
    <w:rsid w:val="006C0CEA"/>
    <w:rsid w:val="006C158C"/>
    <w:rsid w:val="006C1D38"/>
    <w:rsid w:val="006C39DF"/>
    <w:rsid w:val="006C3A50"/>
    <w:rsid w:val="006C44B1"/>
    <w:rsid w:val="006C51D2"/>
    <w:rsid w:val="006C58F9"/>
    <w:rsid w:val="006C62C3"/>
    <w:rsid w:val="006C6574"/>
    <w:rsid w:val="006D2386"/>
    <w:rsid w:val="006D2689"/>
    <w:rsid w:val="006D2B2A"/>
    <w:rsid w:val="006D4D77"/>
    <w:rsid w:val="006D4F94"/>
    <w:rsid w:val="006D50C1"/>
    <w:rsid w:val="006D52A0"/>
    <w:rsid w:val="006D5BD3"/>
    <w:rsid w:val="006D6473"/>
    <w:rsid w:val="006D682A"/>
    <w:rsid w:val="006E0EA6"/>
    <w:rsid w:val="006E12FE"/>
    <w:rsid w:val="006E1438"/>
    <w:rsid w:val="006E2451"/>
    <w:rsid w:val="006E27B5"/>
    <w:rsid w:val="006E29A7"/>
    <w:rsid w:val="006E3755"/>
    <w:rsid w:val="006E3AE5"/>
    <w:rsid w:val="006E3DDF"/>
    <w:rsid w:val="006E4A77"/>
    <w:rsid w:val="006E4D95"/>
    <w:rsid w:val="006E568F"/>
    <w:rsid w:val="006E5D06"/>
    <w:rsid w:val="006E6842"/>
    <w:rsid w:val="006F1320"/>
    <w:rsid w:val="006F1F9A"/>
    <w:rsid w:val="006F3B90"/>
    <w:rsid w:val="006F4C0F"/>
    <w:rsid w:val="006F4EC0"/>
    <w:rsid w:val="006F4FE5"/>
    <w:rsid w:val="006F5304"/>
    <w:rsid w:val="006F55C6"/>
    <w:rsid w:val="006F5B53"/>
    <w:rsid w:val="006F6F1D"/>
    <w:rsid w:val="006F7BB2"/>
    <w:rsid w:val="00700734"/>
    <w:rsid w:val="0070183A"/>
    <w:rsid w:val="00701A2A"/>
    <w:rsid w:val="00702964"/>
    <w:rsid w:val="007030FF"/>
    <w:rsid w:val="0070397C"/>
    <w:rsid w:val="0070440A"/>
    <w:rsid w:val="00705540"/>
    <w:rsid w:val="00705CBB"/>
    <w:rsid w:val="007100F9"/>
    <w:rsid w:val="00710221"/>
    <w:rsid w:val="00710228"/>
    <w:rsid w:val="0071161B"/>
    <w:rsid w:val="00713297"/>
    <w:rsid w:val="00713AAE"/>
    <w:rsid w:val="00716413"/>
    <w:rsid w:val="007168AA"/>
    <w:rsid w:val="00716F5D"/>
    <w:rsid w:val="00716F85"/>
    <w:rsid w:val="007170AB"/>
    <w:rsid w:val="007174A1"/>
    <w:rsid w:val="007176D1"/>
    <w:rsid w:val="007211FB"/>
    <w:rsid w:val="00721223"/>
    <w:rsid w:val="0072225A"/>
    <w:rsid w:val="007223DB"/>
    <w:rsid w:val="007229DB"/>
    <w:rsid w:val="00724DAD"/>
    <w:rsid w:val="00725BA4"/>
    <w:rsid w:val="00725D0E"/>
    <w:rsid w:val="00726244"/>
    <w:rsid w:val="007262AE"/>
    <w:rsid w:val="00726457"/>
    <w:rsid w:val="007300FC"/>
    <w:rsid w:val="0073063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017C"/>
    <w:rsid w:val="00742CC2"/>
    <w:rsid w:val="0074371B"/>
    <w:rsid w:val="00743756"/>
    <w:rsid w:val="00744D85"/>
    <w:rsid w:val="007451BA"/>
    <w:rsid w:val="007458BE"/>
    <w:rsid w:val="00745BE0"/>
    <w:rsid w:val="00747599"/>
    <w:rsid w:val="0075060B"/>
    <w:rsid w:val="00750672"/>
    <w:rsid w:val="007508A4"/>
    <w:rsid w:val="007511C6"/>
    <w:rsid w:val="0075174C"/>
    <w:rsid w:val="00751AF3"/>
    <w:rsid w:val="0075275F"/>
    <w:rsid w:val="00752A25"/>
    <w:rsid w:val="007538F7"/>
    <w:rsid w:val="00753B68"/>
    <w:rsid w:val="00754936"/>
    <w:rsid w:val="00754C2D"/>
    <w:rsid w:val="00754FC3"/>
    <w:rsid w:val="00755F96"/>
    <w:rsid w:val="00756347"/>
    <w:rsid w:val="00757792"/>
    <w:rsid w:val="007600E4"/>
    <w:rsid w:val="00760755"/>
    <w:rsid w:val="00761317"/>
    <w:rsid w:val="00761468"/>
    <w:rsid w:val="00761DC3"/>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B51"/>
    <w:rsid w:val="00771DA4"/>
    <w:rsid w:val="00772073"/>
    <w:rsid w:val="007723B1"/>
    <w:rsid w:val="0077353F"/>
    <w:rsid w:val="00775327"/>
    <w:rsid w:val="00775BEB"/>
    <w:rsid w:val="00775D13"/>
    <w:rsid w:val="0077777D"/>
    <w:rsid w:val="007778F6"/>
    <w:rsid w:val="007810B9"/>
    <w:rsid w:val="0078141D"/>
    <w:rsid w:val="007822A1"/>
    <w:rsid w:val="007830BE"/>
    <w:rsid w:val="00783341"/>
    <w:rsid w:val="00783951"/>
    <w:rsid w:val="00785364"/>
    <w:rsid w:val="007873E7"/>
    <w:rsid w:val="00787555"/>
    <w:rsid w:val="00787921"/>
    <w:rsid w:val="00787B63"/>
    <w:rsid w:val="0079024F"/>
    <w:rsid w:val="00790584"/>
    <w:rsid w:val="00790CA9"/>
    <w:rsid w:val="00791137"/>
    <w:rsid w:val="007917C9"/>
    <w:rsid w:val="007917DB"/>
    <w:rsid w:val="00791F8C"/>
    <w:rsid w:val="00792024"/>
    <w:rsid w:val="00792031"/>
    <w:rsid w:val="007922E6"/>
    <w:rsid w:val="00793906"/>
    <w:rsid w:val="007950C4"/>
    <w:rsid w:val="00797E24"/>
    <w:rsid w:val="007A18A1"/>
    <w:rsid w:val="007A3E5B"/>
    <w:rsid w:val="007A44BE"/>
    <w:rsid w:val="007A47A0"/>
    <w:rsid w:val="007A4904"/>
    <w:rsid w:val="007A4AEF"/>
    <w:rsid w:val="007A631C"/>
    <w:rsid w:val="007A727E"/>
    <w:rsid w:val="007A7B08"/>
    <w:rsid w:val="007B0635"/>
    <w:rsid w:val="007B2B17"/>
    <w:rsid w:val="007B311F"/>
    <w:rsid w:val="007B3540"/>
    <w:rsid w:val="007B39EE"/>
    <w:rsid w:val="007B5B1A"/>
    <w:rsid w:val="007B698B"/>
    <w:rsid w:val="007C0FF8"/>
    <w:rsid w:val="007C14BE"/>
    <w:rsid w:val="007C1CD6"/>
    <w:rsid w:val="007C1D37"/>
    <w:rsid w:val="007C1E20"/>
    <w:rsid w:val="007C2633"/>
    <w:rsid w:val="007C2FF9"/>
    <w:rsid w:val="007C32B7"/>
    <w:rsid w:val="007C3404"/>
    <w:rsid w:val="007C36B5"/>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A62"/>
    <w:rsid w:val="007D6EDE"/>
    <w:rsid w:val="007D6FE7"/>
    <w:rsid w:val="007D78E3"/>
    <w:rsid w:val="007E0DA3"/>
    <w:rsid w:val="007E16BF"/>
    <w:rsid w:val="007E1AEE"/>
    <w:rsid w:val="007E218B"/>
    <w:rsid w:val="007E297F"/>
    <w:rsid w:val="007E2C96"/>
    <w:rsid w:val="007E2F15"/>
    <w:rsid w:val="007E50BC"/>
    <w:rsid w:val="007E5951"/>
    <w:rsid w:val="007E5CEC"/>
    <w:rsid w:val="007E5D89"/>
    <w:rsid w:val="007F00DD"/>
    <w:rsid w:val="007F0141"/>
    <w:rsid w:val="007F0517"/>
    <w:rsid w:val="007F0663"/>
    <w:rsid w:val="007F1D34"/>
    <w:rsid w:val="007F3396"/>
    <w:rsid w:val="007F4FC9"/>
    <w:rsid w:val="007F6DEA"/>
    <w:rsid w:val="007F6F7D"/>
    <w:rsid w:val="007F70F3"/>
    <w:rsid w:val="00800B36"/>
    <w:rsid w:val="00801759"/>
    <w:rsid w:val="00801EF3"/>
    <w:rsid w:val="008024FE"/>
    <w:rsid w:val="00803144"/>
    <w:rsid w:val="00803857"/>
    <w:rsid w:val="008038F6"/>
    <w:rsid w:val="00803EBA"/>
    <w:rsid w:val="00804003"/>
    <w:rsid w:val="00804B57"/>
    <w:rsid w:val="00805889"/>
    <w:rsid w:val="00805E37"/>
    <w:rsid w:val="00805F84"/>
    <w:rsid w:val="008065A1"/>
    <w:rsid w:val="008071AB"/>
    <w:rsid w:val="008075FB"/>
    <w:rsid w:val="00807DD8"/>
    <w:rsid w:val="008100A4"/>
    <w:rsid w:val="0081075E"/>
    <w:rsid w:val="00810B2B"/>
    <w:rsid w:val="00811106"/>
    <w:rsid w:val="00811836"/>
    <w:rsid w:val="008118A7"/>
    <w:rsid w:val="0081479B"/>
    <w:rsid w:val="00815145"/>
    <w:rsid w:val="00817F91"/>
    <w:rsid w:val="00817FB3"/>
    <w:rsid w:val="00817FCD"/>
    <w:rsid w:val="0082101E"/>
    <w:rsid w:val="00821678"/>
    <w:rsid w:val="00821A39"/>
    <w:rsid w:val="00821CBC"/>
    <w:rsid w:val="008224FD"/>
    <w:rsid w:val="00822984"/>
    <w:rsid w:val="00822A00"/>
    <w:rsid w:val="0082327C"/>
    <w:rsid w:val="008246D9"/>
    <w:rsid w:val="00824767"/>
    <w:rsid w:val="008249CD"/>
    <w:rsid w:val="008255D2"/>
    <w:rsid w:val="00825948"/>
    <w:rsid w:val="00825C77"/>
    <w:rsid w:val="00825D3C"/>
    <w:rsid w:val="00825D91"/>
    <w:rsid w:val="00826639"/>
    <w:rsid w:val="008269E2"/>
    <w:rsid w:val="008271E3"/>
    <w:rsid w:val="00827321"/>
    <w:rsid w:val="008275F9"/>
    <w:rsid w:val="0082798C"/>
    <w:rsid w:val="00827AD8"/>
    <w:rsid w:val="00832318"/>
    <w:rsid w:val="008323B0"/>
    <w:rsid w:val="0083367E"/>
    <w:rsid w:val="008339C5"/>
    <w:rsid w:val="00834185"/>
    <w:rsid w:val="008342AA"/>
    <w:rsid w:val="00834976"/>
    <w:rsid w:val="0083503F"/>
    <w:rsid w:val="008352CC"/>
    <w:rsid w:val="00836578"/>
    <w:rsid w:val="00836C86"/>
    <w:rsid w:val="00836F8A"/>
    <w:rsid w:val="00837525"/>
    <w:rsid w:val="0084023E"/>
    <w:rsid w:val="008402FE"/>
    <w:rsid w:val="00841061"/>
    <w:rsid w:val="00841659"/>
    <w:rsid w:val="00842E94"/>
    <w:rsid w:val="008437EC"/>
    <w:rsid w:val="0084428F"/>
    <w:rsid w:val="00844533"/>
    <w:rsid w:val="00844E06"/>
    <w:rsid w:val="008451E7"/>
    <w:rsid w:val="008452CE"/>
    <w:rsid w:val="008453A0"/>
    <w:rsid w:val="00845A79"/>
    <w:rsid w:val="00846510"/>
    <w:rsid w:val="00846D3E"/>
    <w:rsid w:val="00846DC9"/>
    <w:rsid w:val="00847707"/>
    <w:rsid w:val="00847C70"/>
    <w:rsid w:val="008510AF"/>
    <w:rsid w:val="0085126E"/>
    <w:rsid w:val="00851B21"/>
    <w:rsid w:val="008534CA"/>
    <w:rsid w:val="00853F23"/>
    <w:rsid w:val="008542D8"/>
    <w:rsid w:val="008543CA"/>
    <w:rsid w:val="00854454"/>
    <w:rsid w:val="008555C1"/>
    <w:rsid w:val="008565E4"/>
    <w:rsid w:val="00857E28"/>
    <w:rsid w:val="00857F6F"/>
    <w:rsid w:val="0086009F"/>
    <w:rsid w:val="00860221"/>
    <w:rsid w:val="00860EC8"/>
    <w:rsid w:val="00861524"/>
    <w:rsid w:val="00861FF2"/>
    <w:rsid w:val="008620A3"/>
    <w:rsid w:val="008623D1"/>
    <w:rsid w:val="008627C2"/>
    <w:rsid w:val="00862D73"/>
    <w:rsid w:val="00863157"/>
    <w:rsid w:val="00863C97"/>
    <w:rsid w:val="00863D1F"/>
    <w:rsid w:val="00864045"/>
    <w:rsid w:val="00866C20"/>
    <w:rsid w:val="00867D75"/>
    <w:rsid w:val="008719E4"/>
    <w:rsid w:val="008735F8"/>
    <w:rsid w:val="00873D5E"/>
    <w:rsid w:val="00874456"/>
    <w:rsid w:val="00874C75"/>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4F8E"/>
    <w:rsid w:val="0088549D"/>
    <w:rsid w:val="00885B05"/>
    <w:rsid w:val="00885F80"/>
    <w:rsid w:val="0088692B"/>
    <w:rsid w:val="00887138"/>
    <w:rsid w:val="008871C3"/>
    <w:rsid w:val="0088727F"/>
    <w:rsid w:val="008874C2"/>
    <w:rsid w:val="00890160"/>
    <w:rsid w:val="00890189"/>
    <w:rsid w:val="008901D4"/>
    <w:rsid w:val="008903B2"/>
    <w:rsid w:val="008903BC"/>
    <w:rsid w:val="00890D68"/>
    <w:rsid w:val="00891195"/>
    <w:rsid w:val="0089137B"/>
    <w:rsid w:val="008915CD"/>
    <w:rsid w:val="00891B6A"/>
    <w:rsid w:val="0089245C"/>
    <w:rsid w:val="008927F7"/>
    <w:rsid w:val="00892C9D"/>
    <w:rsid w:val="008933AE"/>
    <w:rsid w:val="00893C17"/>
    <w:rsid w:val="008942C9"/>
    <w:rsid w:val="00894359"/>
    <w:rsid w:val="008950BF"/>
    <w:rsid w:val="00895922"/>
    <w:rsid w:val="00896233"/>
    <w:rsid w:val="008966CC"/>
    <w:rsid w:val="008972BA"/>
    <w:rsid w:val="00897E8B"/>
    <w:rsid w:val="00897FF0"/>
    <w:rsid w:val="008A064F"/>
    <w:rsid w:val="008A0661"/>
    <w:rsid w:val="008A1A1E"/>
    <w:rsid w:val="008A1E8C"/>
    <w:rsid w:val="008A232B"/>
    <w:rsid w:val="008A23F5"/>
    <w:rsid w:val="008A52C0"/>
    <w:rsid w:val="008A5879"/>
    <w:rsid w:val="008A5A99"/>
    <w:rsid w:val="008A5ECE"/>
    <w:rsid w:val="008A7128"/>
    <w:rsid w:val="008A7402"/>
    <w:rsid w:val="008A7C20"/>
    <w:rsid w:val="008B0831"/>
    <w:rsid w:val="008B0A06"/>
    <w:rsid w:val="008B1A15"/>
    <w:rsid w:val="008B2793"/>
    <w:rsid w:val="008B2876"/>
    <w:rsid w:val="008B2884"/>
    <w:rsid w:val="008B2B57"/>
    <w:rsid w:val="008B327B"/>
    <w:rsid w:val="008B406A"/>
    <w:rsid w:val="008B4166"/>
    <w:rsid w:val="008B5919"/>
    <w:rsid w:val="008B69E7"/>
    <w:rsid w:val="008B79D1"/>
    <w:rsid w:val="008C0E53"/>
    <w:rsid w:val="008C0E64"/>
    <w:rsid w:val="008C19AB"/>
    <w:rsid w:val="008C1B38"/>
    <w:rsid w:val="008C24EC"/>
    <w:rsid w:val="008C2541"/>
    <w:rsid w:val="008C3256"/>
    <w:rsid w:val="008C45CC"/>
    <w:rsid w:val="008C46E7"/>
    <w:rsid w:val="008C5DF1"/>
    <w:rsid w:val="008C5E14"/>
    <w:rsid w:val="008C7016"/>
    <w:rsid w:val="008C70B5"/>
    <w:rsid w:val="008C7518"/>
    <w:rsid w:val="008C75FC"/>
    <w:rsid w:val="008C7A6E"/>
    <w:rsid w:val="008D1161"/>
    <w:rsid w:val="008D143C"/>
    <w:rsid w:val="008D1540"/>
    <w:rsid w:val="008D1877"/>
    <w:rsid w:val="008D2864"/>
    <w:rsid w:val="008D2971"/>
    <w:rsid w:val="008D2CE2"/>
    <w:rsid w:val="008D307F"/>
    <w:rsid w:val="008D33AD"/>
    <w:rsid w:val="008D351B"/>
    <w:rsid w:val="008D39D6"/>
    <w:rsid w:val="008D43AD"/>
    <w:rsid w:val="008D460C"/>
    <w:rsid w:val="008D4BAD"/>
    <w:rsid w:val="008D63F3"/>
    <w:rsid w:val="008D7C89"/>
    <w:rsid w:val="008E0439"/>
    <w:rsid w:val="008E1502"/>
    <w:rsid w:val="008E1BF0"/>
    <w:rsid w:val="008E1FB9"/>
    <w:rsid w:val="008E2F73"/>
    <w:rsid w:val="008E47AD"/>
    <w:rsid w:val="008E4CA1"/>
    <w:rsid w:val="008E4F39"/>
    <w:rsid w:val="008E4F50"/>
    <w:rsid w:val="008E56C7"/>
    <w:rsid w:val="008E7919"/>
    <w:rsid w:val="008F119B"/>
    <w:rsid w:val="008F240A"/>
    <w:rsid w:val="008F2C85"/>
    <w:rsid w:val="008F43F2"/>
    <w:rsid w:val="008F4985"/>
    <w:rsid w:val="008F532A"/>
    <w:rsid w:val="008F53C5"/>
    <w:rsid w:val="008F67AC"/>
    <w:rsid w:val="008F6A56"/>
    <w:rsid w:val="008F6D6A"/>
    <w:rsid w:val="009002AA"/>
    <w:rsid w:val="00901A80"/>
    <w:rsid w:val="00902C01"/>
    <w:rsid w:val="00903047"/>
    <w:rsid w:val="009033B7"/>
    <w:rsid w:val="00903678"/>
    <w:rsid w:val="00904701"/>
    <w:rsid w:val="00904D31"/>
    <w:rsid w:val="0090657E"/>
    <w:rsid w:val="009070BA"/>
    <w:rsid w:val="009073C4"/>
    <w:rsid w:val="009102AF"/>
    <w:rsid w:val="00910640"/>
    <w:rsid w:val="00911126"/>
    <w:rsid w:val="00911442"/>
    <w:rsid w:val="00911FA3"/>
    <w:rsid w:val="00912025"/>
    <w:rsid w:val="009134A8"/>
    <w:rsid w:val="00913F57"/>
    <w:rsid w:val="00913FAB"/>
    <w:rsid w:val="0091661A"/>
    <w:rsid w:val="00916AD9"/>
    <w:rsid w:val="00916F72"/>
    <w:rsid w:val="00917852"/>
    <w:rsid w:val="00917971"/>
    <w:rsid w:val="009202D3"/>
    <w:rsid w:val="0092133E"/>
    <w:rsid w:val="00921914"/>
    <w:rsid w:val="00922393"/>
    <w:rsid w:val="00922438"/>
    <w:rsid w:val="0092309D"/>
    <w:rsid w:val="009236C6"/>
    <w:rsid w:val="00923DC3"/>
    <w:rsid w:val="00923F75"/>
    <w:rsid w:val="00924964"/>
    <w:rsid w:val="00924E89"/>
    <w:rsid w:val="00925776"/>
    <w:rsid w:val="009257D8"/>
    <w:rsid w:val="009260D2"/>
    <w:rsid w:val="00927257"/>
    <w:rsid w:val="00927478"/>
    <w:rsid w:val="00927B11"/>
    <w:rsid w:val="00927F71"/>
    <w:rsid w:val="0093030B"/>
    <w:rsid w:val="00930BCC"/>
    <w:rsid w:val="009315CC"/>
    <w:rsid w:val="00931967"/>
    <w:rsid w:val="0093204A"/>
    <w:rsid w:val="009322CB"/>
    <w:rsid w:val="009334A0"/>
    <w:rsid w:val="009344C3"/>
    <w:rsid w:val="00935E16"/>
    <w:rsid w:val="00935F5A"/>
    <w:rsid w:val="00936F82"/>
    <w:rsid w:val="00940FE3"/>
    <w:rsid w:val="009414CC"/>
    <w:rsid w:val="00941573"/>
    <w:rsid w:val="00941B62"/>
    <w:rsid w:val="00941DAA"/>
    <w:rsid w:val="0094281C"/>
    <w:rsid w:val="00942F2A"/>
    <w:rsid w:val="00943843"/>
    <w:rsid w:val="009442A0"/>
    <w:rsid w:val="00944471"/>
    <w:rsid w:val="00944EEB"/>
    <w:rsid w:val="00944F35"/>
    <w:rsid w:val="00945171"/>
    <w:rsid w:val="00946658"/>
    <w:rsid w:val="009477AC"/>
    <w:rsid w:val="00947BD3"/>
    <w:rsid w:val="00950ACA"/>
    <w:rsid w:val="00950E55"/>
    <w:rsid w:val="00951612"/>
    <w:rsid w:val="0095187B"/>
    <w:rsid w:val="00951E11"/>
    <w:rsid w:val="00953E17"/>
    <w:rsid w:val="00953FE3"/>
    <w:rsid w:val="00954B7D"/>
    <w:rsid w:val="00954DA3"/>
    <w:rsid w:val="00954FC1"/>
    <w:rsid w:val="0095533C"/>
    <w:rsid w:val="00955C42"/>
    <w:rsid w:val="009571ED"/>
    <w:rsid w:val="009576AD"/>
    <w:rsid w:val="00957948"/>
    <w:rsid w:val="009579FB"/>
    <w:rsid w:val="00957AEA"/>
    <w:rsid w:val="00957EEB"/>
    <w:rsid w:val="00957EF2"/>
    <w:rsid w:val="009608B4"/>
    <w:rsid w:val="0096239C"/>
    <w:rsid w:val="00962A6C"/>
    <w:rsid w:val="00962D35"/>
    <w:rsid w:val="009638CA"/>
    <w:rsid w:val="009650A7"/>
    <w:rsid w:val="009655F6"/>
    <w:rsid w:val="009662DF"/>
    <w:rsid w:val="00966A44"/>
    <w:rsid w:val="00966C02"/>
    <w:rsid w:val="00970670"/>
    <w:rsid w:val="0097099F"/>
    <w:rsid w:val="00970E82"/>
    <w:rsid w:val="00971BFB"/>
    <w:rsid w:val="00971EC4"/>
    <w:rsid w:val="00971F37"/>
    <w:rsid w:val="00973EFC"/>
    <w:rsid w:val="00973F84"/>
    <w:rsid w:val="00974165"/>
    <w:rsid w:val="00974280"/>
    <w:rsid w:val="0097494B"/>
    <w:rsid w:val="0097585B"/>
    <w:rsid w:val="00977134"/>
    <w:rsid w:val="0098159C"/>
    <w:rsid w:val="009823CE"/>
    <w:rsid w:val="009827A4"/>
    <w:rsid w:val="0098290B"/>
    <w:rsid w:val="009829D0"/>
    <w:rsid w:val="009832FB"/>
    <w:rsid w:val="00983D06"/>
    <w:rsid w:val="0098407B"/>
    <w:rsid w:val="00984704"/>
    <w:rsid w:val="00985D7C"/>
    <w:rsid w:val="00985DB8"/>
    <w:rsid w:val="00986757"/>
    <w:rsid w:val="009872E6"/>
    <w:rsid w:val="009874CA"/>
    <w:rsid w:val="00987B0F"/>
    <w:rsid w:val="009903F3"/>
    <w:rsid w:val="0099297F"/>
    <w:rsid w:val="00992F3A"/>
    <w:rsid w:val="0099346F"/>
    <w:rsid w:val="00994874"/>
    <w:rsid w:val="009953C4"/>
    <w:rsid w:val="009953EF"/>
    <w:rsid w:val="009974A7"/>
    <w:rsid w:val="009A0039"/>
    <w:rsid w:val="009A0851"/>
    <w:rsid w:val="009A1387"/>
    <w:rsid w:val="009A147E"/>
    <w:rsid w:val="009A1F76"/>
    <w:rsid w:val="009A22BB"/>
    <w:rsid w:val="009A472F"/>
    <w:rsid w:val="009A4D79"/>
    <w:rsid w:val="009A4E92"/>
    <w:rsid w:val="009A5C7B"/>
    <w:rsid w:val="009A7357"/>
    <w:rsid w:val="009B0724"/>
    <w:rsid w:val="009B17ED"/>
    <w:rsid w:val="009B188D"/>
    <w:rsid w:val="009B19EA"/>
    <w:rsid w:val="009B2060"/>
    <w:rsid w:val="009B23BC"/>
    <w:rsid w:val="009B2815"/>
    <w:rsid w:val="009B28C9"/>
    <w:rsid w:val="009B3008"/>
    <w:rsid w:val="009B4214"/>
    <w:rsid w:val="009B4364"/>
    <w:rsid w:val="009B4A77"/>
    <w:rsid w:val="009B60AC"/>
    <w:rsid w:val="009C013A"/>
    <w:rsid w:val="009C02E4"/>
    <w:rsid w:val="009C09DE"/>
    <w:rsid w:val="009C0C1A"/>
    <w:rsid w:val="009C0D66"/>
    <w:rsid w:val="009C1B6E"/>
    <w:rsid w:val="009C53A3"/>
    <w:rsid w:val="009C6037"/>
    <w:rsid w:val="009C7982"/>
    <w:rsid w:val="009C7CB3"/>
    <w:rsid w:val="009D0D49"/>
    <w:rsid w:val="009D29DE"/>
    <w:rsid w:val="009D2D2C"/>
    <w:rsid w:val="009D37AB"/>
    <w:rsid w:val="009D477E"/>
    <w:rsid w:val="009D47C3"/>
    <w:rsid w:val="009D5856"/>
    <w:rsid w:val="009D5A2E"/>
    <w:rsid w:val="009D5F7B"/>
    <w:rsid w:val="009D60BD"/>
    <w:rsid w:val="009D6906"/>
    <w:rsid w:val="009D6C21"/>
    <w:rsid w:val="009D6F18"/>
    <w:rsid w:val="009D76BA"/>
    <w:rsid w:val="009D77F5"/>
    <w:rsid w:val="009D7B67"/>
    <w:rsid w:val="009E09F0"/>
    <w:rsid w:val="009E0E06"/>
    <w:rsid w:val="009E1A68"/>
    <w:rsid w:val="009E33B1"/>
    <w:rsid w:val="009E37B2"/>
    <w:rsid w:val="009E3BFA"/>
    <w:rsid w:val="009E3EDC"/>
    <w:rsid w:val="009E5521"/>
    <w:rsid w:val="009E55C1"/>
    <w:rsid w:val="009E5938"/>
    <w:rsid w:val="009E5FAE"/>
    <w:rsid w:val="009E61E5"/>
    <w:rsid w:val="009E67D1"/>
    <w:rsid w:val="009E68EC"/>
    <w:rsid w:val="009E75AB"/>
    <w:rsid w:val="009F1C97"/>
    <w:rsid w:val="009F1DB5"/>
    <w:rsid w:val="009F43CB"/>
    <w:rsid w:val="009F5836"/>
    <w:rsid w:val="009F7661"/>
    <w:rsid w:val="00A01DF5"/>
    <w:rsid w:val="00A03231"/>
    <w:rsid w:val="00A03746"/>
    <w:rsid w:val="00A03ED8"/>
    <w:rsid w:val="00A04BA7"/>
    <w:rsid w:val="00A04FD8"/>
    <w:rsid w:val="00A05E42"/>
    <w:rsid w:val="00A06A27"/>
    <w:rsid w:val="00A06DCE"/>
    <w:rsid w:val="00A07C33"/>
    <w:rsid w:val="00A114A4"/>
    <w:rsid w:val="00A11C53"/>
    <w:rsid w:val="00A12A9B"/>
    <w:rsid w:val="00A13649"/>
    <w:rsid w:val="00A14E3D"/>
    <w:rsid w:val="00A1553D"/>
    <w:rsid w:val="00A158EF"/>
    <w:rsid w:val="00A17EDB"/>
    <w:rsid w:val="00A20945"/>
    <w:rsid w:val="00A20D56"/>
    <w:rsid w:val="00A210A2"/>
    <w:rsid w:val="00A2148D"/>
    <w:rsid w:val="00A2188B"/>
    <w:rsid w:val="00A22267"/>
    <w:rsid w:val="00A222BD"/>
    <w:rsid w:val="00A22427"/>
    <w:rsid w:val="00A224DD"/>
    <w:rsid w:val="00A23088"/>
    <w:rsid w:val="00A23723"/>
    <w:rsid w:val="00A23FA8"/>
    <w:rsid w:val="00A24ED5"/>
    <w:rsid w:val="00A2576A"/>
    <w:rsid w:val="00A25E84"/>
    <w:rsid w:val="00A26F0A"/>
    <w:rsid w:val="00A2701B"/>
    <w:rsid w:val="00A27C85"/>
    <w:rsid w:val="00A27FFD"/>
    <w:rsid w:val="00A30BF2"/>
    <w:rsid w:val="00A30DB9"/>
    <w:rsid w:val="00A30F0E"/>
    <w:rsid w:val="00A3298C"/>
    <w:rsid w:val="00A33E67"/>
    <w:rsid w:val="00A35919"/>
    <w:rsid w:val="00A36999"/>
    <w:rsid w:val="00A36AC5"/>
    <w:rsid w:val="00A36B2D"/>
    <w:rsid w:val="00A36CB0"/>
    <w:rsid w:val="00A36EF5"/>
    <w:rsid w:val="00A407CC"/>
    <w:rsid w:val="00A410DD"/>
    <w:rsid w:val="00A41675"/>
    <w:rsid w:val="00A418D1"/>
    <w:rsid w:val="00A42159"/>
    <w:rsid w:val="00A42927"/>
    <w:rsid w:val="00A43852"/>
    <w:rsid w:val="00A43CF6"/>
    <w:rsid w:val="00A449FF"/>
    <w:rsid w:val="00A44C55"/>
    <w:rsid w:val="00A4510F"/>
    <w:rsid w:val="00A455D8"/>
    <w:rsid w:val="00A457E9"/>
    <w:rsid w:val="00A50CDD"/>
    <w:rsid w:val="00A50D4B"/>
    <w:rsid w:val="00A51717"/>
    <w:rsid w:val="00A51868"/>
    <w:rsid w:val="00A5209D"/>
    <w:rsid w:val="00A52678"/>
    <w:rsid w:val="00A53AFD"/>
    <w:rsid w:val="00A54339"/>
    <w:rsid w:val="00A55B9E"/>
    <w:rsid w:val="00A56748"/>
    <w:rsid w:val="00A573A7"/>
    <w:rsid w:val="00A57A05"/>
    <w:rsid w:val="00A60713"/>
    <w:rsid w:val="00A60DD0"/>
    <w:rsid w:val="00A61042"/>
    <w:rsid w:val="00A61F66"/>
    <w:rsid w:val="00A62256"/>
    <w:rsid w:val="00A64DEC"/>
    <w:rsid w:val="00A665A9"/>
    <w:rsid w:val="00A66BBB"/>
    <w:rsid w:val="00A66CEB"/>
    <w:rsid w:val="00A67EAE"/>
    <w:rsid w:val="00A703D4"/>
    <w:rsid w:val="00A7052A"/>
    <w:rsid w:val="00A705A2"/>
    <w:rsid w:val="00A70839"/>
    <w:rsid w:val="00A70B86"/>
    <w:rsid w:val="00A71401"/>
    <w:rsid w:val="00A71481"/>
    <w:rsid w:val="00A71765"/>
    <w:rsid w:val="00A73C58"/>
    <w:rsid w:val="00A73D1A"/>
    <w:rsid w:val="00A7455E"/>
    <w:rsid w:val="00A761CF"/>
    <w:rsid w:val="00A77445"/>
    <w:rsid w:val="00A77CEF"/>
    <w:rsid w:val="00A77FC9"/>
    <w:rsid w:val="00A8054C"/>
    <w:rsid w:val="00A80603"/>
    <w:rsid w:val="00A8084A"/>
    <w:rsid w:val="00A80AAA"/>
    <w:rsid w:val="00A81431"/>
    <w:rsid w:val="00A81601"/>
    <w:rsid w:val="00A81B38"/>
    <w:rsid w:val="00A81C4F"/>
    <w:rsid w:val="00A81C5F"/>
    <w:rsid w:val="00A8220D"/>
    <w:rsid w:val="00A83570"/>
    <w:rsid w:val="00A83851"/>
    <w:rsid w:val="00A83D1F"/>
    <w:rsid w:val="00A83EC4"/>
    <w:rsid w:val="00A83FEB"/>
    <w:rsid w:val="00A853C1"/>
    <w:rsid w:val="00A85A1F"/>
    <w:rsid w:val="00A85B70"/>
    <w:rsid w:val="00A86897"/>
    <w:rsid w:val="00A87CF0"/>
    <w:rsid w:val="00A90A43"/>
    <w:rsid w:val="00A90DAB"/>
    <w:rsid w:val="00A914EE"/>
    <w:rsid w:val="00A91996"/>
    <w:rsid w:val="00A92059"/>
    <w:rsid w:val="00A92552"/>
    <w:rsid w:val="00A933B3"/>
    <w:rsid w:val="00A933B9"/>
    <w:rsid w:val="00A93859"/>
    <w:rsid w:val="00A93988"/>
    <w:rsid w:val="00A93EEC"/>
    <w:rsid w:val="00A93FC0"/>
    <w:rsid w:val="00A944C8"/>
    <w:rsid w:val="00A95E1A"/>
    <w:rsid w:val="00A960B2"/>
    <w:rsid w:val="00A961F1"/>
    <w:rsid w:val="00A96948"/>
    <w:rsid w:val="00A97031"/>
    <w:rsid w:val="00A9785F"/>
    <w:rsid w:val="00A97A96"/>
    <w:rsid w:val="00AA00FB"/>
    <w:rsid w:val="00AA084A"/>
    <w:rsid w:val="00AA1105"/>
    <w:rsid w:val="00AA2A72"/>
    <w:rsid w:val="00AA2BEA"/>
    <w:rsid w:val="00AA3AB2"/>
    <w:rsid w:val="00AA4EAA"/>
    <w:rsid w:val="00AA527D"/>
    <w:rsid w:val="00AA568B"/>
    <w:rsid w:val="00AA6894"/>
    <w:rsid w:val="00AA69BC"/>
    <w:rsid w:val="00AA760D"/>
    <w:rsid w:val="00AA7B0F"/>
    <w:rsid w:val="00AB04E5"/>
    <w:rsid w:val="00AB05C7"/>
    <w:rsid w:val="00AB0ACB"/>
    <w:rsid w:val="00AB33C8"/>
    <w:rsid w:val="00AB3B25"/>
    <w:rsid w:val="00AB3CAC"/>
    <w:rsid w:val="00AB4407"/>
    <w:rsid w:val="00AB5366"/>
    <w:rsid w:val="00AB5545"/>
    <w:rsid w:val="00AB5628"/>
    <w:rsid w:val="00AB57B6"/>
    <w:rsid w:val="00AB6CD5"/>
    <w:rsid w:val="00AB74B0"/>
    <w:rsid w:val="00AB76FF"/>
    <w:rsid w:val="00AB7A6C"/>
    <w:rsid w:val="00AC13D5"/>
    <w:rsid w:val="00AC157C"/>
    <w:rsid w:val="00AC249A"/>
    <w:rsid w:val="00AC2CB0"/>
    <w:rsid w:val="00AC311C"/>
    <w:rsid w:val="00AC337C"/>
    <w:rsid w:val="00AC345E"/>
    <w:rsid w:val="00AC3663"/>
    <w:rsid w:val="00AC374D"/>
    <w:rsid w:val="00AC5016"/>
    <w:rsid w:val="00AC5D60"/>
    <w:rsid w:val="00AD0C2D"/>
    <w:rsid w:val="00AD0DA0"/>
    <w:rsid w:val="00AD0DE4"/>
    <w:rsid w:val="00AD1158"/>
    <w:rsid w:val="00AD1287"/>
    <w:rsid w:val="00AD14F3"/>
    <w:rsid w:val="00AD19AC"/>
    <w:rsid w:val="00AD2116"/>
    <w:rsid w:val="00AD2B26"/>
    <w:rsid w:val="00AD369B"/>
    <w:rsid w:val="00AD3B2A"/>
    <w:rsid w:val="00AD3BF2"/>
    <w:rsid w:val="00AD663E"/>
    <w:rsid w:val="00AD67D4"/>
    <w:rsid w:val="00AD6987"/>
    <w:rsid w:val="00AD6C3D"/>
    <w:rsid w:val="00AD6EC6"/>
    <w:rsid w:val="00AD6FF8"/>
    <w:rsid w:val="00AD72BB"/>
    <w:rsid w:val="00AD7581"/>
    <w:rsid w:val="00AE03CB"/>
    <w:rsid w:val="00AE0B8D"/>
    <w:rsid w:val="00AE0F55"/>
    <w:rsid w:val="00AE0F9D"/>
    <w:rsid w:val="00AE2374"/>
    <w:rsid w:val="00AE2388"/>
    <w:rsid w:val="00AE260C"/>
    <w:rsid w:val="00AE2759"/>
    <w:rsid w:val="00AE2FD9"/>
    <w:rsid w:val="00AE3064"/>
    <w:rsid w:val="00AE3141"/>
    <w:rsid w:val="00AE387B"/>
    <w:rsid w:val="00AE3D9E"/>
    <w:rsid w:val="00AE44AC"/>
    <w:rsid w:val="00AE726A"/>
    <w:rsid w:val="00AE78C4"/>
    <w:rsid w:val="00AE78E4"/>
    <w:rsid w:val="00AF044E"/>
    <w:rsid w:val="00AF0779"/>
    <w:rsid w:val="00AF233C"/>
    <w:rsid w:val="00AF29CE"/>
    <w:rsid w:val="00AF2DE8"/>
    <w:rsid w:val="00AF2F1B"/>
    <w:rsid w:val="00AF31C1"/>
    <w:rsid w:val="00AF3637"/>
    <w:rsid w:val="00AF36BB"/>
    <w:rsid w:val="00AF4169"/>
    <w:rsid w:val="00AF538B"/>
    <w:rsid w:val="00AF5E2F"/>
    <w:rsid w:val="00B000B7"/>
    <w:rsid w:val="00B0116B"/>
    <w:rsid w:val="00B014FE"/>
    <w:rsid w:val="00B023CE"/>
    <w:rsid w:val="00B028F7"/>
    <w:rsid w:val="00B031A0"/>
    <w:rsid w:val="00B03614"/>
    <w:rsid w:val="00B03793"/>
    <w:rsid w:val="00B03D2E"/>
    <w:rsid w:val="00B03EE8"/>
    <w:rsid w:val="00B03FAA"/>
    <w:rsid w:val="00B042F2"/>
    <w:rsid w:val="00B04796"/>
    <w:rsid w:val="00B0632B"/>
    <w:rsid w:val="00B06FA9"/>
    <w:rsid w:val="00B06FF4"/>
    <w:rsid w:val="00B07177"/>
    <w:rsid w:val="00B071D2"/>
    <w:rsid w:val="00B0740A"/>
    <w:rsid w:val="00B106AE"/>
    <w:rsid w:val="00B118CB"/>
    <w:rsid w:val="00B13AA7"/>
    <w:rsid w:val="00B13F7D"/>
    <w:rsid w:val="00B1560A"/>
    <w:rsid w:val="00B15F3D"/>
    <w:rsid w:val="00B16042"/>
    <w:rsid w:val="00B1612D"/>
    <w:rsid w:val="00B16D2D"/>
    <w:rsid w:val="00B16D61"/>
    <w:rsid w:val="00B172AF"/>
    <w:rsid w:val="00B17A1B"/>
    <w:rsid w:val="00B206B5"/>
    <w:rsid w:val="00B21357"/>
    <w:rsid w:val="00B2241B"/>
    <w:rsid w:val="00B22730"/>
    <w:rsid w:val="00B22B33"/>
    <w:rsid w:val="00B23B15"/>
    <w:rsid w:val="00B24259"/>
    <w:rsid w:val="00B2496D"/>
    <w:rsid w:val="00B25236"/>
    <w:rsid w:val="00B25961"/>
    <w:rsid w:val="00B26B21"/>
    <w:rsid w:val="00B279DD"/>
    <w:rsid w:val="00B30970"/>
    <w:rsid w:val="00B31843"/>
    <w:rsid w:val="00B325D9"/>
    <w:rsid w:val="00B3395D"/>
    <w:rsid w:val="00B34576"/>
    <w:rsid w:val="00B348F2"/>
    <w:rsid w:val="00B34FE2"/>
    <w:rsid w:val="00B35804"/>
    <w:rsid w:val="00B35864"/>
    <w:rsid w:val="00B360C9"/>
    <w:rsid w:val="00B368F8"/>
    <w:rsid w:val="00B40379"/>
    <w:rsid w:val="00B40A0B"/>
    <w:rsid w:val="00B41E6C"/>
    <w:rsid w:val="00B41E92"/>
    <w:rsid w:val="00B423C3"/>
    <w:rsid w:val="00B42A8F"/>
    <w:rsid w:val="00B4376A"/>
    <w:rsid w:val="00B44533"/>
    <w:rsid w:val="00B44592"/>
    <w:rsid w:val="00B44A5D"/>
    <w:rsid w:val="00B44CE5"/>
    <w:rsid w:val="00B45A9D"/>
    <w:rsid w:val="00B462D9"/>
    <w:rsid w:val="00B471F6"/>
    <w:rsid w:val="00B4746A"/>
    <w:rsid w:val="00B47979"/>
    <w:rsid w:val="00B47AEF"/>
    <w:rsid w:val="00B47C0A"/>
    <w:rsid w:val="00B51304"/>
    <w:rsid w:val="00B51A69"/>
    <w:rsid w:val="00B51ED8"/>
    <w:rsid w:val="00B53047"/>
    <w:rsid w:val="00B54235"/>
    <w:rsid w:val="00B542FD"/>
    <w:rsid w:val="00B55960"/>
    <w:rsid w:val="00B566A1"/>
    <w:rsid w:val="00B56AD5"/>
    <w:rsid w:val="00B56D5A"/>
    <w:rsid w:val="00B6012F"/>
    <w:rsid w:val="00B60C8D"/>
    <w:rsid w:val="00B6238B"/>
    <w:rsid w:val="00B6312B"/>
    <w:rsid w:val="00B632F4"/>
    <w:rsid w:val="00B644BB"/>
    <w:rsid w:val="00B64986"/>
    <w:rsid w:val="00B64DC6"/>
    <w:rsid w:val="00B64E4E"/>
    <w:rsid w:val="00B64E50"/>
    <w:rsid w:val="00B65D85"/>
    <w:rsid w:val="00B67E8D"/>
    <w:rsid w:val="00B7055D"/>
    <w:rsid w:val="00B70853"/>
    <w:rsid w:val="00B70B0B"/>
    <w:rsid w:val="00B725E3"/>
    <w:rsid w:val="00B7264B"/>
    <w:rsid w:val="00B73BFC"/>
    <w:rsid w:val="00B74F37"/>
    <w:rsid w:val="00B75C48"/>
    <w:rsid w:val="00B7657B"/>
    <w:rsid w:val="00B766D6"/>
    <w:rsid w:val="00B769D2"/>
    <w:rsid w:val="00B76DE8"/>
    <w:rsid w:val="00B7715E"/>
    <w:rsid w:val="00B8001A"/>
    <w:rsid w:val="00B800F1"/>
    <w:rsid w:val="00B80472"/>
    <w:rsid w:val="00B80514"/>
    <w:rsid w:val="00B80606"/>
    <w:rsid w:val="00B80BF4"/>
    <w:rsid w:val="00B81857"/>
    <w:rsid w:val="00B81D51"/>
    <w:rsid w:val="00B820C3"/>
    <w:rsid w:val="00B830CD"/>
    <w:rsid w:val="00B831CC"/>
    <w:rsid w:val="00B83B93"/>
    <w:rsid w:val="00B83C3B"/>
    <w:rsid w:val="00B83C46"/>
    <w:rsid w:val="00B85A2F"/>
    <w:rsid w:val="00B85DA4"/>
    <w:rsid w:val="00B86CB5"/>
    <w:rsid w:val="00B87E8F"/>
    <w:rsid w:val="00B9141B"/>
    <w:rsid w:val="00B922B4"/>
    <w:rsid w:val="00B931AE"/>
    <w:rsid w:val="00B93713"/>
    <w:rsid w:val="00B947C3"/>
    <w:rsid w:val="00B94FD6"/>
    <w:rsid w:val="00B950A4"/>
    <w:rsid w:val="00B95DD2"/>
    <w:rsid w:val="00B961D4"/>
    <w:rsid w:val="00B963E2"/>
    <w:rsid w:val="00B9769F"/>
    <w:rsid w:val="00BA0754"/>
    <w:rsid w:val="00BA1E00"/>
    <w:rsid w:val="00BA29AD"/>
    <w:rsid w:val="00BA2E32"/>
    <w:rsid w:val="00BA3E56"/>
    <w:rsid w:val="00BA4171"/>
    <w:rsid w:val="00BA481A"/>
    <w:rsid w:val="00BA4C3E"/>
    <w:rsid w:val="00BA5243"/>
    <w:rsid w:val="00BA52E9"/>
    <w:rsid w:val="00BA5B20"/>
    <w:rsid w:val="00BA70B4"/>
    <w:rsid w:val="00BB0A98"/>
    <w:rsid w:val="00BB1350"/>
    <w:rsid w:val="00BB1A43"/>
    <w:rsid w:val="00BB1E1E"/>
    <w:rsid w:val="00BB407F"/>
    <w:rsid w:val="00BB438F"/>
    <w:rsid w:val="00BB4C98"/>
    <w:rsid w:val="00BB50A5"/>
    <w:rsid w:val="00BB6D79"/>
    <w:rsid w:val="00BB6E00"/>
    <w:rsid w:val="00BB7320"/>
    <w:rsid w:val="00BB7A7D"/>
    <w:rsid w:val="00BC2A09"/>
    <w:rsid w:val="00BC3784"/>
    <w:rsid w:val="00BC3CEE"/>
    <w:rsid w:val="00BC3E12"/>
    <w:rsid w:val="00BC4125"/>
    <w:rsid w:val="00BC450B"/>
    <w:rsid w:val="00BC4898"/>
    <w:rsid w:val="00BC5171"/>
    <w:rsid w:val="00BC6897"/>
    <w:rsid w:val="00BC699A"/>
    <w:rsid w:val="00BD017A"/>
    <w:rsid w:val="00BD0646"/>
    <w:rsid w:val="00BD09B0"/>
    <w:rsid w:val="00BD11DA"/>
    <w:rsid w:val="00BD1BD2"/>
    <w:rsid w:val="00BD24E7"/>
    <w:rsid w:val="00BD2614"/>
    <w:rsid w:val="00BD2A16"/>
    <w:rsid w:val="00BD2FB1"/>
    <w:rsid w:val="00BD3FE7"/>
    <w:rsid w:val="00BD415F"/>
    <w:rsid w:val="00BD5428"/>
    <w:rsid w:val="00BD54F1"/>
    <w:rsid w:val="00BD5BAF"/>
    <w:rsid w:val="00BD600F"/>
    <w:rsid w:val="00BD6867"/>
    <w:rsid w:val="00BD7220"/>
    <w:rsid w:val="00BE06F9"/>
    <w:rsid w:val="00BE1180"/>
    <w:rsid w:val="00BE12F2"/>
    <w:rsid w:val="00BE1D67"/>
    <w:rsid w:val="00BE2331"/>
    <w:rsid w:val="00BE2AE4"/>
    <w:rsid w:val="00BE3870"/>
    <w:rsid w:val="00BE38FE"/>
    <w:rsid w:val="00BE3C56"/>
    <w:rsid w:val="00BE4B27"/>
    <w:rsid w:val="00BE5733"/>
    <w:rsid w:val="00BE58A3"/>
    <w:rsid w:val="00BE5AE9"/>
    <w:rsid w:val="00BE650A"/>
    <w:rsid w:val="00BE7328"/>
    <w:rsid w:val="00BE777A"/>
    <w:rsid w:val="00BF0E0C"/>
    <w:rsid w:val="00BF1989"/>
    <w:rsid w:val="00BF1BC7"/>
    <w:rsid w:val="00BF2423"/>
    <w:rsid w:val="00BF3E2F"/>
    <w:rsid w:val="00BF4430"/>
    <w:rsid w:val="00BF552A"/>
    <w:rsid w:val="00BF591D"/>
    <w:rsid w:val="00BF5CB1"/>
    <w:rsid w:val="00BF6214"/>
    <w:rsid w:val="00C01093"/>
    <w:rsid w:val="00C01B28"/>
    <w:rsid w:val="00C01F05"/>
    <w:rsid w:val="00C01F10"/>
    <w:rsid w:val="00C034A6"/>
    <w:rsid w:val="00C03AAA"/>
    <w:rsid w:val="00C03FE5"/>
    <w:rsid w:val="00C04293"/>
    <w:rsid w:val="00C042A7"/>
    <w:rsid w:val="00C04405"/>
    <w:rsid w:val="00C054AA"/>
    <w:rsid w:val="00C059AA"/>
    <w:rsid w:val="00C05B11"/>
    <w:rsid w:val="00C06666"/>
    <w:rsid w:val="00C074F1"/>
    <w:rsid w:val="00C1007D"/>
    <w:rsid w:val="00C1026A"/>
    <w:rsid w:val="00C10CD8"/>
    <w:rsid w:val="00C11257"/>
    <w:rsid w:val="00C1203F"/>
    <w:rsid w:val="00C122D8"/>
    <w:rsid w:val="00C14013"/>
    <w:rsid w:val="00C141E9"/>
    <w:rsid w:val="00C14239"/>
    <w:rsid w:val="00C14352"/>
    <w:rsid w:val="00C152B0"/>
    <w:rsid w:val="00C15A41"/>
    <w:rsid w:val="00C15E8B"/>
    <w:rsid w:val="00C16583"/>
    <w:rsid w:val="00C17457"/>
    <w:rsid w:val="00C17ECD"/>
    <w:rsid w:val="00C202EA"/>
    <w:rsid w:val="00C210B6"/>
    <w:rsid w:val="00C211BE"/>
    <w:rsid w:val="00C21F32"/>
    <w:rsid w:val="00C22743"/>
    <w:rsid w:val="00C240EF"/>
    <w:rsid w:val="00C250E4"/>
    <w:rsid w:val="00C25EC6"/>
    <w:rsid w:val="00C2674B"/>
    <w:rsid w:val="00C275C8"/>
    <w:rsid w:val="00C27889"/>
    <w:rsid w:val="00C27D65"/>
    <w:rsid w:val="00C3018D"/>
    <w:rsid w:val="00C301DF"/>
    <w:rsid w:val="00C303BF"/>
    <w:rsid w:val="00C30922"/>
    <w:rsid w:val="00C31B38"/>
    <w:rsid w:val="00C3206E"/>
    <w:rsid w:val="00C33338"/>
    <w:rsid w:val="00C3382C"/>
    <w:rsid w:val="00C33B14"/>
    <w:rsid w:val="00C34074"/>
    <w:rsid w:val="00C342E3"/>
    <w:rsid w:val="00C34614"/>
    <w:rsid w:val="00C3495F"/>
    <w:rsid w:val="00C35CED"/>
    <w:rsid w:val="00C36836"/>
    <w:rsid w:val="00C37C6E"/>
    <w:rsid w:val="00C37C91"/>
    <w:rsid w:val="00C40380"/>
    <w:rsid w:val="00C406B7"/>
    <w:rsid w:val="00C40985"/>
    <w:rsid w:val="00C40D66"/>
    <w:rsid w:val="00C40E8C"/>
    <w:rsid w:val="00C41488"/>
    <w:rsid w:val="00C420DE"/>
    <w:rsid w:val="00C42BC5"/>
    <w:rsid w:val="00C42D96"/>
    <w:rsid w:val="00C43336"/>
    <w:rsid w:val="00C43777"/>
    <w:rsid w:val="00C451A5"/>
    <w:rsid w:val="00C452B1"/>
    <w:rsid w:val="00C4684C"/>
    <w:rsid w:val="00C4763F"/>
    <w:rsid w:val="00C47C1A"/>
    <w:rsid w:val="00C51016"/>
    <w:rsid w:val="00C514A3"/>
    <w:rsid w:val="00C52B30"/>
    <w:rsid w:val="00C52B90"/>
    <w:rsid w:val="00C5322B"/>
    <w:rsid w:val="00C5438F"/>
    <w:rsid w:val="00C54691"/>
    <w:rsid w:val="00C5471D"/>
    <w:rsid w:val="00C55669"/>
    <w:rsid w:val="00C56102"/>
    <w:rsid w:val="00C5659E"/>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67DF1"/>
    <w:rsid w:val="00C70BAB"/>
    <w:rsid w:val="00C71FF4"/>
    <w:rsid w:val="00C72E84"/>
    <w:rsid w:val="00C741BF"/>
    <w:rsid w:val="00C74503"/>
    <w:rsid w:val="00C76C6E"/>
    <w:rsid w:val="00C77313"/>
    <w:rsid w:val="00C774E8"/>
    <w:rsid w:val="00C77BBC"/>
    <w:rsid w:val="00C80535"/>
    <w:rsid w:val="00C80EE0"/>
    <w:rsid w:val="00C81489"/>
    <w:rsid w:val="00C81ACD"/>
    <w:rsid w:val="00C82512"/>
    <w:rsid w:val="00C82839"/>
    <w:rsid w:val="00C82A08"/>
    <w:rsid w:val="00C82B7E"/>
    <w:rsid w:val="00C82C06"/>
    <w:rsid w:val="00C8357A"/>
    <w:rsid w:val="00C847A3"/>
    <w:rsid w:val="00C84CB4"/>
    <w:rsid w:val="00C84DBC"/>
    <w:rsid w:val="00C852AF"/>
    <w:rsid w:val="00C857AB"/>
    <w:rsid w:val="00C86711"/>
    <w:rsid w:val="00C901AC"/>
    <w:rsid w:val="00C91884"/>
    <w:rsid w:val="00C9224D"/>
    <w:rsid w:val="00C92B60"/>
    <w:rsid w:val="00C9307A"/>
    <w:rsid w:val="00C9327A"/>
    <w:rsid w:val="00C93692"/>
    <w:rsid w:val="00C939F4"/>
    <w:rsid w:val="00C941EB"/>
    <w:rsid w:val="00C9422A"/>
    <w:rsid w:val="00C95447"/>
    <w:rsid w:val="00C96166"/>
    <w:rsid w:val="00C964FC"/>
    <w:rsid w:val="00C9700C"/>
    <w:rsid w:val="00CA0019"/>
    <w:rsid w:val="00CA0D37"/>
    <w:rsid w:val="00CA0F0D"/>
    <w:rsid w:val="00CA0F54"/>
    <w:rsid w:val="00CA0F99"/>
    <w:rsid w:val="00CA1C64"/>
    <w:rsid w:val="00CA1D5D"/>
    <w:rsid w:val="00CA2078"/>
    <w:rsid w:val="00CA2332"/>
    <w:rsid w:val="00CA423E"/>
    <w:rsid w:val="00CA614A"/>
    <w:rsid w:val="00CA61DE"/>
    <w:rsid w:val="00CA6354"/>
    <w:rsid w:val="00CA7C5A"/>
    <w:rsid w:val="00CB008D"/>
    <w:rsid w:val="00CB1802"/>
    <w:rsid w:val="00CB1919"/>
    <w:rsid w:val="00CB1D53"/>
    <w:rsid w:val="00CB2344"/>
    <w:rsid w:val="00CB5167"/>
    <w:rsid w:val="00CB6362"/>
    <w:rsid w:val="00CB673C"/>
    <w:rsid w:val="00CB6F10"/>
    <w:rsid w:val="00CB72B1"/>
    <w:rsid w:val="00CB7405"/>
    <w:rsid w:val="00CC0433"/>
    <w:rsid w:val="00CC119D"/>
    <w:rsid w:val="00CC1282"/>
    <w:rsid w:val="00CC1560"/>
    <w:rsid w:val="00CC3B6D"/>
    <w:rsid w:val="00CC4733"/>
    <w:rsid w:val="00CC504C"/>
    <w:rsid w:val="00CC5543"/>
    <w:rsid w:val="00CC689D"/>
    <w:rsid w:val="00CC6FF0"/>
    <w:rsid w:val="00CC7C02"/>
    <w:rsid w:val="00CD0115"/>
    <w:rsid w:val="00CD1892"/>
    <w:rsid w:val="00CD1BA2"/>
    <w:rsid w:val="00CD215D"/>
    <w:rsid w:val="00CD235A"/>
    <w:rsid w:val="00CD2588"/>
    <w:rsid w:val="00CD2B82"/>
    <w:rsid w:val="00CD3687"/>
    <w:rsid w:val="00CD3AFD"/>
    <w:rsid w:val="00CD3D12"/>
    <w:rsid w:val="00CD44CF"/>
    <w:rsid w:val="00CD46D9"/>
    <w:rsid w:val="00CD4A4E"/>
    <w:rsid w:val="00CD5532"/>
    <w:rsid w:val="00CD5B22"/>
    <w:rsid w:val="00CD5E81"/>
    <w:rsid w:val="00CD6923"/>
    <w:rsid w:val="00CD69A7"/>
    <w:rsid w:val="00CD7609"/>
    <w:rsid w:val="00CD7660"/>
    <w:rsid w:val="00CE043D"/>
    <w:rsid w:val="00CE0649"/>
    <w:rsid w:val="00CE1BC9"/>
    <w:rsid w:val="00CE264E"/>
    <w:rsid w:val="00CE2A18"/>
    <w:rsid w:val="00CE37E6"/>
    <w:rsid w:val="00CE4C1A"/>
    <w:rsid w:val="00CE53A8"/>
    <w:rsid w:val="00CE57BE"/>
    <w:rsid w:val="00CE57E0"/>
    <w:rsid w:val="00CE5BAF"/>
    <w:rsid w:val="00CE5E5B"/>
    <w:rsid w:val="00CE6170"/>
    <w:rsid w:val="00CE7261"/>
    <w:rsid w:val="00CE7C1F"/>
    <w:rsid w:val="00CE7CFB"/>
    <w:rsid w:val="00CF2836"/>
    <w:rsid w:val="00CF3487"/>
    <w:rsid w:val="00CF38F5"/>
    <w:rsid w:val="00CF3CA3"/>
    <w:rsid w:val="00CF402C"/>
    <w:rsid w:val="00CF41C0"/>
    <w:rsid w:val="00CF4CD9"/>
    <w:rsid w:val="00CF5126"/>
    <w:rsid w:val="00CF63C2"/>
    <w:rsid w:val="00CF679A"/>
    <w:rsid w:val="00CF6A64"/>
    <w:rsid w:val="00CF6AEF"/>
    <w:rsid w:val="00CF70C0"/>
    <w:rsid w:val="00CF721E"/>
    <w:rsid w:val="00CF77F9"/>
    <w:rsid w:val="00D001DB"/>
    <w:rsid w:val="00D01A24"/>
    <w:rsid w:val="00D01ECF"/>
    <w:rsid w:val="00D01FEB"/>
    <w:rsid w:val="00D0318B"/>
    <w:rsid w:val="00D03C41"/>
    <w:rsid w:val="00D03CF9"/>
    <w:rsid w:val="00D0690E"/>
    <w:rsid w:val="00D06BA6"/>
    <w:rsid w:val="00D06CF0"/>
    <w:rsid w:val="00D07001"/>
    <w:rsid w:val="00D071AA"/>
    <w:rsid w:val="00D07CB3"/>
    <w:rsid w:val="00D100A5"/>
    <w:rsid w:val="00D10395"/>
    <w:rsid w:val="00D11069"/>
    <w:rsid w:val="00D1135D"/>
    <w:rsid w:val="00D113AF"/>
    <w:rsid w:val="00D1188C"/>
    <w:rsid w:val="00D11B6F"/>
    <w:rsid w:val="00D12030"/>
    <w:rsid w:val="00D12B2F"/>
    <w:rsid w:val="00D12B76"/>
    <w:rsid w:val="00D12E69"/>
    <w:rsid w:val="00D13E65"/>
    <w:rsid w:val="00D14146"/>
    <w:rsid w:val="00D143A7"/>
    <w:rsid w:val="00D144EC"/>
    <w:rsid w:val="00D14D4C"/>
    <w:rsid w:val="00D1534C"/>
    <w:rsid w:val="00D154F9"/>
    <w:rsid w:val="00D15D36"/>
    <w:rsid w:val="00D17450"/>
    <w:rsid w:val="00D20F51"/>
    <w:rsid w:val="00D21586"/>
    <w:rsid w:val="00D21AC3"/>
    <w:rsid w:val="00D225D9"/>
    <w:rsid w:val="00D2266C"/>
    <w:rsid w:val="00D233A7"/>
    <w:rsid w:val="00D24F85"/>
    <w:rsid w:val="00D2578E"/>
    <w:rsid w:val="00D263C7"/>
    <w:rsid w:val="00D265AB"/>
    <w:rsid w:val="00D30D53"/>
    <w:rsid w:val="00D3169F"/>
    <w:rsid w:val="00D31748"/>
    <w:rsid w:val="00D323B3"/>
    <w:rsid w:val="00D32BA8"/>
    <w:rsid w:val="00D3434B"/>
    <w:rsid w:val="00D35165"/>
    <w:rsid w:val="00D359E8"/>
    <w:rsid w:val="00D36B82"/>
    <w:rsid w:val="00D374DB"/>
    <w:rsid w:val="00D37ED3"/>
    <w:rsid w:val="00D404EF"/>
    <w:rsid w:val="00D40A43"/>
    <w:rsid w:val="00D40DF4"/>
    <w:rsid w:val="00D41BC5"/>
    <w:rsid w:val="00D41C10"/>
    <w:rsid w:val="00D42552"/>
    <w:rsid w:val="00D42AF1"/>
    <w:rsid w:val="00D42B8F"/>
    <w:rsid w:val="00D4397D"/>
    <w:rsid w:val="00D443D9"/>
    <w:rsid w:val="00D4445B"/>
    <w:rsid w:val="00D44D2A"/>
    <w:rsid w:val="00D4566A"/>
    <w:rsid w:val="00D462C7"/>
    <w:rsid w:val="00D4665F"/>
    <w:rsid w:val="00D47739"/>
    <w:rsid w:val="00D47B96"/>
    <w:rsid w:val="00D5151E"/>
    <w:rsid w:val="00D5185E"/>
    <w:rsid w:val="00D51C8E"/>
    <w:rsid w:val="00D5212D"/>
    <w:rsid w:val="00D52774"/>
    <w:rsid w:val="00D53CE1"/>
    <w:rsid w:val="00D55D9B"/>
    <w:rsid w:val="00D55FFA"/>
    <w:rsid w:val="00D5647F"/>
    <w:rsid w:val="00D56AEF"/>
    <w:rsid w:val="00D57499"/>
    <w:rsid w:val="00D575D8"/>
    <w:rsid w:val="00D57A95"/>
    <w:rsid w:val="00D57EE6"/>
    <w:rsid w:val="00D6044D"/>
    <w:rsid w:val="00D606F3"/>
    <w:rsid w:val="00D6116B"/>
    <w:rsid w:val="00D6122E"/>
    <w:rsid w:val="00D61844"/>
    <w:rsid w:val="00D6215F"/>
    <w:rsid w:val="00D625E3"/>
    <w:rsid w:val="00D626EC"/>
    <w:rsid w:val="00D627D1"/>
    <w:rsid w:val="00D64272"/>
    <w:rsid w:val="00D64677"/>
    <w:rsid w:val="00D64945"/>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0F37"/>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AC0"/>
    <w:rsid w:val="00D91B0C"/>
    <w:rsid w:val="00D91B37"/>
    <w:rsid w:val="00D91B61"/>
    <w:rsid w:val="00D92ED2"/>
    <w:rsid w:val="00D94749"/>
    <w:rsid w:val="00D94FBE"/>
    <w:rsid w:val="00D956AA"/>
    <w:rsid w:val="00D95D0C"/>
    <w:rsid w:val="00D96526"/>
    <w:rsid w:val="00D96E1F"/>
    <w:rsid w:val="00D9714C"/>
    <w:rsid w:val="00D97F72"/>
    <w:rsid w:val="00D97FA5"/>
    <w:rsid w:val="00DA0679"/>
    <w:rsid w:val="00DA07B2"/>
    <w:rsid w:val="00DA0D7E"/>
    <w:rsid w:val="00DA1B5B"/>
    <w:rsid w:val="00DA1BC8"/>
    <w:rsid w:val="00DA2AD2"/>
    <w:rsid w:val="00DA2C4B"/>
    <w:rsid w:val="00DA3AF0"/>
    <w:rsid w:val="00DA3E1E"/>
    <w:rsid w:val="00DA3FE0"/>
    <w:rsid w:val="00DA47E9"/>
    <w:rsid w:val="00DA49F1"/>
    <w:rsid w:val="00DA4B75"/>
    <w:rsid w:val="00DA4F2A"/>
    <w:rsid w:val="00DA5EB8"/>
    <w:rsid w:val="00DA6146"/>
    <w:rsid w:val="00DA7B8B"/>
    <w:rsid w:val="00DA7BD2"/>
    <w:rsid w:val="00DB1471"/>
    <w:rsid w:val="00DB1A03"/>
    <w:rsid w:val="00DB244C"/>
    <w:rsid w:val="00DB399F"/>
    <w:rsid w:val="00DB45B6"/>
    <w:rsid w:val="00DB4B69"/>
    <w:rsid w:val="00DB5DF9"/>
    <w:rsid w:val="00DB6722"/>
    <w:rsid w:val="00DB77E2"/>
    <w:rsid w:val="00DC0747"/>
    <w:rsid w:val="00DC129C"/>
    <w:rsid w:val="00DC1BC5"/>
    <w:rsid w:val="00DC1FCB"/>
    <w:rsid w:val="00DC210A"/>
    <w:rsid w:val="00DC2FF4"/>
    <w:rsid w:val="00DC315F"/>
    <w:rsid w:val="00DC319E"/>
    <w:rsid w:val="00DC337D"/>
    <w:rsid w:val="00DC34A9"/>
    <w:rsid w:val="00DC5716"/>
    <w:rsid w:val="00DC5AB3"/>
    <w:rsid w:val="00DC5F6F"/>
    <w:rsid w:val="00DC65D6"/>
    <w:rsid w:val="00DC69B9"/>
    <w:rsid w:val="00DC6FFA"/>
    <w:rsid w:val="00DC79C7"/>
    <w:rsid w:val="00DC7EE9"/>
    <w:rsid w:val="00DD05CF"/>
    <w:rsid w:val="00DD0B9E"/>
    <w:rsid w:val="00DD1B7E"/>
    <w:rsid w:val="00DD24E9"/>
    <w:rsid w:val="00DD2C8E"/>
    <w:rsid w:val="00DD436B"/>
    <w:rsid w:val="00DD4AC3"/>
    <w:rsid w:val="00DD4F1D"/>
    <w:rsid w:val="00DD5490"/>
    <w:rsid w:val="00DD5526"/>
    <w:rsid w:val="00DD6278"/>
    <w:rsid w:val="00DD666F"/>
    <w:rsid w:val="00DD6C27"/>
    <w:rsid w:val="00DD7394"/>
    <w:rsid w:val="00DD7D9F"/>
    <w:rsid w:val="00DE0D4E"/>
    <w:rsid w:val="00DE1631"/>
    <w:rsid w:val="00DE1D69"/>
    <w:rsid w:val="00DE24E4"/>
    <w:rsid w:val="00DE2C23"/>
    <w:rsid w:val="00DE3066"/>
    <w:rsid w:val="00DE3718"/>
    <w:rsid w:val="00DE5120"/>
    <w:rsid w:val="00DE53DB"/>
    <w:rsid w:val="00DE63D6"/>
    <w:rsid w:val="00DE6A13"/>
    <w:rsid w:val="00DE739B"/>
    <w:rsid w:val="00DE78B0"/>
    <w:rsid w:val="00DE7D38"/>
    <w:rsid w:val="00DF00A1"/>
    <w:rsid w:val="00DF0906"/>
    <w:rsid w:val="00DF0AE0"/>
    <w:rsid w:val="00DF2662"/>
    <w:rsid w:val="00DF2DE1"/>
    <w:rsid w:val="00DF394B"/>
    <w:rsid w:val="00DF4BD3"/>
    <w:rsid w:val="00DF5880"/>
    <w:rsid w:val="00DF62E1"/>
    <w:rsid w:val="00DF67DF"/>
    <w:rsid w:val="00DF7887"/>
    <w:rsid w:val="00DF7B69"/>
    <w:rsid w:val="00DF7CA5"/>
    <w:rsid w:val="00E014D3"/>
    <w:rsid w:val="00E02664"/>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1E29"/>
    <w:rsid w:val="00E2202F"/>
    <w:rsid w:val="00E22234"/>
    <w:rsid w:val="00E227FE"/>
    <w:rsid w:val="00E23595"/>
    <w:rsid w:val="00E23D5D"/>
    <w:rsid w:val="00E2572A"/>
    <w:rsid w:val="00E26D2B"/>
    <w:rsid w:val="00E274E5"/>
    <w:rsid w:val="00E275D0"/>
    <w:rsid w:val="00E278C0"/>
    <w:rsid w:val="00E307CB"/>
    <w:rsid w:val="00E308AE"/>
    <w:rsid w:val="00E32262"/>
    <w:rsid w:val="00E336DD"/>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235A"/>
    <w:rsid w:val="00E525D8"/>
    <w:rsid w:val="00E530DE"/>
    <w:rsid w:val="00E534AE"/>
    <w:rsid w:val="00E53AFF"/>
    <w:rsid w:val="00E54AE0"/>
    <w:rsid w:val="00E5537C"/>
    <w:rsid w:val="00E5579C"/>
    <w:rsid w:val="00E55A21"/>
    <w:rsid w:val="00E55EFF"/>
    <w:rsid w:val="00E56526"/>
    <w:rsid w:val="00E574AF"/>
    <w:rsid w:val="00E60BE0"/>
    <w:rsid w:val="00E61975"/>
    <w:rsid w:val="00E61DFF"/>
    <w:rsid w:val="00E62A0A"/>
    <w:rsid w:val="00E6318D"/>
    <w:rsid w:val="00E6351A"/>
    <w:rsid w:val="00E6355E"/>
    <w:rsid w:val="00E6371B"/>
    <w:rsid w:val="00E6436B"/>
    <w:rsid w:val="00E64448"/>
    <w:rsid w:val="00E64AEB"/>
    <w:rsid w:val="00E6518A"/>
    <w:rsid w:val="00E67E69"/>
    <w:rsid w:val="00E67F5A"/>
    <w:rsid w:val="00E67F87"/>
    <w:rsid w:val="00E70295"/>
    <w:rsid w:val="00E70CF8"/>
    <w:rsid w:val="00E758F7"/>
    <w:rsid w:val="00E76284"/>
    <w:rsid w:val="00E76D41"/>
    <w:rsid w:val="00E80F9F"/>
    <w:rsid w:val="00E813C5"/>
    <w:rsid w:val="00E814B2"/>
    <w:rsid w:val="00E82833"/>
    <w:rsid w:val="00E82E6F"/>
    <w:rsid w:val="00E83005"/>
    <w:rsid w:val="00E84821"/>
    <w:rsid w:val="00E8488D"/>
    <w:rsid w:val="00E84E52"/>
    <w:rsid w:val="00E85C5C"/>
    <w:rsid w:val="00E86B97"/>
    <w:rsid w:val="00E87001"/>
    <w:rsid w:val="00E870C8"/>
    <w:rsid w:val="00E8765A"/>
    <w:rsid w:val="00E87BE0"/>
    <w:rsid w:val="00E91800"/>
    <w:rsid w:val="00E91BA9"/>
    <w:rsid w:val="00E9229E"/>
    <w:rsid w:val="00E9264C"/>
    <w:rsid w:val="00E93D0C"/>
    <w:rsid w:val="00E93DDC"/>
    <w:rsid w:val="00E94078"/>
    <w:rsid w:val="00E94890"/>
    <w:rsid w:val="00E94AA2"/>
    <w:rsid w:val="00E95557"/>
    <w:rsid w:val="00E956B7"/>
    <w:rsid w:val="00E958A3"/>
    <w:rsid w:val="00E97076"/>
    <w:rsid w:val="00E97B60"/>
    <w:rsid w:val="00EA196C"/>
    <w:rsid w:val="00EA1F9F"/>
    <w:rsid w:val="00EA2712"/>
    <w:rsid w:val="00EA3022"/>
    <w:rsid w:val="00EA33A4"/>
    <w:rsid w:val="00EA3A18"/>
    <w:rsid w:val="00EA3C26"/>
    <w:rsid w:val="00EA3D34"/>
    <w:rsid w:val="00EA3D5D"/>
    <w:rsid w:val="00EA4A72"/>
    <w:rsid w:val="00EA4A79"/>
    <w:rsid w:val="00EA5BD8"/>
    <w:rsid w:val="00EA69C3"/>
    <w:rsid w:val="00EA6E58"/>
    <w:rsid w:val="00EA7A08"/>
    <w:rsid w:val="00EB0EED"/>
    <w:rsid w:val="00EB12B9"/>
    <w:rsid w:val="00EB1663"/>
    <w:rsid w:val="00EB1F4D"/>
    <w:rsid w:val="00EB2143"/>
    <w:rsid w:val="00EB21F8"/>
    <w:rsid w:val="00EB28F1"/>
    <w:rsid w:val="00EB33D5"/>
    <w:rsid w:val="00EB35B9"/>
    <w:rsid w:val="00EB3BF6"/>
    <w:rsid w:val="00EB429B"/>
    <w:rsid w:val="00EB43B8"/>
    <w:rsid w:val="00EB44CB"/>
    <w:rsid w:val="00EB4B81"/>
    <w:rsid w:val="00EB4DA0"/>
    <w:rsid w:val="00EB5036"/>
    <w:rsid w:val="00EB5045"/>
    <w:rsid w:val="00EB6066"/>
    <w:rsid w:val="00EB66C2"/>
    <w:rsid w:val="00EB73C0"/>
    <w:rsid w:val="00EB7D35"/>
    <w:rsid w:val="00EC059A"/>
    <w:rsid w:val="00EC0827"/>
    <w:rsid w:val="00EC0B9A"/>
    <w:rsid w:val="00EC23E7"/>
    <w:rsid w:val="00EC3578"/>
    <w:rsid w:val="00EC46E7"/>
    <w:rsid w:val="00EC492E"/>
    <w:rsid w:val="00EC4F80"/>
    <w:rsid w:val="00EC5DC8"/>
    <w:rsid w:val="00EC6070"/>
    <w:rsid w:val="00EC646B"/>
    <w:rsid w:val="00EC7586"/>
    <w:rsid w:val="00EC7A39"/>
    <w:rsid w:val="00ED0BD0"/>
    <w:rsid w:val="00ED101B"/>
    <w:rsid w:val="00ED1D3F"/>
    <w:rsid w:val="00ED208E"/>
    <w:rsid w:val="00ED3588"/>
    <w:rsid w:val="00ED3C03"/>
    <w:rsid w:val="00ED3C80"/>
    <w:rsid w:val="00ED63E1"/>
    <w:rsid w:val="00ED74EF"/>
    <w:rsid w:val="00ED7CF5"/>
    <w:rsid w:val="00EE0648"/>
    <w:rsid w:val="00EE06E2"/>
    <w:rsid w:val="00EE0B81"/>
    <w:rsid w:val="00EE0E2F"/>
    <w:rsid w:val="00EE1427"/>
    <w:rsid w:val="00EE1819"/>
    <w:rsid w:val="00EE19BF"/>
    <w:rsid w:val="00EE3DC2"/>
    <w:rsid w:val="00EE45ED"/>
    <w:rsid w:val="00EE49FD"/>
    <w:rsid w:val="00EE580E"/>
    <w:rsid w:val="00EE691D"/>
    <w:rsid w:val="00EE6A25"/>
    <w:rsid w:val="00EE725D"/>
    <w:rsid w:val="00EE7CC1"/>
    <w:rsid w:val="00EF04C1"/>
    <w:rsid w:val="00EF0C8E"/>
    <w:rsid w:val="00EF31E7"/>
    <w:rsid w:val="00EF3E62"/>
    <w:rsid w:val="00EF40EB"/>
    <w:rsid w:val="00EF42AF"/>
    <w:rsid w:val="00EF50F8"/>
    <w:rsid w:val="00EF5172"/>
    <w:rsid w:val="00EF545F"/>
    <w:rsid w:val="00EF5AE8"/>
    <w:rsid w:val="00EF6001"/>
    <w:rsid w:val="00EF62C1"/>
    <w:rsid w:val="00EF62CE"/>
    <w:rsid w:val="00EF661B"/>
    <w:rsid w:val="00EF7816"/>
    <w:rsid w:val="00EF7926"/>
    <w:rsid w:val="00EF7E7A"/>
    <w:rsid w:val="00F0029B"/>
    <w:rsid w:val="00F00C82"/>
    <w:rsid w:val="00F00DC0"/>
    <w:rsid w:val="00F00E13"/>
    <w:rsid w:val="00F012F7"/>
    <w:rsid w:val="00F02DF1"/>
    <w:rsid w:val="00F037B2"/>
    <w:rsid w:val="00F041E4"/>
    <w:rsid w:val="00F0425C"/>
    <w:rsid w:val="00F04878"/>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45D6"/>
    <w:rsid w:val="00F149CE"/>
    <w:rsid w:val="00F1609A"/>
    <w:rsid w:val="00F169EE"/>
    <w:rsid w:val="00F171AC"/>
    <w:rsid w:val="00F17592"/>
    <w:rsid w:val="00F175BB"/>
    <w:rsid w:val="00F179E1"/>
    <w:rsid w:val="00F17AA5"/>
    <w:rsid w:val="00F20170"/>
    <w:rsid w:val="00F2270D"/>
    <w:rsid w:val="00F234F3"/>
    <w:rsid w:val="00F238E9"/>
    <w:rsid w:val="00F25171"/>
    <w:rsid w:val="00F269A2"/>
    <w:rsid w:val="00F26AB2"/>
    <w:rsid w:val="00F26D09"/>
    <w:rsid w:val="00F27299"/>
    <w:rsid w:val="00F27D3C"/>
    <w:rsid w:val="00F300E5"/>
    <w:rsid w:val="00F31973"/>
    <w:rsid w:val="00F31CC4"/>
    <w:rsid w:val="00F31FDD"/>
    <w:rsid w:val="00F32A9C"/>
    <w:rsid w:val="00F33177"/>
    <w:rsid w:val="00F34291"/>
    <w:rsid w:val="00F343A8"/>
    <w:rsid w:val="00F348FE"/>
    <w:rsid w:val="00F34BD2"/>
    <w:rsid w:val="00F35B1E"/>
    <w:rsid w:val="00F378F4"/>
    <w:rsid w:val="00F37A18"/>
    <w:rsid w:val="00F40148"/>
    <w:rsid w:val="00F41F97"/>
    <w:rsid w:val="00F42180"/>
    <w:rsid w:val="00F423AB"/>
    <w:rsid w:val="00F42B88"/>
    <w:rsid w:val="00F4347A"/>
    <w:rsid w:val="00F4435A"/>
    <w:rsid w:val="00F44617"/>
    <w:rsid w:val="00F44CE6"/>
    <w:rsid w:val="00F44CEB"/>
    <w:rsid w:val="00F45AB0"/>
    <w:rsid w:val="00F45C38"/>
    <w:rsid w:val="00F45DF9"/>
    <w:rsid w:val="00F46EE7"/>
    <w:rsid w:val="00F46F92"/>
    <w:rsid w:val="00F47272"/>
    <w:rsid w:val="00F479E3"/>
    <w:rsid w:val="00F479E5"/>
    <w:rsid w:val="00F50113"/>
    <w:rsid w:val="00F5085D"/>
    <w:rsid w:val="00F508A7"/>
    <w:rsid w:val="00F50D59"/>
    <w:rsid w:val="00F50F94"/>
    <w:rsid w:val="00F51801"/>
    <w:rsid w:val="00F51AD3"/>
    <w:rsid w:val="00F51DA7"/>
    <w:rsid w:val="00F51E81"/>
    <w:rsid w:val="00F51FE9"/>
    <w:rsid w:val="00F5225F"/>
    <w:rsid w:val="00F5337A"/>
    <w:rsid w:val="00F5410C"/>
    <w:rsid w:val="00F5433B"/>
    <w:rsid w:val="00F5479C"/>
    <w:rsid w:val="00F5515E"/>
    <w:rsid w:val="00F553FB"/>
    <w:rsid w:val="00F55870"/>
    <w:rsid w:val="00F55C41"/>
    <w:rsid w:val="00F56676"/>
    <w:rsid w:val="00F56CA2"/>
    <w:rsid w:val="00F575E3"/>
    <w:rsid w:val="00F60070"/>
    <w:rsid w:val="00F6023F"/>
    <w:rsid w:val="00F604CA"/>
    <w:rsid w:val="00F60CB2"/>
    <w:rsid w:val="00F6151B"/>
    <w:rsid w:val="00F61B72"/>
    <w:rsid w:val="00F627F2"/>
    <w:rsid w:val="00F6311C"/>
    <w:rsid w:val="00F63213"/>
    <w:rsid w:val="00F63A55"/>
    <w:rsid w:val="00F642CF"/>
    <w:rsid w:val="00F64802"/>
    <w:rsid w:val="00F65BB7"/>
    <w:rsid w:val="00F66734"/>
    <w:rsid w:val="00F67103"/>
    <w:rsid w:val="00F67FF8"/>
    <w:rsid w:val="00F70623"/>
    <w:rsid w:val="00F7140A"/>
    <w:rsid w:val="00F72978"/>
    <w:rsid w:val="00F74B0B"/>
    <w:rsid w:val="00F75157"/>
    <w:rsid w:val="00F75384"/>
    <w:rsid w:val="00F76347"/>
    <w:rsid w:val="00F76983"/>
    <w:rsid w:val="00F76C13"/>
    <w:rsid w:val="00F7703D"/>
    <w:rsid w:val="00F775A0"/>
    <w:rsid w:val="00F80B98"/>
    <w:rsid w:val="00F810A5"/>
    <w:rsid w:val="00F82354"/>
    <w:rsid w:val="00F82FB8"/>
    <w:rsid w:val="00F83460"/>
    <w:rsid w:val="00F8355A"/>
    <w:rsid w:val="00F83926"/>
    <w:rsid w:val="00F8408F"/>
    <w:rsid w:val="00F84633"/>
    <w:rsid w:val="00F8589F"/>
    <w:rsid w:val="00F864BB"/>
    <w:rsid w:val="00F866D5"/>
    <w:rsid w:val="00F8671C"/>
    <w:rsid w:val="00F8718B"/>
    <w:rsid w:val="00F90C33"/>
    <w:rsid w:val="00F911FE"/>
    <w:rsid w:val="00F91DC0"/>
    <w:rsid w:val="00F9690D"/>
    <w:rsid w:val="00F9740E"/>
    <w:rsid w:val="00F97565"/>
    <w:rsid w:val="00FA03B4"/>
    <w:rsid w:val="00FA0A54"/>
    <w:rsid w:val="00FA18FA"/>
    <w:rsid w:val="00FA1E37"/>
    <w:rsid w:val="00FA1F82"/>
    <w:rsid w:val="00FA2321"/>
    <w:rsid w:val="00FA40D5"/>
    <w:rsid w:val="00FA45F1"/>
    <w:rsid w:val="00FA499E"/>
    <w:rsid w:val="00FA5C66"/>
    <w:rsid w:val="00FA6266"/>
    <w:rsid w:val="00FA675D"/>
    <w:rsid w:val="00FA6A70"/>
    <w:rsid w:val="00FB3B2D"/>
    <w:rsid w:val="00FB3F24"/>
    <w:rsid w:val="00FB468A"/>
    <w:rsid w:val="00FB5EEA"/>
    <w:rsid w:val="00FB6032"/>
    <w:rsid w:val="00FB65A5"/>
    <w:rsid w:val="00FC060C"/>
    <w:rsid w:val="00FC1072"/>
    <w:rsid w:val="00FC116F"/>
    <w:rsid w:val="00FC13B8"/>
    <w:rsid w:val="00FC1EEF"/>
    <w:rsid w:val="00FC2864"/>
    <w:rsid w:val="00FC41F4"/>
    <w:rsid w:val="00FC4242"/>
    <w:rsid w:val="00FC4760"/>
    <w:rsid w:val="00FC4D39"/>
    <w:rsid w:val="00FC50AE"/>
    <w:rsid w:val="00FC517D"/>
    <w:rsid w:val="00FC584C"/>
    <w:rsid w:val="00FC7CBD"/>
    <w:rsid w:val="00FC7EEF"/>
    <w:rsid w:val="00FD00C8"/>
    <w:rsid w:val="00FD0B2B"/>
    <w:rsid w:val="00FD1847"/>
    <w:rsid w:val="00FD2603"/>
    <w:rsid w:val="00FD26B7"/>
    <w:rsid w:val="00FD2A8E"/>
    <w:rsid w:val="00FD3C4E"/>
    <w:rsid w:val="00FD4A0C"/>
    <w:rsid w:val="00FD5364"/>
    <w:rsid w:val="00FD6FA3"/>
    <w:rsid w:val="00FD72DB"/>
    <w:rsid w:val="00FE0384"/>
    <w:rsid w:val="00FE16CE"/>
    <w:rsid w:val="00FE1F82"/>
    <w:rsid w:val="00FE37D3"/>
    <w:rsid w:val="00FE4746"/>
    <w:rsid w:val="00FE5244"/>
    <w:rsid w:val="00FE57B6"/>
    <w:rsid w:val="00FE6380"/>
    <w:rsid w:val="00FE6B5D"/>
    <w:rsid w:val="00FE6D80"/>
    <w:rsid w:val="00FF0363"/>
    <w:rsid w:val="00FF102A"/>
    <w:rsid w:val="00FF1435"/>
    <w:rsid w:val="00FF1C78"/>
    <w:rsid w:val="00FF2956"/>
    <w:rsid w:val="00FF3326"/>
    <w:rsid w:val="00FF4C34"/>
    <w:rsid w:val="00FF5FEA"/>
    <w:rsid w:val="00FF7030"/>
    <w:rsid w:val="00FF7BFA"/>
    <w:rsid w:val="01063F89"/>
    <w:rsid w:val="0107223D"/>
    <w:rsid w:val="01080A12"/>
    <w:rsid w:val="01227446"/>
    <w:rsid w:val="01583748"/>
    <w:rsid w:val="01695955"/>
    <w:rsid w:val="01B60A3F"/>
    <w:rsid w:val="01B72B02"/>
    <w:rsid w:val="01B841E6"/>
    <w:rsid w:val="01C30E19"/>
    <w:rsid w:val="01C74429"/>
    <w:rsid w:val="01D454A1"/>
    <w:rsid w:val="01E41C14"/>
    <w:rsid w:val="01E50E42"/>
    <w:rsid w:val="01EF572E"/>
    <w:rsid w:val="02173BC6"/>
    <w:rsid w:val="02234555"/>
    <w:rsid w:val="0225356F"/>
    <w:rsid w:val="023561A3"/>
    <w:rsid w:val="02371527"/>
    <w:rsid w:val="024F7ED5"/>
    <w:rsid w:val="0261662C"/>
    <w:rsid w:val="0270686F"/>
    <w:rsid w:val="027917BB"/>
    <w:rsid w:val="027A76EE"/>
    <w:rsid w:val="027B65B7"/>
    <w:rsid w:val="02B95A13"/>
    <w:rsid w:val="02CD2C4F"/>
    <w:rsid w:val="02CE6794"/>
    <w:rsid w:val="02D52D7F"/>
    <w:rsid w:val="02E3651E"/>
    <w:rsid w:val="02F63F3B"/>
    <w:rsid w:val="03195159"/>
    <w:rsid w:val="031E276F"/>
    <w:rsid w:val="03280EF8"/>
    <w:rsid w:val="033B1C75"/>
    <w:rsid w:val="035109A7"/>
    <w:rsid w:val="035E2BF3"/>
    <w:rsid w:val="03801346"/>
    <w:rsid w:val="03962EA5"/>
    <w:rsid w:val="03A04D90"/>
    <w:rsid w:val="03A70ECC"/>
    <w:rsid w:val="03B16273"/>
    <w:rsid w:val="03EB7A7C"/>
    <w:rsid w:val="040556DD"/>
    <w:rsid w:val="04126366"/>
    <w:rsid w:val="041A1188"/>
    <w:rsid w:val="04531FA4"/>
    <w:rsid w:val="04681F2C"/>
    <w:rsid w:val="04794C34"/>
    <w:rsid w:val="04875963"/>
    <w:rsid w:val="049F51EA"/>
    <w:rsid w:val="04AC2949"/>
    <w:rsid w:val="04AE6573"/>
    <w:rsid w:val="04C06D83"/>
    <w:rsid w:val="04CD1839"/>
    <w:rsid w:val="04E07D65"/>
    <w:rsid w:val="04F032E6"/>
    <w:rsid w:val="04FD5B2E"/>
    <w:rsid w:val="05092C51"/>
    <w:rsid w:val="05272F3E"/>
    <w:rsid w:val="053B617D"/>
    <w:rsid w:val="053C0C8A"/>
    <w:rsid w:val="0540041A"/>
    <w:rsid w:val="05654F6E"/>
    <w:rsid w:val="05672435"/>
    <w:rsid w:val="057D5CCC"/>
    <w:rsid w:val="058368B9"/>
    <w:rsid w:val="05886C0F"/>
    <w:rsid w:val="05910A1D"/>
    <w:rsid w:val="05A76B80"/>
    <w:rsid w:val="05B033DE"/>
    <w:rsid w:val="05B0498B"/>
    <w:rsid w:val="05FB67CF"/>
    <w:rsid w:val="065344DE"/>
    <w:rsid w:val="06695F96"/>
    <w:rsid w:val="06765CEE"/>
    <w:rsid w:val="069513E6"/>
    <w:rsid w:val="06A61451"/>
    <w:rsid w:val="06B4783C"/>
    <w:rsid w:val="06D21D6E"/>
    <w:rsid w:val="06E80C46"/>
    <w:rsid w:val="06E93094"/>
    <w:rsid w:val="070C74CA"/>
    <w:rsid w:val="071020AF"/>
    <w:rsid w:val="07177C01"/>
    <w:rsid w:val="072F08C8"/>
    <w:rsid w:val="074B1659"/>
    <w:rsid w:val="0754675F"/>
    <w:rsid w:val="07556EA9"/>
    <w:rsid w:val="075C3D4A"/>
    <w:rsid w:val="07627FDE"/>
    <w:rsid w:val="076C7297"/>
    <w:rsid w:val="076E27AC"/>
    <w:rsid w:val="07743731"/>
    <w:rsid w:val="07A21FB3"/>
    <w:rsid w:val="07A313F6"/>
    <w:rsid w:val="07E01DA1"/>
    <w:rsid w:val="0804618B"/>
    <w:rsid w:val="080769EC"/>
    <w:rsid w:val="081118DF"/>
    <w:rsid w:val="08174C18"/>
    <w:rsid w:val="08297BEC"/>
    <w:rsid w:val="08357123"/>
    <w:rsid w:val="084106D9"/>
    <w:rsid w:val="085B7A26"/>
    <w:rsid w:val="08623645"/>
    <w:rsid w:val="08650C40"/>
    <w:rsid w:val="0878788F"/>
    <w:rsid w:val="0882156E"/>
    <w:rsid w:val="0882554E"/>
    <w:rsid w:val="08995417"/>
    <w:rsid w:val="08A06DEE"/>
    <w:rsid w:val="08C72E6B"/>
    <w:rsid w:val="08CE24F2"/>
    <w:rsid w:val="08E121DB"/>
    <w:rsid w:val="08E95CBA"/>
    <w:rsid w:val="08F82545"/>
    <w:rsid w:val="08F913E5"/>
    <w:rsid w:val="091D4018"/>
    <w:rsid w:val="09297778"/>
    <w:rsid w:val="093455E9"/>
    <w:rsid w:val="09382988"/>
    <w:rsid w:val="095C18FB"/>
    <w:rsid w:val="096E7ACD"/>
    <w:rsid w:val="09731BD0"/>
    <w:rsid w:val="09A21A39"/>
    <w:rsid w:val="09B54DB8"/>
    <w:rsid w:val="09B72FD5"/>
    <w:rsid w:val="09BD315C"/>
    <w:rsid w:val="09CD4526"/>
    <w:rsid w:val="09F01C35"/>
    <w:rsid w:val="0A0106F5"/>
    <w:rsid w:val="0A0600E2"/>
    <w:rsid w:val="0A075554"/>
    <w:rsid w:val="0A3D5E32"/>
    <w:rsid w:val="0A5E3AFE"/>
    <w:rsid w:val="0A8D3D36"/>
    <w:rsid w:val="0A947958"/>
    <w:rsid w:val="0A9F4195"/>
    <w:rsid w:val="0AB47515"/>
    <w:rsid w:val="0AB84221"/>
    <w:rsid w:val="0AB90AD0"/>
    <w:rsid w:val="0AD81455"/>
    <w:rsid w:val="0AE25795"/>
    <w:rsid w:val="0AE75B3C"/>
    <w:rsid w:val="0B0B2CBA"/>
    <w:rsid w:val="0B361355"/>
    <w:rsid w:val="0B4C25DA"/>
    <w:rsid w:val="0B4F241B"/>
    <w:rsid w:val="0B505490"/>
    <w:rsid w:val="0B7226C7"/>
    <w:rsid w:val="0B786794"/>
    <w:rsid w:val="0B835BE6"/>
    <w:rsid w:val="0B894205"/>
    <w:rsid w:val="0B9420D9"/>
    <w:rsid w:val="0BD31C1D"/>
    <w:rsid w:val="0BEF1BF0"/>
    <w:rsid w:val="0BEF680F"/>
    <w:rsid w:val="0C2F5D47"/>
    <w:rsid w:val="0C393B45"/>
    <w:rsid w:val="0C3E3A97"/>
    <w:rsid w:val="0C502219"/>
    <w:rsid w:val="0C61134E"/>
    <w:rsid w:val="0C622AE8"/>
    <w:rsid w:val="0C760F26"/>
    <w:rsid w:val="0C790A16"/>
    <w:rsid w:val="0C7A2DE5"/>
    <w:rsid w:val="0C983CE5"/>
    <w:rsid w:val="0CA512CA"/>
    <w:rsid w:val="0CB55174"/>
    <w:rsid w:val="0CDC0624"/>
    <w:rsid w:val="0CFB1C78"/>
    <w:rsid w:val="0D0062BD"/>
    <w:rsid w:val="0D0D6C1C"/>
    <w:rsid w:val="0D1A02F0"/>
    <w:rsid w:val="0D1E7CBC"/>
    <w:rsid w:val="0D207DC3"/>
    <w:rsid w:val="0D246D48"/>
    <w:rsid w:val="0D2A3ABE"/>
    <w:rsid w:val="0D4C3E39"/>
    <w:rsid w:val="0D5C05D7"/>
    <w:rsid w:val="0D6C7E81"/>
    <w:rsid w:val="0D754B8E"/>
    <w:rsid w:val="0D7D4536"/>
    <w:rsid w:val="0D80120F"/>
    <w:rsid w:val="0D9E5D39"/>
    <w:rsid w:val="0DC95D96"/>
    <w:rsid w:val="0DDC59AD"/>
    <w:rsid w:val="0DF21CBA"/>
    <w:rsid w:val="0DF71E52"/>
    <w:rsid w:val="0E19091D"/>
    <w:rsid w:val="0E1930A3"/>
    <w:rsid w:val="0E1F1B1F"/>
    <w:rsid w:val="0E2C21E4"/>
    <w:rsid w:val="0E3E1F17"/>
    <w:rsid w:val="0E6B438E"/>
    <w:rsid w:val="0E931BEE"/>
    <w:rsid w:val="0E97484A"/>
    <w:rsid w:val="0E983FCD"/>
    <w:rsid w:val="0E9D1D82"/>
    <w:rsid w:val="0EA613E8"/>
    <w:rsid w:val="0EA72B80"/>
    <w:rsid w:val="0EB16245"/>
    <w:rsid w:val="0EC7484A"/>
    <w:rsid w:val="0EC95FCB"/>
    <w:rsid w:val="0EE15E8B"/>
    <w:rsid w:val="0EE616F0"/>
    <w:rsid w:val="0F102FA9"/>
    <w:rsid w:val="0F251C7F"/>
    <w:rsid w:val="0F36499C"/>
    <w:rsid w:val="0F544360"/>
    <w:rsid w:val="0F973D6B"/>
    <w:rsid w:val="0FA124F5"/>
    <w:rsid w:val="0FA1640D"/>
    <w:rsid w:val="0FA43FFC"/>
    <w:rsid w:val="0FA63ECB"/>
    <w:rsid w:val="0FD06B9F"/>
    <w:rsid w:val="0FF159F2"/>
    <w:rsid w:val="0FFB05FD"/>
    <w:rsid w:val="100A7B89"/>
    <w:rsid w:val="102D6868"/>
    <w:rsid w:val="10495906"/>
    <w:rsid w:val="104B091B"/>
    <w:rsid w:val="10533463"/>
    <w:rsid w:val="10637E09"/>
    <w:rsid w:val="106C7204"/>
    <w:rsid w:val="10864599"/>
    <w:rsid w:val="108D683E"/>
    <w:rsid w:val="10955D49"/>
    <w:rsid w:val="10CC7155"/>
    <w:rsid w:val="112453F4"/>
    <w:rsid w:val="113A4C18"/>
    <w:rsid w:val="113F222E"/>
    <w:rsid w:val="1166277B"/>
    <w:rsid w:val="11691059"/>
    <w:rsid w:val="116F23E8"/>
    <w:rsid w:val="11753E1E"/>
    <w:rsid w:val="11794A8A"/>
    <w:rsid w:val="117C2DF6"/>
    <w:rsid w:val="11875A82"/>
    <w:rsid w:val="11902B57"/>
    <w:rsid w:val="11960201"/>
    <w:rsid w:val="1197139E"/>
    <w:rsid w:val="1198193E"/>
    <w:rsid w:val="11B740A6"/>
    <w:rsid w:val="11B74F1C"/>
    <w:rsid w:val="11C40B6F"/>
    <w:rsid w:val="11D870BE"/>
    <w:rsid w:val="12032EF6"/>
    <w:rsid w:val="121574D0"/>
    <w:rsid w:val="122C5A87"/>
    <w:rsid w:val="124473D0"/>
    <w:rsid w:val="125D07AF"/>
    <w:rsid w:val="126857B5"/>
    <w:rsid w:val="126E1422"/>
    <w:rsid w:val="12770FDB"/>
    <w:rsid w:val="12773533"/>
    <w:rsid w:val="12A116B1"/>
    <w:rsid w:val="12A143E4"/>
    <w:rsid w:val="12A7303C"/>
    <w:rsid w:val="12A7548F"/>
    <w:rsid w:val="12CF69BA"/>
    <w:rsid w:val="12F1354B"/>
    <w:rsid w:val="12F72456"/>
    <w:rsid w:val="130035E0"/>
    <w:rsid w:val="131B7360"/>
    <w:rsid w:val="131C7166"/>
    <w:rsid w:val="131F6F7D"/>
    <w:rsid w:val="135731B7"/>
    <w:rsid w:val="13587A99"/>
    <w:rsid w:val="137F4B64"/>
    <w:rsid w:val="1384217A"/>
    <w:rsid w:val="13891F4A"/>
    <w:rsid w:val="13A96132"/>
    <w:rsid w:val="13AA1368"/>
    <w:rsid w:val="13AE369B"/>
    <w:rsid w:val="13AE78A2"/>
    <w:rsid w:val="13C06A6A"/>
    <w:rsid w:val="13F84916"/>
    <w:rsid w:val="141D3C13"/>
    <w:rsid w:val="144F2843"/>
    <w:rsid w:val="145F01A7"/>
    <w:rsid w:val="14601DF6"/>
    <w:rsid w:val="1467392B"/>
    <w:rsid w:val="146E52F5"/>
    <w:rsid w:val="14777913"/>
    <w:rsid w:val="14B46A8F"/>
    <w:rsid w:val="14C43EDB"/>
    <w:rsid w:val="14D1378A"/>
    <w:rsid w:val="14E32ED1"/>
    <w:rsid w:val="151B6313"/>
    <w:rsid w:val="153B4C0D"/>
    <w:rsid w:val="154D3EC9"/>
    <w:rsid w:val="15510782"/>
    <w:rsid w:val="155D0ED5"/>
    <w:rsid w:val="156D1514"/>
    <w:rsid w:val="157224A6"/>
    <w:rsid w:val="157A005D"/>
    <w:rsid w:val="1582762F"/>
    <w:rsid w:val="15973CBB"/>
    <w:rsid w:val="15C3525E"/>
    <w:rsid w:val="15CD3CB9"/>
    <w:rsid w:val="15EA64E1"/>
    <w:rsid w:val="15ED0888"/>
    <w:rsid w:val="16353C00"/>
    <w:rsid w:val="1642746F"/>
    <w:rsid w:val="16597E36"/>
    <w:rsid w:val="165A1BC7"/>
    <w:rsid w:val="16640041"/>
    <w:rsid w:val="1672349A"/>
    <w:rsid w:val="16774218"/>
    <w:rsid w:val="16790650"/>
    <w:rsid w:val="168B54F9"/>
    <w:rsid w:val="168E1562"/>
    <w:rsid w:val="168F512F"/>
    <w:rsid w:val="169E17A5"/>
    <w:rsid w:val="16A21425"/>
    <w:rsid w:val="16AF17FC"/>
    <w:rsid w:val="16B231C8"/>
    <w:rsid w:val="16B8213B"/>
    <w:rsid w:val="16C56D1D"/>
    <w:rsid w:val="17030CEC"/>
    <w:rsid w:val="17173305"/>
    <w:rsid w:val="171C5E51"/>
    <w:rsid w:val="17342109"/>
    <w:rsid w:val="174F4529"/>
    <w:rsid w:val="176302F9"/>
    <w:rsid w:val="17711AFB"/>
    <w:rsid w:val="177B5B9F"/>
    <w:rsid w:val="179B3A7D"/>
    <w:rsid w:val="17A96653"/>
    <w:rsid w:val="17AD7DC6"/>
    <w:rsid w:val="17C43C1A"/>
    <w:rsid w:val="17C53053"/>
    <w:rsid w:val="17C62CD4"/>
    <w:rsid w:val="17CA6713"/>
    <w:rsid w:val="17EC6540"/>
    <w:rsid w:val="17FE0021"/>
    <w:rsid w:val="181C4297"/>
    <w:rsid w:val="185632CE"/>
    <w:rsid w:val="18641647"/>
    <w:rsid w:val="18903F76"/>
    <w:rsid w:val="18921A4C"/>
    <w:rsid w:val="18992D98"/>
    <w:rsid w:val="18A201FD"/>
    <w:rsid w:val="18A20364"/>
    <w:rsid w:val="18AB2FAA"/>
    <w:rsid w:val="18DA0A8E"/>
    <w:rsid w:val="18EA783A"/>
    <w:rsid w:val="19017DC9"/>
    <w:rsid w:val="190873AA"/>
    <w:rsid w:val="191A70DD"/>
    <w:rsid w:val="19370591"/>
    <w:rsid w:val="193E57A7"/>
    <w:rsid w:val="19483C4A"/>
    <w:rsid w:val="195A1FD8"/>
    <w:rsid w:val="196D3014"/>
    <w:rsid w:val="198033E4"/>
    <w:rsid w:val="19924EC5"/>
    <w:rsid w:val="19BA333E"/>
    <w:rsid w:val="19BC7A77"/>
    <w:rsid w:val="19D126FC"/>
    <w:rsid w:val="19D154AB"/>
    <w:rsid w:val="19DB061A"/>
    <w:rsid w:val="19E72967"/>
    <w:rsid w:val="19FB2A6A"/>
    <w:rsid w:val="1A0062D3"/>
    <w:rsid w:val="1A085187"/>
    <w:rsid w:val="1A1410FF"/>
    <w:rsid w:val="1A191039"/>
    <w:rsid w:val="1A271AB1"/>
    <w:rsid w:val="1A2775B1"/>
    <w:rsid w:val="1A3E3A57"/>
    <w:rsid w:val="1A44008B"/>
    <w:rsid w:val="1A4408B5"/>
    <w:rsid w:val="1A4D60F9"/>
    <w:rsid w:val="1A4F2161"/>
    <w:rsid w:val="1A5B79AD"/>
    <w:rsid w:val="1A683717"/>
    <w:rsid w:val="1A7C3259"/>
    <w:rsid w:val="1AA749A0"/>
    <w:rsid w:val="1AAA0815"/>
    <w:rsid w:val="1AC64266"/>
    <w:rsid w:val="1AC648AA"/>
    <w:rsid w:val="1ACD08AB"/>
    <w:rsid w:val="1ADC7F5B"/>
    <w:rsid w:val="1AEB3BBE"/>
    <w:rsid w:val="1B124AC8"/>
    <w:rsid w:val="1B3A6926"/>
    <w:rsid w:val="1B4E40FE"/>
    <w:rsid w:val="1B5538ED"/>
    <w:rsid w:val="1B5E59A7"/>
    <w:rsid w:val="1B601A2A"/>
    <w:rsid w:val="1B6504CF"/>
    <w:rsid w:val="1B766DA0"/>
    <w:rsid w:val="1B7E3539"/>
    <w:rsid w:val="1B88452B"/>
    <w:rsid w:val="1BB02BE7"/>
    <w:rsid w:val="1BC31CAE"/>
    <w:rsid w:val="1BC96848"/>
    <w:rsid w:val="1BEA27B9"/>
    <w:rsid w:val="1C163B8C"/>
    <w:rsid w:val="1C6A2498"/>
    <w:rsid w:val="1C812C0D"/>
    <w:rsid w:val="1C91427D"/>
    <w:rsid w:val="1CA4388D"/>
    <w:rsid w:val="1CA76EDA"/>
    <w:rsid w:val="1CBE2FD4"/>
    <w:rsid w:val="1CDD505D"/>
    <w:rsid w:val="1CEE2D5A"/>
    <w:rsid w:val="1D124BD6"/>
    <w:rsid w:val="1D3249F5"/>
    <w:rsid w:val="1D350989"/>
    <w:rsid w:val="1D383473"/>
    <w:rsid w:val="1D48246B"/>
    <w:rsid w:val="1D5113F8"/>
    <w:rsid w:val="1D6B098E"/>
    <w:rsid w:val="1D7E40DE"/>
    <w:rsid w:val="1D8B67FB"/>
    <w:rsid w:val="1DBB7C95"/>
    <w:rsid w:val="1DCA2399"/>
    <w:rsid w:val="1DDB32DF"/>
    <w:rsid w:val="1DDE6A62"/>
    <w:rsid w:val="1DE125E2"/>
    <w:rsid w:val="1DE71C83"/>
    <w:rsid w:val="1E092931"/>
    <w:rsid w:val="1E0E0799"/>
    <w:rsid w:val="1E1845B1"/>
    <w:rsid w:val="1E1B7B7F"/>
    <w:rsid w:val="1E1E7910"/>
    <w:rsid w:val="1E286CCC"/>
    <w:rsid w:val="1E386FA3"/>
    <w:rsid w:val="1E3D2D09"/>
    <w:rsid w:val="1E3F1761"/>
    <w:rsid w:val="1E4776B5"/>
    <w:rsid w:val="1E6260BE"/>
    <w:rsid w:val="1E6D6320"/>
    <w:rsid w:val="1E6E5F01"/>
    <w:rsid w:val="1E776D73"/>
    <w:rsid w:val="1E7D73F4"/>
    <w:rsid w:val="1E860B0F"/>
    <w:rsid w:val="1E8F7A93"/>
    <w:rsid w:val="1E8F7C25"/>
    <w:rsid w:val="1E92362B"/>
    <w:rsid w:val="1EA81C4F"/>
    <w:rsid w:val="1ED3045A"/>
    <w:rsid w:val="1EDD5D1C"/>
    <w:rsid w:val="1EE41069"/>
    <w:rsid w:val="1EF207FA"/>
    <w:rsid w:val="1EF74148"/>
    <w:rsid w:val="1F0E34F2"/>
    <w:rsid w:val="1F155C60"/>
    <w:rsid w:val="1F4128A6"/>
    <w:rsid w:val="1F44464B"/>
    <w:rsid w:val="1F6D142B"/>
    <w:rsid w:val="1F763EA6"/>
    <w:rsid w:val="1F8E5386"/>
    <w:rsid w:val="1FBD2B75"/>
    <w:rsid w:val="1FC74037"/>
    <w:rsid w:val="1FC96D62"/>
    <w:rsid w:val="1FCE314C"/>
    <w:rsid w:val="200A44E7"/>
    <w:rsid w:val="20173245"/>
    <w:rsid w:val="202058A2"/>
    <w:rsid w:val="20282732"/>
    <w:rsid w:val="202A5432"/>
    <w:rsid w:val="202B1BD0"/>
    <w:rsid w:val="205A5D01"/>
    <w:rsid w:val="205E47BB"/>
    <w:rsid w:val="206D4DCD"/>
    <w:rsid w:val="207B498E"/>
    <w:rsid w:val="20A07032"/>
    <w:rsid w:val="20AA5B95"/>
    <w:rsid w:val="20B25BF1"/>
    <w:rsid w:val="20B83F31"/>
    <w:rsid w:val="20DD2ECA"/>
    <w:rsid w:val="20EF0F1A"/>
    <w:rsid w:val="20FA7583"/>
    <w:rsid w:val="2100305C"/>
    <w:rsid w:val="210A342D"/>
    <w:rsid w:val="211B39F2"/>
    <w:rsid w:val="21303941"/>
    <w:rsid w:val="213276BA"/>
    <w:rsid w:val="213F46BE"/>
    <w:rsid w:val="214F7D3A"/>
    <w:rsid w:val="216955FA"/>
    <w:rsid w:val="2173755B"/>
    <w:rsid w:val="2181419D"/>
    <w:rsid w:val="21934051"/>
    <w:rsid w:val="21995A11"/>
    <w:rsid w:val="21B069B9"/>
    <w:rsid w:val="21B1445B"/>
    <w:rsid w:val="21B31F12"/>
    <w:rsid w:val="21CD1CF5"/>
    <w:rsid w:val="21D160B0"/>
    <w:rsid w:val="21E26283"/>
    <w:rsid w:val="21FE5FC8"/>
    <w:rsid w:val="220A5271"/>
    <w:rsid w:val="220D5A31"/>
    <w:rsid w:val="221374C5"/>
    <w:rsid w:val="22213E30"/>
    <w:rsid w:val="2225345A"/>
    <w:rsid w:val="223662BB"/>
    <w:rsid w:val="22416B0A"/>
    <w:rsid w:val="224E39FF"/>
    <w:rsid w:val="22641702"/>
    <w:rsid w:val="22990CD8"/>
    <w:rsid w:val="22C205C9"/>
    <w:rsid w:val="22C545EE"/>
    <w:rsid w:val="22C63AC5"/>
    <w:rsid w:val="22ED19E5"/>
    <w:rsid w:val="22EE388C"/>
    <w:rsid w:val="23294AEC"/>
    <w:rsid w:val="23482F54"/>
    <w:rsid w:val="234848ED"/>
    <w:rsid w:val="23635EF0"/>
    <w:rsid w:val="236A46AB"/>
    <w:rsid w:val="23B827FB"/>
    <w:rsid w:val="23DF164F"/>
    <w:rsid w:val="23EB2ADA"/>
    <w:rsid w:val="24034DE3"/>
    <w:rsid w:val="2409047A"/>
    <w:rsid w:val="2412201C"/>
    <w:rsid w:val="242560B8"/>
    <w:rsid w:val="244C16FD"/>
    <w:rsid w:val="2453393F"/>
    <w:rsid w:val="24593ED1"/>
    <w:rsid w:val="24812725"/>
    <w:rsid w:val="248969E3"/>
    <w:rsid w:val="24955FAA"/>
    <w:rsid w:val="24975A86"/>
    <w:rsid w:val="249F17D3"/>
    <w:rsid w:val="24A81A40"/>
    <w:rsid w:val="24AE4FB0"/>
    <w:rsid w:val="24B76505"/>
    <w:rsid w:val="24C02E84"/>
    <w:rsid w:val="24C820E3"/>
    <w:rsid w:val="24C95A63"/>
    <w:rsid w:val="24CA5E5B"/>
    <w:rsid w:val="24D44C08"/>
    <w:rsid w:val="24DC73A0"/>
    <w:rsid w:val="250A6257"/>
    <w:rsid w:val="25116E33"/>
    <w:rsid w:val="253668B6"/>
    <w:rsid w:val="25914502"/>
    <w:rsid w:val="259A4FE0"/>
    <w:rsid w:val="25A7428F"/>
    <w:rsid w:val="25A765A5"/>
    <w:rsid w:val="25AE12D9"/>
    <w:rsid w:val="25C1725E"/>
    <w:rsid w:val="25CC14D5"/>
    <w:rsid w:val="25CC175F"/>
    <w:rsid w:val="25E20F82"/>
    <w:rsid w:val="25F34F3E"/>
    <w:rsid w:val="25FC0578"/>
    <w:rsid w:val="26004020"/>
    <w:rsid w:val="26063061"/>
    <w:rsid w:val="26221379"/>
    <w:rsid w:val="26284C26"/>
    <w:rsid w:val="263A491A"/>
    <w:rsid w:val="263E440B"/>
    <w:rsid w:val="26D30846"/>
    <w:rsid w:val="26E1256A"/>
    <w:rsid w:val="26EF3957"/>
    <w:rsid w:val="27005865"/>
    <w:rsid w:val="27147ED3"/>
    <w:rsid w:val="2719333C"/>
    <w:rsid w:val="271C79A5"/>
    <w:rsid w:val="273122DF"/>
    <w:rsid w:val="27315D1D"/>
    <w:rsid w:val="274D4A60"/>
    <w:rsid w:val="27550449"/>
    <w:rsid w:val="27802801"/>
    <w:rsid w:val="27826579"/>
    <w:rsid w:val="27982240"/>
    <w:rsid w:val="279D0BA5"/>
    <w:rsid w:val="27AE57CF"/>
    <w:rsid w:val="27B47B4F"/>
    <w:rsid w:val="27E70734"/>
    <w:rsid w:val="27ED1630"/>
    <w:rsid w:val="27EE00B2"/>
    <w:rsid w:val="281C0984"/>
    <w:rsid w:val="282C779B"/>
    <w:rsid w:val="28640948"/>
    <w:rsid w:val="286A598B"/>
    <w:rsid w:val="287B7B98"/>
    <w:rsid w:val="287E043B"/>
    <w:rsid w:val="28847FE6"/>
    <w:rsid w:val="288F719F"/>
    <w:rsid w:val="28901085"/>
    <w:rsid w:val="289E7EE2"/>
    <w:rsid w:val="28A36429"/>
    <w:rsid w:val="28B56921"/>
    <w:rsid w:val="28B63E52"/>
    <w:rsid w:val="28B77414"/>
    <w:rsid w:val="28BA7A02"/>
    <w:rsid w:val="28C11323"/>
    <w:rsid w:val="28C8445F"/>
    <w:rsid w:val="28D4324F"/>
    <w:rsid w:val="28D728F5"/>
    <w:rsid w:val="28DC57E9"/>
    <w:rsid w:val="28F144AD"/>
    <w:rsid w:val="290152E3"/>
    <w:rsid w:val="290268A7"/>
    <w:rsid w:val="29045A6D"/>
    <w:rsid w:val="290D27BA"/>
    <w:rsid w:val="291962A4"/>
    <w:rsid w:val="291A703C"/>
    <w:rsid w:val="29377BF7"/>
    <w:rsid w:val="293F1540"/>
    <w:rsid w:val="294837F2"/>
    <w:rsid w:val="295E6B72"/>
    <w:rsid w:val="29631314"/>
    <w:rsid w:val="2969440F"/>
    <w:rsid w:val="29785EDA"/>
    <w:rsid w:val="2997676F"/>
    <w:rsid w:val="29A447FC"/>
    <w:rsid w:val="29A8758B"/>
    <w:rsid w:val="2A27165A"/>
    <w:rsid w:val="2A4442F3"/>
    <w:rsid w:val="2A4E42B1"/>
    <w:rsid w:val="2A6308E4"/>
    <w:rsid w:val="2A6D7AEE"/>
    <w:rsid w:val="2A7845A1"/>
    <w:rsid w:val="2A7E571E"/>
    <w:rsid w:val="2A7F1308"/>
    <w:rsid w:val="2A7F3893"/>
    <w:rsid w:val="2A7F47E8"/>
    <w:rsid w:val="2A950288"/>
    <w:rsid w:val="2AAA4765"/>
    <w:rsid w:val="2AAB774D"/>
    <w:rsid w:val="2AC86999"/>
    <w:rsid w:val="2ADE28C6"/>
    <w:rsid w:val="2AF14DD8"/>
    <w:rsid w:val="2B0C534F"/>
    <w:rsid w:val="2B230073"/>
    <w:rsid w:val="2B2C68FD"/>
    <w:rsid w:val="2B4926AE"/>
    <w:rsid w:val="2B6638E7"/>
    <w:rsid w:val="2B8D510A"/>
    <w:rsid w:val="2BA04CC0"/>
    <w:rsid w:val="2BC801D3"/>
    <w:rsid w:val="2BD03C26"/>
    <w:rsid w:val="2BD92D5A"/>
    <w:rsid w:val="2BE01229"/>
    <w:rsid w:val="2BE3340F"/>
    <w:rsid w:val="2BED5F63"/>
    <w:rsid w:val="2BEE73CA"/>
    <w:rsid w:val="2BFD2CF5"/>
    <w:rsid w:val="2C1D4AC2"/>
    <w:rsid w:val="2C3F38EE"/>
    <w:rsid w:val="2C4643B2"/>
    <w:rsid w:val="2C4E1120"/>
    <w:rsid w:val="2C5D5E27"/>
    <w:rsid w:val="2C5F3D95"/>
    <w:rsid w:val="2C714E0E"/>
    <w:rsid w:val="2C7C04FF"/>
    <w:rsid w:val="2C8679EF"/>
    <w:rsid w:val="2C8B09D7"/>
    <w:rsid w:val="2C970D19"/>
    <w:rsid w:val="2C9F3729"/>
    <w:rsid w:val="2CA642BA"/>
    <w:rsid w:val="2CCC2F1E"/>
    <w:rsid w:val="2CD34778"/>
    <w:rsid w:val="2CF00CBB"/>
    <w:rsid w:val="2CFC6DCE"/>
    <w:rsid w:val="2D007EFF"/>
    <w:rsid w:val="2D04395D"/>
    <w:rsid w:val="2D0D2D89"/>
    <w:rsid w:val="2D8748E9"/>
    <w:rsid w:val="2DA001B6"/>
    <w:rsid w:val="2DA53F50"/>
    <w:rsid w:val="2DA91B95"/>
    <w:rsid w:val="2DAF5BEE"/>
    <w:rsid w:val="2DCE008B"/>
    <w:rsid w:val="2DDF4FC2"/>
    <w:rsid w:val="2DF53F49"/>
    <w:rsid w:val="2DF6413D"/>
    <w:rsid w:val="2E03046E"/>
    <w:rsid w:val="2E182586"/>
    <w:rsid w:val="2E4B5422"/>
    <w:rsid w:val="2E5455E1"/>
    <w:rsid w:val="2E6A153F"/>
    <w:rsid w:val="2E6D07AC"/>
    <w:rsid w:val="2E725599"/>
    <w:rsid w:val="2E7D3F3E"/>
    <w:rsid w:val="2E810E64"/>
    <w:rsid w:val="2E8B52EA"/>
    <w:rsid w:val="2E905557"/>
    <w:rsid w:val="2EA65243"/>
    <w:rsid w:val="2EAB2859"/>
    <w:rsid w:val="2EB77450"/>
    <w:rsid w:val="2EDA2B43"/>
    <w:rsid w:val="2EDF2503"/>
    <w:rsid w:val="2EE00B92"/>
    <w:rsid w:val="2EEB0EA8"/>
    <w:rsid w:val="2F017740"/>
    <w:rsid w:val="2F0504FC"/>
    <w:rsid w:val="2F094FB0"/>
    <w:rsid w:val="2F0A216F"/>
    <w:rsid w:val="2F106B60"/>
    <w:rsid w:val="2F194BC3"/>
    <w:rsid w:val="2F1F08A8"/>
    <w:rsid w:val="2F4B57FC"/>
    <w:rsid w:val="2F4C39C1"/>
    <w:rsid w:val="2F551796"/>
    <w:rsid w:val="2F560A17"/>
    <w:rsid w:val="2F715851"/>
    <w:rsid w:val="2F754157"/>
    <w:rsid w:val="2F794705"/>
    <w:rsid w:val="2F9C03F4"/>
    <w:rsid w:val="2FBC44A6"/>
    <w:rsid w:val="2FC75471"/>
    <w:rsid w:val="2FD61B58"/>
    <w:rsid w:val="2FE45642"/>
    <w:rsid w:val="2FE57FED"/>
    <w:rsid w:val="30381E29"/>
    <w:rsid w:val="30393E95"/>
    <w:rsid w:val="30446AC1"/>
    <w:rsid w:val="30473F30"/>
    <w:rsid w:val="306B55ED"/>
    <w:rsid w:val="309134E4"/>
    <w:rsid w:val="3097457B"/>
    <w:rsid w:val="309903C5"/>
    <w:rsid w:val="30B14CC5"/>
    <w:rsid w:val="30B240AF"/>
    <w:rsid w:val="30C31E98"/>
    <w:rsid w:val="30CE55BF"/>
    <w:rsid w:val="30F1651D"/>
    <w:rsid w:val="30F765A0"/>
    <w:rsid w:val="31185BC9"/>
    <w:rsid w:val="312733EC"/>
    <w:rsid w:val="31276BF9"/>
    <w:rsid w:val="312A215B"/>
    <w:rsid w:val="312D1C4B"/>
    <w:rsid w:val="312E1B5D"/>
    <w:rsid w:val="313E466E"/>
    <w:rsid w:val="31572071"/>
    <w:rsid w:val="31603905"/>
    <w:rsid w:val="31614332"/>
    <w:rsid w:val="3180731F"/>
    <w:rsid w:val="318D4EB4"/>
    <w:rsid w:val="3194478B"/>
    <w:rsid w:val="319F41E7"/>
    <w:rsid w:val="31B47132"/>
    <w:rsid w:val="31CD16E4"/>
    <w:rsid w:val="31EA728E"/>
    <w:rsid w:val="31F2575D"/>
    <w:rsid w:val="31F553F9"/>
    <w:rsid w:val="32083516"/>
    <w:rsid w:val="320A5AE9"/>
    <w:rsid w:val="32270449"/>
    <w:rsid w:val="32331DED"/>
    <w:rsid w:val="323F12D1"/>
    <w:rsid w:val="324C2991"/>
    <w:rsid w:val="326635E3"/>
    <w:rsid w:val="32725A28"/>
    <w:rsid w:val="32807B59"/>
    <w:rsid w:val="328C56BF"/>
    <w:rsid w:val="32900399"/>
    <w:rsid w:val="329902C7"/>
    <w:rsid w:val="329A50BF"/>
    <w:rsid w:val="32A817DD"/>
    <w:rsid w:val="32CD7CDF"/>
    <w:rsid w:val="32CE43F8"/>
    <w:rsid w:val="32D866E5"/>
    <w:rsid w:val="32EC3559"/>
    <w:rsid w:val="32F26CA9"/>
    <w:rsid w:val="33120ABC"/>
    <w:rsid w:val="33175DCC"/>
    <w:rsid w:val="333B1AD4"/>
    <w:rsid w:val="33615BDC"/>
    <w:rsid w:val="33720160"/>
    <w:rsid w:val="33877B47"/>
    <w:rsid w:val="33A15FD9"/>
    <w:rsid w:val="33B57CD6"/>
    <w:rsid w:val="33BB19B8"/>
    <w:rsid w:val="33C0205B"/>
    <w:rsid w:val="33D945CB"/>
    <w:rsid w:val="33ED3866"/>
    <w:rsid w:val="341B3FDD"/>
    <w:rsid w:val="341D0A6A"/>
    <w:rsid w:val="34207846"/>
    <w:rsid w:val="344730B4"/>
    <w:rsid w:val="344A1FE7"/>
    <w:rsid w:val="34573026"/>
    <w:rsid w:val="34732F0D"/>
    <w:rsid w:val="34764F99"/>
    <w:rsid w:val="3476620F"/>
    <w:rsid w:val="34802092"/>
    <w:rsid w:val="34A03765"/>
    <w:rsid w:val="34A40C72"/>
    <w:rsid w:val="34D232B2"/>
    <w:rsid w:val="34D50630"/>
    <w:rsid w:val="34DB19BE"/>
    <w:rsid w:val="34DC6C1F"/>
    <w:rsid w:val="34DD0DD9"/>
    <w:rsid w:val="34F129A3"/>
    <w:rsid w:val="35026F4B"/>
    <w:rsid w:val="353455E0"/>
    <w:rsid w:val="353A692E"/>
    <w:rsid w:val="355377A7"/>
    <w:rsid w:val="35562E48"/>
    <w:rsid w:val="355B58DC"/>
    <w:rsid w:val="355E5C87"/>
    <w:rsid w:val="356577F5"/>
    <w:rsid w:val="35672BC1"/>
    <w:rsid w:val="357A1508"/>
    <w:rsid w:val="35946D94"/>
    <w:rsid w:val="35B446E9"/>
    <w:rsid w:val="35C62162"/>
    <w:rsid w:val="35C83C98"/>
    <w:rsid w:val="35CF2F9E"/>
    <w:rsid w:val="35D07E65"/>
    <w:rsid w:val="35E13004"/>
    <w:rsid w:val="35E761E5"/>
    <w:rsid w:val="361051BB"/>
    <w:rsid w:val="361C228F"/>
    <w:rsid w:val="36201D7F"/>
    <w:rsid w:val="36266C69"/>
    <w:rsid w:val="364639DE"/>
    <w:rsid w:val="36585317"/>
    <w:rsid w:val="36625EF3"/>
    <w:rsid w:val="366833D8"/>
    <w:rsid w:val="36941E25"/>
    <w:rsid w:val="36996C2D"/>
    <w:rsid w:val="36A2558C"/>
    <w:rsid w:val="36B55F0A"/>
    <w:rsid w:val="36B846C3"/>
    <w:rsid w:val="36E4581E"/>
    <w:rsid w:val="36F400DA"/>
    <w:rsid w:val="36F91467"/>
    <w:rsid w:val="372C02AF"/>
    <w:rsid w:val="37321D6A"/>
    <w:rsid w:val="37360090"/>
    <w:rsid w:val="3737489B"/>
    <w:rsid w:val="37421881"/>
    <w:rsid w:val="37561B85"/>
    <w:rsid w:val="375B2943"/>
    <w:rsid w:val="377838EB"/>
    <w:rsid w:val="37AF282B"/>
    <w:rsid w:val="37C335A1"/>
    <w:rsid w:val="37C80F4F"/>
    <w:rsid w:val="38030791"/>
    <w:rsid w:val="380A6525"/>
    <w:rsid w:val="38196A86"/>
    <w:rsid w:val="38342AA2"/>
    <w:rsid w:val="38372F13"/>
    <w:rsid w:val="38566AA3"/>
    <w:rsid w:val="38573502"/>
    <w:rsid w:val="38644140"/>
    <w:rsid w:val="38763113"/>
    <w:rsid w:val="38B313EE"/>
    <w:rsid w:val="38BF587F"/>
    <w:rsid w:val="38C37DF4"/>
    <w:rsid w:val="38CC259A"/>
    <w:rsid w:val="38DE430E"/>
    <w:rsid w:val="38EE7F12"/>
    <w:rsid w:val="390048AB"/>
    <w:rsid w:val="392A565E"/>
    <w:rsid w:val="392C38FE"/>
    <w:rsid w:val="39570D94"/>
    <w:rsid w:val="397553D2"/>
    <w:rsid w:val="39775255"/>
    <w:rsid w:val="397B21AB"/>
    <w:rsid w:val="398B1344"/>
    <w:rsid w:val="39910F9D"/>
    <w:rsid w:val="39A71E6F"/>
    <w:rsid w:val="39B11547"/>
    <w:rsid w:val="39CA1F2A"/>
    <w:rsid w:val="39CC49EA"/>
    <w:rsid w:val="39D873F2"/>
    <w:rsid w:val="39E00841"/>
    <w:rsid w:val="39FF7275"/>
    <w:rsid w:val="3A207DB5"/>
    <w:rsid w:val="3A5C5B23"/>
    <w:rsid w:val="3A6C56F1"/>
    <w:rsid w:val="3A74682E"/>
    <w:rsid w:val="3A7A4677"/>
    <w:rsid w:val="3A7B31BC"/>
    <w:rsid w:val="3A802C6F"/>
    <w:rsid w:val="3AAB3561"/>
    <w:rsid w:val="3AB722EF"/>
    <w:rsid w:val="3AB962FE"/>
    <w:rsid w:val="3AD15CEE"/>
    <w:rsid w:val="3AE16AEE"/>
    <w:rsid w:val="3AF922D6"/>
    <w:rsid w:val="3B540392"/>
    <w:rsid w:val="3B544DB4"/>
    <w:rsid w:val="3B5C3FE6"/>
    <w:rsid w:val="3B764BCE"/>
    <w:rsid w:val="3B823AB7"/>
    <w:rsid w:val="3B8D06DF"/>
    <w:rsid w:val="3BA725FA"/>
    <w:rsid w:val="3BBF7944"/>
    <w:rsid w:val="3BD068B5"/>
    <w:rsid w:val="3BF10EB2"/>
    <w:rsid w:val="3BFF081D"/>
    <w:rsid w:val="3C1A709A"/>
    <w:rsid w:val="3C35167A"/>
    <w:rsid w:val="3C5C6504"/>
    <w:rsid w:val="3C5F4981"/>
    <w:rsid w:val="3C676D43"/>
    <w:rsid w:val="3C8F7316"/>
    <w:rsid w:val="3CA31014"/>
    <w:rsid w:val="3CC275C6"/>
    <w:rsid w:val="3CCA7ED1"/>
    <w:rsid w:val="3CD1792F"/>
    <w:rsid w:val="3CDE204C"/>
    <w:rsid w:val="3D024AD4"/>
    <w:rsid w:val="3D192DC9"/>
    <w:rsid w:val="3D1D370C"/>
    <w:rsid w:val="3D232759"/>
    <w:rsid w:val="3D304A94"/>
    <w:rsid w:val="3D306079"/>
    <w:rsid w:val="3D77343A"/>
    <w:rsid w:val="3D8B528A"/>
    <w:rsid w:val="3DA94408"/>
    <w:rsid w:val="3DAA4E67"/>
    <w:rsid w:val="3DBA6615"/>
    <w:rsid w:val="3DD13C22"/>
    <w:rsid w:val="3DDE6AF7"/>
    <w:rsid w:val="3DF06109"/>
    <w:rsid w:val="3E274FD0"/>
    <w:rsid w:val="3E2919A3"/>
    <w:rsid w:val="3E496AC3"/>
    <w:rsid w:val="3E60023E"/>
    <w:rsid w:val="3E642A25"/>
    <w:rsid w:val="3E830C2E"/>
    <w:rsid w:val="3EA53DE4"/>
    <w:rsid w:val="3EBC460F"/>
    <w:rsid w:val="3ED0663C"/>
    <w:rsid w:val="3ED17880"/>
    <w:rsid w:val="3EE14075"/>
    <w:rsid w:val="3EEE757C"/>
    <w:rsid w:val="3F3A00D8"/>
    <w:rsid w:val="3F3E35F6"/>
    <w:rsid w:val="3F4C354A"/>
    <w:rsid w:val="3F5905B4"/>
    <w:rsid w:val="3F5A667C"/>
    <w:rsid w:val="3F687097"/>
    <w:rsid w:val="3F724AD0"/>
    <w:rsid w:val="3F9D4665"/>
    <w:rsid w:val="3F9F5709"/>
    <w:rsid w:val="3FCC262F"/>
    <w:rsid w:val="3FCE16BA"/>
    <w:rsid w:val="3FCF7C15"/>
    <w:rsid w:val="3FD12188"/>
    <w:rsid w:val="3FD66631"/>
    <w:rsid w:val="3FD933DA"/>
    <w:rsid w:val="3FDB2695"/>
    <w:rsid w:val="3FDF39B8"/>
    <w:rsid w:val="40106E17"/>
    <w:rsid w:val="402406BD"/>
    <w:rsid w:val="40316639"/>
    <w:rsid w:val="403D2E47"/>
    <w:rsid w:val="4040021E"/>
    <w:rsid w:val="4047527D"/>
    <w:rsid w:val="405B25C0"/>
    <w:rsid w:val="4065146E"/>
    <w:rsid w:val="406E1939"/>
    <w:rsid w:val="406F1379"/>
    <w:rsid w:val="407723DB"/>
    <w:rsid w:val="407E7DCE"/>
    <w:rsid w:val="40870AF9"/>
    <w:rsid w:val="4089126F"/>
    <w:rsid w:val="408E5B37"/>
    <w:rsid w:val="408F6D5D"/>
    <w:rsid w:val="40901922"/>
    <w:rsid w:val="40B823AA"/>
    <w:rsid w:val="40BE641C"/>
    <w:rsid w:val="40C259C6"/>
    <w:rsid w:val="40DB08A1"/>
    <w:rsid w:val="40E342B3"/>
    <w:rsid w:val="40F71CB1"/>
    <w:rsid w:val="40FF230D"/>
    <w:rsid w:val="410116AC"/>
    <w:rsid w:val="4105404B"/>
    <w:rsid w:val="410B30E6"/>
    <w:rsid w:val="414A6E99"/>
    <w:rsid w:val="41662610"/>
    <w:rsid w:val="416A5255"/>
    <w:rsid w:val="4172287F"/>
    <w:rsid w:val="418A79E6"/>
    <w:rsid w:val="419D01C0"/>
    <w:rsid w:val="41A079D7"/>
    <w:rsid w:val="41BD0482"/>
    <w:rsid w:val="41C42D72"/>
    <w:rsid w:val="41DB2B33"/>
    <w:rsid w:val="41ED047C"/>
    <w:rsid w:val="422A4ED0"/>
    <w:rsid w:val="422B6C43"/>
    <w:rsid w:val="423B584A"/>
    <w:rsid w:val="424502E7"/>
    <w:rsid w:val="42496444"/>
    <w:rsid w:val="42542F76"/>
    <w:rsid w:val="425B296E"/>
    <w:rsid w:val="42650123"/>
    <w:rsid w:val="429C09DF"/>
    <w:rsid w:val="42BC4987"/>
    <w:rsid w:val="42C05351"/>
    <w:rsid w:val="42C27D1A"/>
    <w:rsid w:val="42DB3737"/>
    <w:rsid w:val="42DD6DB2"/>
    <w:rsid w:val="4303280C"/>
    <w:rsid w:val="430673EB"/>
    <w:rsid w:val="43507142"/>
    <w:rsid w:val="4352109E"/>
    <w:rsid w:val="43581B93"/>
    <w:rsid w:val="436F2D57"/>
    <w:rsid w:val="438627EA"/>
    <w:rsid w:val="43875A05"/>
    <w:rsid w:val="43884ABF"/>
    <w:rsid w:val="43921B47"/>
    <w:rsid w:val="43934590"/>
    <w:rsid w:val="439408E7"/>
    <w:rsid w:val="43B63CCA"/>
    <w:rsid w:val="43BB0D57"/>
    <w:rsid w:val="43C24475"/>
    <w:rsid w:val="43C51E04"/>
    <w:rsid w:val="43DE76C5"/>
    <w:rsid w:val="43E50164"/>
    <w:rsid w:val="43FB1A8F"/>
    <w:rsid w:val="4407677F"/>
    <w:rsid w:val="441366B6"/>
    <w:rsid w:val="44301E08"/>
    <w:rsid w:val="44386723"/>
    <w:rsid w:val="44427364"/>
    <w:rsid w:val="444B1EF7"/>
    <w:rsid w:val="445D419E"/>
    <w:rsid w:val="446275B6"/>
    <w:rsid w:val="4472794E"/>
    <w:rsid w:val="44775260"/>
    <w:rsid w:val="449A2259"/>
    <w:rsid w:val="44A21BB1"/>
    <w:rsid w:val="44B3491D"/>
    <w:rsid w:val="44BA0A73"/>
    <w:rsid w:val="44BC0C2E"/>
    <w:rsid w:val="44C16623"/>
    <w:rsid w:val="44CB55AC"/>
    <w:rsid w:val="44E1092B"/>
    <w:rsid w:val="44ED3AEF"/>
    <w:rsid w:val="44F3065E"/>
    <w:rsid w:val="44F50E13"/>
    <w:rsid w:val="4505578B"/>
    <w:rsid w:val="45216E60"/>
    <w:rsid w:val="45220362"/>
    <w:rsid w:val="452C1516"/>
    <w:rsid w:val="454C0199"/>
    <w:rsid w:val="456365B8"/>
    <w:rsid w:val="45702958"/>
    <w:rsid w:val="45713619"/>
    <w:rsid w:val="459E4A6E"/>
    <w:rsid w:val="459F01B9"/>
    <w:rsid w:val="45D67D64"/>
    <w:rsid w:val="45DD505E"/>
    <w:rsid w:val="45EF65A6"/>
    <w:rsid w:val="45F74A4D"/>
    <w:rsid w:val="45FB7919"/>
    <w:rsid w:val="461B34E3"/>
    <w:rsid w:val="461C5E09"/>
    <w:rsid w:val="461C70AE"/>
    <w:rsid w:val="46271DCA"/>
    <w:rsid w:val="46313462"/>
    <w:rsid w:val="46360531"/>
    <w:rsid w:val="4656625C"/>
    <w:rsid w:val="467001B9"/>
    <w:rsid w:val="467C355A"/>
    <w:rsid w:val="469322B1"/>
    <w:rsid w:val="469A62E0"/>
    <w:rsid w:val="469B0735"/>
    <w:rsid w:val="46A158F9"/>
    <w:rsid w:val="46A71BD1"/>
    <w:rsid w:val="46BA4F92"/>
    <w:rsid w:val="46C90553"/>
    <w:rsid w:val="46DF533E"/>
    <w:rsid w:val="46F8083B"/>
    <w:rsid w:val="46FA2178"/>
    <w:rsid w:val="47043691"/>
    <w:rsid w:val="47282F50"/>
    <w:rsid w:val="47571D04"/>
    <w:rsid w:val="475F3D89"/>
    <w:rsid w:val="47691C95"/>
    <w:rsid w:val="476D3E6D"/>
    <w:rsid w:val="477535AD"/>
    <w:rsid w:val="47793383"/>
    <w:rsid w:val="47A651C2"/>
    <w:rsid w:val="47AE3851"/>
    <w:rsid w:val="47B440D5"/>
    <w:rsid w:val="47DD231D"/>
    <w:rsid w:val="47DE5536"/>
    <w:rsid w:val="47E95A69"/>
    <w:rsid w:val="47EA7A51"/>
    <w:rsid w:val="480A1F47"/>
    <w:rsid w:val="48160602"/>
    <w:rsid w:val="48280B79"/>
    <w:rsid w:val="482F66FD"/>
    <w:rsid w:val="48346DA5"/>
    <w:rsid w:val="48366EBC"/>
    <w:rsid w:val="483849D6"/>
    <w:rsid w:val="486D54AC"/>
    <w:rsid w:val="48711B8D"/>
    <w:rsid w:val="48763164"/>
    <w:rsid w:val="48773813"/>
    <w:rsid w:val="48944BCB"/>
    <w:rsid w:val="48965A21"/>
    <w:rsid w:val="48A3411D"/>
    <w:rsid w:val="48BD155A"/>
    <w:rsid w:val="48BE3D41"/>
    <w:rsid w:val="48C40C0E"/>
    <w:rsid w:val="48C90054"/>
    <w:rsid w:val="48ED3F11"/>
    <w:rsid w:val="48F61A1F"/>
    <w:rsid w:val="49144504"/>
    <w:rsid w:val="493D634C"/>
    <w:rsid w:val="49485273"/>
    <w:rsid w:val="495257A5"/>
    <w:rsid w:val="4966410D"/>
    <w:rsid w:val="497A1E84"/>
    <w:rsid w:val="49A565B4"/>
    <w:rsid w:val="49AE4226"/>
    <w:rsid w:val="49D41EC3"/>
    <w:rsid w:val="4A271F12"/>
    <w:rsid w:val="4A2920B4"/>
    <w:rsid w:val="4A381DEA"/>
    <w:rsid w:val="4A3F76E7"/>
    <w:rsid w:val="4A427884"/>
    <w:rsid w:val="4A7F228D"/>
    <w:rsid w:val="4A857FAB"/>
    <w:rsid w:val="4A8835F7"/>
    <w:rsid w:val="4AB078ED"/>
    <w:rsid w:val="4AB47208"/>
    <w:rsid w:val="4AEC68A3"/>
    <w:rsid w:val="4B075600"/>
    <w:rsid w:val="4B132178"/>
    <w:rsid w:val="4B22208B"/>
    <w:rsid w:val="4B2D0EDB"/>
    <w:rsid w:val="4B5B35D7"/>
    <w:rsid w:val="4B680C97"/>
    <w:rsid w:val="4B75063E"/>
    <w:rsid w:val="4BAB4AE1"/>
    <w:rsid w:val="4BC205EC"/>
    <w:rsid w:val="4BC816E8"/>
    <w:rsid w:val="4BCC4361"/>
    <w:rsid w:val="4BEA19F6"/>
    <w:rsid w:val="4BF11A17"/>
    <w:rsid w:val="4BF77F38"/>
    <w:rsid w:val="4C016EF4"/>
    <w:rsid w:val="4C111CCC"/>
    <w:rsid w:val="4C2B503E"/>
    <w:rsid w:val="4C2E1AE6"/>
    <w:rsid w:val="4C3E6663"/>
    <w:rsid w:val="4C5963B5"/>
    <w:rsid w:val="4C5E135D"/>
    <w:rsid w:val="4C7E3554"/>
    <w:rsid w:val="4C804ECE"/>
    <w:rsid w:val="4C9F2752"/>
    <w:rsid w:val="4CAF0834"/>
    <w:rsid w:val="4CB535E7"/>
    <w:rsid w:val="4CBC42CB"/>
    <w:rsid w:val="4CC76658"/>
    <w:rsid w:val="4CD13B0F"/>
    <w:rsid w:val="4CE61A8F"/>
    <w:rsid w:val="4CEC0422"/>
    <w:rsid w:val="4CFA71AA"/>
    <w:rsid w:val="4CFC682A"/>
    <w:rsid w:val="4CFD519C"/>
    <w:rsid w:val="4D027691"/>
    <w:rsid w:val="4D0F19EA"/>
    <w:rsid w:val="4D0F1D6F"/>
    <w:rsid w:val="4D176E22"/>
    <w:rsid w:val="4D180A81"/>
    <w:rsid w:val="4D183358"/>
    <w:rsid w:val="4D1B48C4"/>
    <w:rsid w:val="4D262771"/>
    <w:rsid w:val="4D297313"/>
    <w:rsid w:val="4D3133CF"/>
    <w:rsid w:val="4D5A127B"/>
    <w:rsid w:val="4D5D5EE7"/>
    <w:rsid w:val="4D6550F2"/>
    <w:rsid w:val="4D71671F"/>
    <w:rsid w:val="4D8B14A9"/>
    <w:rsid w:val="4D9F7E06"/>
    <w:rsid w:val="4DA70A60"/>
    <w:rsid w:val="4DBC136E"/>
    <w:rsid w:val="4DE37BAB"/>
    <w:rsid w:val="4DF01BDF"/>
    <w:rsid w:val="4DF066F3"/>
    <w:rsid w:val="4DF14875"/>
    <w:rsid w:val="4E2B7228"/>
    <w:rsid w:val="4E2F0959"/>
    <w:rsid w:val="4E3702B6"/>
    <w:rsid w:val="4E47299C"/>
    <w:rsid w:val="4E4835E9"/>
    <w:rsid w:val="4E4A7541"/>
    <w:rsid w:val="4E5C759F"/>
    <w:rsid w:val="4E6502A5"/>
    <w:rsid w:val="4E654842"/>
    <w:rsid w:val="4E766588"/>
    <w:rsid w:val="4E8015B4"/>
    <w:rsid w:val="4E805D38"/>
    <w:rsid w:val="4E9E0A35"/>
    <w:rsid w:val="4EB47D78"/>
    <w:rsid w:val="4ED85B0C"/>
    <w:rsid w:val="4EEF015C"/>
    <w:rsid w:val="4EF25B4A"/>
    <w:rsid w:val="4F2A3EAE"/>
    <w:rsid w:val="4F6441E6"/>
    <w:rsid w:val="4F7329CD"/>
    <w:rsid w:val="4F7D3DFF"/>
    <w:rsid w:val="4F800B10"/>
    <w:rsid w:val="4F83711F"/>
    <w:rsid w:val="4F8F5EF1"/>
    <w:rsid w:val="4FAB21B1"/>
    <w:rsid w:val="4FAE02CC"/>
    <w:rsid w:val="4FBC3952"/>
    <w:rsid w:val="4FC96E87"/>
    <w:rsid w:val="4FCD6DA0"/>
    <w:rsid w:val="500C44B3"/>
    <w:rsid w:val="500F1391"/>
    <w:rsid w:val="501B3932"/>
    <w:rsid w:val="502E1AD5"/>
    <w:rsid w:val="50354BAE"/>
    <w:rsid w:val="50412BC6"/>
    <w:rsid w:val="50414974"/>
    <w:rsid w:val="50565FB2"/>
    <w:rsid w:val="507D7852"/>
    <w:rsid w:val="50844287"/>
    <w:rsid w:val="50AC5ED0"/>
    <w:rsid w:val="50B97DDC"/>
    <w:rsid w:val="50BA0C0C"/>
    <w:rsid w:val="50F9524E"/>
    <w:rsid w:val="51052061"/>
    <w:rsid w:val="51107697"/>
    <w:rsid w:val="51234079"/>
    <w:rsid w:val="512B1CF7"/>
    <w:rsid w:val="514E59DC"/>
    <w:rsid w:val="51582608"/>
    <w:rsid w:val="515D2328"/>
    <w:rsid w:val="516533A4"/>
    <w:rsid w:val="5169205C"/>
    <w:rsid w:val="51707B49"/>
    <w:rsid w:val="51725ED8"/>
    <w:rsid w:val="517B5C63"/>
    <w:rsid w:val="51933B7E"/>
    <w:rsid w:val="51BD44CE"/>
    <w:rsid w:val="51C26D4C"/>
    <w:rsid w:val="51D43D26"/>
    <w:rsid w:val="51DD3620"/>
    <w:rsid w:val="51E92C04"/>
    <w:rsid w:val="52036385"/>
    <w:rsid w:val="52074E6D"/>
    <w:rsid w:val="521359EF"/>
    <w:rsid w:val="522D3402"/>
    <w:rsid w:val="52573D08"/>
    <w:rsid w:val="527F3F5C"/>
    <w:rsid w:val="52825CD0"/>
    <w:rsid w:val="528B637A"/>
    <w:rsid w:val="52A405BB"/>
    <w:rsid w:val="52B46F0D"/>
    <w:rsid w:val="52B517AF"/>
    <w:rsid w:val="52BC6534"/>
    <w:rsid w:val="52C92512"/>
    <w:rsid w:val="52CD58AD"/>
    <w:rsid w:val="52E00E7F"/>
    <w:rsid w:val="52E049DD"/>
    <w:rsid w:val="530F1F27"/>
    <w:rsid w:val="53254B0C"/>
    <w:rsid w:val="53726ACE"/>
    <w:rsid w:val="5374262A"/>
    <w:rsid w:val="53935221"/>
    <w:rsid w:val="539B083F"/>
    <w:rsid w:val="539C5DC4"/>
    <w:rsid w:val="53A15896"/>
    <w:rsid w:val="53A46283"/>
    <w:rsid w:val="53A66516"/>
    <w:rsid w:val="53A94D0A"/>
    <w:rsid w:val="53B47ABF"/>
    <w:rsid w:val="53B92A73"/>
    <w:rsid w:val="53CB24E6"/>
    <w:rsid w:val="53CE4770"/>
    <w:rsid w:val="542720D3"/>
    <w:rsid w:val="5431651F"/>
    <w:rsid w:val="54340214"/>
    <w:rsid w:val="54456C95"/>
    <w:rsid w:val="545473F1"/>
    <w:rsid w:val="546463D8"/>
    <w:rsid w:val="54703A7A"/>
    <w:rsid w:val="547277F2"/>
    <w:rsid w:val="54835345"/>
    <w:rsid w:val="548A0444"/>
    <w:rsid w:val="548E41FA"/>
    <w:rsid w:val="549366B0"/>
    <w:rsid w:val="549531E9"/>
    <w:rsid w:val="54AE0302"/>
    <w:rsid w:val="54B971CF"/>
    <w:rsid w:val="54C36822"/>
    <w:rsid w:val="54E629B9"/>
    <w:rsid w:val="54EC75A4"/>
    <w:rsid w:val="54ED6E78"/>
    <w:rsid w:val="5503554B"/>
    <w:rsid w:val="550F71E2"/>
    <w:rsid w:val="55217C39"/>
    <w:rsid w:val="55504C8A"/>
    <w:rsid w:val="557E2768"/>
    <w:rsid w:val="558C51E8"/>
    <w:rsid w:val="558E16AD"/>
    <w:rsid w:val="55A01B1B"/>
    <w:rsid w:val="55AC05BB"/>
    <w:rsid w:val="55C0633B"/>
    <w:rsid w:val="55D6790C"/>
    <w:rsid w:val="55E919DF"/>
    <w:rsid w:val="55FC3817"/>
    <w:rsid w:val="565748B4"/>
    <w:rsid w:val="56825531"/>
    <w:rsid w:val="569B21C7"/>
    <w:rsid w:val="56A47118"/>
    <w:rsid w:val="56AF6ADB"/>
    <w:rsid w:val="56B714EC"/>
    <w:rsid w:val="56E616C4"/>
    <w:rsid w:val="56EA7B13"/>
    <w:rsid w:val="56EF4470"/>
    <w:rsid w:val="571050A0"/>
    <w:rsid w:val="571E615B"/>
    <w:rsid w:val="57212E09"/>
    <w:rsid w:val="57297951"/>
    <w:rsid w:val="572A4DAB"/>
    <w:rsid w:val="573265F8"/>
    <w:rsid w:val="573963A5"/>
    <w:rsid w:val="574B1DBB"/>
    <w:rsid w:val="574F7976"/>
    <w:rsid w:val="57761446"/>
    <w:rsid w:val="578A2887"/>
    <w:rsid w:val="57930B6E"/>
    <w:rsid w:val="579B08F6"/>
    <w:rsid w:val="57A40EBC"/>
    <w:rsid w:val="57AB3EBD"/>
    <w:rsid w:val="57C62305"/>
    <w:rsid w:val="57C62553"/>
    <w:rsid w:val="57C77E54"/>
    <w:rsid w:val="57C9624A"/>
    <w:rsid w:val="57E27A0A"/>
    <w:rsid w:val="57EC05E9"/>
    <w:rsid w:val="57ED1D36"/>
    <w:rsid w:val="57F87766"/>
    <w:rsid w:val="5800602D"/>
    <w:rsid w:val="58115E7E"/>
    <w:rsid w:val="5831421E"/>
    <w:rsid w:val="58371130"/>
    <w:rsid w:val="58614CBD"/>
    <w:rsid w:val="58731F76"/>
    <w:rsid w:val="58791C73"/>
    <w:rsid w:val="587A6C75"/>
    <w:rsid w:val="58900246"/>
    <w:rsid w:val="58953D7E"/>
    <w:rsid w:val="589661EB"/>
    <w:rsid w:val="589C0AF2"/>
    <w:rsid w:val="58A97C17"/>
    <w:rsid w:val="58C226B3"/>
    <w:rsid w:val="58C35B40"/>
    <w:rsid w:val="58C3619D"/>
    <w:rsid w:val="58C974A7"/>
    <w:rsid w:val="58EC59CC"/>
    <w:rsid w:val="58ED1415"/>
    <w:rsid w:val="590A6EC3"/>
    <w:rsid w:val="59233F27"/>
    <w:rsid w:val="594A1940"/>
    <w:rsid w:val="597372FC"/>
    <w:rsid w:val="59B76954"/>
    <w:rsid w:val="59D93E6F"/>
    <w:rsid w:val="59E52BC5"/>
    <w:rsid w:val="59F33798"/>
    <w:rsid w:val="59F842F5"/>
    <w:rsid w:val="59FD7B5D"/>
    <w:rsid w:val="5A0E377E"/>
    <w:rsid w:val="5A186745"/>
    <w:rsid w:val="5A1C3233"/>
    <w:rsid w:val="5A1E3E69"/>
    <w:rsid w:val="5A647BDD"/>
    <w:rsid w:val="5A9427CE"/>
    <w:rsid w:val="5AAA45B9"/>
    <w:rsid w:val="5AC80523"/>
    <w:rsid w:val="5ACF64C9"/>
    <w:rsid w:val="5AD519D5"/>
    <w:rsid w:val="5ADC171F"/>
    <w:rsid w:val="5AE44879"/>
    <w:rsid w:val="5AF21FBD"/>
    <w:rsid w:val="5AF62615"/>
    <w:rsid w:val="5B0311A3"/>
    <w:rsid w:val="5B524D96"/>
    <w:rsid w:val="5B6836FC"/>
    <w:rsid w:val="5B6A4A13"/>
    <w:rsid w:val="5B74245E"/>
    <w:rsid w:val="5B853848"/>
    <w:rsid w:val="5B863CA1"/>
    <w:rsid w:val="5B9F7AEA"/>
    <w:rsid w:val="5BB51ABC"/>
    <w:rsid w:val="5BB64468"/>
    <w:rsid w:val="5BBA40AE"/>
    <w:rsid w:val="5BEA4111"/>
    <w:rsid w:val="5BF31218"/>
    <w:rsid w:val="5C05719D"/>
    <w:rsid w:val="5C081402"/>
    <w:rsid w:val="5C21481C"/>
    <w:rsid w:val="5C2C662F"/>
    <w:rsid w:val="5C371AED"/>
    <w:rsid w:val="5C594DF3"/>
    <w:rsid w:val="5C620845"/>
    <w:rsid w:val="5C6345E9"/>
    <w:rsid w:val="5C766531"/>
    <w:rsid w:val="5C7E6153"/>
    <w:rsid w:val="5C8853C6"/>
    <w:rsid w:val="5C9756A8"/>
    <w:rsid w:val="5CA10DA5"/>
    <w:rsid w:val="5CB12FD8"/>
    <w:rsid w:val="5CFA4828"/>
    <w:rsid w:val="5CFD15A9"/>
    <w:rsid w:val="5D3179EA"/>
    <w:rsid w:val="5D400141"/>
    <w:rsid w:val="5D4D2A33"/>
    <w:rsid w:val="5D560AA0"/>
    <w:rsid w:val="5D5A7075"/>
    <w:rsid w:val="5D7616E4"/>
    <w:rsid w:val="5D7F6ADB"/>
    <w:rsid w:val="5D855CCA"/>
    <w:rsid w:val="5D8C335A"/>
    <w:rsid w:val="5DB22A0D"/>
    <w:rsid w:val="5DCD4BD5"/>
    <w:rsid w:val="5DE30E18"/>
    <w:rsid w:val="5E0132E5"/>
    <w:rsid w:val="5E0C3296"/>
    <w:rsid w:val="5E1627ED"/>
    <w:rsid w:val="5E186760"/>
    <w:rsid w:val="5E195C67"/>
    <w:rsid w:val="5E3D25A0"/>
    <w:rsid w:val="5E495F53"/>
    <w:rsid w:val="5E4A0E97"/>
    <w:rsid w:val="5E6F3D77"/>
    <w:rsid w:val="5E766130"/>
    <w:rsid w:val="5E793E23"/>
    <w:rsid w:val="5E8359AF"/>
    <w:rsid w:val="5E8545ED"/>
    <w:rsid w:val="5EB35BC4"/>
    <w:rsid w:val="5EC64B37"/>
    <w:rsid w:val="5ECC478D"/>
    <w:rsid w:val="5ED15115"/>
    <w:rsid w:val="5ED864A3"/>
    <w:rsid w:val="5EF6586C"/>
    <w:rsid w:val="5EFA1F65"/>
    <w:rsid w:val="5F042DC0"/>
    <w:rsid w:val="5F066960"/>
    <w:rsid w:val="5F06761F"/>
    <w:rsid w:val="5F0D202F"/>
    <w:rsid w:val="5F0E109B"/>
    <w:rsid w:val="5F0E6F3A"/>
    <w:rsid w:val="5F1523C7"/>
    <w:rsid w:val="5F1C0A86"/>
    <w:rsid w:val="5F1D65AC"/>
    <w:rsid w:val="5F276286"/>
    <w:rsid w:val="5F2A38D7"/>
    <w:rsid w:val="5F3309B2"/>
    <w:rsid w:val="5F346720"/>
    <w:rsid w:val="5F430B13"/>
    <w:rsid w:val="5F567491"/>
    <w:rsid w:val="5F5F1938"/>
    <w:rsid w:val="5F625217"/>
    <w:rsid w:val="5F7F3B52"/>
    <w:rsid w:val="5F8E1C95"/>
    <w:rsid w:val="5F8E4EC4"/>
    <w:rsid w:val="5F993D3C"/>
    <w:rsid w:val="5FD15277"/>
    <w:rsid w:val="5FD53E76"/>
    <w:rsid w:val="5FF6489D"/>
    <w:rsid w:val="6000393F"/>
    <w:rsid w:val="600A4D82"/>
    <w:rsid w:val="601F32CC"/>
    <w:rsid w:val="60346B3A"/>
    <w:rsid w:val="60384349"/>
    <w:rsid w:val="604607C3"/>
    <w:rsid w:val="60477D84"/>
    <w:rsid w:val="604F5EA2"/>
    <w:rsid w:val="6062071A"/>
    <w:rsid w:val="607923C2"/>
    <w:rsid w:val="60CE4C08"/>
    <w:rsid w:val="60D52553"/>
    <w:rsid w:val="60E04F50"/>
    <w:rsid w:val="60EA6962"/>
    <w:rsid w:val="611D2CE6"/>
    <w:rsid w:val="611F03B9"/>
    <w:rsid w:val="61300953"/>
    <w:rsid w:val="61462BE6"/>
    <w:rsid w:val="614B11AE"/>
    <w:rsid w:val="614C7797"/>
    <w:rsid w:val="616468D3"/>
    <w:rsid w:val="616E5592"/>
    <w:rsid w:val="61A937AC"/>
    <w:rsid w:val="61B700D6"/>
    <w:rsid w:val="61C86CA3"/>
    <w:rsid w:val="61DC62C9"/>
    <w:rsid w:val="61FB637A"/>
    <w:rsid w:val="62305211"/>
    <w:rsid w:val="627222F2"/>
    <w:rsid w:val="62791D4B"/>
    <w:rsid w:val="627B42AB"/>
    <w:rsid w:val="62885287"/>
    <w:rsid w:val="629E02F8"/>
    <w:rsid w:val="62A84E7C"/>
    <w:rsid w:val="62AA0157"/>
    <w:rsid w:val="62AC2824"/>
    <w:rsid w:val="62B57DE7"/>
    <w:rsid w:val="62BB6808"/>
    <w:rsid w:val="62D84E78"/>
    <w:rsid w:val="62DC0F53"/>
    <w:rsid w:val="62E51871"/>
    <w:rsid w:val="62F31AFE"/>
    <w:rsid w:val="62FD472A"/>
    <w:rsid w:val="631D4DCC"/>
    <w:rsid w:val="63225760"/>
    <w:rsid w:val="633555F4"/>
    <w:rsid w:val="633C72AE"/>
    <w:rsid w:val="633D3221"/>
    <w:rsid w:val="6346571D"/>
    <w:rsid w:val="63530473"/>
    <w:rsid w:val="635D44FF"/>
    <w:rsid w:val="6361797F"/>
    <w:rsid w:val="637B24DF"/>
    <w:rsid w:val="63835646"/>
    <w:rsid w:val="6386100E"/>
    <w:rsid w:val="63883E5B"/>
    <w:rsid w:val="639F2710"/>
    <w:rsid w:val="63A110F9"/>
    <w:rsid w:val="63A43E73"/>
    <w:rsid w:val="63B10C11"/>
    <w:rsid w:val="63B81B6A"/>
    <w:rsid w:val="63C95F28"/>
    <w:rsid w:val="63EB0A27"/>
    <w:rsid w:val="640F6956"/>
    <w:rsid w:val="642F02A8"/>
    <w:rsid w:val="64413BBB"/>
    <w:rsid w:val="64452444"/>
    <w:rsid w:val="644D08F4"/>
    <w:rsid w:val="645413C6"/>
    <w:rsid w:val="64670516"/>
    <w:rsid w:val="64821201"/>
    <w:rsid w:val="64A55CCE"/>
    <w:rsid w:val="64B61035"/>
    <w:rsid w:val="64E02555"/>
    <w:rsid w:val="64E7158A"/>
    <w:rsid w:val="64EA11E7"/>
    <w:rsid w:val="64FA65E5"/>
    <w:rsid w:val="6500174E"/>
    <w:rsid w:val="650E5671"/>
    <w:rsid w:val="6526338F"/>
    <w:rsid w:val="65366619"/>
    <w:rsid w:val="653B0B6E"/>
    <w:rsid w:val="653B3C30"/>
    <w:rsid w:val="65440F0D"/>
    <w:rsid w:val="654D48F5"/>
    <w:rsid w:val="655B1FE0"/>
    <w:rsid w:val="656942F9"/>
    <w:rsid w:val="65777969"/>
    <w:rsid w:val="657A12A3"/>
    <w:rsid w:val="658A256A"/>
    <w:rsid w:val="65921AA2"/>
    <w:rsid w:val="65B55790"/>
    <w:rsid w:val="65C47781"/>
    <w:rsid w:val="65CD5BB9"/>
    <w:rsid w:val="65EB4DAB"/>
    <w:rsid w:val="66284B61"/>
    <w:rsid w:val="663012BB"/>
    <w:rsid w:val="663757CB"/>
    <w:rsid w:val="66431BB5"/>
    <w:rsid w:val="66725BA1"/>
    <w:rsid w:val="668A464E"/>
    <w:rsid w:val="66B27F22"/>
    <w:rsid w:val="66B67750"/>
    <w:rsid w:val="66C3607C"/>
    <w:rsid w:val="66E16111"/>
    <w:rsid w:val="66F25640"/>
    <w:rsid w:val="66FB5425"/>
    <w:rsid w:val="67107E12"/>
    <w:rsid w:val="67183C0E"/>
    <w:rsid w:val="672006AD"/>
    <w:rsid w:val="672E2D18"/>
    <w:rsid w:val="673752E8"/>
    <w:rsid w:val="67520D51"/>
    <w:rsid w:val="6753195B"/>
    <w:rsid w:val="67545EA7"/>
    <w:rsid w:val="67627252"/>
    <w:rsid w:val="67680E06"/>
    <w:rsid w:val="677D5E3A"/>
    <w:rsid w:val="679316CB"/>
    <w:rsid w:val="679B09B6"/>
    <w:rsid w:val="67C47F0C"/>
    <w:rsid w:val="67DD5911"/>
    <w:rsid w:val="67FA528A"/>
    <w:rsid w:val="68636555"/>
    <w:rsid w:val="68686C42"/>
    <w:rsid w:val="68833C24"/>
    <w:rsid w:val="6886629C"/>
    <w:rsid w:val="68AE5716"/>
    <w:rsid w:val="68C77CB4"/>
    <w:rsid w:val="68D11660"/>
    <w:rsid w:val="68D96E42"/>
    <w:rsid w:val="68E95E39"/>
    <w:rsid w:val="69310E51"/>
    <w:rsid w:val="693C01EC"/>
    <w:rsid w:val="69587064"/>
    <w:rsid w:val="695D50EF"/>
    <w:rsid w:val="69666624"/>
    <w:rsid w:val="696E3FBC"/>
    <w:rsid w:val="697D3E61"/>
    <w:rsid w:val="698E39E7"/>
    <w:rsid w:val="699E2495"/>
    <w:rsid w:val="69A404DA"/>
    <w:rsid w:val="69C5310E"/>
    <w:rsid w:val="69CD78A3"/>
    <w:rsid w:val="69E26AA4"/>
    <w:rsid w:val="69E87642"/>
    <w:rsid w:val="69F06649"/>
    <w:rsid w:val="6A266C5C"/>
    <w:rsid w:val="6A655A90"/>
    <w:rsid w:val="6A7E6A1A"/>
    <w:rsid w:val="6A972417"/>
    <w:rsid w:val="6B0D4E7E"/>
    <w:rsid w:val="6B1747F7"/>
    <w:rsid w:val="6B1B628E"/>
    <w:rsid w:val="6B397A9B"/>
    <w:rsid w:val="6B4F733C"/>
    <w:rsid w:val="6BC229B5"/>
    <w:rsid w:val="6BCF4B74"/>
    <w:rsid w:val="6BEB3744"/>
    <w:rsid w:val="6BF167A6"/>
    <w:rsid w:val="6C103955"/>
    <w:rsid w:val="6C2C42D2"/>
    <w:rsid w:val="6C517895"/>
    <w:rsid w:val="6C673EDB"/>
    <w:rsid w:val="6C864056"/>
    <w:rsid w:val="6CA34594"/>
    <w:rsid w:val="6CB178DD"/>
    <w:rsid w:val="6CC664D5"/>
    <w:rsid w:val="6CC72842"/>
    <w:rsid w:val="6CC83FFB"/>
    <w:rsid w:val="6CD73AC3"/>
    <w:rsid w:val="6CDA69D0"/>
    <w:rsid w:val="6CF0758D"/>
    <w:rsid w:val="6CFC7733"/>
    <w:rsid w:val="6D0112BB"/>
    <w:rsid w:val="6D013069"/>
    <w:rsid w:val="6D102818"/>
    <w:rsid w:val="6D107DDC"/>
    <w:rsid w:val="6D162FB8"/>
    <w:rsid w:val="6D266F73"/>
    <w:rsid w:val="6D42687B"/>
    <w:rsid w:val="6D704D54"/>
    <w:rsid w:val="6D7579B5"/>
    <w:rsid w:val="6D857A3A"/>
    <w:rsid w:val="6DD95EEB"/>
    <w:rsid w:val="6DDE0A6A"/>
    <w:rsid w:val="6DF03AA3"/>
    <w:rsid w:val="6DF8517F"/>
    <w:rsid w:val="6E2A599B"/>
    <w:rsid w:val="6E33528C"/>
    <w:rsid w:val="6E40179C"/>
    <w:rsid w:val="6E414065"/>
    <w:rsid w:val="6E4A7B1B"/>
    <w:rsid w:val="6E600C08"/>
    <w:rsid w:val="6E6C0BA9"/>
    <w:rsid w:val="6E9C5DC6"/>
    <w:rsid w:val="6EAB7730"/>
    <w:rsid w:val="6EB77916"/>
    <w:rsid w:val="6EC321E6"/>
    <w:rsid w:val="6ED856E7"/>
    <w:rsid w:val="6EEA26C7"/>
    <w:rsid w:val="6EF46802"/>
    <w:rsid w:val="6F0D0399"/>
    <w:rsid w:val="6F1077B0"/>
    <w:rsid w:val="6F15037F"/>
    <w:rsid w:val="6F152DFC"/>
    <w:rsid w:val="6F182144"/>
    <w:rsid w:val="6F1D2190"/>
    <w:rsid w:val="6F1E6CB0"/>
    <w:rsid w:val="6F1F19DF"/>
    <w:rsid w:val="6F2452D5"/>
    <w:rsid w:val="6F2D283B"/>
    <w:rsid w:val="6F321C00"/>
    <w:rsid w:val="6F594C13"/>
    <w:rsid w:val="6F5F2DC3"/>
    <w:rsid w:val="6F60676D"/>
    <w:rsid w:val="6F752176"/>
    <w:rsid w:val="6F7A39FD"/>
    <w:rsid w:val="6F9A61F8"/>
    <w:rsid w:val="6FB13BFF"/>
    <w:rsid w:val="6FB55F51"/>
    <w:rsid w:val="6FBC1262"/>
    <w:rsid w:val="6FD96130"/>
    <w:rsid w:val="6FDD1941"/>
    <w:rsid w:val="6FE0165C"/>
    <w:rsid w:val="6FFA0834"/>
    <w:rsid w:val="70023F93"/>
    <w:rsid w:val="702D5223"/>
    <w:rsid w:val="702E23C7"/>
    <w:rsid w:val="7055201D"/>
    <w:rsid w:val="70964452"/>
    <w:rsid w:val="709804DC"/>
    <w:rsid w:val="709C4360"/>
    <w:rsid w:val="70A26AF3"/>
    <w:rsid w:val="70BB2F41"/>
    <w:rsid w:val="70C42D2B"/>
    <w:rsid w:val="70C65946"/>
    <w:rsid w:val="70CE3BAA"/>
    <w:rsid w:val="70DF7960"/>
    <w:rsid w:val="70E35F9E"/>
    <w:rsid w:val="70EC5DDE"/>
    <w:rsid w:val="70F049BA"/>
    <w:rsid w:val="71062461"/>
    <w:rsid w:val="710F3A90"/>
    <w:rsid w:val="712F4C87"/>
    <w:rsid w:val="713200F7"/>
    <w:rsid w:val="7147686A"/>
    <w:rsid w:val="7150149E"/>
    <w:rsid w:val="71513A50"/>
    <w:rsid w:val="715B3690"/>
    <w:rsid w:val="716F119B"/>
    <w:rsid w:val="71724535"/>
    <w:rsid w:val="718D262E"/>
    <w:rsid w:val="718E0A27"/>
    <w:rsid w:val="718F6E95"/>
    <w:rsid w:val="71957BF7"/>
    <w:rsid w:val="71B505EA"/>
    <w:rsid w:val="71BD028E"/>
    <w:rsid w:val="71D451F0"/>
    <w:rsid w:val="71F40BED"/>
    <w:rsid w:val="71FF7725"/>
    <w:rsid w:val="720D425E"/>
    <w:rsid w:val="72401208"/>
    <w:rsid w:val="72473D13"/>
    <w:rsid w:val="724B692C"/>
    <w:rsid w:val="725C585A"/>
    <w:rsid w:val="725D51E5"/>
    <w:rsid w:val="727349D0"/>
    <w:rsid w:val="727713E0"/>
    <w:rsid w:val="72844B5C"/>
    <w:rsid w:val="729F135A"/>
    <w:rsid w:val="72A70C7A"/>
    <w:rsid w:val="72C74CEB"/>
    <w:rsid w:val="72E05D61"/>
    <w:rsid w:val="731578E7"/>
    <w:rsid w:val="732D2FF9"/>
    <w:rsid w:val="732D4BB8"/>
    <w:rsid w:val="73421F7A"/>
    <w:rsid w:val="73667929"/>
    <w:rsid w:val="73683341"/>
    <w:rsid w:val="73785951"/>
    <w:rsid w:val="73B21561"/>
    <w:rsid w:val="73B633FE"/>
    <w:rsid w:val="73C16D6A"/>
    <w:rsid w:val="73C24724"/>
    <w:rsid w:val="73EA2AA9"/>
    <w:rsid w:val="73ED66DA"/>
    <w:rsid w:val="742F2BB2"/>
    <w:rsid w:val="743D2606"/>
    <w:rsid w:val="745C4E3F"/>
    <w:rsid w:val="746F159A"/>
    <w:rsid w:val="74790999"/>
    <w:rsid w:val="747A2B5F"/>
    <w:rsid w:val="74842EFD"/>
    <w:rsid w:val="74994423"/>
    <w:rsid w:val="74B06410"/>
    <w:rsid w:val="74B8062C"/>
    <w:rsid w:val="74CF2DB6"/>
    <w:rsid w:val="74DE6E36"/>
    <w:rsid w:val="74EA0887"/>
    <w:rsid w:val="751D6EAE"/>
    <w:rsid w:val="752B07BF"/>
    <w:rsid w:val="753F7CAE"/>
    <w:rsid w:val="75510880"/>
    <w:rsid w:val="7564688B"/>
    <w:rsid w:val="75A05A67"/>
    <w:rsid w:val="75A90438"/>
    <w:rsid w:val="75B96C95"/>
    <w:rsid w:val="75BB5FF0"/>
    <w:rsid w:val="75CB24B4"/>
    <w:rsid w:val="75D51C75"/>
    <w:rsid w:val="75DA02BF"/>
    <w:rsid w:val="761251C1"/>
    <w:rsid w:val="7614205F"/>
    <w:rsid w:val="762A51AE"/>
    <w:rsid w:val="76312C11"/>
    <w:rsid w:val="76516E0F"/>
    <w:rsid w:val="767655A3"/>
    <w:rsid w:val="76792AA1"/>
    <w:rsid w:val="7684252C"/>
    <w:rsid w:val="7693567A"/>
    <w:rsid w:val="76A0771C"/>
    <w:rsid w:val="76AF2641"/>
    <w:rsid w:val="76B35204"/>
    <w:rsid w:val="76B73A3B"/>
    <w:rsid w:val="76BD6253"/>
    <w:rsid w:val="76DD3AF7"/>
    <w:rsid w:val="76E320C3"/>
    <w:rsid w:val="76ED0DEE"/>
    <w:rsid w:val="76F07C28"/>
    <w:rsid w:val="76F510F7"/>
    <w:rsid w:val="77157077"/>
    <w:rsid w:val="77355168"/>
    <w:rsid w:val="77505E40"/>
    <w:rsid w:val="77552DEC"/>
    <w:rsid w:val="777032C5"/>
    <w:rsid w:val="7778661E"/>
    <w:rsid w:val="77B05DB7"/>
    <w:rsid w:val="77B746D8"/>
    <w:rsid w:val="77B926AD"/>
    <w:rsid w:val="77E46155"/>
    <w:rsid w:val="77E872FF"/>
    <w:rsid w:val="77EB3293"/>
    <w:rsid w:val="77FC749B"/>
    <w:rsid w:val="78120CF5"/>
    <w:rsid w:val="782D565A"/>
    <w:rsid w:val="78342545"/>
    <w:rsid w:val="784A4DDC"/>
    <w:rsid w:val="78672B0C"/>
    <w:rsid w:val="786A6EBD"/>
    <w:rsid w:val="7870758B"/>
    <w:rsid w:val="787130F8"/>
    <w:rsid w:val="78987BEC"/>
    <w:rsid w:val="789A4C0A"/>
    <w:rsid w:val="78A06CA4"/>
    <w:rsid w:val="78A551F0"/>
    <w:rsid w:val="78B4778F"/>
    <w:rsid w:val="78B611AB"/>
    <w:rsid w:val="78B70160"/>
    <w:rsid w:val="78CF04BF"/>
    <w:rsid w:val="78EF16D9"/>
    <w:rsid w:val="78F90157"/>
    <w:rsid w:val="78FA4A73"/>
    <w:rsid w:val="78FD6296"/>
    <w:rsid w:val="790C1E37"/>
    <w:rsid w:val="79123CA4"/>
    <w:rsid w:val="79157A6D"/>
    <w:rsid w:val="792720A9"/>
    <w:rsid w:val="792738AA"/>
    <w:rsid w:val="79315C1F"/>
    <w:rsid w:val="79414BE0"/>
    <w:rsid w:val="795F6036"/>
    <w:rsid w:val="797244BB"/>
    <w:rsid w:val="79775996"/>
    <w:rsid w:val="79827A75"/>
    <w:rsid w:val="799B36CA"/>
    <w:rsid w:val="799E2AF4"/>
    <w:rsid w:val="799F7E92"/>
    <w:rsid w:val="79A6479E"/>
    <w:rsid w:val="79C01F8D"/>
    <w:rsid w:val="79D5090F"/>
    <w:rsid w:val="79D751D0"/>
    <w:rsid w:val="7A0360CB"/>
    <w:rsid w:val="7A146FA4"/>
    <w:rsid w:val="7A1F4E56"/>
    <w:rsid w:val="7A251449"/>
    <w:rsid w:val="7A3A1EAA"/>
    <w:rsid w:val="7A3A39F9"/>
    <w:rsid w:val="7A42602C"/>
    <w:rsid w:val="7A514576"/>
    <w:rsid w:val="7A5433B2"/>
    <w:rsid w:val="7A5C5D83"/>
    <w:rsid w:val="7A63515A"/>
    <w:rsid w:val="7A713C34"/>
    <w:rsid w:val="7A841815"/>
    <w:rsid w:val="7AB160CE"/>
    <w:rsid w:val="7AD750FB"/>
    <w:rsid w:val="7AE83ABA"/>
    <w:rsid w:val="7AEA2BF1"/>
    <w:rsid w:val="7AFF17E0"/>
    <w:rsid w:val="7B203254"/>
    <w:rsid w:val="7B30313A"/>
    <w:rsid w:val="7B544F35"/>
    <w:rsid w:val="7B5C5379"/>
    <w:rsid w:val="7BB83C0A"/>
    <w:rsid w:val="7BC0386E"/>
    <w:rsid w:val="7BCC5886"/>
    <w:rsid w:val="7BD540EA"/>
    <w:rsid w:val="7BDD1ED4"/>
    <w:rsid w:val="7BE426CA"/>
    <w:rsid w:val="7BEC0945"/>
    <w:rsid w:val="7C135421"/>
    <w:rsid w:val="7C2023D6"/>
    <w:rsid w:val="7C315F6B"/>
    <w:rsid w:val="7C482A62"/>
    <w:rsid w:val="7C5F1B5A"/>
    <w:rsid w:val="7C6158D2"/>
    <w:rsid w:val="7C632142"/>
    <w:rsid w:val="7C88782D"/>
    <w:rsid w:val="7C90731B"/>
    <w:rsid w:val="7C98465E"/>
    <w:rsid w:val="7CB93203"/>
    <w:rsid w:val="7CE23834"/>
    <w:rsid w:val="7CEA44E6"/>
    <w:rsid w:val="7CED49CB"/>
    <w:rsid w:val="7CFD4F9B"/>
    <w:rsid w:val="7D0E3318"/>
    <w:rsid w:val="7D163B81"/>
    <w:rsid w:val="7D1D4F36"/>
    <w:rsid w:val="7D2A660C"/>
    <w:rsid w:val="7D32101D"/>
    <w:rsid w:val="7D425312"/>
    <w:rsid w:val="7D797F41"/>
    <w:rsid w:val="7DC9372F"/>
    <w:rsid w:val="7DCE1954"/>
    <w:rsid w:val="7DE440D5"/>
    <w:rsid w:val="7E07283D"/>
    <w:rsid w:val="7E09676F"/>
    <w:rsid w:val="7E0B01EB"/>
    <w:rsid w:val="7E1374E5"/>
    <w:rsid w:val="7E264ADE"/>
    <w:rsid w:val="7E2A365B"/>
    <w:rsid w:val="7E373A16"/>
    <w:rsid w:val="7E3D06C4"/>
    <w:rsid w:val="7E5579FE"/>
    <w:rsid w:val="7E577349"/>
    <w:rsid w:val="7E58352B"/>
    <w:rsid w:val="7E6873EC"/>
    <w:rsid w:val="7E6D1980"/>
    <w:rsid w:val="7E8348C5"/>
    <w:rsid w:val="7E8E6727"/>
    <w:rsid w:val="7EB919F5"/>
    <w:rsid w:val="7ED72CC0"/>
    <w:rsid w:val="7EDA196C"/>
    <w:rsid w:val="7EEF6B51"/>
    <w:rsid w:val="7F08472B"/>
    <w:rsid w:val="7F2F3A66"/>
    <w:rsid w:val="7F741DC0"/>
    <w:rsid w:val="7F7E0C24"/>
    <w:rsid w:val="7F905B19"/>
    <w:rsid w:val="7F932130"/>
    <w:rsid w:val="7F955E74"/>
    <w:rsid w:val="7FAA48FB"/>
    <w:rsid w:val="7FB80376"/>
    <w:rsid w:val="7FC97C7D"/>
    <w:rsid w:val="7FCD7330"/>
    <w:rsid w:val="7FD02CAE"/>
    <w:rsid w:val="7FE80B2C"/>
    <w:rsid w:val="7FFD59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ocked="1"/>
    <w:lsdException w:qFormat="1" w:unhideWhenUsed="0" w:uiPriority="99" w:name="toc 2" w:locked="1"/>
    <w:lsdException w:qFormat="1" w:unhideWhenUsed="0" w:uiPriority="99" w:name="toc 3" w:locked="1"/>
    <w:lsdException w:qFormat="1" w:unhideWhenUsed="0" w:uiPriority="99" w:name="toc 4" w:locked="1"/>
    <w:lsdException w:qFormat="1" w:unhideWhenUsed="0" w:uiPriority="99" w:name="toc 5" w:locked="1"/>
    <w:lsdException w:qFormat="1" w:unhideWhenUsed="0" w:uiPriority="99" w:name="toc 6" w:locked="1"/>
    <w:lsdException w:qFormat="1" w:unhideWhenUsed="0" w:uiPriority="99" w:name="toc 7" w:locked="1"/>
    <w:lsdException w:qFormat="1" w:unhideWhenUsed="0" w:uiPriority="99" w:name="toc 8" w:locked="1"/>
    <w:lsdException w:qFormat="1" w:unhideWhenUsed="0" w:uiPriority="99"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ocked="1"/>
    <w:lsdException w:qFormat="1" w:unhideWhenUsed="0" w:uiPriority="99" w:name="table of figures"/>
    <w:lsdException w:unhideWhenUsed="0" w:uiPriority="0" w:semiHidden="0" w:name="envelope address"/>
    <w:lsdException w:qFormat="1" w:unhideWhenUsed="0" w:uiPriority="99" w:semiHidden="0" w:name="envelope return"/>
    <w:lsdException w:qFormat="1" w:unhideWhenUsed="0" w:uiPriority="99" w:name="footnote reference"/>
    <w:lsdException w:qFormat="1" w:unhideWhenUsed="0" w:uiPriority="99" w:name="annotation reference"/>
    <w:lsdException w:unhideWhenUsed="0" w:uiPriority="0" w:semiHidden="0" w:name="line number"/>
    <w:lsdException w:qFormat="1" w:unhideWhenUsed="0" w:uiPriority="99" w:name="page number"/>
    <w:lsdException w:unhideWhenUsed="0" w:uiPriority="0" w:semiHidden="0" w:name="endnote reference"/>
    <w:lsdException w:qFormat="1" w:unhideWhenUsed="0" w:uiPriority="99" w:name="endnote text"/>
    <w:lsdException w:qFormat="1" w:unhideWhenUsed="0" w:uiPriority="99" w:name="table of authorities"/>
    <w:lsdException w:unhideWhenUsed="0" w:uiPriority="0" w:semiHidden="0" w:name="macro"/>
    <w:lsdException w:qFormat="1" w:unhideWhenUsed="0" w:uiPriority="99" w:name="toa heading"/>
    <w:lsdException w:qFormat="1" w:unhideWhenUsed="0" w:uiPriority="99" w:name="List"/>
    <w:lsdException w:qFormat="1" w:unhideWhenUsed="0" w:uiPriority="99" w:name="List Bullet"/>
    <w:lsdException w:qFormat="1" w:unhideWhenUsed="0" w:uiPriority="99" w:semiHidden="0" w:name="List Number" w:locked="1"/>
    <w:lsdException w:qFormat="1" w:unhideWhenUsed="0" w:uiPriority="99" w:name="List 2"/>
    <w:lsdException w:qFormat="1" w:unhideWhenUsed="0" w:uiPriority="99" w:name="List 3"/>
    <w:lsdException w:qFormat="1" w:unhideWhenUsed="0" w:uiPriority="99" w:semiHidden="0" w:name="List 4" w:locked="1"/>
    <w:lsdException w:qFormat="1" w:unhideWhenUsed="0" w:uiPriority="99" w:semiHidden="0" w:name="List 5" w:locked="1"/>
    <w:lsdException w:qFormat="1" w:unhideWhenUsed="0" w:uiPriority="99" w:name="List Bullet 2"/>
    <w:lsdException w:unhideWhenUsed="0" w:uiPriority="0" w:semiHidden="0"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unhideWhenUsed="0" w:uiPriority="0" w:semiHidden="0" w:name="List Number 4"/>
    <w:lsdException w:unhideWhenUsed="0" w:uiPriority="0" w:semiHidden="0" w:name="List Number 5"/>
    <w:lsdException w:qFormat="1" w:unhideWhenUsed="0" w:uiPriority="99"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ocked="1"/>
    <w:lsdException w:qFormat="1" w:unhideWhenUsed="0" w:uiPriority="99" w:semiHidden="0" w:name="Salutation" w:locked="1"/>
    <w:lsdException w:qFormat="1" w:unhideWhenUsed="0" w:uiPriority="99" w:name="Date"/>
    <w:lsdException w:qFormat="1" w:unhideWhenUsed="0" w:uiPriority="99" w:semiHidden="0" w:name="Body Text First Indent" w:locked="1"/>
    <w:lsdException w:qFormat="1" w:unhideWhenUsed="0" w:uiPriority="99" w:name="Body Text First Indent 2"/>
    <w:lsdException w:unhideWhenUsed="0" w:uiPriority="0" w:semiHidden="0" w:name="Note Heading"/>
    <w:lsdException w:qFormat="1" w:unhideWhenUsed="0" w:uiPriority="99" w:name="Body Text 2"/>
    <w:lsdException w:qFormat="1" w:unhideWhenUsed="0" w:uiPriority="99" w:name="Body Text 3"/>
    <w:lsdException w:qFormat="1" w:unhideWhenUsed="0" w:uiPriority="99" w:name="Body Text Indent 2"/>
    <w:lsdException w:qFormat="1" w:unhideWhenUsed="0" w:uiPriority="99" w:name="Body Text Indent 3"/>
    <w:lsdException w:unhideWhenUsed="0" w:uiPriority="0" w:semiHidden="0" w:name="Block Text"/>
    <w:lsdException w:qFormat="1" w:unhideWhenUsed="0" w:uiPriority="99" w:semiHidden="0"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qFormat="1" w:unhideWhenUsed="0" w:uiPriority="99"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99"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5"/>
    <w:autoRedefine/>
    <w:qFormat/>
    <w:uiPriority w:val="9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72"/>
    <w:autoRedefine/>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87"/>
    <w:autoRedefine/>
    <w:qFormat/>
    <w:uiPriority w:val="99"/>
    <w:pPr>
      <w:keepNext/>
      <w:keepLines/>
      <w:spacing w:before="260" w:after="260" w:line="416" w:lineRule="auto"/>
      <w:outlineLvl w:val="2"/>
    </w:pPr>
    <w:rPr>
      <w:sz w:val="32"/>
      <w:szCs w:val="32"/>
    </w:rPr>
  </w:style>
  <w:style w:type="paragraph" w:styleId="5">
    <w:name w:val="heading 4"/>
    <w:basedOn w:val="1"/>
    <w:next w:val="1"/>
    <w:link w:val="88"/>
    <w:autoRedefine/>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9"/>
    <w:autoRedefine/>
    <w:qFormat/>
    <w:uiPriority w:val="99"/>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90"/>
    <w:autoRedefine/>
    <w:qFormat/>
    <w:uiPriority w:val="9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91"/>
    <w:autoRedefine/>
    <w:qFormat/>
    <w:uiPriority w:val="99"/>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92"/>
    <w:autoRedefine/>
    <w:qFormat/>
    <w:uiPriority w:val="99"/>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93"/>
    <w:autoRedefine/>
    <w:qFormat/>
    <w:uiPriority w:val="99"/>
    <w:pPr>
      <w:keepNext/>
      <w:keepLines/>
      <w:tabs>
        <w:tab w:val="left" w:pos="0"/>
      </w:tabs>
      <w:spacing w:before="240" w:after="64" w:line="320" w:lineRule="auto"/>
      <w:ind w:left="1584" w:hanging="1584"/>
      <w:outlineLvl w:val="8"/>
    </w:pPr>
    <w:rPr>
      <w:rFonts w:ascii="Cambria" w:hAnsi="Cambria"/>
      <w:szCs w:val="21"/>
    </w:rPr>
  </w:style>
  <w:style w:type="character" w:default="1" w:styleId="69">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semiHidden/>
    <w:qFormat/>
    <w:uiPriority w:val="99"/>
    <w:pPr>
      <w:ind w:left="100" w:leftChars="400" w:hanging="200" w:hangingChars="200"/>
    </w:pPr>
    <w:rPr>
      <w:rFonts w:ascii="Times New Roman" w:hAnsi="Times New Roman"/>
      <w:szCs w:val="20"/>
    </w:rPr>
  </w:style>
  <w:style w:type="paragraph" w:styleId="12">
    <w:name w:val="toc 7"/>
    <w:basedOn w:val="1"/>
    <w:next w:val="1"/>
    <w:autoRedefine/>
    <w:semiHidden/>
    <w:qFormat/>
    <w:locked/>
    <w:uiPriority w:val="99"/>
    <w:pPr>
      <w:ind w:left="1260"/>
      <w:jc w:val="left"/>
    </w:pPr>
    <w:rPr>
      <w:rFonts w:ascii="等线" w:eastAsia="等线"/>
      <w:sz w:val="18"/>
      <w:szCs w:val="18"/>
    </w:rPr>
  </w:style>
  <w:style w:type="paragraph" w:styleId="13">
    <w:name w:val="List Number 2"/>
    <w:basedOn w:val="1"/>
    <w:autoRedefine/>
    <w:semiHidden/>
    <w:qFormat/>
    <w:uiPriority w:val="99"/>
    <w:pPr>
      <w:tabs>
        <w:tab w:val="left" w:pos="432"/>
        <w:tab w:val="left" w:pos="567"/>
      </w:tabs>
      <w:ind w:left="432" w:hanging="432"/>
    </w:pPr>
    <w:rPr>
      <w:rFonts w:ascii="Times New Roman" w:hAnsi="Times New Roman"/>
      <w:sz w:val="28"/>
      <w:szCs w:val="20"/>
    </w:rPr>
  </w:style>
  <w:style w:type="paragraph" w:styleId="14">
    <w:name w:val="table of authorities"/>
    <w:basedOn w:val="1"/>
    <w:next w:val="1"/>
    <w:autoRedefine/>
    <w:semiHidden/>
    <w:qFormat/>
    <w:uiPriority w:val="99"/>
    <w:pPr>
      <w:numPr>
        <w:ilvl w:val="0"/>
        <w:numId w:val="1"/>
      </w:numPr>
      <w:ind w:left="200" w:leftChars="200"/>
    </w:pPr>
    <w:rPr>
      <w:rFonts w:ascii="Times New Roman" w:hAnsi="Times New Roman"/>
      <w:sz w:val="18"/>
      <w:szCs w:val="24"/>
    </w:rPr>
  </w:style>
  <w:style w:type="paragraph" w:styleId="15">
    <w:name w:val="List Bullet 4"/>
    <w:basedOn w:val="1"/>
    <w:autoRedefine/>
    <w:semiHidden/>
    <w:qFormat/>
    <w:uiPriority w:val="99"/>
    <w:pPr>
      <w:numPr>
        <w:ilvl w:val="0"/>
        <w:numId w:val="2"/>
      </w:numPr>
      <w:tabs>
        <w:tab w:val="left" w:pos="1620"/>
        <w:tab w:val="clear" w:pos="780"/>
      </w:tabs>
      <w:ind w:left="1620" w:leftChars="0" w:firstLine="0" w:firstLineChars="0"/>
    </w:pPr>
    <w:rPr>
      <w:rFonts w:ascii="Times New Roman" w:hAnsi="Times New Roman"/>
      <w:szCs w:val="24"/>
    </w:rPr>
  </w:style>
  <w:style w:type="paragraph" w:styleId="16">
    <w:name w:val="List Number"/>
    <w:basedOn w:val="1"/>
    <w:autoRedefine/>
    <w:qFormat/>
    <w:locked/>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251"/>
    <w:autoRedefine/>
    <w:qFormat/>
    <w:uiPriority w:val="99"/>
    <w:pPr>
      <w:ind w:firstLine="420"/>
    </w:pPr>
    <w:rPr>
      <w:rFonts w:ascii="Times New Roman" w:hAnsi="Times New Roman"/>
      <w:szCs w:val="20"/>
    </w:rPr>
  </w:style>
  <w:style w:type="paragraph" w:styleId="18">
    <w:name w:val="caption"/>
    <w:basedOn w:val="1"/>
    <w:next w:val="1"/>
    <w:link w:val="354"/>
    <w:autoRedefine/>
    <w:qFormat/>
    <w:locked/>
    <w:uiPriority w:val="99"/>
    <w:pPr>
      <w:spacing w:before="152" w:after="160"/>
    </w:pPr>
    <w:rPr>
      <w:rFonts w:ascii="Arial" w:hAnsi="Arial" w:eastAsia="黑体"/>
      <w:sz w:val="20"/>
      <w:szCs w:val="20"/>
    </w:rPr>
  </w:style>
  <w:style w:type="paragraph" w:styleId="19">
    <w:name w:val="List Bullet"/>
    <w:basedOn w:val="1"/>
    <w:autoRedefine/>
    <w:semiHidden/>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94"/>
    <w:autoRedefine/>
    <w:semiHidden/>
    <w:qFormat/>
    <w:uiPriority w:val="99"/>
    <w:rPr>
      <w:rFonts w:ascii="宋体" w:hAnsi="Times New Roman"/>
      <w:sz w:val="18"/>
      <w:szCs w:val="18"/>
    </w:rPr>
  </w:style>
  <w:style w:type="paragraph" w:styleId="21">
    <w:name w:val="toa heading"/>
    <w:basedOn w:val="1"/>
    <w:next w:val="1"/>
    <w:autoRedefine/>
    <w:semiHidden/>
    <w:qFormat/>
    <w:uiPriority w:val="99"/>
    <w:pPr>
      <w:spacing w:before="120"/>
    </w:pPr>
    <w:rPr>
      <w:rFonts w:ascii="Arial" w:hAnsi="Arial" w:cs="Arial"/>
      <w:sz w:val="24"/>
      <w:szCs w:val="24"/>
    </w:rPr>
  </w:style>
  <w:style w:type="paragraph" w:styleId="22">
    <w:name w:val="annotation text"/>
    <w:basedOn w:val="1"/>
    <w:link w:val="95"/>
    <w:autoRedefine/>
    <w:semiHidden/>
    <w:qFormat/>
    <w:uiPriority w:val="99"/>
    <w:pPr>
      <w:jc w:val="left"/>
    </w:pPr>
    <w:rPr>
      <w:rFonts w:ascii="Times New Roman" w:hAnsi="Times New Roman"/>
    </w:rPr>
  </w:style>
  <w:style w:type="paragraph" w:styleId="23">
    <w:name w:val="Salutation"/>
    <w:basedOn w:val="1"/>
    <w:next w:val="1"/>
    <w:link w:val="96"/>
    <w:autoRedefine/>
    <w:qFormat/>
    <w:locked/>
    <w:uiPriority w:val="99"/>
    <w:rPr>
      <w:rFonts w:ascii="宋体" w:hAnsi="Times New Roman"/>
      <w:b/>
      <w:sz w:val="28"/>
      <w:szCs w:val="20"/>
    </w:rPr>
  </w:style>
  <w:style w:type="paragraph" w:styleId="24">
    <w:name w:val="Body Text 3"/>
    <w:basedOn w:val="1"/>
    <w:link w:val="97"/>
    <w:autoRedefine/>
    <w:semiHidden/>
    <w:qFormat/>
    <w:uiPriority w:val="99"/>
    <w:pPr>
      <w:snapToGrid w:val="0"/>
      <w:spacing w:before="50" w:after="50"/>
    </w:pPr>
    <w:rPr>
      <w:rFonts w:ascii="Times New Roman" w:hAnsi="宋体" w:eastAsia="仿宋_GB2312"/>
      <w:b/>
      <w:bCs/>
      <w:sz w:val="24"/>
      <w:szCs w:val="20"/>
    </w:rPr>
  </w:style>
  <w:style w:type="paragraph" w:styleId="25">
    <w:name w:val="Body Text"/>
    <w:basedOn w:val="1"/>
    <w:link w:val="98"/>
    <w:autoRedefine/>
    <w:semiHidden/>
    <w:qFormat/>
    <w:uiPriority w:val="99"/>
    <w:pPr>
      <w:spacing w:after="120"/>
    </w:pPr>
    <w:rPr>
      <w:rFonts w:ascii="Times New Roman" w:hAnsi="Times New Roman"/>
      <w:sz w:val="28"/>
      <w:szCs w:val="24"/>
    </w:rPr>
  </w:style>
  <w:style w:type="paragraph" w:styleId="26">
    <w:name w:val="Body Text Indent"/>
    <w:basedOn w:val="1"/>
    <w:link w:val="99"/>
    <w:autoRedefine/>
    <w:semiHidden/>
    <w:qFormat/>
    <w:uiPriority w:val="99"/>
    <w:pPr>
      <w:spacing w:line="200" w:lineRule="exact"/>
      <w:ind w:firstLine="301"/>
    </w:pPr>
    <w:rPr>
      <w:rFonts w:ascii="宋体" w:hAnsi="Courier New"/>
      <w:spacing w:val="-4"/>
      <w:sz w:val="18"/>
      <w:szCs w:val="20"/>
    </w:rPr>
  </w:style>
  <w:style w:type="paragraph" w:styleId="27">
    <w:name w:val="List Number 3"/>
    <w:basedOn w:val="1"/>
    <w:autoRedefine/>
    <w:semiHidden/>
    <w:qFormat/>
    <w:uiPriority w:val="99"/>
    <w:pPr>
      <w:numPr>
        <w:ilvl w:val="0"/>
        <w:numId w:val="3"/>
      </w:numPr>
      <w:tabs>
        <w:tab w:val="left" w:pos="1200"/>
        <w:tab w:val="clear" w:pos="1620"/>
      </w:tabs>
      <w:ind w:left="1200"/>
    </w:pPr>
    <w:rPr>
      <w:rFonts w:ascii="Times New Roman" w:hAnsi="Times New Roman"/>
      <w:szCs w:val="24"/>
    </w:rPr>
  </w:style>
  <w:style w:type="paragraph" w:styleId="28">
    <w:name w:val="List 2"/>
    <w:basedOn w:val="1"/>
    <w:autoRedefine/>
    <w:semiHidden/>
    <w:qFormat/>
    <w:uiPriority w:val="99"/>
    <w:pPr>
      <w:ind w:left="100" w:leftChars="200" w:hanging="200" w:hangingChars="200"/>
    </w:pPr>
    <w:rPr>
      <w:rFonts w:ascii="Times New Roman" w:hAnsi="Times New Roman"/>
      <w:sz w:val="28"/>
      <w:szCs w:val="24"/>
    </w:rPr>
  </w:style>
  <w:style w:type="paragraph" w:styleId="29">
    <w:name w:val="List Bullet 2"/>
    <w:basedOn w:val="1"/>
    <w:autoRedefine/>
    <w:semiHidden/>
    <w:qFormat/>
    <w:uiPriority w:val="99"/>
    <w:pPr>
      <w:tabs>
        <w:tab w:val="left" w:pos="780"/>
      </w:tabs>
      <w:ind w:left="780" w:leftChars="200" w:hanging="360" w:hangingChars="200"/>
    </w:pPr>
    <w:rPr>
      <w:rFonts w:ascii="Times New Roman" w:hAnsi="Times New Roman"/>
      <w:szCs w:val="24"/>
    </w:rPr>
  </w:style>
  <w:style w:type="paragraph" w:styleId="30">
    <w:name w:val="index 4"/>
    <w:basedOn w:val="1"/>
    <w:next w:val="1"/>
    <w:autoRedefine/>
    <w:semiHidden/>
    <w:qFormat/>
    <w:uiPriority w:val="99"/>
    <w:pPr>
      <w:ind w:left="600" w:leftChars="600"/>
    </w:pPr>
    <w:rPr>
      <w:rFonts w:ascii="Times New Roman" w:hAnsi="Times New Roman"/>
      <w:szCs w:val="24"/>
    </w:rPr>
  </w:style>
  <w:style w:type="paragraph" w:styleId="31">
    <w:name w:val="toc 5"/>
    <w:basedOn w:val="1"/>
    <w:next w:val="1"/>
    <w:autoRedefine/>
    <w:semiHidden/>
    <w:qFormat/>
    <w:locked/>
    <w:uiPriority w:val="99"/>
    <w:pPr>
      <w:ind w:left="840"/>
      <w:jc w:val="left"/>
    </w:pPr>
    <w:rPr>
      <w:rFonts w:ascii="等线" w:eastAsia="等线"/>
      <w:sz w:val="18"/>
      <w:szCs w:val="18"/>
    </w:rPr>
  </w:style>
  <w:style w:type="paragraph" w:styleId="32">
    <w:name w:val="toc 3"/>
    <w:basedOn w:val="1"/>
    <w:next w:val="1"/>
    <w:autoRedefine/>
    <w:semiHidden/>
    <w:qFormat/>
    <w:locked/>
    <w:uiPriority w:val="99"/>
    <w:pPr>
      <w:ind w:left="420"/>
      <w:jc w:val="left"/>
    </w:pPr>
    <w:rPr>
      <w:rFonts w:ascii="等线" w:eastAsia="等线"/>
      <w:i/>
      <w:iCs/>
      <w:sz w:val="20"/>
      <w:szCs w:val="20"/>
    </w:rPr>
  </w:style>
  <w:style w:type="paragraph" w:styleId="33">
    <w:name w:val="Plain Text"/>
    <w:basedOn w:val="1"/>
    <w:link w:val="100"/>
    <w:autoRedefine/>
    <w:qFormat/>
    <w:uiPriority w:val="99"/>
    <w:pPr>
      <w:spacing w:beforeLines="50" w:afterLines="50" w:line="400" w:lineRule="exact"/>
    </w:pPr>
    <w:rPr>
      <w:rFonts w:ascii="宋体" w:hAnsi="Courier New"/>
      <w:sz w:val="24"/>
      <w:szCs w:val="24"/>
    </w:rPr>
  </w:style>
  <w:style w:type="paragraph" w:styleId="34">
    <w:name w:val="List Bullet 5"/>
    <w:basedOn w:val="1"/>
    <w:autoRedefine/>
    <w:semiHidden/>
    <w:qFormat/>
    <w:uiPriority w:val="99"/>
    <w:pPr>
      <w:numPr>
        <w:ilvl w:val="0"/>
        <w:numId w:val="4"/>
      </w:numPr>
      <w:tabs>
        <w:tab w:val="left" w:pos="2182"/>
        <w:tab w:val="clear" w:pos="360"/>
      </w:tabs>
      <w:ind w:left="2182"/>
    </w:pPr>
    <w:rPr>
      <w:rFonts w:ascii="Times New Roman" w:hAnsi="Times New Roman"/>
      <w:szCs w:val="24"/>
    </w:rPr>
  </w:style>
  <w:style w:type="paragraph" w:styleId="35">
    <w:name w:val="toc 8"/>
    <w:basedOn w:val="1"/>
    <w:next w:val="1"/>
    <w:autoRedefine/>
    <w:semiHidden/>
    <w:qFormat/>
    <w:locked/>
    <w:uiPriority w:val="99"/>
    <w:pPr>
      <w:ind w:left="1470"/>
      <w:jc w:val="left"/>
    </w:pPr>
    <w:rPr>
      <w:rFonts w:ascii="等线" w:eastAsia="等线"/>
      <w:sz w:val="18"/>
      <w:szCs w:val="18"/>
    </w:rPr>
  </w:style>
  <w:style w:type="paragraph" w:styleId="36">
    <w:name w:val="index 3"/>
    <w:basedOn w:val="1"/>
    <w:next w:val="1"/>
    <w:autoRedefine/>
    <w:semiHidden/>
    <w:qFormat/>
    <w:uiPriority w:val="99"/>
    <w:pPr>
      <w:ind w:left="400" w:leftChars="400"/>
    </w:pPr>
    <w:rPr>
      <w:rFonts w:ascii="宋体" w:hAnsi="Times New Roman"/>
      <w:sz w:val="24"/>
      <w:szCs w:val="20"/>
    </w:rPr>
  </w:style>
  <w:style w:type="paragraph" w:styleId="37">
    <w:name w:val="Date"/>
    <w:basedOn w:val="1"/>
    <w:next w:val="1"/>
    <w:link w:val="101"/>
    <w:autoRedefine/>
    <w:semiHidden/>
    <w:qFormat/>
    <w:uiPriority w:val="99"/>
    <w:pPr>
      <w:ind w:left="2500" w:leftChars="2500"/>
    </w:pPr>
    <w:rPr>
      <w:rFonts w:ascii="Times New Roman" w:hAnsi="Times New Roman" w:eastAsia="楷体_GB2312"/>
      <w:sz w:val="32"/>
      <w:szCs w:val="20"/>
    </w:rPr>
  </w:style>
  <w:style w:type="paragraph" w:styleId="38">
    <w:name w:val="Body Text Indent 2"/>
    <w:basedOn w:val="1"/>
    <w:link w:val="102"/>
    <w:autoRedefine/>
    <w:semiHidden/>
    <w:qFormat/>
    <w:uiPriority w:val="99"/>
    <w:pPr>
      <w:snapToGrid w:val="0"/>
      <w:ind w:firstLine="542" w:firstLineChars="225"/>
    </w:pPr>
    <w:rPr>
      <w:rFonts w:ascii="仿宋_GB2312" w:hAnsi="宋体"/>
      <w:b/>
      <w:bCs/>
      <w:color w:val="000000"/>
      <w:sz w:val="24"/>
      <w:szCs w:val="24"/>
    </w:rPr>
  </w:style>
  <w:style w:type="paragraph" w:styleId="39">
    <w:name w:val="endnote text"/>
    <w:basedOn w:val="1"/>
    <w:link w:val="103"/>
    <w:autoRedefine/>
    <w:semiHidden/>
    <w:qFormat/>
    <w:uiPriority w:val="99"/>
    <w:pPr>
      <w:numPr>
        <w:ilvl w:val="0"/>
        <w:numId w:val="5"/>
      </w:numPr>
      <w:snapToGrid w:val="0"/>
      <w:spacing w:afterLines="50"/>
      <w:jc w:val="left"/>
    </w:pPr>
    <w:rPr>
      <w:rFonts w:ascii="宋体" w:hAnsi="Times New Roman"/>
      <w:kern w:val="0"/>
      <w:szCs w:val="20"/>
    </w:rPr>
  </w:style>
  <w:style w:type="paragraph" w:styleId="40">
    <w:name w:val="Balloon Text"/>
    <w:basedOn w:val="1"/>
    <w:link w:val="225"/>
    <w:autoRedefine/>
    <w:semiHidden/>
    <w:qFormat/>
    <w:uiPriority w:val="99"/>
    <w:rPr>
      <w:sz w:val="18"/>
      <w:szCs w:val="18"/>
    </w:rPr>
  </w:style>
  <w:style w:type="paragraph" w:styleId="41">
    <w:name w:val="footer"/>
    <w:basedOn w:val="1"/>
    <w:link w:val="273"/>
    <w:autoRedefine/>
    <w:qFormat/>
    <w:uiPriority w:val="99"/>
    <w:pPr>
      <w:tabs>
        <w:tab w:val="center" w:pos="4153"/>
        <w:tab w:val="right" w:pos="8306"/>
      </w:tabs>
      <w:snapToGrid w:val="0"/>
      <w:jc w:val="left"/>
    </w:pPr>
    <w:rPr>
      <w:rFonts w:ascii="Times New Roman" w:hAnsi="Times New Roman"/>
      <w:sz w:val="18"/>
      <w:szCs w:val="20"/>
    </w:rPr>
  </w:style>
  <w:style w:type="paragraph" w:styleId="42">
    <w:name w:val="envelope return"/>
    <w:basedOn w:val="1"/>
    <w:autoRedefine/>
    <w:qFormat/>
    <w:uiPriority w:val="99"/>
    <w:pPr>
      <w:snapToGrid w:val="0"/>
    </w:pPr>
    <w:rPr>
      <w:rFonts w:ascii="Arial" w:hAnsi="Arial"/>
    </w:rPr>
  </w:style>
  <w:style w:type="paragraph" w:styleId="43">
    <w:name w:val="header"/>
    <w:basedOn w:val="1"/>
    <w:link w:val="24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44">
    <w:name w:val="toc 1"/>
    <w:basedOn w:val="1"/>
    <w:next w:val="1"/>
    <w:autoRedefine/>
    <w:semiHidden/>
    <w:qFormat/>
    <w:locked/>
    <w:uiPriority w:val="99"/>
    <w:pPr>
      <w:spacing w:before="120" w:after="120"/>
      <w:jc w:val="left"/>
    </w:pPr>
    <w:rPr>
      <w:rFonts w:ascii="等线" w:eastAsia="等线"/>
      <w:b/>
      <w:bCs/>
      <w:caps/>
      <w:sz w:val="20"/>
      <w:szCs w:val="20"/>
    </w:rPr>
  </w:style>
  <w:style w:type="paragraph" w:styleId="45">
    <w:name w:val="toc 4"/>
    <w:basedOn w:val="1"/>
    <w:next w:val="1"/>
    <w:autoRedefine/>
    <w:semiHidden/>
    <w:qFormat/>
    <w:locked/>
    <w:uiPriority w:val="99"/>
    <w:pPr>
      <w:ind w:left="630"/>
      <w:jc w:val="left"/>
    </w:pPr>
    <w:rPr>
      <w:rFonts w:ascii="等线" w:eastAsia="等线"/>
      <w:sz w:val="18"/>
      <w:szCs w:val="18"/>
    </w:rPr>
  </w:style>
  <w:style w:type="paragraph" w:styleId="46">
    <w:name w:val="Subtitle"/>
    <w:basedOn w:val="1"/>
    <w:link w:val="107"/>
    <w:autoRedefine/>
    <w:qFormat/>
    <w:locked/>
    <w:uiPriority w:val="99"/>
    <w:pPr>
      <w:spacing w:afterLines="50"/>
      <w:jc w:val="center"/>
    </w:pPr>
    <w:rPr>
      <w:rFonts w:ascii="Times New Roman" w:hAnsi="Times New Roman"/>
      <w:sz w:val="18"/>
      <w:szCs w:val="18"/>
    </w:rPr>
  </w:style>
  <w:style w:type="paragraph" w:styleId="47">
    <w:name w:val="List"/>
    <w:basedOn w:val="1"/>
    <w:autoRedefine/>
    <w:semiHidden/>
    <w:qFormat/>
    <w:uiPriority w:val="99"/>
    <w:pPr>
      <w:ind w:left="200" w:hanging="200" w:hangingChars="200"/>
    </w:pPr>
    <w:rPr>
      <w:rFonts w:ascii="Times New Roman" w:hAnsi="Times New Roman"/>
      <w:sz w:val="28"/>
      <w:szCs w:val="24"/>
    </w:rPr>
  </w:style>
  <w:style w:type="paragraph" w:styleId="48">
    <w:name w:val="footnote text"/>
    <w:basedOn w:val="1"/>
    <w:link w:val="108"/>
    <w:autoRedefine/>
    <w:semiHidden/>
    <w:qFormat/>
    <w:uiPriority w:val="99"/>
    <w:pPr>
      <w:snapToGrid w:val="0"/>
      <w:jc w:val="left"/>
    </w:pPr>
    <w:rPr>
      <w:rFonts w:ascii="Times New Roman" w:hAnsi="Times New Roman"/>
      <w:sz w:val="18"/>
      <w:szCs w:val="18"/>
    </w:rPr>
  </w:style>
  <w:style w:type="paragraph" w:styleId="49">
    <w:name w:val="toc 6"/>
    <w:basedOn w:val="1"/>
    <w:next w:val="1"/>
    <w:autoRedefine/>
    <w:semiHidden/>
    <w:qFormat/>
    <w:locked/>
    <w:uiPriority w:val="99"/>
    <w:pPr>
      <w:ind w:left="1050"/>
      <w:jc w:val="left"/>
    </w:pPr>
    <w:rPr>
      <w:rFonts w:ascii="等线" w:eastAsia="等线"/>
      <w:sz w:val="18"/>
      <w:szCs w:val="18"/>
    </w:rPr>
  </w:style>
  <w:style w:type="paragraph" w:styleId="50">
    <w:name w:val="List 5"/>
    <w:basedOn w:val="1"/>
    <w:autoRedefine/>
    <w:qFormat/>
    <w:locked/>
    <w:uiPriority w:val="99"/>
    <w:pPr>
      <w:ind w:left="100" w:leftChars="800" w:hanging="200" w:hangingChars="200"/>
    </w:pPr>
    <w:rPr>
      <w:rFonts w:ascii="Times New Roman" w:hAnsi="Times New Roman"/>
      <w:szCs w:val="20"/>
    </w:rPr>
  </w:style>
  <w:style w:type="paragraph" w:styleId="51">
    <w:name w:val="Body Text Indent 3"/>
    <w:basedOn w:val="1"/>
    <w:link w:val="109"/>
    <w:autoRedefine/>
    <w:semiHidden/>
    <w:qFormat/>
    <w:uiPriority w:val="99"/>
    <w:pPr>
      <w:snapToGrid w:val="0"/>
      <w:ind w:firstLine="480" w:firstLineChars="200"/>
      <w:jc w:val="left"/>
    </w:pPr>
    <w:rPr>
      <w:rFonts w:ascii="仿宋_GB2312" w:hAnsi="宋体" w:eastAsia="仿宋_GB2312"/>
      <w:color w:val="000000"/>
      <w:sz w:val="24"/>
      <w:szCs w:val="24"/>
    </w:rPr>
  </w:style>
  <w:style w:type="paragraph" w:styleId="52">
    <w:name w:val="table of figures"/>
    <w:basedOn w:val="1"/>
    <w:next w:val="1"/>
    <w:autoRedefine/>
    <w:semiHidden/>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53">
    <w:name w:val="toc 2"/>
    <w:basedOn w:val="1"/>
    <w:next w:val="1"/>
    <w:autoRedefine/>
    <w:semiHidden/>
    <w:qFormat/>
    <w:locked/>
    <w:uiPriority w:val="99"/>
    <w:pPr>
      <w:ind w:left="210"/>
      <w:jc w:val="left"/>
    </w:pPr>
    <w:rPr>
      <w:rFonts w:ascii="等线" w:eastAsia="等线"/>
      <w:smallCaps/>
      <w:sz w:val="20"/>
      <w:szCs w:val="20"/>
    </w:rPr>
  </w:style>
  <w:style w:type="paragraph" w:styleId="54">
    <w:name w:val="toc 9"/>
    <w:basedOn w:val="1"/>
    <w:next w:val="1"/>
    <w:autoRedefine/>
    <w:semiHidden/>
    <w:qFormat/>
    <w:locked/>
    <w:uiPriority w:val="99"/>
    <w:pPr>
      <w:ind w:left="1680"/>
      <w:jc w:val="left"/>
    </w:pPr>
    <w:rPr>
      <w:rFonts w:ascii="等线" w:eastAsia="等线"/>
      <w:sz w:val="18"/>
      <w:szCs w:val="18"/>
    </w:rPr>
  </w:style>
  <w:style w:type="paragraph" w:styleId="55">
    <w:name w:val="Body Text 2"/>
    <w:basedOn w:val="1"/>
    <w:next w:val="54"/>
    <w:link w:val="110"/>
    <w:autoRedefine/>
    <w:semiHidden/>
    <w:qFormat/>
    <w:uiPriority w:val="99"/>
    <w:pPr>
      <w:widowControl/>
      <w:snapToGrid w:val="0"/>
      <w:spacing w:before="50" w:afterLines="50" w:line="400" w:lineRule="exact"/>
      <w:jc w:val="left"/>
    </w:pPr>
    <w:rPr>
      <w:rFonts w:ascii="宋体" w:hAnsi="宋体"/>
      <w:color w:val="000000"/>
      <w:sz w:val="24"/>
      <w:szCs w:val="24"/>
    </w:rPr>
  </w:style>
  <w:style w:type="paragraph" w:styleId="56">
    <w:name w:val="List 4"/>
    <w:basedOn w:val="1"/>
    <w:autoRedefine/>
    <w:qFormat/>
    <w:locked/>
    <w:uiPriority w:val="99"/>
    <w:pPr>
      <w:ind w:left="100" w:leftChars="600" w:hanging="200" w:hangingChars="200"/>
    </w:pPr>
    <w:rPr>
      <w:rFonts w:ascii="Times New Roman" w:hAnsi="Times New Roman"/>
      <w:szCs w:val="20"/>
    </w:rPr>
  </w:style>
  <w:style w:type="paragraph" w:styleId="57">
    <w:name w:val="HTML Preformatted"/>
    <w:basedOn w:val="1"/>
    <w:link w:val="111"/>
    <w:autoRedefine/>
    <w:semiHidden/>
    <w:qFormat/>
    <w:uiPriority w:val="99"/>
    <w:rPr>
      <w:rFonts w:ascii="Courier New" w:hAnsi="Courier New"/>
      <w:sz w:val="20"/>
      <w:szCs w:val="20"/>
    </w:rPr>
  </w:style>
  <w:style w:type="paragraph" w:styleId="58">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paragraph" w:styleId="59">
    <w:name w:val="index 1"/>
    <w:basedOn w:val="1"/>
    <w:next w:val="1"/>
    <w:autoRedefine/>
    <w:semiHidden/>
    <w:qFormat/>
    <w:uiPriority w:val="99"/>
    <w:rPr>
      <w:rFonts w:ascii="Times New Roman" w:hAnsi="Times New Roman"/>
      <w:szCs w:val="20"/>
    </w:rPr>
  </w:style>
  <w:style w:type="paragraph" w:styleId="60">
    <w:name w:val="index 2"/>
    <w:basedOn w:val="1"/>
    <w:next w:val="1"/>
    <w:autoRedefine/>
    <w:semiHidden/>
    <w:qFormat/>
    <w:uiPriority w:val="99"/>
    <w:pPr>
      <w:ind w:left="200" w:leftChars="200"/>
    </w:pPr>
    <w:rPr>
      <w:rFonts w:ascii="宋体" w:hAnsi="Times New Roman"/>
      <w:sz w:val="24"/>
      <w:szCs w:val="20"/>
    </w:rPr>
  </w:style>
  <w:style w:type="paragraph" w:styleId="61">
    <w:name w:val="Title"/>
    <w:basedOn w:val="1"/>
    <w:next w:val="1"/>
    <w:link w:val="191"/>
    <w:autoRedefine/>
    <w:qFormat/>
    <w:locked/>
    <w:uiPriority w:val="99"/>
    <w:pPr>
      <w:spacing w:before="240" w:after="60"/>
      <w:jc w:val="center"/>
      <w:outlineLvl w:val="0"/>
    </w:pPr>
    <w:rPr>
      <w:rFonts w:ascii="Arial" w:hAnsi="Arial"/>
      <w:b/>
      <w:sz w:val="32"/>
      <w:szCs w:val="20"/>
    </w:rPr>
  </w:style>
  <w:style w:type="paragraph" w:styleId="62">
    <w:name w:val="annotation subject"/>
    <w:basedOn w:val="1"/>
    <w:next w:val="1"/>
    <w:link w:val="113"/>
    <w:autoRedefine/>
    <w:semiHidden/>
    <w:qFormat/>
    <w:uiPriority w:val="99"/>
    <w:rPr>
      <w:rFonts w:ascii="Times New Roman" w:hAnsi="Times New Roman"/>
      <w:b/>
      <w:bCs/>
    </w:rPr>
  </w:style>
  <w:style w:type="paragraph" w:styleId="63">
    <w:name w:val="Body Text First Indent"/>
    <w:basedOn w:val="25"/>
    <w:link w:val="114"/>
    <w:autoRedefine/>
    <w:qFormat/>
    <w:locked/>
    <w:uiPriority w:val="99"/>
    <w:pPr>
      <w:ind w:firstLine="420" w:firstLineChars="100"/>
    </w:pPr>
    <w:rPr>
      <w:rFonts w:ascii="Calibri" w:hAnsi="Calibri"/>
      <w:sz w:val="21"/>
      <w:szCs w:val="22"/>
    </w:rPr>
  </w:style>
  <w:style w:type="paragraph" w:styleId="64">
    <w:name w:val="Body Text First Indent 2"/>
    <w:basedOn w:val="26"/>
    <w:link w:val="115"/>
    <w:autoRedefine/>
    <w:semiHidden/>
    <w:qFormat/>
    <w:uiPriority w:val="99"/>
    <w:pPr>
      <w:spacing w:after="120" w:line="240" w:lineRule="auto"/>
      <w:ind w:left="420" w:leftChars="200" w:firstLine="420" w:firstLineChars="200"/>
    </w:pPr>
    <w:rPr>
      <w:rFonts w:ascii="Times New Roman" w:hAnsi="Times New Roman"/>
      <w:spacing w:val="0"/>
      <w:sz w:val="21"/>
    </w:rPr>
  </w:style>
  <w:style w:type="table" w:styleId="66">
    <w:name w:val="Table Grid"/>
    <w:basedOn w:val="6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Simple 1"/>
    <w:basedOn w:val="65"/>
    <w:autoRedefine/>
    <w:semiHidden/>
    <w:qFormat/>
    <w:uiPriority w:val="99"/>
    <w:pPr>
      <w:widowControl w:val="0"/>
      <w:jc w:val="both"/>
    </w:pPr>
    <w:tblPr>
      <w:tblBorders>
        <w:top w:val="single" w:color="008000" w:sz="12" w:space="0"/>
        <w:bottom w:val="single" w:color="008000" w:sz="12" w:space="0"/>
      </w:tblBorders>
    </w:tblPr>
    <w:tblStylePr w:type="firstRow">
      <w:rPr>
        <w:rFonts w:cs="Times New Roman"/>
      </w:rPr>
      <w:tblPr/>
      <w:tcPr>
        <w:tcBorders>
          <w:top w:val="nil"/>
          <w:left w:val="single" w:color="008000" w:sz="6" w:space="0"/>
          <w:bottom w:val="nil"/>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68">
    <w:name w:val="Table Grid 1"/>
    <w:basedOn w:val="65"/>
    <w:autoRedefine/>
    <w:semiHidden/>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character" w:styleId="70">
    <w:name w:val="Strong"/>
    <w:basedOn w:val="69"/>
    <w:autoRedefine/>
    <w:qFormat/>
    <w:locked/>
    <w:uiPriority w:val="99"/>
    <w:rPr>
      <w:rFonts w:cs="Times New Roman"/>
      <w:b/>
    </w:rPr>
  </w:style>
  <w:style w:type="character" w:styleId="71">
    <w:name w:val="page number"/>
    <w:basedOn w:val="69"/>
    <w:autoRedefine/>
    <w:semiHidden/>
    <w:qFormat/>
    <w:uiPriority w:val="99"/>
    <w:rPr>
      <w:rFonts w:cs="Times New Roman"/>
    </w:rPr>
  </w:style>
  <w:style w:type="character" w:styleId="72">
    <w:name w:val="FollowedHyperlink"/>
    <w:basedOn w:val="69"/>
    <w:autoRedefine/>
    <w:semiHidden/>
    <w:qFormat/>
    <w:uiPriority w:val="99"/>
    <w:rPr>
      <w:rFonts w:cs="Times New Roman"/>
      <w:color w:val="800080"/>
      <w:u w:val="single"/>
    </w:rPr>
  </w:style>
  <w:style w:type="character" w:styleId="73">
    <w:name w:val="Emphasis"/>
    <w:basedOn w:val="69"/>
    <w:autoRedefine/>
    <w:qFormat/>
    <w:locked/>
    <w:uiPriority w:val="99"/>
    <w:rPr>
      <w:rFonts w:cs="Times New Roman"/>
      <w:color w:val="CC0033"/>
    </w:rPr>
  </w:style>
  <w:style w:type="character" w:styleId="74">
    <w:name w:val="HTML Definition"/>
    <w:basedOn w:val="69"/>
    <w:autoRedefine/>
    <w:semiHidden/>
    <w:qFormat/>
    <w:uiPriority w:val="99"/>
    <w:rPr>
      <w:rFonts w:cs="Times New Roman"/>
      <w:i/>
      <w:iCs/>
    </w:rPr>
  </w:style>
  <w:style w:type="character" w:styleId="75">
    <w:name w:val="Hyperlink"/>
    <w:basedOn w:val="69"/>
    <w:autoRedefine/>
    <w:qFormat/>
    <w:uiPriority w:val="99"/>
    <w:rPr>
      <w:rFonts w:cs="Times New Roman"/>
      <w:color w:val="0000FF"/>
      <w:u w:val="single"/>
    </w:rPr>
  </w:style>
  <w:style w:type="character" w:styleId="76">
    <w:name w:val="HTML Code"/>
    <w:basedOn w:val="69"/>
    <w:autoRedefine/>
    <w:semiHidden/>
    <w:qFormat/>
    <w:uiPriority w:val="99"/>
    <w:rPr>
      <w:rFonts w:ascii="Consolas" w:hAnsi="Consolas" w:cs="Consolas"/>
      <w:sz w:val="21"/>
      <w:szCs w:val="21"/>
    </w:rPr>
  </w:style>
  <w:style w:type="character" w:styleId="77">
    <w:name w:val="annotation reference"/>
    <w:basedOn w:val="69"/>
    <w:autoRedefine/>
    <w:semiHidden/>
    <w:qFormat/>
    <w:uiPriority w:val="99"/>
    <w:rPr>
      <w:rFonts w:cs="Times New Roman"/>
      <w:sz w:val="21"/>
    </w:rPr>
  </w:style>
  <w:style w:type="character" w:styleId="78">
    <w:name w:val="footnote reference"/>
    <w:basedOn w:val="69"/>
    <w:autoRedefine/>
    <w:semiHidden/>
    <w:qFormat/>
    <w:uiPriority w:val="99"/>
    <w:rPr>
      <w:rFonts w:cs="Times New Roman"/>
      <w:vertAlign w:val="superscript"/>
    </w:rPr>
  </w:style>
  <w:style w:type="character" w:styleId="79">
    <w:name w:val="HTML Keyboard"/>
    <w:basedOn w:val="69"/>
    <w:autoRedefine/>
    <w:semiHidden/>
    <w:qFormat/>
    <w:uiPriority w:val="99"/>
    <w:rPr>
      <w:rFonts w:ascii="Consolas" w:hAnsi="Consolas" w:cs="Consolas"/>
      <w:sz w:val="21"/>
      <w:szCs w:val="21"/>
    </w:rPr>
  </w:style>
  <w:style w:type="character" w:styleId="80">
    <w:name w:val="HTML Sample"/>
    <w:basedOn w:val="69"/>
    <w:autoRedefine/>
    <w:semiHidden/>
    <w:qFormat/>
    <w:uiPriority w:val="99"/>
    <w:rPr>
      <w:rFonts w:ascii="Consolas" w:hAnsi="Consolas" w:cs="Consolas"/>
      <w:sz w:val="21"/>
      <w:szCs w:val="21"/>
    </w:rPr>
  </w:style>
  <w:style w:type="paragraph" w:customStyle="1" w:styleId="81">
    <w:name w:val="一级条标题"/>
    <w:basedOn w:val="82"/>
    <w:next w:val="83"/>
    <w:autoRedefine/>
    <w:qFormat/>
    <w:uiPriority w:val="0"/>
    <w:pPr>
      <w:spacing w:line="240" w:lineRule="auto"/>
      <w:ind w:left="420"/>
      <w:outlineLvl w:val="2"/>
    </w:pPr>
  </w:style>
  <w:style w:type="paragraph" w:customStyle="1" w:styleId="82">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83">
    <w:name w:val="段"/>
    <w:next w:val="1"/>
    <w:link w:val="267"/>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首行缩进"/>
    <w:basedOn w:val="1"/>
    <w:next w:val="1"/>
    <w:autoRedefine/>
    <w:qFormat/>
    <w:uiPriority w:val="99"/>
    <w:pPr>
      <w:widowControl/>
      <w:numPr>
        <w:ilvl w:val="6"/>
        <w:numId w:val="6"/>
      </w:numPr>
      <w:tabs>
        <w:tab w:val="left" w:pos="822"/>
      </w:tabs>
      <w:snapToGrid w:val="0"/>
      <w:spacing w:before="40" w:after="40" w:line="300" w:lineRule="atLeast"/>
    </w:pPr>
    <w:rPr>
      <w:rFonts w:ascii="Arial" w:hAnsi="Arial"/>
      <w:kern w:val="0"/>
      <w:szCs w:val="20"/>
    </w:rPr>
  </w:style>
  <w:style w:type="character" w:customStyle="1" w:styleId="85">
    <w:name w:val="标题 1 字符"/>
    <w:basedOn w:val="69"/>
    <w:link w:val="2"/>
    <w:autoRedefine/>
    <w:qFormat/>
    <w:locked/>
    <w:uiPriority w:val="99"/>
    <w:rPr>
      <w:rFonts w:eastAsia="隶书" w:cs="Times New Roman"/>
      <w:b/>
      <w:bCs/>
      <w:sz w:val="36"/>
      <w:szCs w:val="36"/>
      <w:lang w:val="en-US" w:eastAsia="zh-CN" w:bidi="ar-SA"/>
    </w:rPr>
  </w:style>
  <w:style w:type="character" w:customStyle="1" w:styleId="86">
    <w:name w:val="Heading 2 Char"/>
    <w:basedOn w:val="69"/>
    <w:autoRedefine/>
    <w:qFormat/>
    <w:locked/>
    <w:uiPriority w:val="99"/>
    <w:rPr>
      <w:rFonts w:ascii="Cambria" w:hAnsi="Cambria" w:eastAsia="宋体" w:cs="Times New Roman"/>
      <w:b/>
      <w:sz w:val="32"/>
      <w:lang w:val="en-US" w:eastAsia="zh-CN"/>
    </w:rPr>
  </w:style>
  <w:style w:type="character" w:customStyle="1" w:styleId="87">
    <w:name w:val="标题 3 字符"/>
    <w:basedOn w:val="69"/>
    <w:link w:val="4"/>
    <w:autoRedefine/>
    <w:qFormat/>
    <w:locked/>
    <w:uiPriority w:val="99"/>
    <w:rPr>
      <w:rFonts w:ascii="Calibri" w:hAnsi="Calibri" w:eastAsia="宋体" w:cs="Times New Roman"/>
      <w:b/>
      <w:bCs/>
      <w:kern w:val="2"/>
      <w:sz w:val="32"/>
      <w:szCs w:val="32"/>
      <w:lang w:val="en-US" w:eastAsia="zh-CN" w:bidi="ar-SA"/>
    </w:rPr>
  </w:style>
  <w:style w:type="character" w:customStyle="1" w:styleId="88">
    <w:name w:val="标题 4 字符"/>
    <w:basedOn w:val="69"/>
    <w:link w:val="5"/>
    <w:autoRedefine/>
    <w:qFormat/>
    <w:locked/>
    <w:uiPriority w:val="99"/>
    <w:rPr>
      <w:rFonts w:ascii="Arial" w:hAnsi="Arial" w:eastAsia="黑体" w:cs="Times New Roman"/>
      <w:b/>
      <w:bCs/>
      <w:kern w:val="2"/>
      <w:sz w:val="28"/>
      <w:szCs w:val="28"/>
      <w:lang w:val="en-US" w:eastAsia="zh-CN" w:bidi="ar-SA"/>
    </w:rPr>
  </w:style>
  <w:style w:type="character" w:customStyle="1" w:styleId="89">
    <w:name w:val="标题 5 字符"/>
    <w:basedOn w:val="69"/>
    <w:link w:val="6"/>
    <w:autoRedefine/>
    <w:qFormat/>
    <w:locked/>
    <w:uiPriority w:val="99"/>
    <w:rPr>
      <w:rFonts w:eastAsia="宋体" w:cs="Times New Roman"/>
      <w:b/>
      <w:bCs/>
      <w:kern w:val="2"/>
      <w:sz w:val="28"/>
      <w:szCs w:val="28"/>
      <w:lang w:bidi="ar-SA"/>
    </w:rPr>
  </w:style>
  <w:style w:type="character" w:customStyle="1" w:styleId="90">
    <w:name w:val="标题 6 字符"/>
    <w:basedOn w:val="69"/>
    <w:link w:val="7"/>
    <w:autoRedefine/>
    <w:qFormat/>
    <w:locked/>
    <w:uiPriority w:val="99"/>
    <w:rPr>
      <w:rFonts w:ascii="Arial" w:hAnsi="Arial" w:eastAsia="黑体" w:cs="Times New Roman"/>
      <w:b/>
      <w:bCs/>
      <w:kern w:val="2"/>
      <w:sz w:val="24"/>
      <w:szCs w:val="24"/>
      <w:lang w:val="en-US" w:eastAsia="zh-CN" w:bidi="ar-SA"/>
    </w:rPr>
  </w:style>
  <w:style w:type="character" w:customStyle="1" w:styleId="91">
    <w:name w:val="标题 7 字符"/>
    <w:basedOn w:val="69"/>
    <w:link w:val="8"/>
    <w:autoRedefine/>
    <w:qFormat/>
    <w:locked/>
    <w:uiPriority w:val="99"/>
    <w:rPr>
      <w:rFonts w:eastAsia="宋体" w:cs="Times New Roman"/>
      <w:b/>
      <w:bCs/>
      <w:kern w:val="2"/>
      <w:sz w:val="24"/>
      <w:szCs w:val="24"/>
      <w:lang w:val="en-US" w:eastAsia="zh-CN" w:bidi="ar-SA"/>
    </w:rPr>
  </w:style>
  <w:style w:type="character" w:customStyle="1" w:styleId="92">
    <w:name w:val="标题 8 字符"/>
    <w:basedOn w:val="69"/>
    <w:link w:val="9"/>
    <w:autoRedefine/>
    <w:qFormat/>
    <w:locked/>
    <w:uiPriority w:val="99"/>
    <w:rPr>
      <w:rFonts w:ascii="Cambria" w:hAnsi="Cambria" w:eastAsia="宋体" w:cs="Times New Roman"/>
      <w:kern w:val="2"/>
      <w:sz w:val="24"/>
      <w:szCs w:val="24"/>
      <w:lang w:val="en-US" w:eastAsia="zh-CN" w:bidi="ar-SA"/>
    </w:rPr>
  </w:style>
  <w:style w:type="character" w:customStyle="1" w:styleId="93">
    <w:name w:val="标题 9 字符"/>
    <w:basedOn w:val="69"/>
    <w:link w:val="10"/>
    <w:autoRedefine/>
    <w:qFormat/>
    <w:locked/>
    <w:uiPriority w:val="99"/>
    <w:rPr>
      <w:rFonts w:ascii="Cambria" w:hAnsi="Cambria" w:eastAsia="宋体" w:cs="Times New Roman"/>
      <w:kern w:val="2"/>
      <w:sz w:val="21"/>
      <w:szCs w:val="21"/>
      <w:lang w:val="en-US" w:eastAsia="zh-CN" w:bidi="ar-SA"/>
    </w:rPr>
  </w:style>
  <w:style w:type="character" w:customStyle="1" w:styleId="94">
    <w:name w:val="文档结构图 字符"/>
    <w:basedOn w:val="69"/>
    <w:link w:val="20"/>
    <w:autoRedefine/>
    <w:qFormat/>
    <w:locked/>
    <w:uiPriority w:val="99"/>
    <w:rPr>
      <w:rFonts w:ascii="宋体" w:cs="Times New Roman"/>
      <w:kern w:val="2"/>
      <w:sz w:val="18"/>
    </w:rPr>
  </w:style>
  <w:style w:type="character" w:customStyle="1" w:styleId="95">
    <w:name w:val="批注文字 字符"/>
    <w:basedOn w:val="69"/>
    <w:link w:val="22"/>
    <w:autoRedefine/>
    <w:qFormat/>
    <w:locked/>
    <w:uiPriority w:val="99"/>
    <w:rPr>
      <w:rFonts w:cs="Times New Roman"/>
      <w:kern w:val="2"/>
      <w:sz w:val="22"/>
    </w:rPr>
  </w:style>
  <w:style w:type="character" w:customStyle="1" w:styleId="96">
    <w:name w:val="称呼 字符"/>
    <w:basedOn w:val="69"/>
    <w:link w:val="23"/>
    <w:autoRedefine/>
    <w:qFormat/>
    <w:locked/>
    <w:uiPriority w:val="99"/>
    <w:rPr>
      <w:rFonts w:ascii="宋体" w:hAnsi="Times New Roman" w:cs="Times New Roman"/>
      <w:b/>
      <w:kern w:val="2"/>
      <w:sz w:val="28"/>
    </w:rPr>
  </w:style>
  <w:style w:type="character" w:customStyle="1" w:styleId="97">
    <w:name w:val="正文文本 3 字符"/>
    <w:basedOn w:val="69"/>
    <w:link w:val="24"/>
    <w:autoRedefine/>
    <w:qFormat/>
    <w:locked/>
    <w:uiPriority w:val="99"/>
    <w:rPr>
      <w:rFonts w:ascii="Times New Roman" w:hAnsi="宋体" w:eastAsia="仿宋_GB2312" w:cs="Times New Roman"/>
      <w:b/>
      <w:kern w:val="2"/>
      <w:sz w:val="24"/>
    </w:rPr>
  </w:style>
  <w:style w:type="character" w:customStyle="1" w:styleId="98">
    <w:name w:val="正文文本 字符"/>
    <w:basedOn w:val="69"/>
    <w:link w:val="25"/>
    <w:autoRedefine/>
    <w:qFormat/>
    <w:locked/>
    <w:uiPriority w:val="99"/>
    <w:rPr>
      <w:rFonts w:eastAsia="宋体" w:cs="Times New Roman"/>
      <w:kern w:val="2"/>
      <w:sz w:val="24"/>
      <w:lang w:val="en-US" w:eastAsia="zh-CN"/>
    </w:rPr>
  </w:style>
  <w:style w:type="character" w:customStyle="1" w:styleId="99">
    <w:name w:val="正文文本缩进 字符"/>
    <w:basedOn w:val="69"/>
    <w:link w:val="26"/>
    <w:autoRedefine/>
    <w:qFormat/>
    <w:locked/>
    <w:uiPriority w:val="99"/>
    <w:rPr>
      <w:rFonts w:ascii="宋体" w:hAnsi="Courier New" w:eastAsia="宋体" w:cs="Times New Roman"/>
      <w:spacing w:val="-4"/>
      <w:kern w:val="2"/>
      <w:sz w:val="18"/>
      <w:lang w:val="en-US" w:eastAsia="zh-CN"/>
    </w:rPr>
  </w:style>
  <w:style w:type="character" w:customStyle="1" w:styleId="100">
    <w:name w:val="纯文本 字符"/>
    <w:basedOn w:val="69"/>
    <w:link w:val="33"/>
    <w:autoRedefine/>
    <w:qFormat/>
    <w:locked/>
    <w:uiPriority w:val="99"/>
    <w:rPr>
      <w:rFonts w:ascii="宋体" w:hAnsi="Courier New" w:eastAsia="宋体" w:cs="Times New Roman"/>
      <w:kern w:val="2"/>
      <w:sz w:val="21"/>
      <w:lang w:val="en-US" w:eastAsia="zh-CN" w:bidi="ar-SA"/>
    </w:rPr>
  </w:style>
  <w:style w:type="character" w:customStyle="1" w:styleId="101">
    <w:name w:val="日期 字符"/>
    <w:basedOn w:val="69"/>
    <w:link w:val="37"/>
    <w:autoRedefine/>
    <w:qFormat/>
    <w:locked/>
    <w:uiPriority w:val="99"/>
    <w:rPr>
      <w:rFonts w:eastAsia="楷体_GB2312" w:cs="Times New Roman"/>
      <w:kern w:val="2"/>
      <w:sz w:val="32"/>
      <w:lang w:val="en-US" w:eastAsia="zh-CN"/>
    </w:rPr>
  </w:style>
  <w:style w:type="character" w:customStyle="1" w:styleId="102">
    <w:name w:val="正文文本缩进 2 字符"/>
    <w:basedOn w:val="69"/>
    <w:link w:val="38"/>
    <w:autoRedefine/>
    <w:qFormat/>
    <w:locked/>
    <w:uiPriority w:val="99"/>
    <w:rPr>
      <w:rFonts w:ascii="仿宋_GB2312" w:hAnsi="宋体" w:cs="Times New Roman"/>
      <w:b/>
      <w:color w:val="000000"/>
      <w:kern w:val="2"/>
      <w:sz w:val="24"/>
    </w:rPr>
  </w:style>
  <w:style w:type="character" w:customStyle="1" w:styleId="103">
    <w:name w:val="尾注文本 字符"/>
    <w:basedOn w:val="69"/>
    <w:link w:val="39"/>
    <w:autoRedefine/>
    <w:semiHidden/>
    <w:qFormat/>
    <w:locked/>
    <w:uiPriority w:val="99"/>
    <w:rPr>
      <w:rFonts w:ascii="宋体"/>
      <w:kern w:val="0"/>
      <w:szCs w:val="20"/>
    </w:rPr>
  </w:style>
  <w:style w:type="character" w:customStyle="1" w:styleId="104">
    <w:name w:val="Balloon Text Char"/>
    <w:basedOn w:val="69"/>
    <w:autoRedefine/>
    <w:semiHidden/>
    <w:qFormat/>
    <w:locked/>
    <w:uiPriority w:val="99"/>
    <w:rPr>
      <w:rFonts w:ascii="Times New Roman" w:hAnsi="Times New Roman" w:eastAsia="宋体" w:cs="Times New Roman"/>
      <w:sz w:val="18"/>
    </w:rPr>
  </w:style>
  <w:style w:type="character" w:customStyle="1" w:styleId="105">
    <w:name w:val="Footer Char"/>
    <w:basedOn w:val="69"/>
    <w:autoRedefine/>
    <w:semiHidden/>
    <w:qFormat/>
    <w:locked/>
    <w:uiPriority w:val="99"/>
    <w:rPr>
      <w:rFonts w:ascii="Times New Roman" w:hAnsi="Times New Roman" w:eastAsia="宋体" w:cs="Times New Roman"/>
      <w:sz w:val="18"/>
    </w:rPr>
  </w:style>
  <w:style w:type="character" w:customStyle="1" w:styleId="106">
    <w:name w:val="Header Char"/>
    <w:basedOn w:val="69"/>
    <w:autoRedefine/>
    <w:semiHidden/>
    <w:qFormat/>
    <w:locked/>
    <w:uiPriority w:val="99"/>
    <w:rPr>
      <w:rFonts w:ascii="Times New Roman" w:hAnsi="Times New Roman" w:eastAsia="宋体" w:cs="Times New Roman"/>
      <w:sz w:val="18"/>
    </w:rPr>
  </w:style>
  <w:style w:type="character" w:customStyle="1" w:styleId="107">
    <w:name w:val="副标题 字符"/>
    <w:basedOn w:val="69"/>
    <w:link w:val="46"/>
    <w:autoRedefine/>
    <w:qFormat/>
    <w:locked/>
    <w:uiPriority w:val="99"/>
    <w:rPr>
      <w:rFonts w:ascii="Times New Roman" w:hAnsi="Times New Roman" w:cs="Times New Roman"/>
      <w:kern w:val="2"/>
      <w:sz w:val="18"/>
      <w:lang w:val="en-US" w:eastAsia="zh-CN"/>
    </w:rPr>
  </w:style>
  <w:style w:type="character" w:customStyle="1" w:styleId="108">
    <w:name w:val="脚注文本 字符"/>
    <w:basedOn w:val="69"/>
    <w:link w:val="48"/>
    <w:autoRedefine/>
    <w:qFormat/>
    <w:locked/>
    <w:uiPriority w:val="99"/>
    <w:rPr>
      <w:rFonts w:cs="Times New Roman"/>
      <w:kern w:val="2"/>
      <w:sz w:val="18"/>
    </w:rPr>
  </w:style>
  <w:style w:type="character" w:customStyle="1" w:styleId="109">
    <w:name w:val="正文文本缩进 3 字符"/>
    <w:basedOn w:val="69"/>
    <w:link w:val="51"/>
    <w:autoRedefine/>
    <w:qFormat/>
    <w:locked/>
    <w:uiPriority w:val="99"/>
    <w:rPr>
      <w:rFonts w:ascii="仿宋_GB2312" w:hAnsi="宋体" w:eastAsia="仿宋_GB2312" w:cs="Times New Roman"/>
      <w:color w:val="000000"/>
      <w:kern w:val="2"/>
      <w:sz w:val="24"/>
    </w:rPr>
  </w:style>
  <w:style w:type="character" w:customStyle="1" w:styleId="110">
    <w:name w:val="正文文本 2 字符"/>
    <w:basedOn w:val="69"/>
    <w:link w:val="55"/>
    <w:autoRedefine/>
    <w:qFormat/>
    <w:locked/>
    <w:uiPriority w:val="99"/>
    <w:rPr>
      <w:rFonts w:ascii="宋体" w:hAnsi="宋体" w:eastAsia="宋体" w:cs="Times New Roman"/>
      <w:color w:val="000000"/>
      <w:kern w:val="2"/>
      <w:sz w:val="24"/>
      <w:lang w:val="en-US" w:eastAsia="zh-CN"/>
    </w:rPr>
  </w:style>
  <w:style w:type="character" w:customStyle="1" w:styleId="111">
    <w:name w:val="HTML 预设格式 字符"/>
    <w:basedOn w:val="69"/>
    <w:link w:val="57"/>
    <w:autoRedefine/>
    <w:qFormat/>
    <w:locked/>
    <w:uiPriority w:val="99"/>
    <w:rPr>
      <w:rFonts w:ascii="Courier New" w:hAnsi="Courier New" w:cs="Times New Roman"/>
      <w:kern w:val="2"/>
    </w:rPr>
  </w:style>
  <w:style w:type="character" w:customStyle="1" w:styleId="112">
    <w:name w:val="Title Char"/>
    <w:basedOn w:val="69"/>
    <w:autoRedefine/>
    <w:qFormat/>
    <w:locked/>
    <w:uiPriority w:val="99"/>
    <w:rPr>
      <w:rFonts w:ascii="Cambria" w:hAnsi="Cambria" w:eastAsia="宋体" w:cs="Times New Roman"/>
      <w:b/>
      <w:sz w:val="32"/>
      <w:lang w:val="en-US" w:eastAsia="zh-CN"/>
    </w:rPr>
  </w:style>
  <w:style w:type="character" w:customStyle="1" w:styleId="113">
    <w:name w:val="批注主题 字符"/>
    <w:basedOn w:val="95"/>
    <w:link w:val="62"/>
    <w:autoRedefine/>
    <w:qFormat/>
    <w:locked/>
    <w:uiPriority w:val="99"/>
    <w:rPr>
      <w:rFonts w:cs="Times New Roman"/>
      <w:b/>
      <w:kern w:val="2"/>
      <w:sz w:val="22"/>
    </w:rPr>
  </w:style>
  <w:style w:type="character" w:customStyle="1" w:styleId="114">
    <w:name w:val="正文文本首行缩进 字符1"/>
    <w:basedOn w:val="98"/>
    <w:link w:val="63"/>
    <w:autoRedefine/>
    <w:qFormat/>
    <w:locked/>
    <w:uiPriority w:val="99"/>
    <w:rPr>
      <w:rFonts w:ascii="Calibri" w:hAnsi="Calibri" w:eastAsia="宋体" w:cs="Times New Roman"/>
      <w:kern w:val="2"/>
      <w:sz w:val="22"/>
      <w:lang w:val="en-US" w:eastAsia="zh-CN"/>
    </w:rPr>
  </w:style>
  <w:style w:type="character" w:customStyle="1" w:styleId="115">
    <w:name w:val="正文文本首行缩进 2 字符"/>
    <w:basedOn w:val="99"/>
    <w:link w:val="64"/>
    <w:autoRedefine/>
    <w:qFormat/>
    <w:locked/>
    <w:uiPriority w:val="99"/>
    <w:rPr>
      <w:rFonts w:ascii="Times New Roman" w:hAnsi="Times New Roman" w:eastAsia="宋体" w:cs="Times New Roman"/>
      <w:spacing w:val="-4"/>
      <w:kern w:val="2"/>
      <w:sz w:val="21"/>
      <w:lang w:val="en-US" w:eastAsia="zh-CN"/>
    </w:rPr>
  </w:style>
  <w:style w:type="paragraph" w:customStyle="1" w:styleId="116">
    <w:name w:val="Default"/>
    <w:link w:val="934"/>
    <w:autoRedefine/>
    <w:qFormat/>
    <w:uiPriority w:val="99"/>
    <w:pPr>
      <w:widowControl w:val="0"/>
      <w:autoSpaceDE w:val="0"/>
      <w:autoSpaceDN w:val="0"/>
      <w:adjustRightInd w:val="0"/>
    </w:pPr>
    <w:rPr>
      <w:rFonts w:ascii="楷体" w:hAnsi="Times New Roman" w:eastAsia="楷体" w:cs="Times New Roman"/>
      <w:color w:val="000000"/>
      <w:sz w:val="24"/>
      <w:szCs w:val="22"/>
      <w:lang w:val="en-US" w:eastAsia="zh-CN" w:bidi="ar-SA"/>
    </w:rPr>
  </w:style>
  <w:style w:type="character" w:customStyle="1" w:styleId="117">
    <w:name w:val="pt91"/>
    <w:autoRedefine/>
    <w:qFormat/>
    <w:uiPriority w:val="99"/>
    <w:rPr>
      <w:spacing w:val="240"/>
      <w:sz w:val="18"/>
    </w:rPr>
  </w:style>
  <w:style w:type="character" w:customStyle="1" w:styleId="118">
    <w:name w:val="style51"/>
    <w:autoRedefine/>
    <w:qFormat/>
    <w:uiPriority w:val="99"/>
    <w:rPr>
      <w:rFonts w:ascii="宋体" w:hAnsi="宋体" w:eastAsia="宋体"/>
      <w:color w:val="333333"/>
      <w:sz w:val="23"/>
      <w:u w:val="none"/>
    </w:rPr>
  </w:style>
  <w:style w:type="character" w:customStyle="1" w:styleId="119">
    <w:name w:val="info4"/>
    <w:basedOn w:val="69"/>
    <w:autoRedefine/>
    <w:qFormat/>
    <w:uiPriority w:val="99"/>
    <w:rPr>
      <w:rFonts w:cs="Times New Roman"/>
    </w:rPr>
  </w:style>
  <w:style w:type="character" w:customStyle="1" w:styleId="120">
    <w:name w:val="Char Char31"/>
    <w:autoRedefine/>
    <w:qFormat/>
    <w:uiPriority w:val="99"/>
    <w:rPr>
      <w:rFonts w:ascii="Arial" w:hAnsi="Arial" w:eastAsia="黑体"/>
      <w:b/>
      <w:kern w:val="2"/>
      <w:sz w:val="32"/>
      <w:lang w:val="en-US" w:eastAsia="zh-CN"/>
    </w:rPr>
  </w:style>
  <w:style w:type="character" w:customStyle="1" w:styleId="121">
    <w:name w:val="正文（首行缩进2字符） Char Char"/>
    <w:link w:val="122"/>
    <w:autoRedefine/>
    <w:qFormat/>
    <w:locked/>
    <w:uiPriority w:val="99"/>
    <w:rPr>
      <w:sz w:val="21"/>
    </w:rPr>
  </w:style>
  <w:style w:type="paragraph" w:customStyle="1" w:styleId="122">
    <w:name w:val="正文（首行缩进2字符）"/>
    <w:basedOn w:val="1"/>
    <w:link w:val="121"/>
    <w:autoRedefine/>
    <w:qFormat/>
    <w:uiPriority w:val="99"/>
    <w:pPr>
      <w:spacing w:line="360" w:lineRule="auto"/>
      <w:ind w:firstLine="420" w:firstLineChars="200"/>
    </w:pPr>
    <w:rPr>
      <w:rFonts w:ascii="Times New Roman" w:hAnsi="Times New Roman"/>
      <w:kern w:val="0"/>
      <w:szCs w:val="20"/>
    </w:rPr>
  </w:style>
  <w:style w:type="character" w:customStyle="1" w:styleId="123">
    <w:name w:val="一级标题 Char Char"/>
    <w:autoRedefine/>
    <w:qFormat/>
    <w:uiPriority w:val="99"/>
    <w:rPr>
      <w:rFonts w:eastAsia="仿宋"/>
      <w:b/>
      <w:kern w:val="44"/>
      <w:sz w:val="28"/>
      <w:lang w:val="en-US" w:eastAsia="zh-CN"/>
    </w:rPr>
  </w:style>
  <w:style w:type="character" w:customStyle="1" w:styleId="124">
    <w:name w:val="封面日期 Char Char"/>
    <w:autoRedefine/>
    <w:qFormat/>
    <w:uiPriority w:val="99"/>
    <w:rPr>
      <w:rFonts w:eastAsia="楷体_GB2312"/>
      <w:kern w:val="2"/>
      <w:sz w:val="32"/>
      <w:lang w:val="en-US" w:eastAsia="zh-CN"/>
    </w:rPr>
  </w:style>
  <w:style w:type="character" w:customStyle="1" w:styleId="125">
    <w:name w:val="Char Char4"/>
    <w:autoRedefine/>
    <w:qFormat/>
    <w:uiPriority w:val="99"/>
    <w:rPr>
      <w:rFonts w:ascii="Calibri" w:hAnsi="Calibri" w:eastAsia="宋体"/>
      <w:sz w:val="18"/>
    </w:rPr>
  </w:style>
  <w:style w:type="character" w:customStyle="1" w:styleId="126">
    <w:name w:val="页脚 Char"/>
    <w:basedOn w:val="69"/>
    <w:autoRedefine/>
    <w:qFormat/>
    <w:locked/>
    <w:uiPriority w:val="99"/>
    <w:rPr>
      <w:rFonts w:cs="Times New Roman"/>
      <w:kern w:val="2"/>
      <w:sz w:val="18"/>
      <w:szCs w:val="18"/>
      <w:lang w:bidi="ar-SA"/>
    </w:rPr>
  </w:style>
  <w:style w:type="character" w:customStyle="1" w:styleId="127">
    <w:name w:val="样式41"/>
    <w:autoRedefine/>
    <w:qFormat/>
    <w:uiPriority w:val="99"/>
    <w:rPr>
      <w:color w:val="3366CC"/>
      <w:sz w:val="21"/>
    </w:rPr>
  </w:style>
  <w:style w:type="character" w:customStyle="1" w:styleId="128">
    <w:name w:val="h3 Char"/>
    <w:autoRedefine/>
    <w:qFormat/>
    <w:uiPriority w:val="99"/>
    <w:rPr>
      <w:rFonts w:ascii="Times New Roman" w:hAnsi="Times New Roman"/>
      <w:b/>
      <w:kern w:val="2"/>
      <w:sz w:val="32"/>
    </w:rPr>
  </w:style>
  <w:style w:type="character" w:customStyle="1" w:styleId="129">
    <w:name w:val="样式(-) Char Char"/>
    <w:autoRedefine/>
    <w:qFormat/>
    <w:uiPriority w:val="99"/>
    <w:rPr>
      <w:rFonts w:ascii="Calibri" w:hAnsi="Calibri" w:eastAsia="仿宋"/>
      <w:b/>
      <w:kern w:val="2"/>
      <w:sz w:val="21"/>
    </w:rPr>
  </w:style>
  <w:style w:type="character" w:customStyle="1" w:styleId="130">
    <w:name w:val="Char Char6"/>
    <w:autoRedefine/>
    <w:qFormat/>
    <w:uiPriority w:val="99"/>
    <w:rPr>
      <w:rFonts w:ascii="Calibri" w:hAnsi="Calibri" w:eastAsia="宋体"/>
      <w:b/>
      <w:kern w:val="2"/>
      <w:sz w:val="28"/>
    </w:rPr>
  </w:style>
  <w:style w:type="character" w:customStyle="1" w:styleId="131">
    <w:name w:val="ZJ正文 Char"/>
    <w:link w:val="132"/>
    <w:autoRedefine/>
    <w:qFormat/>
    <w:locked/>
    <w:uiPriority w:val="99"/>
    <w:rPr>
      <w:rFonts w:ascii="Times New Roman" w:hAnsi="Times New Roman"/>
      <w:sz w:val="24"/>
    </w:rPr>
  </w:style>
  <w:style w:type="paragraph" w:customStyle="1" w:styleId="132">
    <w:name w:val="ZJ正文"/>
    <w:basedOn w:val="1"/>
    <w:link w:val="131"/>
    <w:autoRedefine/>
    <w:qFormat/>
    <w:uiPriority w:val="99"/>
    <w:pPr>
      <w:spacing w:line="360" w:lineRule="auto"/>
      <w:ind w:firstLine="480" w:firstLineChars="200"/>
    </w:pPr>
    <w:rPr>
      <w:rFonts w:ascii="Times New Roman" w:hAnsi="Times New Roman"/>
      <w:kern w:val="0"/>
      <w:sz w:val="24"/>
      <w:szCs w:val="20"/>
    </w:rPr>
  </w:style>
  <w:style w:type="character" w:customStyle="1" w:styleId="133">
    <w:name w:val="自定义正文 Char Char"/>
    <w:autoRedefine/>
    <w:qFormat/>
    <w:uiPriority w:val="99"/>
    <w:rPr>
      <w:rFonts w:eastAsia="宋体"/>
      <w:kern w:val="2"/>
      <w:sz w:val="24"/>
      <w:lang w:val="en-US" w:eastAsia="zh-CN"/>
    </w:rPr>
  </w:style>
  <w:style w:type="character" w:customStyle="1" w:styleId="134">
    <w:name w:val="b11_01b Char Char"/>
    <w:autoRedefine/>
    <w:qFormat/>
    <w:uiPriority w:val="99"/>
    <w:rPr>
      <w:rFonts w:ascii="Verdana" w:hAnsi="Verdana" w:eastAsia="宋体"/>
      <w:b/>
      <w:color w:val="4A82CA"/>
      <w:sz w:val="17"/>
      <w:lang w:val="en-US" w:eastAsia="zh-CN"/>
    </w:rPr>
  </w:style>
  <w:style w:type="character" w:customStyle="1" w:styleId="135">
    <w:name w:val="paramname2"/>
    <w:basedOn w:val="69"/>
    <w:autoRedefine/>
    <w:qFormat/>
    <w:uiPriority w:val="99"/>
    <w:rPr>
      <w:rFonts w:cs="Times New Roman"/>
    </w:rPr>
  </w:style>
  <w:style w:type="character" w:customStyle="1" w:styleId="136">
    <w:name w:val="Item List in Table Char Char"/>
    <w:link w:val="137"/>
    <w:autoRedefine/>
    <w:qFormat/>
    <w:locked/>
    <w:uiPriority w:val="99"/>
    <w:rPr>
      <w:rFonts w:ascii="Arial" w:hAnsi="Arial"/>
      <w:kern w:val="0"/>
      <w:sz w:val="18"/>
      <w:szCs w:val="18"/>
    </w:rPr>
  </w:style>
  <w:style w:type="paragraph" w:customStyle="1" w:styleId="137">
    <w:name w:val="Item List in Table"/>
    <w:link w:val="136"/>
    <w:autoRedefine/>
    <w:qFormat/>
    <w:uiPriority w:val="99"/>
    <w:pPr>
      <w:numPr>
        <w:ilvl w:val="0"/>
        <w:numId w:val="7"/>
      </w:numPr>
      <w:spacing w:before="40" w:after="40"/>
      <w:jc w:val="both"/>
    </w:pPr>
    <w:rPr>
      <w:rFonts w:ascii="Arial" w:hAnsi="Arial" w:eastAsia="宋体" w:cs="Times New Roman"/>
      <w:sz w:val="18"/>
      <w:szCs w:val="18"/>
      <w:lang w:val="en-US" w:eastAsia="zh-CN" w:bidi="ar-SA"/>
    </w:rPr>
  </w:style>
  <w:style w:type="character" w:customStyle="1" w:styleId="138">
    <w:name w:val="ca-16"/>
    <w:basedOn w:val="69"/>
    <w:autoRedefine/>
    <w:qFormat/>
    <w:uiPriority w:val="99"/>
    <w:rPr>
      <w:rFonts w:cs="Times New Roman"/>
    </w:rPr>
  </w:style>
  <w:style w:type="character" w:customStyle="1" w:styleId="139">
    <w:name w:val="H1 Char3"/>
    <w:autoRedefine/>
    <w:qFormat/>
    <w:uiPriority w:val="99"/>
    <w:rPr>
      <w:rFonts w:eastAsia="隶书"/>
      <w:b/>
      <w:sz w:val="36"/>
      <w:lang w:val="en-US" w:eastAsia="zh-CN"/>
    </w:rPr>
  </w:style>
  <w:style w:type="character" w:customStyle="1" w:styleId="140">
    <w:name w:val="tw4winPopup"/>
    <w:autoRedefine/>
    <w:qFormat/>
    <w:uiPriority w:val="99"/>
    <w:rPr>
      <w:rFonts w:ascii="Courier New" w:hAnsi="Courier New"/>
      <w:color w:val="008000"/>
    </w:rPr>
  </w:style>
  <w:style w:type="character" w:customStyle="1" w:styleId="141">
    <w:name w:val="paragraph1 Char Char"/>
    <w:autoRedefine/>
    <w:qFormat/>
    <w:uiPriority w:val="99"/>
    <w:rPr>
      <w:rFonts w:eastAsia="楷体_GB2312"/>
      <w:kern w:val="2"/>
      <w:sz w:val="24"/>
      <w:lang w:val="en-US" w:eastAsia="zh-CN"/>
    </w:rPr>
  </w:style>
  <w:style w:type="character" w:customStyle="1" w:styleId="142">
    <w:name w:val="正文首行缩进 2 Char"/>
    <w:link w:val="143"/>
    <w:autoRedefine/>
    <w:qFormat/>
    <w:locked/>
    <w:uiPriority w:val="99"/>
    <w:rPr>
      <w:rFonts w:eastAsia="仿宋"/>
      <w:sz w:val="24"/>
    </w:rPr>
  </w:style>
  <w:style w:type="paragraph" w:customStyle="1" w:styleId="143">
    <w:name w:val="正文首行缩进 22"/>
    <w:basedOn w:val="144"/>
    <w:link w:val="142"/>
    <w:autoRedefine/>
    <w:qFormat/>
    <w:uiPriority w:val="99"/>
    <w:pPr>
      <w:adjustRightInd w:val="0"/>
      <w:spacing w:line="360" w:lineRule="auto"/>
      <w:ind w:firstLine="420" w:firstLineChars="200"/>
      <w:textAlignment w:val="baseline"/>
    </w:pPr>
    <w:rPr>
      <w:rFonts w:ascii="Times New Roman" w:hAnsi="Times New Roman" w:eastAsia="仿宋" w:cs="Times New Roman"/>
      <w:kern w:val="0"/>
      <w:sz w:val="24"/>
      <w:szCs w:val="20"/>
    </w:rPr>
  </w:style>
  <w:style w:type="paragraph" w:customStyle="1" w:styleId="144">
    <w:name w:val="正文文本缩进1"/>
    <w:basedOn w:val="1"/>
    <w:autoRedefine/>
    <w:qFormat/>
    <w:uiPriority w:val="99"/>
    <w:pPr>
      <w:spacing w:after="120"/>
      <w:ind w:left="420" w:leftChars="200"/>
    </w:pPr>
    <w:rPr>
      <w:rFonts w:cs="黑体"/>
    </w:rPr>
  </w:style>
  <w:style w:type="character" w:customStyle="1" w:styleId="145">
    <w:name w:val="tpc_content1"/>
    <w:autoRedefine/>
    <w:qFormat/>
    <w:uiPriority w:val="99"/>
    <w:rPr>
      <w:sz w:val="20"/>
    </w:rPr>
  </w:style>
  <w:style w:type="character" w:customStyle="1" w:styleId="146">
    <w:name w:val="封面日期 Char Char1"/>
    <w:autoRedefine/>
    <w:qFormat/>
    <w:uiPriority w:val="99"/>
    <w:rPr>
      <w:rFonts w:ascii="Calibri" w:hAnsi="Calibri" w:eastAsia="楷体_GB2312"/>
      <w:kern w:val="2"/>
      <w:sz w:val="32"/>
      <w:lang w:val="en-US" w:eastAsia="zh-CN"/>
    </w:rPr>
  </w:style>
  <w:style w:type="character" w:customStyle="1" w:styleId="147">
    <w:name w:val="Char Char91"/>
    <w:autoRedefine/>
    <w:qFormat/>
    <w:uiPriority w:val="99"/>
    <w:rPr>
      <w:rFonts w:eastAsia="宋体"/>
      <w:b/>
      <w:kern w:val="44"/>
      <w:sz w:val="44"/>
    </w:rPr>
  </w:style>
  <w:style w:type="character" w:customStyle="1" w:styleId="148">
    <w:name w:val="标准正文格式 Char"/>
    <w:link w:val="149"/>
    <w:autoRedefine/>
    <w:qFormat/>
    <w:locked/>
    <w:uiPriority w:val="99"/>
    <w:rPr>
      <w:rFonts w:ascii="宋体" w:eastAsia="仿宋_GB2312"/>
      <w:color w:val="000000"/>
      <w:sz w:val="24"/>
      <w:lang w:val="en-US" w:eastAsia="zh-CN"/>
    </w:rPr>
  </w:style>
  <w:style w:type="paragraph" w:customStyle="1" w:styleId="149">
    <w:name w:val="标准正文格式"/>
    <w:basedOn w:val="1"/>
    <w:link w:val="148"/>
    <w:autoRedefine/>
    <w:qFormat/>
    <w:uiPriority w:val="99"/>
    <w:pPr>
      <w:widowControl/>
      <w:adjustRightInd w:val="0"/>
      <w:spacing w:before="60" w:after="120" w:line="360" w:lineRule="auto"/>
      <w:ind w:firstLine="200" w:firstLineChars="200"/>
      <w:textAlignment w:val="baseline"/>
    </w:pPr>
    <w:rPr>
      <w:rFonts w:ascii="宋体" w:hAnsi="Times New Roman" w:eastAsia="仿宋_GB2312"/>
      <w:color w:val="000000"/>
      <w:kern w:val="0"/>
      <w:sz w:val="24"/>
      <w:szCs w:val="20"/>
    </w:rPr>
  </w:style>
  <w:style w:type="character" w:customStyle="1" w:styleId="150">
    <w:name w:val="font9_black_line14"/>
    <w:basedOn w:val="69"/>
    <w:autoRedefine/>
    <w:qFormat/>
    <w:uiPriority w:val="99"/>
    <w:rPr>
      <w:rFonts w:cs="Times New Roman"/>
    </w:rPr>
  </w:style>
  <w:style w:type="character" w:customStyle="1" w:styleId="151">
    <w:name w:val="数据小节格式"/>
    <w:autoRedefine/>
    <w:qFormat/>
    <w:uiPriority w:val="99"/>
    <w:rPr>
      <w:rFonts w:ascii="新宋体" w:hAnsi="新宋体" w:eastAsia="华文中宋"/>
      <w:b/>
      <w:sz w:val="26"/>
      <w:shd w:val="clear" w:color="auto" w:fill="auto"/>
    </w:rPr>
  </w:style>
  <w:style w:type="character" w:customStyle="1" w:styleId="152">
    <w:name w:val="公文正文 Char"/>
    <w:link w:val="153"/>
    <w:autoRedefine/>
    <w:qFormat/>
    <w:locked/>
    <w:uiPriority w:val="99"/>
    <w:rPr>
      <w:rFonts w:ascii="仿宋_GB2312" w:eastAsia="仿宋_GB2312"/>
      <w:kern w:val="2"/>
      <w:sz w:val="24"/>
      <w:lang w:val="en-US" w:eastAsia="zh-CN"/>
    </w:rPr>
  </w:style>
  <w:style w:type="paragraph" w:customStyle="1" w:styleId="153">
    <w:name w:val="公文正文"/>
    <w:basedOn w:val="1"/>
    <w:link w:val="152"/>
    <w:autoRedefine/>
    <w:qFormat/>
    <w:uiPriority w:val="99"/>
    <w:pPr>
      <w:spacing w:before="156" w:line="360" w:lineRule="auto"/>
      <w:ind w:firstLine="360" w:firstLineChars="200"/>
    </w:pPr>
    <w:rPr>
      <w:rFonts w:ascii="仿宋_GB2312" w:hAnsi="Times New Roman" w:eastAsia="仿宋_GB2312"/>
      <w:sz w:val="24"/>
      <w:szCs w:val="20"/>
    </w:rPr>
  </w:style>
  <w:style w:type="character" w:customStyle="1" w:styleId="154">
    <w:name w:val="7.表小四 Char"/>
    <w:link w:val="155"/>
    <w:autoRedefine/>
    <w:qFormat/>
    <w:locked/>
    <w:uiPriority w:val="99"/>
    <w:rPr>
      <w:rFonts w:ascii="宋体" w:hAnsi="宋体" w:eastAsia="宋体"/>
      <w:kern w:val="2"/>
      <w:sz w:val="24"/>
      <w:lang w:val="en-US" w:eastAsia="zh-CN"/>
    </w:rPr>
  </w:style>
  <w:style w:type="paragraph" w:customStyle="1" w:styleId="155">
    <w:name w:val="7.表小四"/>
    <w:basedOn w:val="1"/>
    <w:link w:val="154"/>
    <w:autoRedefine/>
    <w:qFormat/>
    <w:uiPriority w:val="99"/>
    <w:pPr>
      <w:spacing w:beforeLines="50" w:afterLines="50"/>
    </w:pPr>
    <w:rPr>
      <w:rFonts w:ascii="宋体" w:hAnsi="宋体"/>
      <w:sz w:val="24"/>
      <w:szCs w:val="20"/>
    </w:rPr>
  </w:style>
  <w:style w:type="character" w:customStyle="1" w:styleId="156">
    <w:name w:val="css21"/>
    <w:autoRedefine/>
    <w:qFormat/>
    <w:uiPriority w:val="99"/>
    <w:rPr>
      <w:sz w:val="18"/>
    </w:rPr>
  </w:style>
  <w:style w:type="character" w:customStyle="1" w:styleId="157">
    <w:name w:val="style31"/>
    <w:autoRedefine/>
    <w:qFormat/>
    <w:uiPriority w:val="99"/>
    <w:rPr>
      <w:color w:val="666666"/>
    </w:rPr>
  </w:style>
  <w:style w:type="character" w:customStyle="1" w:styleId="158">
    <w:name w:val="tw4winInternal"/>
    <w:autoRedefine/>
    <w:qFormat/>
    <w:uiPriority w:val="99"/>
    <w:rPr>
      <w:rFonts w:ascii="Courier New" w:hAnsi="Courier New"/>
      <w:color w:val="FF0000"/>
    </w:rPr>
  </w:style>
  <w:style w:type="character" w:customStyle="1" w:styleId="159">
    <w:name w:val="apple-style-span"/>
    <w:basedOn w:val="69"/>
    <w:autoRedefine/>
    <w:qFormat/>
    <w:uiPriority w:val="99"/>
    <w:rPr>
      <w:rFonts w:cs="Times New Roman"/>
    </w:rPr>
  </w:style>
  <w:style w:type="character" w:customStyle="1" w:styleId="160">
    <w:name w:val="header odd Char Char1"/>
    <w:autoRedefine/>
    <w:qFormat/>
    <w:uiPriority w:val="99"/>
    <w:rPr>
      <w:rFonts w:eastAsia="宋体"/>
      <w:kern w:val="2"/>
      <w:sz w:val="18"/>
      <w:lang w:val="en-US" w:eastAsia="zh-CN"/>
    </w:rPr>
  </w:style>
  <w:style w:type="character" w:customStyle="1" w:styleId="161">
    <w:name w:val="Char Char8"/>
    <w:autoRedefine/>
    <w:qFormat/>
    <w:uiPriority w:val="99"/>
    <w:rPr>
      <w:rFonts w:ascii="Arial" w:hAnsi="Arial" w:eastAsia="黑体"/>
      <w:b/>
      <w:kern w:val="2"/>
      <w:sz w:val="32"/>
      <w:lang w:val="en-US" w:eastAsia="zh-CN"/>
    </w:rPr>
  </w:style>
  <w:style w:type="character" w:customStyle="1" w:styleId="162">
    <w:name w:val="样式 样式 正文首行缩进 + 首行缩进:  2 字符 + 首行缩进:  2 字符 Char"/>
    <w:link w:val="163"/>
    <w:autoRedefine/>
    <w:qFormat/>
    <w:locked/>
    <w:uiPriority w:val="99"/>
    <w:rPr>
      <w:kern w:val="2"/>
      <w:sz w:val="24"/>
    </w:rPr>
  </w:style>
  <w:style w:type="paragraph" w:customStyle="1" w:styleId="163">
    <w:name w:val="样式 样式 正文首行缩进 + 首行缩进:  2 字符 + 首行缩进:  2 字符"/>
    <w:basedOn w:val="1"/>
    <w:link w:val="162"/>
    <w:autoRedefine/>
    <w:qFormat/>
    <w:uiPriority w:val="99"/>
    <w:pPr>
      <w:spacing w:line="440" w:lineRule="exact"/>
      <w:ind w:firstLine="200" w:firstLineChars="200"/>
    </w:pPr>
    <w:rPr>
      <w:rFonts w:ascii="Times New Roman" w:hAnsi="Times New Roman"/>
      <w:sz w:val="24"/>
      <w:szCs w:val="20"/>
    </w:rPr>
  </w:style>
  <w:style w:type="character" w:customStyle="1" w:styleId="164">
    <w:name w:val="正文段落 Char"/>
    <w:link w:val="165"/>
    <w:autoRedefine/>
    <w:qFormat/>
    <w:locked/>
    <w:uiPriority w:val="99"/>
    <w:rPr>
      <w:rFonts w:ascii="Times New Roman" w:hAnsi="Times New Roman"/>
      <w:kern w:val="2"/>
      <w:sz w:val="24"/>
    </w:rPr>
  </w:style>
  <w:style w:type="paragraph" w:customStyle="1" w:styleId="165">
    <w:name w:val="正文段落"/>
    <w:basedOn w:val="1"/>
    <w:link w:val="164"/>
    <w:autoRedefine/>
    <w:qFormat/>
    <w:uiPriority w:val="99"/>
    <w:pPr>
      <w:spacing w:line="300" w:lineRule="auto"/>
      <w:ind w:firstLine="510"/>
    </w:pPr>
    <w:rPr>
      <w:rFonts w:ascii="Times New Roman" w:hAnsi="Times New Roman"/>
      <w:sz w:val="24"/>
      <w:szCs w:val="20"/>
    </w:rPr>
  </w:style>
  <w:style w:type="character" w:customStyle="1" w:styleId="166">
    <w:name w:val="浅色网格 - 强调文字颜色 3 Char"/>
    <w:autoRedefine/>
    <w:qFormat/>
    <w:locked/>
    <w:uiPriority w:val="99"/>
    <w:rPr>
      <w:rFonts w:ascii="Calibri" w:hAnsi="Calibri" w:eastAsia="宋体"/>
    </w:rPr>
  </w:style>
  <w:style w:type="character" w:customStyle="1" w:styleId="167">
    <w:name w:val="不明显参考1"/>
    <w:autoRedefine/>
    <w:qFormat/>
    <w:uiPriority w:val="99"/>
    <w:rPr>
      <w:smallCaps/>
      <w:color w:val="C0504D"/>
      <w:u w:val="single"/>
    </w:rPr>
  </w:style>
  <w:style w:type="character" w:customStyle="1" w:styleId="168">
    <w:name w:val="point_normal1"/>
    <w:autoRedefine/>
    <w:qFormat/>
    <w:uiPriority w:val="99"/>
    <w:rPr>
      <w:rFonts w:ascii="Arial" w:hAnsi="Arial"/>
      <w:sz w:val="18"/>
    </w:rPr>
  </w:style>
  <w:style w:type="character" w:customStyle="1" w:styleId="169">
    <w:name w:val="Char Char141"/>
    <w:autoRedefine/>
    <w:qFormat/>
    <w:uiPriority w:val="99"/>
    <w:rPr>
      <w:rFonts w:ascii="楷体_GB2312" w:eastAsia="楷体_GB2312"/>
      <w:kern w:val="2"/>
      <w:sz w:val="32"/>
      <w:lang w:val="en-US" w:eastAsia="zh-CN"/>
    </w:rPr>
  </w:style>
  <w:style w:type="character" w:customStyle="1" w:styleId="170">
    <w:name w:val="ZJGIS-四级标题 Char"/>
    <w:link w:val="171"/>
    <w:autoRedefine/>
    <w:qFormat/>
    <w:locked/>
    <w:uiPriority w:val="99"/>
    <w:rPr>
      <w:rFonts w:ascii="Arial" w:hAnsi="Arial" w:eastAsia="仿宋_GB2312"/>
      <w:b/>
      <w:bCs/>
      <w:kern w:val="0"/>
      <w:sz w:val="28"/>
      <w:szCs w:val="28"/>
    </w:rPr>
  </w:style>
  <w:style w:type="paragraph" w:customStyle="1" w:styleId="171">
    <w:name w:val="ZJGIS-四级标题"/>
    <w:basedOn w:val="5"/>
    <w:link w:val="170"/>
    <w:autoRedefine/>
    <w:qFormat/>
    <w:uiPriority w:val="99"/>
    <w:pPr>
      <w:numPr>
        <w:ilvl w:val="3"/>
        <w:numId w:val="8"/>
      </w:numPr>
      <w:spacing w:before="120" w:after="120" w:line="240" w:lineRule="auto"/>
    </w:pPr>
    <w:rPr>
      <w:rFonts w:eastAsia="仿宋_GB2312"/>
      <w:kern w:val="0"/>
    </w:rPr>
  </w:style>
  <w:style w:type="character" w:customStyle="1" w:styleId="172">
    <w:name w:val="greyfont1"/>
    <w:autoRedefine/>
    <w:qFormat/>
    <w:uiPriority w:val="99"/>
    <w:rPr>
      <w:b/>
      <w:color w:val="666666"/>
    </w:rPr>
  </w:style>
  <w:style w:type="character" w:customStyle="1" w:styleId="173">
    <w:name w:val="标题 1 Char Char"/>
    <w:autoRedefine/>
    <w:qFormat/>
    <w:uiPriority w:val="99"/>
    <w:rPr>
      <w:rFonts w:eastAsia="宋体"/>
      <w:b/>
      <w:spacing w:val="-2"/>
      <w:sz w:val="24"/>
      <w:lang w:val="en-US" w:eastAsia="zh-CN"/>
    </w:rPr>
  </w:style>
  <w:style w:type="character" w:customStyle="1" w:styleId="174">
    <w:name w:val="glossaryitem"/>
    <w:autoRedefine/>
    <w:qFormat/>
    <w:uiPriority w:val="99"/>
    <w:rPr>
      <w:u w:val="none"/>
    </w:rPr>
  </w:style>
  <w:style w:type="character" w:customStyle="1" w:styleId="175">
    <w:name w:val="列表1"/>
    <w:basedOn w:val="69"/>
    <w:autoRedefine/>
    <w:qFormat/>
    <w:uiPriority w:val="99"/>
    <w:rPr>
      <w:rFonts w:cs="Times New Roman"/>
    </w:rPr>
  </w:style>
  <w:style w:type="character" w:customStyle="1" w:styleId="176">
    <w:name w:val="标题 3 Char1"/>
    <w:autoRedefine/>
    <w:qFormat/>
    <w:uiPriority w:val="99"/>
    <w:rPr>
      <w:rFonts w:ascii="Calibri" w:hAnsi="Calibri" w:eastAsia="宋体"/>
      <w:b/>
      <w:kern w:val="2"/>
      <w:sz w:val="32"/>
      <w:lang w:val="en-US" w:eastAsia="zh-CN"/>
    </w:rPr>
  </w:style>
  <w:style w:type="character" w:customStyle="1" w:styleId="177">
    <w:name w:val="mark8"/>
    <w:autoRedefine/>
    <w:qFormat/>
    <w:uiPriority w:val="99"/>
    <w:rPr>
      <w:b/>
      <w:sz w:val="21"/>
    </w:rPr>
  </w:style>
  <w:style w:type="character" w:customStyle="1" w:styleId="178">
    <w:name w:val="一级标题 Char"/>
    <w:link w:val="179"/>
    <w:autoRedefine/>
    <w:qFormat/>
    <w:locked/>
    <w:uiPriority w:val="99"/>
    <w:rPr>
      <w:rFonts w:ascii="宋体" w:eastAsia="宋体"/>
      <w:b/>
      <w:kern w:val="2"/>
      <w:sz w:val="36"/>
    </w:rPr>
  </w:style>
  <w:style w:type="paragraph" w:customStyle="1" w:styleId="179">
    <w:name w:val="一级标题"/>
    <w:basedOn w:val="33"/>
    <w:link w:val="178"/>
    <w:autoRedefine/>
    <w:qFormat/>
    <w:uiPriority w:val="99"/>
    <w:pPr>
      <w:spacing w:line="360" w:lineRule="auto"/>
      <w:jc w:val="center"/>
    </w:pPr>
    <w:rPr>
      <w:rFonts w:hAnsi="Times New Roman"/>
      <w:b/>
      <w:sz w:val="36"/>
      <w:szCs w:val="20"/>
    </w:rPr>
  </w:style>
  <w:style w:type="character" w:customStyle="1" w:styleId="180">
    <w:name w:val="正文样式_首行缩进2字符 Char"/>
    <w:link w:val="181"/>
    <w:autoRedefine/>
    <w:qFormat/>
    <w:locked/>
    <w:uiPriority w:val="99"/>
    <w:rPr>
      <w:sz w:val="24"/>
    </w:rPr>
  </w:style>
  <w:style w:type="paragraph" w:customStyle="1" w:styleId="181">
    <w:name w:val="正文样式_首行缩进2字符"/>
    <w:basedOn w:val="1"/>
    <w:link w:val="180"/>
    <w:autoRedefine/>
    <w:qFormat/>
    <w:uiPriority w:val="99"/>
    <w:pPr>
      <w:spacing w:line="360" w:lineRule="auto"/>
      <w:ind w:firstLine="480" w:firstLineChars="200"/>
    </w:pPr>
    <w:rPr>
      <w:rFonts w:ascii="Times New Roman" w:hAnsi="Times New Roman"/>
      <w:kern w:val="0"/>
      <w:sz w:val="24"/>
      <w:szCs w:val="20"/>
    </w:rPr>
  </w:style>
  <w:style w:type="character" w:customStyle="1" w:styleId="182">
    <w:name w:val="加重文字 Char"/>
    <w:link w:val="183"/>
    <w:autoRedefine/>
    <w:qFormat/>
    <w:locked/>
    <w:uiPriority w:val="99"/>
    <w:rPr>
      <w:b/>
      <w:kern w:val="2"/>
      <w:sz w:val="24"/>
      <w:u w:val="thick"/>
    </w:rPr>
  </w:style>
  <w:style w:type="paragraph" w:customStyle="1" w:styleId="183">
    <w:name w:val="加重文字"/>
    <w:basedOn w:val="184"/>
    <w:link w:val="182"/>
    <w:autoRedefine/>
    <w:qFormat/>
    <w:uiPriority w:val="99"/>
    <w:pPr>
      <w:ind w:firstLine="0" w:firstLineChars="0"/>
    </w:pPr>
    <w:rPr>
      <w:b/>
      <w:u w:val="thick"/>
    </w:rPr>
  </w:style>
  <w:style w:type="paragraph" w:customStyle="1" w:styleId="184">
    <w:name w:val="标准文本"/>
    <w:basedOn w:val="1"/>
    <w:link w:val="202"/>
    <w:autoRedefine/>
    <w:qFormat/>
    <w:uiPriority w:val="99"/>
    <w:pPr>
      <w:spacing w:line="360" w:lineRule="auto"/>
      <w:ind w:firstLine="480" w:firstLineChars="200"/>
    </w:pPr>
    <w:rPr>
      <w:rFonts w:ascii="Times New Roman" w:hAnsi="Times New Roman"/>
      <w:sz w:val="24"/>
      <w:szCs w:val="20"/>
    </w:rPr>
  </w:style>
  <w:style w:type="character" w:customStyle="1" w:styleId="185">
    <w:name w:val="Char Char12"/>
    <w:autoRedefine/>
    <w:qFormat/>
    <w:uiPriority w:val="99"/>
    <w:rPr>
      <w:rFonts w:ascii="宋体" w:hAnsi="Courier New" w:eastAsia="宋体"/>
      <w:spacing w:val="-4"/>
      <w:sz w:val="20"/>
    </w:rPr>
  </w:style>
  <w:style w:type="character" w:customStyle="1" w:styleId="186">
    <w:name w:val="正文文字 Char"/>
    <w:autoRedefine/>
    <w:qFormat/>
    <w:uiPriority w:val="99"/>
    <w:rPr>
      <w:rFonts w:ascii="Arial" w:hAnsi="Arial" w:eastAsia="宋体"/>
      <w:kern w:val="2"/>
      <w:sz w:val="24"/>
      <w:lang w:val="en-US" w:eastAsia="zh-CN"/>
    </w:rPr>
  </w:style>
  <w:style w:type="character" w:customStyle="1" w:styleId="187">
    <w:name w:val="flname7"/>
    <w:basedOn w:val="69"/>
    <w:autoRedefine/>
    <w:qFormat/>
    <w:uiPriority w:val="99"/>
    <w:rPr>
      <w:rFonts w:cs="Times New Roman"/>
    </w:rPr>
  </w:style>
  <w:style w:type="character" w:customStyle="1" w:styleId="188">
    <w:name w:val="style181"/>
    <w:autoRedefine/>
    <w:qFormat/>
    <w:uiPriority w:val="99"/>
    <w:rPr>
      <w:rFonts w:ascii="Arial" w:hAnsi="Arial"/>
      <w:color w:val="000000"/>
      <w:sz w:val="18"/>
    </w:rPr>
  </w:style>
  <w:style w:type="character" w:customStyle="1" w:styleId="189">
    <w:name w:val="标题4-dyf Char"/>
    <w:link w:val="190"/>
    <w:autoRedefine/>
    <w:qFormat/>
    <w:locked/>
    <w:uiPriority w:val="99"/>
    <w:rPr>
      <w:rFonts w:ascii="Cambria" w:hAnsi="Cambria" w:eastAsia="宋体"/>
      <w:b/>
      <w:color w:val="000000"/>
      <w:kern w:val="2"/>
      <w:sz w:val="21"/>
      <w:lang w:val="en-US" w:eastAsia="zh-CN"/>
    </w:rPr>
  </w:style>
  <w:style w:type="paragraph" w:customStyle="1" w:styleId="190">
    <w:name w:val="标题4-dyf"/>
    <w:basedOn w:val="5"/>
    <w:link w:val="189"/>
    <w:autoRedefine/>
    <w:qFormat/>
    <w:uiPriority w:val="99"/>
    <w:pPr>
      <w:tabs>
        <w:tab w:val="left" w:pos="851"/>
      </w:tabs>
      <w:spacing w:line="376" w:lineRule="atLeast"/>
      <w:ind w:left="851" w:hanging="851"/>
    </w:pPr>
    <w:rPr>
      <w:rFonts w:ascii="Cambria" w:hAnsi="Cambria" w:eastAsia="宋体"/>
      <w:bCs w:val="0"/>
      <w:color w:val="000000"/>
      <w:sz w:val="21"/>
      <w:szCs w:val="20"/>
    </w:rPr>
  </w:style>
  <w:style w:type="character" w:customStyle="1" w:styleId="191">
    <w:name w:val="标题 字符"/>
    <w:link w:val="61"/>
    <w:autoRedefine/>
    <w:qFormat/>
    <w:locked/>
    <w:uiPriority w:val="99"/>
    <w:rPr>
      <w:rFonts w:ascii="Arial" w:hAnsi="Arial"/>
      <w:b/>
      <w:kern w:val="2"/>
      <w:sz w:val="32"/>
    </w:rPr>
  </w:style>
  <w:style w:type="character" w:customStyle="1" w:styleId="192">
    <w:name w:val="普通文字 Char Char2"/>
    <w:autoRedefine/>
    <w:qFormat/>
    <w:uiPriority w:val="99"/>
    <w:rPr>
      <w:rFonts w:ascii="宋体" w:hAnsi="Courier New" w:eastAsia="宋体"/>
      <w:sz w:val="21"/>
      <w:lang w:val="en-US" w:eastAsia="zh-CN"/>
    </w:rPr>
  </w:style>
  <w:style w:type="character" w:customStyle="1" w:styleId="193">
    <w:name w:val="表格中文字 Char Char"/>
    <w:autoRedefine/>
    <w:qFormat/>
    <w:uiPriority w:val="99"/>
    <w:rPr>
      <w:rFonts w:ascii="新宋体" w:hAnsi="新宋体" w:eastAsia="新宋体"/>
      <w:sz w:val="24"/>
    </w:rPr>
  </w:style>
  <w:style w:type="character" w:customStyle="1" w:styleId="194">
    <w:name w:val="列表1 Char Char"/>
    <w:link w:val="195"/>
    <w:autoRedefine/>
    <w:qFormat/>
    <w:locked/>
    <w:uiPriority w:val="99"/>
    <w:rPr>
      <w:rFonts w:ascii="Century" w:hAnsi="Century"/>
      <w:kern w:val="2"/>
      <w:sz w:val="21"/>
    </w:rPr>
  </w:style>
  <w:style w:type="paragraph" w:customStyle="1" w:styleId="195">
    <w:name w:val="列表11"/>
    <w:basedOn w:val="1"/>
    <w:link w:val="194"/>
    <w:autoRedefine/>
    <w:qFormat/>
    <w:uiPriority w:val="99"/>
    <w:pPr>
      <w:tabs>
        <w:tab w:val="left" w:pos="840"/>
      </w:tabs>
      <w:spacing w:line="360" w:lineRule="auto"/>
      <w:ind w:left="840" w:hanging="420"/>
      <w:jc w:val="left"/>
    </w:pPr>
    <w:rPr>
      <w:rFonts w:ascii="Century" w:hAnsi="Century"/>
      <w:szCs w:val="20"/>
    </w:rPr>
  </w:style>
  <w:style w:type="character" w:customStyle="1" w:styleId="196">
    <w:name w:val="ca-8"/>
    <w:basedOn w:val="69"/>
    <w:autoRedefine/>
    <w:qFormat/>
    <w:uiPriority w:val="99"/>
    <w:rPr>
      <w:rFonts w:cs="Times New Roman"/>
    </w:rPr>
  </w:style>
  <w:style w:type="character" w:customStyle="1" w:styleId="197">
    <w:name w:val="新昌正文 Char"/>
    <w:link w:val="198"/>
    <w:autoRedefine/>
    <w:qFormat/>
    <w:locked/>
    <w:uiPriority w:val="99"/>
    <w:rPr>
      <w:rFonts w:ascii="Times New Roman" w:hAnsi="宋体"/>
      <w:sz w:val="24"/>
    </w:rPr>
  </w:style>
  <w:style w:type="paragraph" w:customStyle="1" w:styleId="198">
    <w:name w:val="新昌正文"/>
    <w:basedOn w:val="1"/>
    <w:link w:val="197"/>
    <w:autoRedefine/>
    <w:qFormat/>
    <w:uiPriority w:val="99"/>
    <w:pPr>
      <w:spacing w:line="360" w:lineRule="auto"/>
      <w:ind w:firstLine="480" w:firstLineChars="200"/>
    </w:pPr>
    <w:rPr>
      <w:rFonts w:ascii="Times New Roman" w:hAnsi="宋体"/>
      <w:kern w:val="0"/>
      <w:sz w:val="24"/>
      <w:szCs w:val="20"/>
    </w:rPr>
  </w:style>
  <w:style w:type="character" w:customStyle="1" w:styleId="199">
    <w:name w:val="tw4winJump"/>
    <w:autoRedefine/>
    <w:qFormat/>
    <w:uiPriority w:val="99"/>
    <w:rPr>
      <w:rFonts w:ascii="Courier New" w:hAnsi="Courier New"/>
      <w:color w:val="008080"/>
    </w:rPr>
  </w:style>
  <w:style w:type="character" w:customStyle="1" w:styleId="200">
    <w:name w:val="14_black1"/>
    <w:autoRedefine/>
    <w:qFormat/>
    <w:uiPriority w:val="99"/>
    <w:rPr>
      <w:color w:val="000000"/>
      <w:sz w:val="21"/>
    </w:rPr>
  </w:style>
  <w:style w:type="character" w:customStyle="1" w:styleId="201">
    <w:name w:val="h Char"/>
    <w:autoRedefine/>
    <w:qFormat/>
    <w:uiPriority w:val="99"/>
    <w:rPr>
      <w:rFonts w:ascii="Calibri" w:hAnsi="Calibri" w:eastAsia="宋体"/>
      <w:sz w:val="18"/>
    </w:rPr>
  </w:style>
  <w:style w:type="character" w:customStyle="1" w:styleId="202">
    <w:name w:val="标准文本 Char"/>
    <w:link w:val="184"/>
    <w:autoRedefine/>
    <w:qFormat/>
    <w:locked/>
    <w:uiPriority w:val="99"/>
    <w:rPr>
      <w:kern w:val="2"/>
      <w:sz w:val="24"/>
    </w:rPr>
  </w:style>
  <w:style w:type="character" w:customStyle="1" w:styleId="203">
    <w:name w:val="tw4winMark"/>
    <w:autoRedefine/>
    <w:qFormat/>
    <w:uiPriority w:val="99"/>
    <w:rPr>
      <w:rFonts w:ascii="Courier New" w:hAnsi="Courier New"/>
      <w:vanish/>
      <w:color w:val="800080"/>
      <w:vertAlign w:val="subscript"/>
    </w:rPr>
  </w:style>
  <w:style w:type="character" w:customStyle="1" w:styleId="204">
    <w:name w:val="p21"/>
    <w:autoRedefine/>
    <w:qFormat/>
    <w:uiPriority w:val="99"/>
    <w:rPr>
      <w:rFonts w:ascii="Arial" w:hAnsi="Arial"/>
      <w:color w:val="333333"/>
      <w:sz w:val="18"/>
      <w:u w:val="none"/>
    </w:rPr>
  </w:style>
  <w:style w:type="character" w:customStyle="1" w:styleId="205">
    <w:name w:val="书籍标题1"/>
    <w:autoRedefine/>
    <w:qFormat/>
    <w:uiPriority w:val="99"/>
    <w:rPr>
      <w:b/>
      <w:smallCaps/>
      <w:spacing w:val="5"/>
    </w:rPr>
  </w:style>
  <w:style w:type="character" w:customStyle="1" w:styleId="206">
    <w:name w:val="List Paragraph Char"/>
    <w:link w:val="207"/>
    <w:autoRedefine/>
    <w:qFormat/>
    <w:locked/>
    <w:uiPriority w:val="99"/>
    <w:rPr>
      <w:rFonts w:ascii="Times New Roman" w:hAnsi="Times New Roman"/>
      <w:kern w:val="2"/>
      <w:sz w:val="24"/>
    </w:rPr>
  </w:style>
  <w:style w:type="paragraph" w:customStyle="1" w:styleId="207">
    <w:name w:val="列出段落1"/>
    <w:basedOn w:val="1"/>
    <w:link w:val="206"/>
    <w:autoRedefine/>
    <w:qFormat/>
    <w:uiPriority w:val="99"/>
    <w:pPr>
      <w:ind w:firstLine="420" w:firstLineChars="200"/>
    </w:pPr>
    <w:rPr>
      <w:rFonts w:ascii="Times New Roman" w:hAnsi="Times New Roman"/>
      <w:sz w:val="24"/>
      <w:szCs w:val="20"/>
    </w:rPr>
  </w:style>
  <w:style w:type="character" w:customStyle="1" w:styleId="208">
    <w:name w:val="样式4 Char"/>
    <w:link w:val="209"/>
    <w:autoRedefine/>
    <w:qFormat/>
    <w:locked/>
    <w:uiPriority w:val="99"/>
    <w:rPr>
      <w:rFonts w:ascii="Calibri" w:hAnsi="Calibri" w:eastAsia="宋体"/>
      <w:kern w:val="2"/>
      <w:sz w:val="22"/>
      <w:lang w:val="en-US" w:eastAsia="zh-CN"/>
    </w:rPr>
  </w:style>
  <w:style w:type="paragraph" w:customStyle="1" w:styleId="209">
    <w:name w:val="样式4"/>
    <w:basedOn w:val="1"/>
    <w:link w:val="208"/>
    <w:autoRedefine/>
    <w:qFormat/>
    <w:uiPriority w:val="99"/>
    <w:pPr>
      <w:spacing w:line="360" w:lineRule="auto"/>
    </w:pPr>
    <w:rPr>
      <w:sz w:val="22"/>
      <w:szCs w:val="20"/>
    </w:rPr>
  </w:style>
  <w:style w:type="character" w:customStyle="1" w:styleId="210">
    <w:name w:val="huide001"/>
    <w:autoRedefine/>
    <w:qFormat/>
    <w:uiPriority w:val="99"/>
    <w:rPr>
      <w:rFonts w:ascii="Arial" w:hAnsi="Arial"/>
      <w:color w:val="666666"/>
      <w:sz w:val="18"/>
    </w:rPr>
  </w:style>
  <w:style w:type="character" w:customStyle="1" w:styleId="211">
    <w:name w:val="样式 正文缩进 + 首行缩进:  2 字符 Char"/>
    <w:link w:val="212"/>
    <w:autoRedefine/>
    <w:qFormat/>
    <w:locked/>
    <w:uiPriority w:val="99"/>
    <w:rPr>
      <w:rFonts w:ascii="Times New Roman" w:hAnsi="Times New Roman"/>
      <w:kern w:val="2"/>
      <w:sz w:val="24"/>
    </w:rPr>
  </w:style>
  <w:style w:type="paragraph" w:customStyle="1" w:styleId="212">
    <w:name w:val="样式 正文缩进 + 首行缩进:  2 字符"/>
    <w:basedOn w:val="17"/>
    <w:link w:val="211"/>
    <w:autoRedefine/>
    <w:qFormat/>
    <w:uiPriority w:val="99"/>
    <w:pPr>
      <w:spacing w:line="360" w:lineRule="auto"/>
      <w:ind w:firstLine="200" w:firstLineChars="200"/>
    </w:pPr>
    <w:rPr>
      <w:sz w:val="24"/>
    </w:rPr>
  </w:style>
  <w:style w:type="character" w:customStyle="1" w:styleId="213">
    <w:name w:val="p71"/>
    <w:autoRedefine/>
    <w:qFormat/>
    <w:uiPriority w:val="99"/>
    <w:rPr>
      <w:sz w:val="21"/>
    </w:rPr>
  </w:style>
  <w:style w:type="character" w:customStyle="1" w:styleId="214">
    <w:name w:val="批注主题 Char"/>
    <w:link w:val="215"/>
    <w:autoRedefine/>
    <w:qFormat/>
    <w:locked/>
    <w:uiPriority w:val="99"/>
    <w:rPr>
      <w:b/>
    </w:rPr>
  </w:style>
  <w:style w:type="paragraph" w:customStyle="1" w:styleId="215">
    <w:name w:val="批注主题1"/>
    <w:basedOn w:val="22"/>
    <w:next w:val="22"/>
    <w:link w:val="214"/>
    <w:autoRedefine/>
    <w:qFormat/>
    <w:uiPriority w:val="99"/>
    <w:rPr>
      <w:b/>
      <w:kern w:val="0"/>
      <w:sz w:val="20"/>
      <w:szCs w:val="20"/>
    </w:rPr>
  </w:style>
  <w:style w:type="character" w:customStyle="1" w:styleId="216">
    <w:name w:val="paramname3"/>
    <w:autoRedefine/>
    <w:qFormat/>
    <w:uiPriority w:val="99"/>
    <w:rPr>
      <w:color w:val="999999"/>
    </w:rPr>
  </w:style>
  <w:style w:type="character" w:customStyle="1" w:styleId="217">
    <w:name w:val="页眉 Char1"/>
    <w:autoRedefine/>
    <w:qFormat/>
    <w:uiPriority w:val="99"/>
    <w:rPr>
      <w:kern w:val="2"/>
      <w:sz w:val="18"/>
    </w:rPr>
  </w:style>
  <w:style w:type="character" w:customStyle="1" w:styleId="218">
    <w:name w:val="A C"/>
    <w:autoRedefine/>
    <w:qFormat/>
    <w:uiPriority w:val="99"/>
    <w:rPr>
      <w:rFonts w:ascii="仿宋_GB2312"/>
      <w:sz w:val="24"/>
    </w:rPr>
  </w:style>
  <w:style w:type="character" w:customStyle="1" w:styleId="219">
    <w:name w:val="Char Char41"/>
    <w:autoRedefine/>
    <w:qFormat/>
    <w:uiPriority w:val="99"/>
    <w:rPr>
      <w:rFonts w:ascii="Calibri" w:hAnsi="Calibri" w:eastAsia="宋体"/>
      <w:sz w:val="18"/>
    </w:rPr>
  </w:style>
  <w:style w:type="character" w:customStyle="1" w:styleId="220">
    <w:name w:val="news1"/>
    <w:autoRedefine/>
    <w:qFormat/>
    <w:uiPriority w:val="99"/>
    <w:rPr>
      <w:rFonts w:ascii="Times New Roman" w:hAnsi="Times New Roman"/>
      <w:sz w:val="21"/>
    </w:rPr>
  </w:style>
  <w:style w:type="character" w:customStyle="1" w:styleId="221">
    <w:name w:val="Char Char142"/>
    <w:autoRedefine/>
    <w:qFormat/>
    <w:locked/>
    <w:uiPriority w:val="99"/>
    <w:rPr>
      <w:rFonts w:ascii="楷体_GB2312" w:eastAsia="楷体_GB2312"/>
      <w:kern w:val="2"/>
      <w:sz w:val="32"/>
      <w:lang w:val="en-US" w:eastAsia="zh-CN"/>
    </w:rPr>
  </w:style>
  <w:style w:type="character" w:customStyle="1" w:styleId="222">
    <w:name w:val="Char Char121"/>
    <w:autoRedefine/>
    <w:qFormat/>
    <w:uiPriority w:val="99"/>
    <w:rPr>
      <w:rFonts w:ascii="宋体" w:hAnsi="Courier New" w:eastAsia="宋体"/>
      <w:spacing w:val="-4"/>
      <w:sz w:val="20"/>
    </w:rPr>
  </w:style>
  <w:style w:type="character" w:customStyle="1" w:styleId="223">
    <w:name w:val="z-窗体顶端 Char"/>
    <w:link w:val="224"/>
    <w:autoRedefine/>
    <w:qFormat/>
    <w:locked/>
    <w:uiPriority w:val="99"/>
    <w:rPr>
      <w:rFonts w:ascii="Arial" w:hAnsi="Arial"/>
      <w:vanish/>
      <w:sz w:val="16"/>
    </w:rPr>
  </w:style>
  <w:style w:type="paragraph" w:customStyle="1" w:styleId="224">
    <w:name w:val="z-窗体顶端1"/>
    <w:basedOn w:val="1"/>
    <w:next w:val="1"/>
    <w:link w:val="223"/>
    <w:autoRedefine/>
    <w:qFormat/>
    <w:uiPriority w:val="99"/>
    <w:pPr>
      <w:widowControl/>
      <w:pBdr>
        <w:bottom w:val="single" w:color="auto" w:sz="6" w:space="1"/>
      </w:pBdr>
      <w:jc w:val="center"/>
    </w:pPr>
    <w:rPr>
      <w:rFonts w:ascii="Arial" w:hAnsi="Arial"/>
      <w:vanish/>
      <w:kern w:val="0"/>
      <w:sz w:val="16"/>
      <w:szCs w:val="20"/>
    </w:rPr>
  </w:style>
  <w:style w:type="character" w:customStyle="1" w:styleId="225">
    <w:name w:val="批注框文本 字符"/>
    <w:basedOn w:val="69"/>
    <w:link w:val="40"/>
    <w:autoRedefine/>
    <w:qFormat/>
    <w:locked/>
    <w:uiPriority w:val="99"/>
    <w:rPr>
      <w:rFonts w:cs="Times New Roman"/>
      <w:kern w:val="2"/>
      <w:sz w:val="18"/>
      <w:szCs w:val="18"/>
    </w:rPr>
  </w:style>
  <w:style w:type="character" w:customStyle="1" w:styleId="226">
    <w:name w:val="text_show1"/>
    <w:autoRedefine/>
    <w:qFormat/>
    <w:uiPriority w:val="99"/>
    <w:rPr>
      <w:color w:val="000000"/>
      <w:sz w:val="21"/>
      <w:u w:val="none"/>
    </w:rPr>
  </w:style>
  <w:style w:type="character" w:customStyle="1" w:styleId="227">
    <w:name w:val="纯文本 Char2"/>
    <w:autoRedefine/>
    <w:qFormat/>
    <w:uiPriority w:val="99"/>
    <w:rPr>
      <w:rFonts w:ascii="宋体" w:hAnsi="Courier New"/>
      <w:kern w:val="2"/>
      <w:sz w:val="24"/>
    </w:rPr>
  </w:style>
  <w:style w:type="character" w:customStyle="1" w:styleId="228">
    <w:name w:val="文档正文1 Char Char"/>
    <w:autoRedefine/>
    <w:qFormat/>
    <w:uiPriority w:val="99"/>
    <w:rPr>
      <w:rFonts w:ascii="仿宋_GB2312" w:hAnsi="仿宋" w:eastAsia="仿宋_GB2312"/>
      <w:kern w:val="2"/>
      <w:sz w:val="30"/>
    </w:rPr>
  </w:style>
  <w:style w:type="character" w:customStyle="1" w:styleId="229">
    <w:name w:val="7.表小四 Char Char"/>
    <w:autoRedefine/>
    <w:qFormat/>
    <w:uiPriority w:val="99"/>
    <w:rPr>
      <w:rFonts w:ascii="宋体" w:hAnsi="宋体" w:eastAsia="宋体"/>
      <w:kern w:val="2"/>
      <w:sz w:val="24"/>
      <w:lang w:val="en-US" w:eastAsia="zh-CN"/>
    </w:rPr>
  </w:style>
  <w:style w:type="character" w:customStyle="1" w:styleId="230">
    <w:name w:val="样式 首行缩进:  2 字符 Char"/>
    <w:link w:val="231"/>
    <w:autoRedefine/>
    <w:qFormat/>
    <w:locked/>
    <w:uiPriority w:val="99"/>
    <w:rPr>
      <w:rFonts w:ascii="宋体" w:hAnsi="宋体"/>
      <w:bCs/>
      <w:color w:val="000000"/>
      <w:kern w:val="0"/>
      <w:sz w:val="24"/>
      <w:szCs w:val="24"/>
    </w:rPr>
  </w:style>
  <w:style w:type="paragraph" w:customStyle="1" w:styleId="231">
    <w:name w:val="样式 首行缩进:  2 字符"/>
    <w:basedOn w:val="1"/>
    <w:link w:val="230"/>
    <w:autoRedefine/>
    <w:qFormat/>
    <w:uiPriority w:val="99"/>
    <w:pPr>
      <w:widowControl/>
      <w:numPr>
        <w:ilvl w:val="0"/>
        <w:numId w:val="9"/>
      </w:numPr>
    </w:pPr>
    <w:rPr>
      <w:rFonts w:ascii="宋体" w:hAnsi="宋体"/>
      <w:bCs/>
      <w:color w:val="000000"/>
      <w:kern w:val="0"/>
      <w:sz w:val="24"/>
      <w:szCs w:val="24"/>
    </w:rPr>
  </w:style>
  <w:style w:type="character" w:customStyle="1" w:styleId="232">
    <w:name w:val="Char Char71"/>
    <w:autoRedefine/>
    <w:qFormat/>
    <w:uiPriority w:val="99"/>
    <w:rPr>
      <w:rFonts w:eastAsia="宋体"/>
      <w:b/>
      <w:kern w:val="2"/>
      <w:sz w:val="32"/>
    </w:rPr>
  </w:style>
  <w:style w:type="character" w:customStyle="1" w:styleId="233">
    <w:name w:val="ZJ图表 Char"/>
    <w:link w:val="234"/>
    <w:autoRedefine/>
    <w:qFormat/>
    <w:locked/>
    <w:uiPriority w:val="99"/>
    <w:rPr>
      <w:rFonts w:ascii="Times New Roman" w:hAnsi="Times New Roman" w:eastAsia="黑体"/>
      <w:color w:val="000000"/>
      <w:sz w:val="24"/>
    </w:rPr>
  </w:style>
  <w:style w:type="paragraph" w:customStyle="1" w:styleId="234">
    <w:name w:val="ZJ图表"/>
    <w:basedOn w:val="8"/>
    <w:link w:val="233"/>
    <w:autoRedefine/>
    <w:qFormat/>
    <w:uiPriority w:val="99"/>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szCs w:val="20"/>
    </w:rPr>
  </w:style>
  <w:style w:type="character" w:customStyle="1" w:styleId="235">
    <w:name w:val="浅色网格 - 强调文字颜色 3 Char1"/>
    <w:link w:val="236"/>
    <w:autoRedefine/>
    <w:qFormat/>
    <w:locked/>
    <w:uiPriority w:val="99"/>
    <w:rPr>
      <w:rFonts w:eastAsia="宋体"/>
      <w:kern w:val="2"/>
      <w:sz w:val="24"/>
      <w:lang w:val="en-US" w:eastAsia="zh-CN"/>
    </w:rPr>
  </w:style>
  <w:style w:type="paragraph" w:customStyle="1" w:styleId="236">
    <w:name w:val="浅色网格 - 强调文字颜色 31"/>
    <w:basedOn w:val="1"/>
    <w:link w:val="235"/>
    <w:autoRedefine/>
    <w:qFormat/>
    <w:uiPriority w:val="99"/>
    <w:pPr>
      <w:ind w:firstLine="420" w:firstLineChars="200"/>
    </w:pPr>
    <w:rPr>
      <w:rFonts w:ascii="Times New Roman" w:hAnsi="Times New Roman"/>
      <w:sz w:val="24"/>
      <w:szCs w:val="20"/>
    </w:rPr>
  </w:style>
  <w:style w:type="character" w:customStyle="1" w:styleId="237">
    <w:name w:val="正文s Char"/>
    <w:link w:val="238"/>
    <w:autoRedefine/>
    <w:qFormat/>
    <w:locked/>
    <w:uiPriority w:val="99"/>
    <w:rPr>
      <w:rFonts w:ascii="Arial" w:hAnsi="Arial"/>
    </w:rPr>
  </w:style>
  <w:style w:type="paragraph" w:customStyle="1" w:styleId="238">
    <w:name w:val="正文s"/>
    <w:basedOn w:val="1"/>
    <w:link w:val="237"/>
    <w:autoRedefine/>
    <w:qFormat/>
    <w:uiPriority w:val="99"/>
    <w:pPr>
      <w:spacing w:beforeLines="50" w:line="360" w:lineRule="exact"/>
      <w:ind w:left="420"/>
    </w:pPr>
    <w:rPr>
      <w:rFonts w:ascii="Arial" w:hAnsi="Arial"/>
      <w:kern w:val="0"/>
      <w:sz w:val="20"/>
      <w:szCs w:val="20"/>
    </w:rPr>
  </w:style>
  <w:style w:type="character" w:customStyle="1" w:styleId="239">
    <w:name w:val="_正文段落 Char"/>
    <w:link w:val="240"/>
    <w:autoRedefine/>
    <w:qFormat/>
    <w:locked/>
    <w:uiPriority w:val="99"/>
    <w:rPr>
      <w:rFonts w:ascii="Times New Roman" w:hAnsi="Times New Roman"/>
      <w:kern w:val="2"/>
      <w:sz w:val="24"/>
    </w:rPr>
  </w:style>
  <w:style w:type="paragraph" w:customStyle="1" w:styleId="240">
    <w:name w:val="_正文段落"/>
    <w:basedOn w:val="1"/>
    <w:link w:val="239"/>
    <w:autoRedefine/>
    <w:qFormat/>
    <w:uiPriority w:val="99"/>
    <w:pPr>
      <w:spacing w:beforeLines="15" w:afterLines="15" w:line="360" w:lineRule="auto"/>
      <w:ind w:firstLine="200" w:firstLineChars="200"/>
    </w:pPr>
    <w:rPr>
      <w:rFonts w:ascii="Times New Roman" w:hAnsi="Times New Roman"/>
      <w:sz w:val="24"/>
      <w:szCs w:val="20"/>
    </w:rPr>
  </w:style>
  <w:style w:type="character" w:customStyle="1" w:styleId="241">
    <w:name w:val="页眉 字符"/>
    <w:basedOn w:val="69"/>
    <w:link w:val="43"/>
    <w:autoRedefine/>
    <w:qFormat/>
    <w:locked/>
    <w:uiPriority w:val="99"/>
    <w:rPr>
      <w:rFonts w:cs="Times New Roman"/>
      <w:kern w:val="2"/>
      <w:sz w:val="18"/>
      <w:szCs w:val="18"/>
      <w:lang w:bidi="ar-SA"/>
    </w:rPr>
  </w:style>
  <w:style w:type="character" w:customStyle="1" w:styleId="242">
    <w:name w:val="Z图表 Char"/>
    <w:link w:val="243"/>
    <w:autoRedefine/>
    <w:qFormat/>
    <w:locked/>
    <w:uiPriority w:val="99"/>
    <w:rPr>
      <w:rFonts w:ascii="Times New Roman" w:hAnsi="Times New Roman" w:eastAsia="黑体"/>
      <w:sz w:val="24"/>
    </w:rPr>
  </w:style>
  <w:style w:type="paragraph" w:customStyle="1" w:styleId="243">
    <w:name w:val="Z图表"/>
    <w:basedOn w:val="18"/>
    <w:link w:val="242"/>
    <w:autoRedefine/>
    <w:qFormat/>
    <w:uiPriority w:val="99"/>
    <w:pPr>
      <w:spacing w:beforeLines="50" w:afterLines="50"/>
      <w:jc w:val="center"/>
    </w:pPr>
    <w:rPr>
      <w:rFonts w:ascii="Times New Roman" w:hAnsi="Times New Roman"/>
      <w:kern w:val="0"/>
      <w:sz w:val="24"/>
    </w:rPr>
  </w:style>
  <w:style w:type="character" w:customStyle="1" w:styleId="244">
    <w:name w:val="标题 1 Char1"/>
    <w:autoRedefine/>
    <w:qFormat/>
    <w:uiPriority w:val="99"/>
    <w:rPr>
      <w:b/>
      <w:kern w:val="44"/>
      <w:sz w:val="44"/>
    </w:rPr>
  </w:style>
  <w:style w:type="character" w:customStyle="1" w:styleId="245">
    <w:name w:val="大标题 Char Char"/>
    <w:autoRedefine/>
    <w:qFormat/>
    <w:uiPriority w:val="99"/>
    <w:rPr>
      <w:b/>
      <w:sz w:val="28"/>
      <w:lang w:val="en-US" w:eastAsia="zh-CN"/>
    </w:rPr>
  </w:style>
  <w:style w:type="character" w:customStyle="1" w:styleId="246">
    <w:name w:val="华电 正文 Char"/>
    <w:link w:val="247"/>
    <w:autoRedefine/>
    <w:qFormat/>
    <w:locked/>
    <w:uiPriority w:val="99"/>
    <w:rPr>
      <w:rFonts w:ascii="宋体" w:hAnsi="宋体" w:eastAsia="宋体"/>
      <w:sz w:val="22"/>
    </w:rPr>
  </w:style>
  <w:style w:type="paragraph" w:customStyle="1" w:styleId="247">
    <w:name w:val="华电 正文"/>
    <w:basedOn w:val="1"/>
    <w:link w:val="246"/>
    <w:autoRedefine/>
    <w:qFormat/>
    <w:uiPriority w:val="99"/>
    <w:pPr>
      <w:widowControl/>
      <w:spacing w:line="360" w:lineRule="auto"/>
      <w:ind w:firstLine="440" w:firstLineChars="200"/>
      <w:jc w:val="left"/>
    </w:pPr>
    <w:rPr>
      <w:rFonts w:ascii="宋体" w:hAnsi="宋体"/>
      <w:kern w:val="0"/>
      <w:sz w:val="22"/>
      <w:szCs w:val="20"/>
    </w:rPr>
  </w:style>
  <w:style w:type="character" w:customStyle="1" w:styleId="248">
    <w:name w:val="Indent Normal Char Char"/>
    <w:autoRedefine/>
    <w:qFormat/>
    <w:uiPriority w:val="99"/>
    <w:rPr>
      <w:kern w:val="2"/>
      <w:sz w:val="21"/>
    </w:rPr>
  </w:style>
  <w:style w:type="character" w:customStyle="1" w:styleId="249">
    <w:name w:val="Char Char22"/>
    <w:autoRedefine/>
    <w:qFormat/>
    <w:uiPriority w:val="99"/>
    <w:rPr>
      <w:rFonts w:ascii="宋体" w:hAnsi="Courier New" w:eastAsia="宋体"/>
      <w:sz w:val="21"/>
      <w:lang w:val="en-US" w:eastAsia="zh-CN"/>
    </w:rPr>
  </w:style>
  <w:style w:type="character" w:customStyle="1" w:styleId="250">
    <w:name w:val="表名 Char"/>
    <w:autoRedefine/>
    <w:qFormat/>
    <w:uiPriority w:val="99"/>
    <w:rPr>
      <w:rFonts w:ascii="Arial" w:hAnsi="Arial" w:eastAsia="黑体"/>
      <w:sz w:val="24"/>
    </w:rPr>
  </w:style>
  <w:style w:type="character" w:customStyle="1" w:styleId="251">
    <w:name w:val="正文缩进 字符"/>
    <w:link w:val="17"/>
    <w:autoRedefine/>
    <w:qFormat/>
    <w:locked/>
    <w:uiPriority w:val="99"/>
    <w:rPr>
      <w:rFonts w:eastAsia="宋体"/>
      <w:kern w:val="2"/>
      <w:sz w:val="21"/>
      <w:lang w:val="en-US" w:eastAsia="zh-CN"/>
    </w:rPr>
  </w:style>
  <w:style w:type="character" w:customStyle="1" w:styleId="252">
    <w:name w:val="标题 2 Char1"/>
    <w:autoRedefine/>
    <w:qFormat/>
    <w:uiPriority w:val="99"/>
    <w:rPr>
      <w:rFonts w:ascii="Arial" w:hAnsi="Arial" w:eastAsia="黑体"/>
      <w:b/>
      <w:kern w:val="2"/>
      <w:sz w:val="32"/>
      <w:lang w:val="en-US" w:eastAsia="zh-CN"/>
    </w:rPr>
  </w:style>
  <w:style w:type="character" w:customStyle="1" w:styleId="253">
    <w:name w:val="Char Char"/>
    <w:autoRedefine/>
    <w:qFormat/>
    <w:uiPriority w:val="99"/>
    <w:rPr>
      <w:rFonts w:ascii="Arial" w:hAnsi="Arial" w:eastAsia="黑体"/>
      <w:b/>
      <w:kern w:val="2"/>
      <w:sz w:val="28"/>
      <w:lang w:val="en-US" w:eastAsia="zh-CN"/>
    </w:rPr>
  </w:style>
  <w:style w:type="character" w:customStyle="1" w:styleId="254">
    <w:name w:val="Char Char1"/>
    <w:autoRedefine/>
    <w:qFormat/>
    <w:uiPriority w:val="99"/>
    <w:rPr>
      <w:kern w:val="2"/>
      <w:sz w:val="18"/>
    </w:rPr>
  </w:style>
  <w:style w:type="character" w:customStyle="1" w:styleId="255">
    <w:name w:val="正文文本缩进 Char1"/>
    <w:autoRedefine/>
    <w:qFormat/>
    <w:uiPriority w:val="99"/>
    <w:rPr>
      <w:rFonts w:ascii="Times New Roman" w:hAnsi="Times New Roman" w:eastAsia="宋体"/>
      <w:sz w:val="20"/>
    </w:rPr>
  </w:style>
  <w:style w:type="character" w:customStyle="1" w:styleId="256">
    <w:name w:val="正文0缩进 Char"/>
    <w:link w:val="257"/>
    <w:autoRedefine/>
    <w:qFormat/>
    <w:locked/>
    <w:uiPriority w:val="99"/>
    <w:rPr>
      <w:rFonts w:ascii="宋体" w:eastAsia="宋体"/>
      <w:sz w:val="24"/>
    </w:rPr>
  </w:style>
  <w:style w:type="paragraph" w:customStyle="1" w:styleId="257">
    <w:name w:val="正文0缩进"/>
    <w:basedOn w:val="1"/>
    <w:link w:val="256"/>
    <w:autoRedefine/>
    <w:qFormat/>
    <w:uiPriority w:val="99"/>
    <w:pPr>
      <w:spacing w:line="360" w:lineRule="auto"/>
    </w:pPr>
    <w:rPr>
      <w:rFonts w:ascii="宋体" w:hAnsi="Times New Roman"/>
      <w:kern w:val="0"/>
      <w:sz w:val="24"/>
      <w:szCs w:val="20"/>
    </w:rPr>
  </w:style>
  <w:style w:type="character" w:customStyle="1" w:styleId="258">
    <w:name w:val="占位符文本1"/>
    <w:autoRedefine/>
    <w:qFormat/>
    <w:uiPriority w:val="99"/>
    <w:rPr>
      <w:color w:val="808080"/>
    </w:rPr>
  </w:style>
  <w:style w:type="character" w:customStyle="1" w:styleId="259">
    <w:name w:val="Char Char131"/>
    <w:autoRedefine/>
    <w:qFormat/>
    <w:uiPriority w:val="99"/>
    <w:rPr>
      <w:rFonts w:ascii="Calibri" w:hAnsi="Calibri" w:eastAsia="宋体"/>
      <w:sz w:val="18"/>
    </w:rPr>
  </w:style>
  <w:style w:type="character" w:customStyle="1" w:styleId="260">
    <w:name w:val="H1 Char2"/>
    <w:autoRedefine/>
    <w:qFormat/>
    <w:uiPriority w:val="99"/>
    <w:rPr>
      <w:rFonts w:eastAsia="隶书"/>
      <w:b/>
      <w:sz w:val="36"/>
      <w:lang w:val="en-US" w:eastAsia="zh-CN"/>
    </w:rPr>
  </w:style>
  <w:style w:type="character" w:customStyle="1" w:styleId="261">
    <w:name w:val="列出段落 Char"/>
    <w:link w:val="262"/>
    <w:autoRedefine/>
    <w:qFormat/>
    <w:locked/>
    <w:uiPriority w:val="99"/>
    <w:rPr>
      <w:kern w:val="2"/>
      <w:sz w:val="22"/>
    </w:rPr>
  </w:style>
  <w:style w:type="paragraph" w:customStyle="1" w:styleId="262">
    <w:name w:val="列出段落2"/>
    <w:basedOn w:val="1"/>
    <w:link w:val="261"/>
    <w:autoRedefine/>
    <w:qFormat/>
    <w:uiPriority w:val="99"/>
    <w:pPr>
      <w:ind w:firstLine="420" w:firstLineChars="200"/>
    </w:pPr>
    <w:rPr>
      <w:rFonts w:ascii="Times New Roman" w:hAnsi="Times New Roman"/>
      <w:sz w:val="22"/>
      <w:szCs w:val="20"/>
    </w:rPr>
  </w:style>
  <w:style w:type="character" w:customStyle="1" w:styleId="263">
    <w:name w:val="样式 小四"/>
    <w:autoRedefine/>
    <w:qFormat/>
    <w:uiPriority w:val="99"/>
    <w:rPr>
      <w:sz w:val="21"/>
    </w:rPr>
  </w:style>
  <w:style w:type="character" w:customStyle="1" w:styleId="264">
    <w:name w:val="Char2 Char"/>
    <w:autoRedefine/>
    <w:qFormat/>
    <w:uiPriority w:val="99"/>
    <w:rPr>
      <w:rFonts w:ascii="Verdana" w:hAnsi="宋体" w:eastAsia="宋体"/>
      <w:sz w:val="28"/>
    </w:rPr>
  </w:style>
  <w:style w:type="character" w:customStyle="1" w:styleId="265">
    <w:name w:val="Char Char14"/>
    <w:autoRedefine/>
    <w:qFormat/>
    <w:uiPriority w:val="99"/>
    <w:rPr>
      <w:rFonts w:ascii="Calibri" w:hAnsi="Calibri" w:eastAsia="宋体"/>
      <w:b/>
      <w:sz w:val="28"/>
    </w:rPr>
  </w:style>
  <w:style w:type="character" w:customStyle="1" w:styleId="266">
    <w:name w:val="t_tag"/>
    <w:basedOn w:val="69"/>
    <w:autoRedefine/>
    <w:qFormat/>
    <w:uiPriority w:val="99"/>
    <w:rPr>
      <w:rFonts w:cs="Times New Roman"/>
    </w:rPr>
  </w:style>
  <w:style w:type="character" w:customStyle="1" w:styleId="267">
    <w:name w:val="段 Char Char"/>
    <w:link w:val="83"/>
    <w:autoRedefine/>
    <w:qFormat/>
    <w:locked/>
    <w:uiPriority w:val="99"/>
    <w:rPr>
      <w:rFonts w:ascii="宋体"/>
      <w:sz w:val="21"/>
      <w:lang w:val="en-US" w:eastAsia="zh-CN"/>
    </w:rPr>
  </w:style>
  <w:style w:type="character" w:customStyle="1" w:styleId="268">
    <w:name w:val="headline-content2"/>
    <w:basedOn w:val="69"/>
    <w:autoRedefine/>
    <w:qFormat/>
    <w:uiPriority w:val="99"/>
    <w:rPr>
      <w:rFonts w:cs="Times New Roman"/>
    </w:rPr>
  </w:style>
  <w:style w:type="character" w:customStyle="1" w:styleId="269">
    <w:name w:val="模板正文 Char"/>
    <w:link w:val="270"/>
    <w:autoRedefine/>
    <w:qFormat/>
    <w:locked/>
    <w:uiPriority w:val="99"/>
    <w:rPr>
      <w:rFonts w:ascii="Arial" w:hAnsi="Arial"/>
      <w:sz w:val="21"/>
    </w:rPr>
  </w:style>
  <w:style w:type="paragraph" w:customStyle="1" w:styleId="270">
    <w:name w:val="模板正文"/>
    <w:basedOn w:val="1"/>
    <w:link w:val="269"/>
    <w:autoRedefine/>
    <w:qFormat/>
    <w:uiPriority w:val="99"/>
    <w:pPr>
      <w:wordWrap w:val="0"/>
      <w:spacing w:before="120" w:line="320" w:lineRule="exact"/>
      <w:ind w:left="200" w:leftChars="200" w:firstLine="200" w:firstLineChars="200"/>
    </w:pPr>
    <w:rPr>
      <w:rFonts w:ascii="Arial" w:hAnsi="Arial"/>
      <w:kern w:val="0"/>
      <w:szCs w:val="20"/>
    </w:rPr>
  </w:style>
  <w:style w:type="character" w:customStyle="1" w:styleId="271">
    <w:name w:val="maywed421"/>
    <w:autoRedefine/>
    <w:qFormat/>
    <w:uiPriority w:val="99"/>
    <w:rPr>
      <w:color w:val="366FB6"/>
      <w:u w:val="none"/>
    </w:rPr>
  </w:style>
  <w:style w:type="character" w:customStyle="1" w:styleId="272">
    <w:name w:val="标题 2 字符"/>
    <w:basedOn w:val="69"/>
    <w:link w:val="3"/>
    <w:autoRedefine/>
    <w:qFormat/>
    <w:locked/>
    <w:uiPriority w:val="99"/>
    <w:rPr>
      <w:rFonts w:ascii="Arial" w:hAnsi="Arial" w:eastAsia="黑体" w:cs="Times New Roman"/>
      <w:b/>
      <w:kern w:val="2"/>
      <w:sz w:val="32"/>
      <w:lang w:val="en-US" w:eastAsia="zh-CN"/>
    </w:rPr>
  </w:style>
  <w:style w:type="character" w:customStyle="1" w:styleId="273">
    <w:name w:val="页脚 字符"/>
    <w:link w:val="41"/>
    <w:autoRedefine/>
    <w:qFormat/>
    <w:locked/>
    <w:uiPriority w:val="99"/>
    <w:rPr>
      <w:kern w:val="2"/>
      <w:sz w:val="18"/>
    </w:rPr>
  </w:style>
  <w:style w:type="character" w:customStyle="1" w:styleId="274">
    <w:name w:val="无间隔 Char"/>
    <w:link w:val="275"/>
    <w:autoRedefine/>
    <w:qFormat/>
    <w:locked/>
    <w:uiPriority w:val="99"/>
    <w:rPr>
      <w:sz w:val="22"/>
      <w:lang w:val="en-US" w:eastAsia="zh-CN"/>
    </w:rPr>
  </w:style>
  <w:style w:type="paragraph" w:customStyle="1" w:styleId="275">
    <w:name w:val="无间隔1"/>
    <w:link w:val="274"/>
    <w:autoRedefine/>
    <w:qFormat/>
    <w:uiPriority w:val="99"/>
    <w:rPr>
      <w:rFonts w:ascii="Times New Roman" w:hAnsi="Times New Roman" w:eastAsia="宋体" w:cs="Times New Roman"/>
      <w:sz w:val="22"/>
      <w:lang w:val="en-US" w:eastAsia="zh-CN" w:bidi="ar-SA"/>
    </w:rPr>
  </w:style>
  <w:style w:type="character" w:customStyle="1" w:styleId="276">
    <w:name w:val="*Body Text Char1"/>
    <w:link w:val="277"/>
    <w:autoRedefine/>
    <w:qFormat/>
    <w:locked/>
    <w:uiPriority w:val="99"/>
    <w:rPr>
      <w:rFonts w:ascii="Futura Lt" w:hAnsi="Futura Lt"/>
      <w:sz w:val="21"/>
      <w:lang w:val="en-US" w:eastAsia="en-US"/>
    </w:rPr>
  </w:style>
  <w:style w:type="paragraph" w:customStyle="1" w:styleId="277">
    <w:name w:val="*Body Text"/>
    <w:link w:val="276"/>
    <w:autoRedefine/>
    <w:qFormat/>
    <w:uiPriority w:val="99"/>
    <w:pPr>
      <w:spacing w:line="360" w:lineRule="auto"/>
    </w:pPr>
    <w:rPr>
      <w:rFonts w:ascii="Futura Lt" w:hAnsi="Futura Lt" w:eastAsia="宋体" w:cs="Futura Lt"/>
      <w:sz w:val="21"/>
      <w:szCs w:val="21"/>
      <w:lang w:val="en-US" w:eastAsia="en-US" w:bidi="ar-SA"/>
    </w:rPr>
  </w:style>
  <w:style w:type="character" w:customStyle="1" w:styleId="278">
    <w:name w:val="页脚 Char Char"/>
    <w:autoRedefine/>
    <w:qFormat/>
    <w:uiPriority w:val="99"/>
    <w:rPr>
      <w:kern w:val="2"/>
      <w:sz w:val="18"/>
    </w:rPr>
  </w:style>
  <w:style w:type="character" w:customStyle="1" w:styleId="279">
    <w:name w:val="样式(-) Char"/>
    <w:link w:val="280"/>
    <w:autoRedefine/>
    <w:qFormat/>
    <w:locked/>
    <w:uiPriority w:val="99"/>
    <w:rPr>
      <w:rFonts w:eastAsia="仿宋"/>
      <w:b/>
      <w:kern w:val="0"/>
      <w:sz w:val="28"/>
      <w:szCs w:val="21"/>
    </w:rPr>
  </w:style>
  <w:style w:type="paragraph" w:customStyle="1" w:styleId="280">
    <w:name w:val="样式(-)"/>
    <w:basedOn w:val="236"/>
    <w:link w:val="279"/>
    <w:autoRedefine/>
    <w:qFormat/>
    <w:uiPriority w:val="99"/>
    <w:pPr>
      <w:numPr>
        <w:ilvl w:val="0"/>
        <w:numId w:val="10"/>
      </w:numPr>
      <w:spacing w:line="360" w:lineRule="auto"/>
      <w:ind w:firstLine="0" w:firstLineChars="0"/>
      <w:jc w:val="left"/>
    </w:pPr>
    <w:rPr>
      <w:rFonts w:eastAsia="仿宋"/>
      <w:b/>
      <w:kern w:val="0"/>
      <w:sz w:val="28"/>
      <w:szCs w:val="21"/>
    </w:rPr>
  </w:style>
  <w:style w:type="character" w:customStyle="1" w:styleId="281">
    <w:name w:val="inf1"/>
    <w:autoRedefine/>
    <w:qFormat/>
    <w:uiPriority w:val="99"/>
    <w:rPr>
      <w:rFonts w:ascii="宋体" w:hAnsi="宋体" w:eastAsia="宋体"/>
      <w:color w:val="000000"/>
      <w:sz w:val="20"/>
    </w:rPr>
  </w:style>
  <w:style w:type="character" w:customStyle="1" w:styleId="282">
    <w:name w:val="样式 首行缩进:  0.85 厘米 Char Char"/>
    <w:autoRedefine/>
    <w:qFormat/>
    <w:uiPriority w:val="99"/>
    <w:rPr>
      <w:rFonts w:eastAsia="宋体"/>
      <w:kern w:val="2"/>
      <w:sz w:val="24"/>
      <w:lang w:val="en-US" w:eastAsia="zh-CN"/>
    </w:rPr>
  </w:style>
  <w:style w:type="character" w:customStyle="1" w:styleId="283">
    <w:name w:val="正文4 Char"/>
    <w:link w:val="284"/>
    <w:autoRedefine/>
    <w:qFormat/>
    <w:locked/>
    <w:uiPriority w:val="99"/>
    <w:rPr>
      <w:rFonts w:ascii="Calibri" w:hAnsi="Calibri"/>
      <w:kern w:val="0"/>
      <w:sz w:val="24"/>
      <w:szCs w:val="24"/>
    </w:rPr>
  </w:style>
  <w:style w:type="paragraph" w:customStyle="1" w:styleId="284">
    <w:name w:val="正文4"/>
    <w:basedOn w:val="1"/>
    <w:link w:val="283"/>
    <w:autoRedefine/>
    <w:qFormat/>
    <w:uiPriority w:val="99"/>
    <w:pPr>
      <w:numPr>
        <w:ilvl w:val="0"/>
        <w:numId w:val="11"/>
      </w:numPr>
      <w:spacing w:before="60" w:after="60" w:line="360" w:lineRule="auto"/>
      <w:ind w:firstLine="0"/>
    </w:pPr>
    <w:rPr>
      <w:kern w:val="0"/>
      <w:sz w:val="24"/>
      <w:szCs w:val="24"/>
    </w:rPr>
  </w:style>
  <w:style w:type="character" w:customStyle="1" w:styleId="285">
    <w:name w:val="标准正文格式 Char Char"/>
    <w:autoRedefine/>
    <w:qFormat/>
    <w:uiPriority w:val="99"/>
    <w:rPr>
      <w:rFonts w:ascii="宋体" w:eastAsia="仿宋_GB2312"/>
      <w:color w:val="000000"/>
      <w:sz w:val="24"/>
      <w:lang w:val="en-US" w:eastAsia="zh-CN"/>
    </w:rPr>
  </w:style>
  <w:style w:type="character" w:customStyle="1" w:styleId="286">
    <w:name w:val="衢州正文 Char"/>
    <w:link w:val="287"/>
    <w:autoRedefine/>
    <w:qFormat/>
    <w:locked/>
    <w:uiPriority w:val="99"/>
    <w:rPr>
      <w:rFonts w:ascii="Times New Roman" w:hAnsi="宋体"/>
      <w:sz w:val="24"/>
    </w:rPr>
  </w:style>
  <w:style w:type="paragraph" w:customStyle="1" w:styleId="287">
    <w:name w:val="衢州正文"/>
    <w:basedOn w:val="1"/>
    <w:link w:val="286"/>
    <w:autoRedefine/>
    <w:qFormat/>
    <w:uiPriority w:val="99"/>
    <w:pPr>
      <w:spacing w:line="360" w:lineRule="auto"/>
      <w:ind w:firstLine="480" w:firstLineChars="200"/>
    </w:pPr>
    <w:rPr>
      <w:rFonts w:ascii="Times New Roman" w:hAnsi="宋体"/>
      <w:kern w:val="0"/>
      <w:sz w:val="24"/>
      <w:szCs w:val="20"/>
    </w:rPr>
  </w:style>
  <w:style w:type="character" w:customStyle="1" w:styleId="288">
    <w:name w:val="方案正文 Char"/>
    <w:link w:val="289"/>
    <w:autoRedefine/>
    <w:qFormat/>
    <w:locked/>
    <w:uiPriority w:val="99"/>
    <w:rPr>
      <w:rFonts w:ascii="Calibri" w:hAnsi="Calibri" w:eastAsia="仿宋_GB2312"/>
      <w:kern w:val="2"/>
      <w:sz w:val="24"/>
      <w:lang w:val="en-US" w:eastAsia="zh-CN"/>
    </w:rPr>
  </w:style>
  <w:style w:type="paragraph" w:customStyle="1" w:styleId="289">
    <w:name w:val="方案正文"/>
    <w:basedOn w:val="1"/>
    <w:link w:val="288"/>
    <w:autoRedefine/>
    <w:qFormat/>
    <w:uiPriority w:val="99"/>
    <w:pPr>
      <w:adjustRightInd w:val="0"/>
      <w:snapToGrid w:val="0"/>
      <w:spacing w:line="560" w:lineRule="exact"/>
      <w:ind w:firstLine="200" w:firstLineChars="200"/>
    </w:pPr>
    <w:rPr>
      <w:rFonts w:eastAsia="仿宋_GB2312"/>
      <w:sz w:val="24"/>
      <w:szCs w:val="20"/>
    </w:rPr>
  </w:style>
  <w:style w:type="character" w:customStyle="1" w:styleId="290">
    <w:name w:val="表正文 Char2"/>
    <w:autoRedefine/>
    <w:qFormat/>
    <w:uiPriority w:val="99"/>
    <w:rPr>
      <w:rFonts w:eastAsia="宋体"/>
      <w:kern w:val="2"/>
      <w:sz w:val="21"/>
      <w:lang w:val="en-US" w:eastAsia="zh-CN"/>
    </w:rPr>
  </w:style>
  <w:style w:type="character" w:customStyle="1" w:styleId="291">
    <w:name w:val="Char Char21"/>
    <w:autoRedefine/>
    <w:qFormat/>
    <w:uiPriority w:val="99"/>
    <w:rPr>
      <w:rFonts w:ascii="宋体" w:hAnsi="Courier New" w:eastAsia="宋体"/>
      <w:sz w:val="21"/>
      <w:lang w:val="en-US" w:eastAsia="zh-CN"/>
    </w:rPr>
  </w:style>
  <w:style w:type="character" w:customStyle="1" w:styleId="292">
    <w:name w:val="正文 首行缩进:  2 字符 Char"/>
    <w:link w:val="293"/>
    <w:autoRedefine/>
    <w:qFormat/>
    <w:locked/>
    <w:uiPriority w:val="99"/>
    <w:rPr>
      <w:sz w:val="24"/>
    </w:rPr>
  </w:style>
  <w:style w:type="paragraph" w:customStyle="1" w:styleId="293">
    <w:name w:val="正文 首行缩进:  2 字符"/>
    <w:basedOn w:val="1"/>
    <w:next w:val="1"/>
    <w:link w:val="292"/>
    <w:autoRedefine/>
    <w:qFormat/>
    <w:uiPriority w:val="99"/>
    <w:pPr>
      <w:spacing w:line="360" w:lineRule="auto"/>
      <w:ind w:firstLine="480" w:firstLineChars="200"/>
      <w:jc w:val="left"/>
    </w:pPr>
    <w:rPr>
      <w:rFonts w:ascii="Times New Roman" w:hAnsi="Times New Roman"/>
      <w:kern w:val="0"/>
      <w:sz w:val="24"/>
      <w:szCs w:val="20"/>
    </w:rPr>
  </w:style>
  <w:style w:type="character" w:customStyle="1" w:styleId="294">
    <w:name w:val="中等深浅网格 11"/>
    <w:autoRedefine/>
    <w:semiHidden/>
    <w:qFormat/>
    <w:uiPriority w:val="99"/>
    <w:rPr>
      <w:color w:val="808080"/>
    </w:rPr>
  </w:style>
  <w:style w:type="character" w:customStyle="1" w:styleId="295">
    <w:name w:val="页眉 Char Char"/>
    <w:autoRedefine/>
    <w:qFormat/>
    <w:uiPriority w:val="99"/>
    <w:rPr>
      <w:kern w:val="2"/>
      <w:sz w:val="18"/>
    </w:rPr>
  </w:style>
  <w:style w:type="character" w:customStyle="1" w:styleId="296">
    <w:name w:val="正文4 Char Char"/>
    <w:autoRedefine/>
    <w:qFormat/>
    <w:uiPriority w:val="99"/>
    <w:rPr>
      <w:rFonts w:ascii="Calibri" w:hAnsi="Calibri" w:eastAsia="宋体"/>
      <w:kern w:val="2"/>
      <w:sz w:val="24"/>
    </w:rPr>
  </w:style>
  <w:style w:type="character" w:customStyle="1" w:styleId="297">
    <w:name w:val="纯文本 Char1"/>
    <w:autoRedefine/>
    <w:qFormat/>
    <w:uiPriority w:val="99"/>
    <w:rPr>
      <w:rFonts w:ascii="宋体" w:hAnsi="Courier New"/>
      <w:kern w:val="2"/>
      <w:sz w:val="24"/>
    </w:rPr>
  </w:style>
  <w:style w:type="character" w:customStyle="1" w:styleId="298">
    <w:name w:val="Indent Normal Char"/>
    <w:link w:val="299"/>
    <w:autoRedefine/>
    <w:qFormat/>
    <w:locked/>
    <w:uiPriority w:val="99"/>
    <w:rPr>
      <w:kern w:val="2"/>
      <w:sz w:val="21"/>
    </w:rPr>
  </w:style>
  <w:style w:type="paragraph" w:customStyle="1" w:styleId="299">
    <w:name w:val="Indent Normal"/>
    <w:basedOn w:val="1"/>
    <w:link w:val="298"/>
    <w:autoRedefine/>
    <w:qFormat/>
    <w:uiPriority w:val="99"/>
    <w:pPr>
      <w:ind w:firstLine="420"/>
    </w:pPr>
    <w:rPr>
      <w:rFonts w:ascii="Times New Roman" w:hAnsi="Times New Roman"/>
      <w:szCs w:val="20"/>
    </w:rPr>
  </w:style>
  <w:style w:type="character" w:customStyle="1" w:styleId="300">
    <w:name w:val="b11_01b Char"/>
    <w:link w:val="301"/>
    <w:autoRedefine/>
    <w:qFormat/>
    <w:locked/>
    <w:uiPriority w:val="99"/>
    <w:rPr>
      <w:rFonts w:ascii="Verdana" w:hAnsi="Verdana" w:eastAsia="宋体"/>
      <w:b/>
      <w:color w:val="4A82CA"/>
      <w:sz w:val="17"/>
      <w:lang w:val="en-US" w:eastAsia="zh-CN"/>
    </w:rPr>
  </w:style>
  <w:style w:type="paragraph" w:customStyle="1" w:styleId="301">
    <w:name w:val="b11_01b"/>
    <w:basedOn w:val="1"/>
    <w:next w:val="1"/>
    <w:link w:val="300"/>
    <w:autoRedefine/>
    <w:qFormat/>
    <w:uiPriority w:val="99"/>
    <w:pPr>
      <w:widowControl/>
      <w:spacing w:before="100" w:beforeAutospacing="1" w:after="100" w:afterAutospacing="1" w:line="384" w:lineRule="auto"/>
      <w:jc w:val="left"/>
    </w:pPr>
    <w:rPr>
      <w:rFonts w:ascii="Verdana" w:hAnsi="Verdana"/>
      <w:b/>
      <w:color w:val="4A82CA"/>
      <w:kern w:val="0"/>
      <w:sz w:val="17"/>
      <w:szCs w:val="20"/>
    </w:rPr>
  </w:style>
  <w:style w:type="character" w:customStyle="1" w:styleId="302">
    <w:name w:val="h4 Char2"/>
    <w:autoRedefine/>
    <w:qFormat/>
    <w:uiPriority w:val="99"/>
    <w:rPr>
      <w:rFonts w:ascii="Arial" w:hAnsi="Arial" w:eastAsia="黑体"/>
      <w:b/>
      <w:kern w:val="2"/>
      <w:sz w:val="28"/>
      <w:lang w:val="en-US" w:eastAsia="zh-CN"/>
    </w:rPr>
  </w:style>
  <w:style w:type="character" w:customStyle="1" w:styleId="303">
    <w:name w:val="列表1、 Char Char"/>
    <w:autoRedefine/>
    <w:qFormat/>
    <w:uiPriority w:val="99"/>
    <w:rPr>
      <w:rFonts w:ascii="仿宋" w:hAnsi="仿宋" w:eastAsia="仿宋"/>
      <w:kern w:val="2"/>
      <w:sz w:val="21"/>
    </w:rPr>
  </w:style>
  <w:style w:type="character" w:customStyle="1" w:styleId="304">
    <w:name w:val="Char Char13"/>
    <w:autoRedefine/>
    <w:qFormat/>
    <w:uiPriority w:val="99"/>
    <w:rPr>
      <w:rFonts w:ascii="Calibri" w:hAnsi="Calibri" w:eastAsia="宋体"/>
      <w:sz w:val="18"/>
    </w:rPr>
  </w:style>
  <w:style w:type="character" w:customStyle="1" w:styleId="305">
    <w:name w:val="Char Char61"/>
    <w:autoRedefine/>
    <w:qFormat/>
    <w:uiPriority w:val="99"/>
    <w:rPr>
      <w:rFonts w:ascii="Calibri" w:hAnsi="Calibri" w:eastAsia="宋体"/>
      <w:b/>
      <w:kern w:val="2"/>
      <w:sz w:val="28"/>
    </w:rPr>
  </w:style>
  <w:style w:type="character" w:customStyle="1" w:styleId="306">
    <w:name w:val="文档正文1 Char"/>
    <w:link w:val="307"/>
    <w:autoRedefine/>
    <w:qFormat/>
    <w:locked/>
    <w:uiPriority w:val="99"/>
    <w:rPr>
      <w:rFonts w:ascii="仿宋_GB2312" w:hAnsi="仿宋" w:eastAsia="仿宋_GB2312"/>
      <w:kern w:val="2"/>
      <w:sz w:val="30"/>
    </w:rPr>
  </w:style>
  <w:style w:type="paragraph" w:customStyle="1" w:styleId="307">
    <w:name w:val="文档正文1"/>
    <w:basedOn w:val="1"/>
    <w:link w:val="306"/>
    <w:autoRedefine/>
    <w:qFormat/>
    <w:uiPriority w:val="99"/>
    <w:pPr>
      <w:spacing w:line="360" w:lineRule="auto"/>
      <w:ind w:firstLine="600"/>
    </w:pPr>
    <w:rPr>
      <w:rFonts w:ascii="仿宋_GB2312" w:hAnsi="仿宋" w:eastAsia="仿宋_GB2312"/>
      <w:sz w:val="30"/>
      <w:szCs w:val="20"/>
    </w:rPr>
  </w:style>
  <w:style w:type="character" w:customStyle="1" w:styleId="308">
    <w:name w:val="f9"/>
    <w:basedOn w:val="69"/>
    <w:autoRedefine/>
    <w:qFormat/>
    <w:uiPriority w:val="99"/>
    <w:rPr>
      <w:rFonts w:cs="Times New Roman"/>
    </w:rPr>
  </w:style>
  <w:style w:type="character" w:customStyle="1" w:styleId="309">
    <w:name w:val="Head 2"/>
    <w:autoRedefine/>
    <w:qFormat/>
    <w:uiPriority w:val="99"/>
    <w:rPr>
      <w:rFonts w:ascii="仿宋_GB2312"/>
      <w:sz w:val="24"/>
    </w:rPr>
  </w:style>
  <w:style w:type="character" w:customStyle="1" w:styleId="310">
    <w:name w:val="样式 样式3 + 宋体 五号 Char Char Char Char"/>
    <w:autoRedefine/>
    <w:qFormat/>
    <w:uiPriority w:val="99"/>
    <w:rPr>
      <w:rFonts w:ascii="宋体" w:hAnsi="宋体" w:eastAsia="宋体"/>
      <w:b/>
      <w:kern w:val="2"/>
      <w:sz w:val="24"/>
      <w:lang w:val="en-US" w:eastAsia="zh-CN"/>
    </w:rPr>
  </w:style>
  <w:style w:type="character" w:customStyle="1" w:styleId="311">
    <w:name w:val="文档结构图 Char1"/>
    <w:autoRedefine/>
    <w:qFormat/>
    <w:uiPriority w:val="99"/>
    <w:rPr>
      <w:rFonts w:ascii="宋体" w:hAnsi="Courier New" w:eastAsia="宋体"/>
      <w:sz w:val="21"/>
      <w:lang w:val="en-US" w:eastAsia="zh-CN"/>
    </w:rPr>
  </w:style>
  <w:style w:type="character" w:customStyle="1" w:styleId="312">
    <w:name w:val="line1"/>
    <w:autoRedefine/>
    <w:qFormat/>
    <w:uiPriority w:val="99"/>
    <w:rPr>
      <w:spacing w:val="360"/>
      <w:u w:val="none"/>
    </w:rPr>
  </w:style>
  <w:style w:type="character" w:customStyle="1" w:styleId="313">
    <w:name w:val="Char Char7"/>
    <w:autoRedefine/>
    <w:qFormat/>
    <w:uiPriority w:val="99"/>
    <w:rPr>
      <w:rFonts w:eastAsia="宋体"/>
      <w:b/>
      <w:kern w:val="2"/>
      <w:sz w:val="32"/>
    </w:rPr>
  </w:style>
  <w:style w:type="character" w:customStyle="1" w:styleId="314">
    <w:name w:val="content"/>
    <w:basedOn w:val="69"/>
    <w:autoRedefine/>
    <w:qFormat/>
    <w:uiPriority w:val="99"/>
    <w:rPr>
      <w:rFonts w:cs="Times New Roman"/>
    </w:rPr>
  </w:style>
  <w:style w:type="character" w:customStyle="1" w:styleId="315">
    <w:name w:val="paragraph1 Char"/>
    <w:link w:val="316"/>
    <w:autoRedefine/>
    <w:qFormat/>
    <w:locked/>
    <w:uiPriority w:val="99"/>
    <w:rPr>
      <w:rFonts w:eastAsia="楷体_GB2312"/>
      <w:kern w:val="2"/>
      <w:sz w:val="24"/>
      <w:lang w:val="en-US" w:eastAsia="zh-CN"/>
    </w:rPr>
  </w:style>
  <w:style w:type="paragraph" w:customStyle="1" w:styleId="316">
    <w:name w:val="paragraph1"/>
    <w:basedOn w:val="1"/>
    <w:link w:val="315"/>
    <w:autoRedefine/>
    <w:qFormat/>
    <w:uiPriority w:val="99"/>
    <w:pPr>
      <w:spacing w:afterLines="30" w:line="360" w:lineRule="auto"/>
      <w:ind w:firstLine="420" w:firstLineChars="200"/>
    </w:pPr>
    <w:rPr>
      <w:rFonts w:ascii="Times New Roman" w:hAnsi="Times New Roman" w:eastAsia="楷体_GB2312"/>
      <w:sz w:val="24"/>
      <w:szCs w:val="20"/>
    </w:rPr>
  </w:style>
  <w:style w:type="character" w:customStyle="1" w:styleId="317">
    <w:name w:val="新昌图表 Char"/>
    <w:link w:val="318"/>
    <w:autoRedefine/>
    <w:qFormat/>
    <w:locked/>
    <w:uiPriority w:val="99"/>
    <w:rPr>
      <w:rFonts w:ascii="Times New Roman" w:hAnsi="Times New Roman" w:eastAsia="黑体"/>
      <w:color w:val="000000"/>
      <w:sz w:val="24"/>
    </w:rPr>
  </w:style>
  <w:style w:type="paragraph" w:customStyle="1" w:styleId="318">
    <w:name w:val="新昌图表"/>
    <w:basedOn w:val="1"/>
    <w:link w:val="317"/>
    <w:autoRedefine/>
    <w:qFormat/>
    <w:uiPriority w:val="99"/>
    <w:pPr>
      <w:jc w:val="center"/>
    </w:pPr>
    <w:rPr>
      <w:rFonts w:ascii="Times New Roman" w:hAnsi="Times New Roman" w:eastAsia="黑体"/>
      <w:color w:val="000000"/>
      <w:kern w:val="0"/>
      <w:sz w:val="24"/>
      <w:szCs w:val="20"/>
    </w:rPr>
  </w:style>
  <w:style w:type="character" w:customStyle="1" w:styleId="319">
    <w:name w:val="bt Char2"/>
    <w:autoRedefine/>
    <w:qFormat/>
    <w:uiPriority w:val="99"/>
    <w:rPr>
      <w:rFonts w:eastAsia="宋体"/>
      <w:kern w:val="2"/>
      <w:sz w:val="24"/>
      <w:lang w:val="en-US" w:eastAsia="zh-CN"/>
    </w:rPr>
  </w:style>
  <w:style w:type="character" w:customStyle="1" w:styleId="320">
    <w:name w:val="列出段落 Char Char"/>
    <w:autoRedefine/>
    <w:qFormat/>
    <w:uiPriority w:val="99"/>
    <w:rPr>
      <w:rFonts w:ascii="Calibri" w:hAnsi="Calibri" w:eastAsia="宋体"/>
      <w:kern w:val="2"/>
      <w:sz w:val="24"/>
      <w:lang w:val="en-US" w:eastAsia="zh-CN"/>
    </w:rPr>
  </w:style>
  <w:style w:type="character" w:customStyle="1" w:styleId="321">
    <w:name w:val="华电 正文 Char Char"/>
    <w:autoRedefine/>
    <w:qFormat/>
    <w:uiPriority w:val="99"/>
    <w:rPr>
      <w:rFonts w:ascii="宋体" w:hAnsi="宋体" w:eastAsia="宋体"/>
      <w:sz w:val="22"/>
    </w:rPr>
  </w:style>
  <w:style w:type="character" w:customStyle="1" w:styleId="322">
    <w:name w:val="b titlename wangputoptitle"/>
    <w:basedOn w:val="69"/>
    <w:autoRedefine/>
    <w:qFormat/>
    <w:uiPriority w:val="99"/>
    <w:rPr>
      <w:rFonts w:cs="Times New Roman"/>
    </w:rPr>
  </w:style>
  <w:style w:type="character" w:customStyle="1" w:styleId="323">
    <w:name w:val="自定义正文 Char"/>
    <w:link w:val="324"/>
    <w:autoRedefine/>
    <w:qFormat/>
    <w:locked/>
    <w:uiPriority w:val="99"/>
    <w:rPr>
      <w:rFonts w:ascii="仿宋_GB2312" w:eastAsia="仿宋_GB2312"/>
      <w:kern w:val="2"/>
      <w:sz w:val="24"/>
    </w:rPr>
  </w:style>
  <w:style w:type="paragraph" w:customStyle="1" w:styleId="324">
    <w:name w:val="自定义正文"/>
    <w:basedOn w:val="1"/>
    <w:link w:val="323"/>
    <w:autoRedefine/>
    <w:qFormat/>
    <w:uiPriority w:val="99"/>
    <w:pPr>
      <w:spacing w:before="120" w:after="120" w:line="480" w:lineRule="exact"/>
      <w:ind w:firstLine="200" w:firstLineChars="200"/>
      <w:jc w:val="left"/>
    </w:pPr>
    <w:rPr>
      <w:rFonts w:ascii="仿宋_GB2312" w:hAnsi="Times New Roman" w:eastAsia="仿宋_GB2312"/>
      <w:sz w:val="24"/>
      <w:szCs w:val="20"/>
    </w:rPr>
  </w:style>
  <w:style w:type="character" w:customStyle="1" w:styleId="325">
    <w:name w:val="unnamed1"/>
    <w:basedOn w:val="69"/>
    <w:autoRedefine/>
    <w:qFormat/>
    <w:uiPriority w:val="99"/>
    <w:rPr>
      <w:rFonts w:cs="Times New Roman"/>
    </w:rPr>
  </w:style>
  <w:style w:type="character" w:customStyle="1" w:styleId="326">
    <w:name w:val="Char Char2"/>
    <w:autoRedefine/>
    <w:qFormat/>
    <w:uiPriority w:val="99"/>
    <w:rPr>
      <w:rFonts w:ascii="宋体" w:hAnsi="Courier New" w:eastAsia="宋体"/>
      <w:sz w:val="21"/>
      <w:lang w:val="en-US" w:eastAsia="zh-CN"/>
    </w:rPr>
  </w:style>
  <w:style w:type="character" w:customStyle="1" w:styleId="327">
    <w:name w:val="大汉方案正文 Char Char Char"/>
    <w:link w:val="328"/>
    <w:autoRedefine/>
    <w:qFormat/>
    <w:locked/>
    <w:uiPriority w:val="99"/>
    <w:rPr>
      <w:rFonts w:ascii="Arial" w:hAnsi="Arial" w:eastAsia="宋体"/>
      <w:sz w:val="24"/>
    </w:rPr>
  </w:style>
  <w:style w:type="paragraph" w:customStyle="1" w:styleId="328">
    <w:name w:val="大汉方案正文 Char"/>
    <w:basedOn w:val="1"/>
    <w:link w:val="327"/>
    <w:autoRedefine/>
    <w:qFormat/>
    <w:uiPriority w:val="99"/>
    <w:pPr>
      <w:spacing w:line="360" w:lineRule="auto"/>
      <w:ind w:firstLine="200" w:firstLineChars="200"/>
    </w:pPr>
    <w:rPr>
      <w:rFonts w:ascii="Arial" w:hAnsi="Arial"/>
      <w:kern w:val="0"/>
      <w:sz w:val="24"/>
      <w:szCs w:val="20"/>
    </w:rPr>
  </w:style>
  <w:style w:type="character" w:customStyle="1" w:styleId="329">
    <w:name w:val="样式 首行缩进:  0.85 厘米 Char"/>
    <w:link w:val="330"/>
    <w:autoRedefine/>
    <w:qFormat/>
    <w:locked/>
    <w:uiPriority w:val="99"/>
    <w:rPr>
      <w:rFonts w:eastAsia="宋体"/>
      <w:kern w:val="2"/>
      <w:sz w:val="24"/>
      <w:lang w:val="en-US" w:eastAsia="zh-CN"/>
    </w:rPr>
  </w:style>
  <w:style w:type="paragraph" w:customStyle="1" w:styleId="330">
    <w:name w:val="样式 首行缩进:  0.85 厘米"/>
    <w:basedOn w:val="1"/>
    <w:link w:val="329"/>
    <w:autoRedefine/>
    <w:qFormat/>
    <w:uiPriority w:val="99"/>
    <w:pPr>
      <w:spacing w:line="360" w:lineRule="auto"/>
      <w:ind w:firstLine="480"/>
    </w:pPr>
    <w:rPr>
      <w:rFonts w:ascii="Times New Roman" w:hAnsi="Times New Roman"/>
      <w:sz w:val="24"/>
      <w:szCs w:val="20"/>
    </w:rPr>
  </w:style>
  <w:style w:type="character" w:customStyle="1" w:styleId="331">
    <w:name w:val="black10"/>
    <w:basedOn w:val="69"/>
    <w:autoRedefine/>
    <w:qFormat/>
    <w:uiPriority w:val="99"/>
    <w:rPr>
      <w:rFonts w:cs="Times New Roman"/>
    </w:rPr>
  </w:style>
  <w:style w:type="character" w:customStyle="1" w:styleId="332">
    <w:name w:val="明显参考1"/>
    <w:autoRedefine/>
    <w:qFormat/>
    <w:uiPriority w:val="99"/>
    <w:rPr>
      <w:b/>
      <w:sz w:val="24"/>
      <w:u w:val="single"/>
    </w:rPr>
  </w:style>
  <w:style w:type="character" w:customStyle="1" w:styleId="333">
    <w:name w:val="表正文 Char1"/>
    <w:autoRedefine/>
    <w:qFormat/>
    <w:uiPriority w:val="99"/>
    <w:rPr>
      <w:rFonts w:eastAsia="宋体"/>
      <w:kern w:val="2"/>
      <w:sz w:val="24"/>
      <w:lang w:val="en-US" w:eastAsia="zh-CN"/>
    </w:rPr>
  </w:style>
  <w:style w:type="character" w:customStyle="1" w:styleId="334">
    <w:name w:val="fontdz1"/>
    <w:autoRedefine/>
    <w:qFormat/>
    <w:uiPriority w:val="99"/>
    <w:rPr>
      <w:sz w:val="18"/>
    </w:rPr>
  </w:style>
  <w:style w:type="character" w:customStyle="1" w:styleId="335">
    <w:name w:val="tw4winExternal"/>
    <w:autoRedefine/>
    <w:qFormat/>
    <w:uiPriority w:val="99"/>
    <w:rPr>
      <w:rFonts w:ascii="Courier New" w:hAnsi="Courier New"/>
      <w:color w:val="808080"/>
    </w:rPr>
  </w:style>
  <w:style w:type="character" w:customStyle="1" w:styleId="336">
    <w:name w:val="z-窗体底端 Char"/>
    <w:link w:val="337"/>
    <w:autoRedefine/>
    <w:qFormat/>
    <w:locked/>
    <w:uiPriority w:val="99"/>
    <w:rPr>
      <w:rFonts w:ascii="Arial" w:hAnsi="Arial"/>
      <w:vanish/>
      <w:sz w:val="16"/>
    </w:rPr>
  </w:style>
  <w:style w:type="paragraph" w:customStyle="1" w:styleId="337">
    <w:name w:val="z-窗体底端1"/>
    <w:basedOn w:val="1"/>
    <w:next w:val="1"/>
    <w:link w:val="336"/>
    <w:autoRedefine/>
    <w:qFormat/>
    <w:uiPriority w:val="99"/>
    <w:pPr>
      <w:widowControl/>
      <w:pBdr>
        <w:top w:val="single" w:color="auto" w:sz="6" w:space="1"/>
      </w:pBdr>
      <w:jc w:val="center"/>
    </w:pPr>
    <w:rPr>
      <w:rFonts w:ascii="Arial" w:hAnsi="Arial"/>
      <w:vanish/>
      <w:kern w:val="0"/>
      <w:sz w:val="16"/>
      <w:szCs w:val="20"/>
    </w:rPr>
  </w:style>
  <w:style w:type="character" w:customStyle="1" w:styleId="338">
    <w:name w:val="表格文字 Char"/>
    <w:link w:val="339"/>
    <w:autoRedefine/>
    <w:qFormat/>
    <w:locked/>
    <w:uiPriority w:val="99"/>
    <w:rPr>
      <w:rFonts w:ascii="Times New Roman" w:hAnsi="Times New Roman"/>
      <w:kern w:val="2"/>
      <w:sz w:val="24"/>
    </w:rPr>
  </w:style>
  <w:style w:type="paragraph" w:customStyle="1" w:styleId="339">
    <w:name w:val="表格文字"/>
    <w:basedOn w:val="1"/>
    <w:link w:val="338"/>
    <w:autoRedefine/>
    <w:qFormat/>
    <w:uiPriority w:val="99"/>
    <w:pPr>
      <w:jc w:val="left"/>
      <w:textAlignment w:val="top"/>
    </w:pPr>
    <w:rPr>
      <w:rFonts w:ascii="Times New Roman" w:hAnsi="Times New Roman"/>
      <w:sz w:val="24"/>
      <w:szCs w:val="20"/>
    </w:rPr>
  </w:style>
  <w:style w:type="character" w:customStyle="1" w:styleId="340">
    <w:name w:val="吉奥表格正文 Char"/>
    <w:link w:val="341"/>
    <w:autoRedefine/>
    <w:qFormat/>
    <w:locked/>
    <w:uiPriority w:val="99"/>
    <w:rPr>
      <w:rFonts w:ascii="Times New Roman" w:hAnsi="Times New Roman" w:eastAsia="仿宋_GB2312"/>
      <w:sz w:val="21"/>
    </w:rPr>
  </w:style>
  <w:style w:type="paragraph" w:customStyle="1" w:styleId="341">
    <w:name w:val="吉奥表格正文"/>
    <w:basedOn w:val="1"/>
    <w:link w:val="340"/>
    <w:autoRedefine/>
    <w:qFormat/>
    <w:uiPriority w:val="99"/>
    <w:pPr>
      <w:spacing w:beforeLines="10" w:afterLines="10" w:line="360" w:lineRule="atLeast"/>
      <w:textAlignment w:val="center"/>
    </w:pPr>
    <w:rPr>
      <w:rFonts w:ascii="Times New Roman" w:hAnsi="Times New Roman" w:eastAsia="仿宋_GB2312"/>
      <w:kern w:val="0"/>
      <w:szCs w:val="20"/>
    </w:rPr>
  </w:style>
  <w:style w:type="character" w:customStyle="1" w:styleId="342">
    <w:name w:val="Char Char81"/>
    <w:autoRedefine/>
    <w:qFormat/>
    <w:uiPriority w:val="99"/>
    <w:rPr>
      <w:rFonts w:ascii="Arial" w:hAnsi="Arial" w:eastAsia="黑体"/>
      <w:b/>
      <w:kern w:val="2"/>
      <w:sz w:val="32"/>
      <w:lang w:val="en-US" w:eastAsia="zh-CN"/>
    </w:rPr>
  </w:style>
  <w:style w:type="character" w:customStyle="1" w:styleId="343">
    <w:name w:val="Char Char3"/>
    <w:autoRedefine/>
    <w:qFormat/>
    <w:uiPriority w:val="99"/>
    <w:rPr>
      <w:rFonts w:ascii="Arial" w:hAnsi="Arial" w:eastAsia="黑体"/>
      <w:b/>
      <w:kern w:val="2"/>
      <w:sz w:val="32"/>
      <w:lang w:val="en-US" w:eastAsia="zh-CN"/>
    </w:rPr>
  </w:style>
  <w:style w:type="character" w:customStyle="1" w:styleId="344">
    <w:name w:val="H2 Char3"/>
    <w:autoRedefine/>
    <w:qFormat/>
    <w:uiPriority w:val="99"/>
    <w:rPr>
      <w:rFonts w:ascii="Arial" w:hAnsi="Arial" w:eastAsia="黑体"/>
      <w:b/>
      <w:kern w:val="2"/>
      <w:sz w:val="32"/>
      <w:lang w:val="en-US" w:eastAsia="zh-CN"/>
    </w:rPr>
  </w:style>
  <w:style w:type="character" w:customStyle="1" w:styleId="345">
    <w:name w:val="para"/>
    <w:basedOn w:val="69"/>
    <w:autoRedefine/>
    <w:qFormat/>
    <w:uiPriority w:val="99"/>
    <w:rPr>
      <w:rFonts w:cs="Times New Roman"/>
    </w:rPr>
  </w:style>
  <w:style w:type="character" w:customStyle="1" w:styleId="346">
    <w:name w:val="Char Char9"/>
    <w:autoRedefine/>
    <w:qFormat/>
    <w:uiPriority w:val="99"/>
    <w:rPr>
      <w:rFonts w:eastAsia="宋体"/>
      <w:b/>
      <w:kern w:val="44"/>
      <w:sz w:val="44"/>
    </w:rPr>
  </w:style>
  <w:style w:type="character" w:customStyle="1" w:styleId="347">
    <w:name w:val="表格抬头 Char"/>
    <w:link w:val="348"/>
    <w:autoRedefine/>
    <w:qFormat/>
    <w:locked/>
    <w:uiPriority w:val="99"/>
    <w:rPr>
      <w:rFonts w:ascii="黑体" w:eastAsia="黑体"/>
      <w:b/>
      <w:kern w:val="2"/>
      <w:sz w:val="21"/>
    </w:rPr>
  </w:style>
  <w:style w:type="paragraph" w:customStyle="1" w:styleId="348">
    <w:name w:val="表格抬头"/>
    <w:basedOn w:val="1"/>
    <w:link w:val="347"/>
    <w:autoRedefine/>
    <w:qFormat/>
    <w:uiPriority w:val="99"/>
    <w:pPr>
      <w:jc w:val="center"/>
    </w:pPr>
    <w:rPr>
      <w:rFonts w:ascii="黑体" w:hAnsi="Times New Roman" w:eastAsia="黑体"/>
      <w:b/>
      <w:szCs w:val="20"/>
    </w:rPr>
  </w:style>
  <w:style w:type="character" w:customStyle="1" w:styleId="349">
    <w:name w:val="font3"/>
    <w:basedOn w:val="69"/>
    <w:autoRedefine/>
    <w:qFormat/>
    <w:uiPriority w:val="99"/>
    <w:rPr>
      <w:rFonts w:cs="Times New Roman"/>
    </w:rPr>
  </w:style>
  <w:style w:type="character" w:customStyle="1" w:styleId="350">
    <w:name w:val="unnamed11"/>
    <w:autoRedefine/>
    <w:qFormat/>
    <w:uiPriority w:val="99"/>
    <w:rPr>
      <w:color w:val="000000"/>
      <w:sz w:val="20"/>
    </w:rPr>
  </w:style>
  <w:style w:type="character" w:customStyle="1" w:styleId="351">
    <w:name w:val="grame"/>
    <w:basedOn w:val="69"/>
    <w:autoRedefine/>
    <w:qFormat/>
    <w:uiPriority w:val="99"/>
    <w:rPr>
      <w:rFonts w:cs="Times New Roman"/>
    </w:rPr>
  </w:style>
  <w:style w:type="character" w:customStyle="1" w:styleId="352">
    <w:name w:val="tw4winError"/>
    <w:autoRedefine/>
    <w:qFormat/>
    <w:uiPriority w:val="99"/>
    <w:rPr>
      <w:rFonts w:ascii="Courier New" w:hAnsi="Courier New"/>
      <w:color w:val="00FF00"/>
      <w:sz w:val="40"/>
    </w:rPr>
  </w:style>
  <w:style w:type="character" w:customStyle="1" w:styleId="353">
    <w:name w:val="样式4 Char Char"/>
    <w:autoRedefine/>
    <w:qFormat/>
    <w:uiPriority w:val="99"/>
    <w:rPr>
      <w:rFonts w:ascii="Calibri" w:hAnsi="Calibri" w:eastAsia="宋体"/>
      <w:kern w:val="2"/>
      <w:sz w:val="22"/>
      <w:lang w:val="en-US" w:eastAsia="zh-CN"/>
    </w:rPr>
  </w:style>
  <w:style w:type="character" w:customStyle="1" w:styleId="354">
    <w:name w:val="题注 字符"/>
    <w:link w:val="18"/>
    <w:autoRedefine/>
    <w:qFormat/>
    <w:locked/>
    <w:uiPriority w:val="99"/>
    <w:rPr>
      <w:rFonts w:ascii="Arial" w:hAnsi="Arial" w:eastAsia="黑体"/>
      <w:kern w:val="2"/>
    </w:rPr>
  </w:style>
  <w:style w:type="character" w:customStyle="1" w:styleId="355">
    <w:name w:val="Char Char5"/>
    <w:autoRedefine/>
    <w:qFormat/>
    <w:uiPriority w:val="99"/>
    <w:rPr>
      <w:rFonts w:ascii="Calibri" w:hAnsi="Calibri" w:eastAsia="宋体"/>
      <w:sz w:val="18"/>
    </w:rPr>
  </w:style>
  <w:style w:type="character" w:customStyle="1" w:styleId="356">
    <w:name w:val="表格正文 Char Char"/>
    <w:link w:val="357"/>
    <w:autoRedefine/>
    <w:qFormat/>
    <w:locked/>
    <w:uiPriority w:val="99"/>
    <w:rPr>
      <w:rFonts w:ascii="Times New Roman" w:hAnsi="Times New Roman" w:eastAsia="仿宋_GB2312"/>
      <w:sz w:val="21"/>
    </w:rPr>
  </w:style>
  <w:style w:type="paragraph" w:customStyle="1" w:styleId="357">
    <w:name w:val="表格正文"/>
    <w:basedOn w:val="1"/>
    <w:link w:val="356"/>
    <w:autoRedefine/>
    <w:qFormat/>
    <w:uiPriority w:val="99"/>
    <w:pPr>
      <w:spacing w:beforeLines="10" w:afterLines="10" w:line="360" w:lineRule="atLeast"/>
      <w:textAlignment w:val="center"/>
    </w:pPr>
    <w:rPr>
      <w:rFonts w:ascii="Times New Roman" w:hAnsi="Times New Roman" w:eastAsia="仿宋_GB2312"/>
      <w:kern w:val="0"/>
      <w:szCs w:val="20"/>
    </w:rPr>
  </w:style>
  <w:style w:type="character" w:customStyle="1" w:styleId="358">
    <w:name w:val="+SymcPara Char"/>
    <w:link w:val="359"/>
    <w:autoRedefine/>
    <w:qFormat/>
    <w:locked/>
    <w:uiPriority w:val="99"/>
    <w:rPr>
      <w:rFonts w:ascii="宋体" w:eastAsia="宋体"/>
      <w:lang w:val="en-US" w:eastAsia="en-US"/>
    </w:rPr>
  </w:style>
  <w:style w:type="paragraph" w:customStyle="1" w:styleId="359">
    <w:name w:val="+SymcPara"/>
    <w:link w:val="358"/>
    <w:autoRedefine/>
    <w:qFormat/>
    <w:uiPriority w:val="99"/>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360">
    <w:name w:val="二级标题 Char Char"/>
    <w:autoRedefine/>
    <w:qFormat/>
    <w:uiPriority w:val="99"/>
    <w:rPr>
      <w:rFonts w:eastAsia="仿宋"/>
      <w:b/>
      <w:sz w:val="28"/>
      <w:lang w:val="en-US" w:eastAsia="zh-CN"/>
    </w:rPr>
  </w:style>
  <w:style w:type="character" w:customStyle="1" w:styleId="361">
    <w:name w:val="我的正文 Char"/>
    <w:link w:val="362"/>
    <w:autoRedefine/>
    <w:qFormat/>
    <w:locked/>
    <w:uiPriority w:val="99"/>
    <w:rPr>
      <w:rFonts w:eastAsia="仿宋_GB2312"/>
      <w:kern w:val="2"/>
      <w:sz w:val="24"/>
    </w:rPr>
  </w:style>
  <w:style w:type="paragraph" w:customStyle="1" w:styleId="362">
    <w:name w:val="我的正文"/>
    <w:basedOn w:val="1"/>
    <w:link w:val="361"/>
    <w:autoRedefine/>
    <w:qFormat/>
    <w:uiPriority w:val="99"/>
    <w:pPr>
      <w:spacing w:afterLines="100" w:line="360" w:lineRule="auto"/>
      <w:ind w:firstLine="480" w:firstLineChars="200"/>
    </w:pPr>
    <w:rPr>
      <w:rFonts w:ascii="Times New Roman" w:hAnsi="Times New Roman" w:eastAsia="仿宋_GB2312"/>
      <w:sz w:val="24"/>
      <w:szCs w:val="20"/>
    </w:rPr>
  </w:style>
  <w:style w:type="character" w:customStyle="1" w:styleId="363">
    <w:name w:val="公文正文 Char Char"/>
    <w:autoRedefine/>
    <w:qFormat/>
    <w:uiPriority w:val="99"/>
    <w:rPr>
      <w:rFonts w:ascii="仿宋_GB2312" w:eastAsia="仿宋_GB2312"/>
      <w:kern w:val="2"/>
      <w:sz w:val="24"/>
      <w:lang w:val="en-US" w:eastAsia="zh-CN"/>
    </w:rPr>
  </w:style>
  <w:style w:type="character" w:customStyle="1" w:styleId="364">
    <w:name w:val="Normal Indent Char Char"/>
    <w:autoRedefine/>
    <w:qFormat/>
    <w:uiPriority w:val="99"/>
    <w:rPr>
      <w:rFonts w:eastAsia="宋体"/>
      <w:kern w:val="2"/>
      <w:sz w:val="24"/>
      <w:lang w:val="en-US" w:eastAsia="zh-CN"/>
    </w:rPr>
  </w:style>
  <w:style w:type="character" w:customStyle="1" w:styleId="365">
    <w:name w:val="正文标准样式ty Char2"/>
    <w:link w:val="366"/>
    <w:autoRedefine/>
    <w:qFormat/>
    <w:locked/>
    <w:uiPriority w:val="99"/>
    <w:rPr>
      <w:rFonts w:eastAsia="宋体"/>
      <w:kern w:val="2"/>
      <w:sz w:val="24"/>
      <w:lang w:val="en-US" w:eastAsia="zh-CN"/>
    </w:rPr>
  </w:style>
  <w:style w:type="paragraph" w:customStyle="1" w:styleId="366">
    <w:name w:val="正文标准样式ty"/>
    <w:basedOn w:val="1"/>
    <w:link w:val="365"/>
    <w:autoRedefine/>
    <w:qFormat/>
    <w:uiPriority w:val="99"/>
    <w:pPr>
      <w:spacing w:line="360" w:lineRule="auto"/>
      <w:ind w:firstLine="480" w:firstLineChars="200"/>
    </w:pPr>
    <w:rPr>
      <w:rFonts w:ascii="Times New Roman" w:hAnsi="Times New Roman"/>
      <w:sz w:val="24"/>
      <w:szCs w:val="20"/>
    </w:rPr>
  </w:style>
  <w:style w:type="character" w:customStyle="1" w:styleId="367">
    <w:name w:val="apple-converted-space"/>
    <w:autoRedefine/>
    <w:qFormat/>
    <w:uiPriority w:val="99"/>
  </w:style>
  <w:style w:type="character" w:customStyle="1" w:styleId="368">
    <w:name w:val="标题 4 Char1"/>
    <w:autoRedefine/>
    <w:qFormat/>
    <w:uiPriority w:val="99"/>
    <w:rPr>
      <w:rFonts w:ascii="Cambria" w:hAnsi="Cambria" w:eastAsia="宋体"/>
      <w:b/>
      <w:kern w:val="2"/>
      <w:sz w:val="28"/>
    </w:rPr>
  </w:style>
  <w:style w:type="character" w:customStyle="1" w:styleId="369">
    <w:name w:val="title_emph1"/>
    <w:autoRedefine/>
    <w:qFormat/>
    <w:uiPriority w:val="99"/>
    <w:rPr>
      <w:rFonts w:ascii="Arial" w:hAnsi="Arial"/>
      <w:b/>
      <w:sz w:val="18"/>
    </w:rPr>
  </w:style>
  <w:style w:type="character" w:customStyle="1" w:styleId="370">
    <w:name w:val="列表1、 Char"/>
    <w:link w:val="371"/>
    <w:autoRedefine/>
    <w:qFormat/>
    <w:locked/>
    <w:uiPriority w:val="99"/>
    <w:rPr>
      <w:rFonts w:ascii="仿宋" w:hAnsi="仿宋" w:eastAsia="仿宋"/>
      <w:kern w:val="0"/>
      <w:sz w:val="28"/>
      <w:szCs w:val="21"/>
    </w:rPr>
  </w:style>
  <w:style w:type="paragraph" w:customStyle="1" w:styleId="371">
    <w:name w:val="列表1、"/>
    <w:basedOn w:val="236"/>
    <w:link w:val="370"/>
    <w:autoRedefine/>
    <w:qFormat/>
    <w:uiPriority w:val="99"/>
    <w:pPr>
      <w:numPr>
        <w:ilvl w:val="0"/>
        <w:numId w:val="12"/>
      </w:numPr>
      <w:tabs>
        <w:tab w:val="left" w:pos="1276"/>
      </w:tabs>
      <w:spacing w:line="360" w:lineRule="auto"/>
      <w:ind w:left="987" w:firstLine="0" w:firstLineChars="0"/>
      <w:jc w:val="left"/>
    </w:pPr>
    <w:rPr>
      <w:rFonts w:ascii="仿宋" w:hAnsi="仿宋" w:eastAsia="仿宋"/>
      <w:kern w:val="0"/>
      <w:sz w:val="28"/>
      <w:szCs w:val="21"/>
    </w:rPr>
  </w:style>
  <w:style w:type="character" w:customStyle="1" w:styleId="372">
    <w:name w:val="粘贴正文 Char"/>
    <w:link w:val="373"/>
    <w:autoRedefine/>
    <w:qFormat/>
    <w:locked/>
    <w:uiPriority w:val="99"/>
    <w:rPr>
      <w:kern w:val="2"/>
      <w:sz w:val="21"/>
      <w:lang w:val="en-US" w:eastAsia="zh-CN"/>
    </w:rPr>
  </w:style>
  <w:style w:type="paragraph" w:customStyle="1" w:styleId="373">
    <w:name w:val="粘贴正文"/>
    <w:link w:val="372"/>
    <w:autoRedefine/>
    <w:qFormat/>
    <w:uiPriority w:val="99"/>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374">
    <w:name w:val="仙居正文 Char"/>
    <w:link w:val="375"/>
    <w:autoRedefine/>
    <w:qFormat/>
    <w:locked/>
    <w:uiPriority w:val="99"/>
    <w:rPr>
      <w:rFonts w:ascii="宋体" w:eastAsia="宋体"/>
      <w:sz w:val="24"/>
    </w:rPr>
  </w:style>
  <w:style w:type="paragraph" w:customStyle="1" w:styleId="375">
    <w:name w:val="仙居正文"/>
    <w:basedOn w:val="1"/>
    <w:link w:val="374"/>
    <w:autoRedefine/>
    <w:qFormat/>
    <w:uiPriority w:val="99"/>
    <w:pPr>
      <w:spacing w:line="360" w:lineRule="auto"/>
      <w:ind w:firstLine="480" w:firstLineChars="200"/>
    </w:pPr>
    <w:rPr>
      <w:rFonts w:ascii="宋体" w:hAnsi="Times New Roman"/>
      <w:kern w:val="0"/>
      <w:sz w:val="24"/>
      <w:szCs w:val="20"/>
    </w:rPr>
  </w:style>
  <w:style w:type="character" w:customStyle="1" w:styleId="376">
    <w:name w:val="mark"/>
    <w:autoRedefine/>
    <w:qFormat/>
    <w:uiPriority w:val="99"/>
  </w:style>
  <w:style w:type="character" w:customStyle="1" w:styleId="377">
    <w:name w:val="ca-7"/>
    <w:basedOn w:val="69"/>
    <w:autoRedefine/>
    <w:qFormat/>
    <w:uiPriority w:val="99"/>
    <w:rPr>
      <w:rFonts w:cs="Times New Roman"/>
    </w:rPr>
  </w:style>
  <w:style w:type="character" w:customStyle="1" w:styleId="378">
    <w:name w:val="tw4winTerm"/>
    <w:autoRedefine/>
    <w:qFormat/>
    <w:uiPriority w:val="99"/>
    <w:rPr>
      <w:color w:val="0000FF"/>
    </w:rPr>
  </w:style>
  <w:style w:type="character" w:customStyle="1" w:styleId="379">
    <w:name w:val="公司一级标题"/>
    <w:autoRedefine/>
    <w:qFormat/>
    <w:uiPriority w:val="99"/>
    <w:rPr>
      <w:rFonts w:ascii="黑体" w:hAnsi="黑体" w:eastAsia="黑体"/>
      <w:color w:val="333300"/>
      <w:sz w:val="30"/>
    </w:rPr>
  </w:style>
  <w:style w:type="character" w:customStyle="1" w:styleId="380">
    <w:name w:val="正 文 1 Char Char"/>
    <w:autoRedefine/>
    <w:qFormat/>
    <w:uiPriority w:val="99"/>
    <w:rPr>
      <w:rFonts w:ascii="宋体" w:hAnsi="Courier New" w:eastAsia="宋体"/>
      <w:kern w:val="2"/>
      <w:sz w:val="21"/>
      <w:lang w:val="en-US" w:eastAsia="zh-CN"/>
    </w:rPr>
  </w:style>
  <w:style w:type="character" w:customStyle="1" w:styleId="381">
    <w:name w:val="a Char"/>
    <w:link w:val="382"/>
    <w:autoRedefine/>
    <w:qFormat/>
    <w:locked/>
    <w:uiPriority w:val="99"/>
    <w:rPr>
      <w:rFonts w:ascii="宋体" w:hAnsi="宋体" w:eastAsia="仿宋_GB2312"/>
      <w:sz w:val="24"/>
      <w:lang w:val="en-US" w:eastAsia="zh-CN"/>
    </w:rPr>
  </w:style>
  <w:style w:type="paragraph" w:customStyle="1" w:styleId="382">
    <w:name w:val="a"/>
    <w:basedOn w:val="1"/>
    <w:link w:val="381"/>
    <w:autoRedefine/>
    <w:qFormat/>
    <w:uiPriority w:val="99"/>
    <w:pPr>
      <w:widowControl/>
      <w:spacing w:before="100" w:beforeAutospacing="1" w:after="100" w:afterAutospacing="1"/>
      <w:jc w:val="left"/>
    </w:pPr>
    <w:rPr>
      <w:rFonts w:ascii="宋体" w:hAnsi="宋体" w:eastAsia="仿宋_GB2312"/>
      <w:kern w:val="0"/>
      <w:sz w:val="24"/>
      <w:szCs w:val="20"/>
    </w:rPr>
  </w:style>
  <w:style w:type="character" w:customStyle="1" w:styleId="383">
    <w:name w:val="title_sub_blue1"/>
    <w:autoRedefine/>
    <w:qFormat/>
    <w:uiPriority w:val="99"/>
    <w:rPr>
      <w:rFonts w:ascii="Arial" w:hAnsi="Arial"/>
      <w:b/>
      <w:color w:val="16344F"/>
      <w:spacing w:val="15"/>
      <w:sz w:val="18"/>
      <w:u w:val="none"/>
    </w:rPr>
  </w:style>
  <w:style w:type="character" w:customStyle="1" w:styleId="384">
    <w:name w:val="ZJGIS图表 Char"/>
    <w:link w:val="385"/>
    <w:autoRedefine/>
    <w:qFormat/>
    <w:locked/>
    <w:uiPriority w:val="99"/>
    <w:rPr>
      <w:rFonts w:ascii="Times New Roman" w:hAnsi="Times New Roman" w:eastAsia="黑体"/>
      <w:color w:val="000000"/>
      <w:sz w:val="24"/>
    </w:rPr>
  </w:style>
  <w:style w:type="paragraph" w:customStyle="1" w:styleId="385">
    <w:name w:val="ZJGIS图表"/>
    <w:basedOn w:val="1"/>
    <w:link w:val="384"/>
    <w:autoRedefine/>
    <w:qFormat/>
    <w:uiPriority w:val="99"/>
    <w:pPr>
      <w:jc w:val="center"/>
    </w:pPr>
    <w:rPr>
      <w:rFonts w:ascii="Times New Roman" w:hAnsi="Times New Roman" w:eastAsia="黑体"/>
      <w:color w:val="000000"/>
      <w:kern w:val="0"/>
      <w:sz w:val="24"/>
      <w:szCs w:val="20"/>
    </w:rPr>
  </w:style>
  <w:style w:type="character" w:customStyle="1" w:styleId="386">
    <w:name w:val="正文（缩进） Char"/>
    <w:link w:val="387"/>
    <w:autoRedefine/>
    <w:qFormat/>
    <w:locked/>
    <w:uiPriority w:val="99"/>
    <w:rPr>
      <w:kern w:val="2"/>
      <w:sz w:val="24"/>
    </w:rPr>
  </w:style>
  <w:style w:type="paragraph" w:customStyle="1" w:styleId="387">
    <w:name w:val="正文（缩进）"/>
    <w:basedOn w:val="1"/>
    <w:link w:val="386"/>
    <w:autoRedefine/>
    <w:qFormat/>
    <w:uiPriority w:val="99"/>
    <w:pPr>
      <w:spacing w:beforeLines="50" w:afterLines="50" w:line="360" w:lineRule="auto"/>
      <w:ind w:firstLine="480" w:firstLineChars="200"/>
    </w:pPr>
    <w:rPr>
      <w:rFonts w:ascii="Times New Roman" w:hAnsi="Times New Roman"/>
      <w:sz w:val="24"/>
      <w:szCs w:val="20"/>
    </w:rPr>
  </w:style>
  <w:style w:type="character" w:customStyle="1" w:styleId="388">
    <w:name w:val="标题4-dyf Char Char"/>
    <w:autoRedefine/>
    <w:qFormat/>
    <w:uiPriority w:val="99"/>
    <w:rPr>
      <w:rFonts w:ascii="Cambria" w:hAnsi="Cambria" w:eastAsia="宋体"/>
      <w:b/>
      <w:color w:val="000000"/>
      <w:kern w:val="2"/>
      <w:sz w:val="21"/>
      <w:lang w:val="en-US" w:eastAsia="zh-CN"/>
    </w:rPr>
  </w:style>
  <w:style w:type="character" w:customStyle="1" w:styleId="389">
    <w:name w:val="正文2 Char Char"/>
    <w:link w:val="390"/>
    <w:autoRedefine/>
    <w:qFormat/>
    <w:locked/>
    <w:uiPriority w:val="99"/>
    <w:rPr>
      <w:rFonts w:ascii="Times New Roman" w:hAnsi="Times New Roman"/>
      <w:kern w:val="2"/>
      <w:sz w:val="24"/>
    </w:rPr>
  </w:style>
  <w:style w:type="paragraph" w:customStyle="1" w:styleId="390">
    <w:name w:val="正文2"/>
    <w:basedOn w:val="1"/>
    <w:link w:val="389"/>
    <w:autoRedefine/>
    <w:qFormat/>
    <w:uiPriority w:val="99"/>
    <w:pPr>
      <w:spacing w:before="156" w:line="360" w:lineRule="auto"/>
      <w:ind w:firstLine="510" w:firstLineChars="200"/>
    </w:pPr>
    <w:rPr>
      <w:rFonts w:ascii="Times New Roman" w:hAnsi="Times New Roman"/>
      <w:sz w:val="24"/>
      <w:szCs w:val="20"/>
    </w:rPr>
  </w:style>
  <w:style w:type="character" w:customStyle="1" w:styleId="391">
    <w:name w:val="大汉方案正文 Char1"/>
    <w:link w:val="392"/>
    <w:autoRedefine/>
    <w:qFormat/>
    <w:locked/>
    <w:uiPriority w:val="99"/>
    <w:rPr>
      <w:rFonts w:ascii="Arial" w:hAnsi="Arial" w:eastAsia="宋体"/>
      <w:sz w:val="24"/>
    </w:rPr>
  </w:style>
  <w:style w:type="paragraph" w:customStyle="1" w:styleId="392">
    <w:name w:val="大汉方案正文"/>
    <w:basedOn w:val="1"/>
    <w:link w:val="391"/>
    <w:autoRedefine/>
    <w:qFormat/>
    <w:uiPriority w:val="99"/>
    <w:pPr>
      <w:spacing w:line="360" w:lineRule="auto"/>
      <w:ind w:firstLine="200" w:firstLineChars="200"/>
    </w:pPr>
    <w:rPr>
      <w:rFonts w:ascii="Arial" w:hAnsi="Arial"/>
      <w:kern w:val="0"/>
      <w:sz w:val="24"/>
      <w:szCs w:val="20"/>
    </w:rPr>
  </w:style>
  <w:style w:type="character" w:customStyle="1" w:styleId="393">
    <w:name w:val="投标正文 Char"/>
    <w:link w:val="394"/>
    <w:autoRedefine/>
    <w:qFormat/>
    <w:locked/>
    <w:uiPriority w:val="99"/>
    <w:rPr>
      <w:rFonts w:ascii="宋体" w:hAnsi="宋体" w:eastAsia="宋体"/>
      <w:kern w:val="2"/>
      <w:sz w:val="24"/>
      <w:lang w:val="en-US" w:eastAsia="zh-CN"/>
    </w:rPr>
  </w:style>
  <w:style w:type="paragraph" w:customStyle="1" w:styleId="394">
    <w:name w:val="投标正文"/>
    <w:basedOn w:val="1"/>
    <w:link w:val="393"/>
    <w:autoRedefine/>
    <w:qFormat/>
    <w:uiPriority w:val="99"/>
    <w:pPr>
      <w:adjustRightInd w:val="0"/>
      <w:snapToGrid w:val="0"/>
      <w:spacing w:line="360" w:lineRule="auto"/>
      <w:ind w:firstLine="480" w:firstLineChars="200"/>
    </w:pPr>
    <w:rPr>
      <w:rFonts w:ascii="宋体" w:hAnsi="宋体"/>
      <w:sz w:val="24"/>
      <w:szCs w:val="20"/>
    </w:rPr>
  </w:style>
  <w:style w:type="character" w:customStyle="1" w:styleId="395">
    <w:name w:val="BodyText 2 Char Char"/>
    <w:link w:val="396"/>
    <w:autoRedefine/>
    <w:qFormat/>
    <w:locked/>
    <w:uiPriority w:val="99"/>
    <w:rPr>
      <w:snapToGrid w:val="0"/>
      <w:sz w:val="24"/>
    </w:rPr>
  </w:style>
  <w:style w:type="paragraph" w:customStyle="1" w:styleId="396">
    <w:name w:val="BodyText 2"/>
    <w:basedOn w:val="1"/>
    <w:link w:val="395"/>
    <w:autoRedefine/>
    <w:qFormat/>
    <w:uiPriority w:val="99"/>
    <w:pPr>
      <w:widowControl/>
      <w:spacing w:before="120"/>
      <w:ind w:left="994"/>
    </w:pPr>
    <w:rPr>
      <w:rFonts w:ascii="Times New Roman" w:hAnsi="Times New Roman"/>
      <w:kern w:val="0"/>
      <w:sz w:val="24"/>
      <w:szCs w:val="20"/>
    </w:rPr>
  </w:style>
  <w:style w:type="character" w:customStyle="1" w:styleId="397">
    <w:name w:val="a Char Char"/>
    <w:autoRedefine/>
    <w:qFormat/>
    <w:uiPriority w:val="99"/>
    <w:rPr>
      <w:rFonts w:ascii="宋体" w:hAnsi="宋体" w:eastAsia="仿宋_GB2312"/>
      <w:sz w:val="24"/>
      <w:lang w:val="en-US" w:eastAsia="zh-CN"/>
    </w:rPr>
  </w:style>
  <w:style w:type="character" w:customStyle="1" w:styleId="398">
    <w:name w:val="吉奥正文 Char2"/>
    <w:link w:val="399"/>
    <w:autoRedefine/>
    <w:qFormat/>
    <w:locked/>
    <w:uiPriority w:val="99"/>
    <w:rPr>
      <w:rFonts w:ascii="Times New Roman" w:hAnsi="Times New Roman" w:eastAsia="仿宋_GB2312"/>
      <w:sz w:val="24"/>
    </w:rPr>
  </w:style>
  <w:style w:type="paragraph" w:customStyle="1" w:styleId="399">
    <w:name w:val="吉奥正文"/>
    <w:basedOn w:val="1"/>
    <w:link w:val="398"/>
    <w:autoRedefine/>
    <w:qFormat/>
    <w:uiPriority w:val="99"/>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400">
    <w:name w:val="Normal Indent Char1 Char1 Char2 Char Char Char Char Char Char Char Char Char Char Char Char Char Char"/>
    <w:autoRedefine/>
    <w:qFormat/>
    <w:uiPriority w:val="99"/>
    <w:rPr>
      <w:rFonts w:eastAsia="仿宋_GB2312"/>
      <w:kern w:val="2"/>
      <w:sz w:val="24"/>
      <w:lang w:val="en-US" w:eastAsia="zh-CN"/>
    </w:rPr>
  </w:style>
  <w:style w:type="character" w:customStyle="1" w:styleId="401">
    <w:name w:val="大标题 Char"/>
    <w:link w:val="402"/>
    <w:autoRedefine/>
    <w:qFormat/>
    <w:locked/>
    <w:uiPriority w:val="99"/>
    <w:rPr>
      <w:rFonts w:ascii="Calibri" w:hAnsi="Calibri"/>
      <w:b/>
      <w:sz w:val="28"/>
      <w:lang w:val="en-US" w:eastAsia="zh-CN"/>
    </w:rPr>
  </w:style>
  <w:style w:type="paragraph" w:customStyle="1" w:styleId="402">
    <w:name w:val="大标题"/>
    <w:next w:val="1"/>
    <w:link w:val="401"/>
    <w:autoRedefine/>
    <w:qFormat/>
    <w:uiPriority w:val="99"/>
    <w:pPr>
      <w:spacing w:before="120" w:after="120" w:line="360" w:lineRule="auto"/>
    </w:pPr>
    <w:rPr>
      <w:rFonts w:ascii="Calibri" w:hAnsi="Calibri" w:eastAsia="宋体" w:cs="Times New Roman"/>
      <w:b/>
      <w:sz w:val="28"/>
      <w:lang w:val="en-US" w:eastAsia="zh-CN" w:bidi="ar-SA"/>
    </w:rPr>
  </w:style>
  <w:style w:type="character" w:customStyle="1" w:styleId="403">
    <w:name w:val="表格中文字 Char"/>
    <w:link w:val="404"/>
    <w:autoRedefine/>
    <w:qFormat/>
    <w:locked/>
    <w:uiPriority w:val="99"/>
    <w:rPr>
      <w:rFonts w:ascii="新宋体" w:hAnsi="新宋体" w:eastAsia="新宋体"/>
      <w:sz w:val="24"/>
    </w:rPr>
  </w:style>
  <w:style w:type="paragraph" w:customStyle="1" w:styleId="404">
    <w:name w:val="表格中文字"/>
    <w:basedOn w:val="1"/>
    <w:link w:val="403"/>
    <w:autoRedefine/>
    <w:qFormat/>
    <w:uiPriority w:val="99"/>
    <w:pPr>
      <w:spacing w:line="288" w:lineRule="auto"/>
    </w:pPr>
    <w:rPr>
      <w:rFonts w:ascii="新宋体" w:hAnsi="新宋体" w:eastAsia="新宋体"/>
      <w:kern w:val="0"/>
      <w:sz w:val="24"/>
      <w:szCs w:val="20"/>
    </w:rPr>
  </w:style>
  <w:style w:type="character" w:customStyle="1" w:styleId="405">
    <w:name w:val="样式 小四1"/>
    <w:autoRedefine/>
    <w:qFormat/>
    <w:uiPriority w:val="99"/>
    <w:rPr>
      <w:rFonts w:ascii="Tahoma" w:hAnsi="Tahoma" w:eastAsia="仿宋_GB2312"/>
      <w:kern w:val="2"/>
      <w:sz w:val="24"/>
      <w:lang w:val="en-US" w:eastAsia="zh-CN"/>
    </w:rPr>
  </w:style>
  <w:style w:type="character" w:customStyle="1" w:styleId="406">
    <w:name w:val="Char Char51"/>
    <w:autoRedefine/>
    <w:qFormat/>
    <w:uiPriority w:val="99"/>
    <w:rPr>
      <w:rFonts w:ascii="Calibri" w:hAnsi="Calibri" w:eastAsia="宋体"/>
      <w:sz w:val="18"/>
    </w:rPr>
  </w:style>
  <w:style w:type="character" w:customStyle="1" w:styleId="407">
    <w:name w:val="title14"/>
    <w:basedOn w:val="69"/>
    <w:autoRedefine/>
    <w:qFormat/>
    <w:uiPriority w:val="99"/>
    <w:rPr>
      <w:rFonts w:cs="Times New Roman"/>
    </w:rPr>
  </w:style>
  <w:style w:type="character" w:customStyle="1" w:styleId="408">
    <w:name w:val="viewdoctitle"/>
    <w:basedOn w:val="69"/>
    <w:autoRedefine/>
    <w:qFormat/>
    <w:uiPriority w:val="99"/>
    <w:rPr>
      <w:rFonts w:cs="Times New Roman"/>
    </w:rPr>
  </w:style>
  <w:style w:type="paragraph" w:customStyle="1" w:styleId="409">
    <w:name w:val="xl28"/>
    <w:basedOn w:val="1"/>
    <w:autoRedefine/>
    <w:qFormat/>
    <w:uiPriority w:val="99"/>
    <w:pPr>
      <w:widowControl/>
      <w:spacing w:before="100" w:beforeAutospacing="1" w:after="100" w:afterAutospacing="1"/>
      <w:jc w:val="center"/>
    </w:pPr>
    <w:rPr>
      <w:rFonts w:ascii="Arial Unicode MS" w:hAnsi="Arial Unicode MS"/>
      <w:kern w:val="0"/>
      <w:sz w:val="24"/>
      <w:szCs w:val="24"/>
    </w:rPr>
  </w:style>
  <w:style w:type="paragraph" w:customStyle="1" w:styleId="410">
    <w:name w:val="xl79"/>
    <w:basedOn w:val="1"/>
    <w:autoRedefine/>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11">
    <w:name w:val="金保标题2"/>
    <w:basedOn w:val="3"/>
    <w:next w:val="1"/>
    <w:autoRedefine/>
    <w:qFormat/>
    <w:uiPriority w:val="99"/>
    <w:pPr>
      <w:tabs>
        <w:tab w:val="left" w:pos="709"/>
      </w:tabs>
      <w:spacing w:line="360" w:lineRule="auto"/>
    </w:pPr>
    <w:rPr>
      <w:rFonts w:ascii="Times New Roman" w:hAnsi="Times New Roman"/>
      <w:kern w:val="0"/>
      <w:sz w:val="28"/>
      <w:szCs w:val="28"/>
    </w:rPr>
  </w:style>
  <w:style w:type="paragraph" w:customStyle="1" w:styleId="412">
    <w:name w:val="样式 标题 1 + 五号1 Char Char Char Char Char Char Char Char Char Char Char Char Char Char Char Char Char"/>
    <w:basedOn w:val="2"/>
    <w:autoRedefine/>
    <w:qFormat/>
    <w:uiPriority w:val="99"/>
    <w:pPr>
      <w:keepNext/>
      <w:keepLines/>
      <w:autoSpaceDE/>
      <w:autoSpaceDN/>
      <w:adjustRightInd/>
      <w:spacing w:line="480" w:lineRule="auto"/>
      <w:jc w:val="both"/>
    </w:pPr>
    <w:rPr>
      <w:rFonts w:eastAsia="宋体"/>
      <w:kern w:val="44"/>
      <w:sz w:val="21"/>
      <w:szCs w:val="44"/>
    </w:rPr>
  </w:style>
  <w:style w:type="paragraph" w:customStyle="1" w:styleId="413">
    <w:name w:val="标准标题3"/>
    <w:basedOn w:val="4"/>
    <w:autoRedefine/>
    <w:qFormat/>
    <w:uiPriority w:val="99"/>
    <w:pPr>
      <w:tabs>
        <w:tab w:val="left" w:pos="1050"/>
      </w:tabs>
      <w:spacing w:line="240" w:lineRule="auto"/>
      <w:ind w:left="-258" w:leftChars="-258"/>
    </w:pPr>
    <w:rPr>
      <w:rFonts w:eastAsia="仿宋_GB2312"/>
      <w:sz w:val="28"/>
    </w:rPr>
  </w:style>
  <w:style w:type="paragraph" w:customStyle="1" w:styleId="414">
    <w:name w:val="xl8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15">
    <w:name w:val="样式 标题 1 + 左侧:  0 厘米 首行缩进:  0 厘米"/>
    <w:basedOn w:val="2"/>
    <w:autoRedefine/>
    <w:qFormat/>
    <w:uiPriority w:val="99"/>
    <w:pPr>
      <w:keepNext/>
      <w:keepLines/>
      <w:autoSpaceDE/>
      <w:autoSpaceDN/>
      <w:adjustRightInd/>
      <w:spacing w:after="120"/>
      <w:jc w:val="both"/>
    </w:pPr>
    <w:rPr>
      <w:rFonts w:ascii="黑体" w:eastAsia="黑体" w:cs="宋体"/>
      <w:kern w:val="44"/>
    </w:rPr>
  </w:style>
  <w:style w:type="paragraph" w:customStyle="1" w:styleId="416">
    <w:name w:val="Char Char Char Char1"/>
    <w:basedOn w:val="1"/>
    <w:autoRedefine/>
    <w:qFormat/>
    <w:uiPriority w:val="99"/>
    <w:pPr>
      <w:widowControl/>
      <w:spacing w:after="160" w:line="240" w:lineRule="exact"/>
      <w:jc w:val="left"/>
    </w:pPr>
    <w:rPr>
      <w:rFonts w:ascii="Arial" w:hAnsi="Arial" w:cs="Verdana"/>
      <w:b/>
      <w:kern w:val="0"/>
      <w:sz w:val="24"/>
      <w:szCs w:val="20"/>
      <w:lang w:eastAsia="en-US"/>
    </w:rPr>
  </w:style>
  <w:style w:type="paragraph" w:customStyle="1" w:styleId="417">
    <w:name w:val="样式 标题 4Chapter X.X.X.X. + 段后: 0.5 行1"/>
    <w:basedOn w:val="418"/>
    <w:autoRedefine/>
    <w:qFormat/>
    <w:uiPriority w:val="99"/>
    <w:pPr>
      <w:numPr>
        <w:ilvl w:val="0"/>
        <w:numId w:val="0"/>
      </w:numPr>
      <w:tabs>
        <w:tab w:val="left" w:pos="864"/>
        <w:tab w:val="left" w:pos="2040"/>
      </w:tabs>
      <w:spacing w:after="120"/>
      <w:ind w:left="864" w:hanging="864"/>
    </w:pPr>
  </w:style>
  <w:style w:type="paragraph" w:customStyle="1" w:styleId="418">
    <w:name w:val="样式 标题 4 + 段后: 0.5 行"/>
    <w:basedOn w:val="5"/>
    <w:autoRedefine/>
    <w:qFormat/>
    <w:uiPriority w:val="99"/>
    <w:pPr>
      <w:keepLines w:val="0"/>
      <w:numPr>
        <w:ilvl w:val="3"/>
        <w:numId w:val="13"/>
      </w:numPr>
      <w:spacing w:before="120" w:afterLines="50" w:line="240" w:lineRule="auto"/>
      <w:jc w:val="left"/>
    </w:pPr>
    <w:rPr>
      <w:rFonts w:ascii="宋体" w:hAnsi="Times New Roman" w:eastAsia="宋体" w:cs="宋体"/>
      <w:kern w:val="0"/>
      <w:sz w:val="21"/>
      <w:szCs w:val="20"/>
    </w:rPr>
  </w:style>
  <w:style w:type="paragraph" w:customStyle="1" w:styleId="419">
    <w:name w:val="xl63"/>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20">
    <w:name w:val="日期2"/>
    <w:basedOn w:val="1"/>
    <w:next w:val="1"/>
    <w:autoRedefine/>
    <w:qFormat/>
    <w:uiPriority w:val="99"/>
    <w:pPr>
      <w:adjustRightInd w:val="0"/>
      <w:spacing w:line="312" w:lineRule="atLeast"/>
      <w:textAlignment w:val="baseline"/>
    </w:pPr>
    <w:rPr>
      <w:rFonts w:ascii="Times New Roman" w:hAnsi="Times New Roman"/>
      <w:kern w:val="0"/>
      <w:sz w:val="24"/>
      <w:szCs w:val="20"/>
    </w:rPr>
  </w:style>
  <w:style w:type="paragraph" w:customStyle="1" w:styleId="421">
    <w:name w:val="Table - Text"/>
    <w:basedOn w:val="1"/>
    <w:autoRedefine/>
    <w:qFormat/>
    <w:uiPriority w:val="99"/>
    <w:pPr>
      <w:widowControl/>
      <w:spacing w:before="60" w:afterLines="50"/>
      <w:jc w:val="left"/>
    </w:pPr>
    <w:rPr>
      <w:rFonts w:ascii="Times New Roman" w:hAnsi="Times New Roman"/>
      <w:kern w:val="0"/>
      <w:szCs w:val="20"/>
      <w:lang w:eastAsia="en-US"/>
    </w:rPr>
  </w:style>
  <w:style w:type="paragraph" w:customStyle="1" w:styleId="422">
    <w:name w:val="GP有序编号1级"/>
    <w:basedOn w:val="1"/>
    <w:autoRedefine/>
    <w:qFormat/>
    <w:uiPriority w:val="99"/>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423">
    <w:name w:val="GP公文标题1"/>
    <w:basedOn w:val="1"/>
    <w:next w:val="1"/>
    <w:autoRedefine/>
    <w:qFormat/>
    <w:uiPriority w:val="99"/>
    <w:pPr>
      <w:numPr>
        <w:ilvl w:val="4"/>
        <w:numId w:val="14"/>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424">
    <w:name w:val="样式 标题 3"/>
    <w:basedOn w:val="4"/>
    <w:next w:val="425"/>
    <w:autoRedefine/>
    <w:qFormat/>
    <w:uiPriority w:val="99"/>
    <w:pPr>
      <w:keepLines w:val="0"/>
      <w:spacing w:before="120" w:afterLines="50" w:line="240" w:lineRule="auto"/>
      <w:jc w:val="left"/>
    </w:pPr>
    <w:rPr>
      <w:rFonts w:ascii="宋体" w:cs="宋体"/>
      <w:kern w:val="0"/>
      <w:sz w:val="24"/>
      <w:szCs w:val="20"/>
    </w:rPr>
  </w:style>
  <w:style w:type="paragraph" w:customStyle="1" w:styleId="425">
    <w:name w:val="最新标题4"/>
    <w:basedOn w:val="426"/>
    <w:next w:val="1"/>
    <w:autoRedefine/>
    <w:qFormat/>
    <w:uiPriority w:val="99"/>
    <w:pPr>
      <w:tabs>
        <w:tab w:val="left" w:pos="864"/>
        <w:tab w:val="left" w:pos="2040"/>
        <w:tab w:val="left" w:pos="2100"/>
      </w:tabs>
      <w:spacing w:after="120"/>
      <w:ind w:left="0" w:firstLine="0"/>
    </w:pPr>
  </w:style>
  <w:style w:type="paragraph" w:customStyle="1" w:styleId="426">
    <w:name w:val="样式 标题 4"/>
    <w:basedOn w:val="417"/>
    <w:next w:val="427"/>
    <w:autoRedefine/>
    <w:qFormat/>
    <w:uiPriority w:val="99"/>
    <w:pPr>
      <w:tabs>
        <w:tab w:val="left" w:pos="2100"/>
      </w:tabs>
      <w:spacing w:after="50"/>
      <w:ind w:left="2100" w:hanging="420"/>
    </w:pPr>
  </w:style>
  <w:style w:type="paragraph" w:customStyle="1" w:styleId="427">
    <w:name w:val="样式 正文"/>
    <w:basedOn w:val="1"/>
    <w:next w:val="1"/>
    <w:autoRedefine/>
    <w:qFormat/>
    <w:uiPriority w:val="99"/>
    <w:pPr>
      <w:numPr>
        <w:ilvl w:val="2"/>
        <w:numId w:val="5"/>
      </w:numPr>
      <w:spacing w:afterLines="50"/>
      <w:jc w:val="left"/>
    </w:pPr>
    <w:rPr>
      <w:rFonts w:ascii="宋体" w:hAnsi="Times New Roman" w:cs="宋体"/>
      <w:kern w:val="0"/>
      <w:szCs w:val="20"/>
    </w:rPr>
  </w:style>
  <w:style w:type="paragraph" w:customStyle="1" w:styleId="428">
    <w:name w:val="Char Char Char Char3"/>
    <w:basedOn w:val="1"/>
    <w:autoRedefine/>
    <w:qFormat/>
    <w:uiPriority w:val="99"/>
    <w:pPr>
      <w:widowControl/>
      <w:spacing w:after="160" w:line="240" w:lineRule="exact"/>
      <w:jc w:val="left"/>
    </w:pPr>
    <w:rPr>
      <w:rFonts w:ascii="Arial" w:hAnsi="Arial" w:cs="Verdana"/>
      <w:b/>
      <w:kern w:val="0"/>
      <w:sz w:val="24"/>
      <w:szCs w:val="20"/>
      <w:lang w:eastAsia="en-US"/>
    </w:rPr>
  </w:style>
  <w:style w:type="paragraph" w:customStyle="1" w:styleId="429">
    <w:name w:val="SZF图"/>
    <w:basedOn w:val="1"/>
    <w:autoRedefine/>
    <w:qFormat/>
    <w:uiPriority w:val="99"/>
    <w:pPr>
      <w:spacing w:beforeLines="50" w:afterLines="50" w:line="360" w:lineRule="auto"/>
      <w:jc w:val="center"/>
    </w:pPr>
    <w:rPr>
      <w:rFonts w:ascii="Times New Roman" w:hAnsi="Times New Roman"/>
      <w:b/>
      <w:szCs w:val="24"/>
    </w:rPr>
  </w:style>
  <w:style w:type="paragraph" w:customStyle="1" w:styleId="430">
    <w:name w:val="文本"/>
    <w:autoRedefine/>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31">
    <w:name w:val="_Style 11811"/>
    <w:basedOn w:val="1"/>
    <w:autoRedefine/>
    <w:qFormat/>
    <w:uiPriority w:val="99"/>
  </w:style>
  <w:style w:type="paragraph" w:customStyle="1" w:styleId="432">
    <w:name w:val="xl67"/>
    <w:basedOn w:val="1"/>
    <w:autoRedefine/>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433">
    <w:name w:val="样式 正文段落 + 首行缩进:  0 字符"/>
    <w:basedOn w:val="165"/>
    <w:autoRedefine/>
    <w:qFormat/>
    <w:uiPriority w:val="99"/>
    <w:pPr>
      <w:spacing w:line="360" w:lineRule="auto"/>
      <w:ind w:firstLine="0"/>
    </w:pPr>
    <w:rPr>
      <w:rFonts w:ascii="宋体" w:hAnsi="宋体" w:cs="宋体"/>
      <w:kern w:val="0"/>
    </w:rPr>
  </w:style>
  <w:style w:type="paragraph" w:customStyle="1" w:styleId="434">
    <w:name w:val="font6"/>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35">
    <w:name w:val="linyang-正文"/>
    <w:basedOn w:val="1"/>
    <w:autoRedefine/>
    <w:qFormat/>
    <w:uiPriority w:val="99"/>
    <w:pPr>
      <w:spacing w:before="120" w:after="120" w:line="400" w:lineRule="exact"/>
      <w:ind w:firstLine="200" w:firstLineChars="200"/>
    </w:pPr>
    <w:rPr>
      <w:rFonts w:ascii="Times New Roman" w:hAnsi="Times New Roman"/>
      <w:sz w:val="24"/>
      <w:szCs w:val="24"/>
    </w:rPr>
  </w:style>
  <w:style w:type="paragraph" w:customStyle="1" w:styleId="436">
    <w:name w:val="Main Title"/>
    <w:basedOn w:val="1"/>
    <w:autoRedefine/>
    <w:qFormat/>
    <w:uiPriority w:val="99"/>
    <w:pPr>
      <w:spacing w:before="480" w:afterLines="50"/>
      <w:jc w:val="center"/>
    </w:pPr>
    <w:rPr>
      <w:rFonts w:ascii="宋体" w:hAnsi="Times New Roman"/>
      <w:b/>
      <w:kern w:val="28"/>
      <w:sz w:val="32"/>
      <w:szCs w:val="20"/>
    </w:rPr>
  </w:style>
  <w:style w:type="paragraph" w:customStyle="1" w:styleId="437">
    <w:name w:val="msoaccenttext2"/>
    <w:autoRedefine/>
    <w:qFormat/>
    <w:uiPriority w:val="99"/>
    <w:rPr>
      <w:rFonts w:ascii="Century Schoolbook" w:hAnsi="Century Schoolbook" w:eastAsia="宋体" w:cs="宋体"/>
      <w:color w:val="000000"/>
      <w:kern w:val="28"/>
      <w:sz w:val="15"/>
      <w:szCs w:val="15"/>
      <w:lang w:val="en-US" w:eastAsia="zh-CN" w:bidi="ar-SA"/>
    </w:rPr>
  </w:style>
  <w:style w:type="paragraph" w:customStyle="1" w:styleId="438">
    <w:name w:val="段落文字"/>
    <w:basedOn w:val="63"/>
    <w:autoRedefine/>
    <w:qFormat/>
    <w:uiPriority w:val="99"/>
    <w:pPr>
      <w:spacing w:after="60"/>
      <w:ind w:left="420" w:firstLine="200" w:firstLineChars="200"/>
    </w:pPr>
    <w:rPr>
      <w:rFonts w:ascii="Times New Roman" w:hAnsi="Times New Roman"/>
      <w:szCs w:val="24"/>
    </w:rPr>
  </w:style>
  <w:style w:type="paragraph" w:customStyle="1" w:styleId="439">
    <w:name w:val="FA正文+标号"/>
    <w:basedOn w:val="1"/>
    <w:autoRedefine/>
    <w:qFormat/>
    <w:uiPriority w:val="99"/>
    <w:pPr>
      <w:numPr>
        <w:ilvl w:val="0"/>
        <w:numId w:val="15"/>
      </w:numPr>
      <w:tabs>
        <w:tab w:val="left" w:pos="3375"/>
        <w:tab w:val="clear" w:pos="840"/>
      </w:tabs>
      <w:spacing w:line="400" w:lineRule="exact"/>
      <w:ind w:left="0" w:firstLine="0"/>
    </w:pPr>
    <w:rPr>
      <w:rFonts w:ascii="仿宋_GB2312" w:hAnsi="宋体" w:eastAsia="仿宋_GB2312"/>
      <w:sz w:val="24"/>
      <w:szCs w:val="24"/>
    </w:rPr>
  </w:style>
  <w:style w:type="paragraph" w:customStyle="1" w:styleId="440">
    <w:name w:val="表内文字"/>
    <w:basedOn w:val="1"/>
    <w:autoRedefine/>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441">
    <w:name w:val="样式 正文（首行缩进两字） + 首行缩进:  2 字符 段后: 0.5 行 行距: 1.5 倍行距"/>
    <w:basedOn w:val="17"/>
    <w:autoRedefine/>
    <w:qFormat/>
    <w:uiPriority w:val="99"/>
    <w:pPr>
      <w:spacing w:line="360" w:lineRule="auto"/>
    </w:pPr>
    <w:rPr>
      <w:sz w:val="24"/>
      <w:szCs w:val="24"/>
    </w:rPr>
  </w:style>
  <w:style w:type="paragraph" w:customStyle="1" w:styleId="442">
    <w:name w:val="Char1 Char Char Char1"/>
    <w:basedOn w:val="1"/>
    <w:autoRedefine/>
    <w:qFormat/>
    <w:uiPriority w:val="99"/>
    <w:rPr>
      <w:rFonts w:ascii="Tahoma" w:hAnsi="Tahoma"/>
      <w:sz w:val="24"/>
      <w:szCs w:val="20"/>
    </w:rPr>
  </w:style>
  <w:style w:type="paragraph" w:customStyle="1" w:styleId="443">
    <w:name w:val="样式7"/>
    <w:basedOn w:val="1"/>
    <w:autoRedefine/>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444">
    <w:name w:val="_Style 118"/>
    <w:basedOn w:val="1"/>
    <w:autoRedefine/>
    <w:qFormat/>
    <w:uiPriority w:val="99"/>
  </w:style>
  <w:style w:type="paragraph" w:customStyle="1" w:styleId="445">
    <w:name w:val="样式 正文文本缩进 + 仿宋_GB2312 小四 首行缩进:  0 厘米 行距: 1.5 倍行距"/>
    <w:basedOn w:val="26"/>
    <w:autoRedefine/>
    <w:qFormat/>
    <w:uiPriority w:val="99"/>
    <w:pPr>
      <w:spacing w:line="360" w:lineRule="auto"/>
      <w:ind w:firstLine="0"/>
    </w:pPr>
    <w:rPr>
      <w:rFonts w:ascii="仿宋_GB2312" w:hAnsi="Times New Roman" w:eastAsia="新宋体"/>
      <w:spacing w:val="0"/>
      <w:sz w:val="24"/>
    </w:rPr>
  </w:style>
  <w:style w:type="paragraph" w:customStyle="1" w:styleId="446">
    <w:name w:val="表格中序号"/>
    <w:basedOn w:val="1"/>
    <w:autoRedefine/>
    <w:qFormat/>
    <w:uiPriority w:val="99"/>
    <w:pPr>
      <w:spacing w:line="288" w:lineRule="auto"/>
      <w:jc w:val="center"/>
    </w:pPr>
    <w:rPr>
      <w:rFonts w:ascii="新宋体" w:hAnsi="Times New Roman" w:eastAsia="新宋体"/>
      <w:sz w:val="24"/>
      <w:szCs w:val="24"/>
    </w:rPr>
  </w:style>
  <w:style w:type="paragraph" w:customStyle="1" w:styleId="447">
    <w:name w:val="标题6"/>
    <w:basedOn w:val="1"/>
    <w:next w:val="2"/>
    <w:autoRedefine/>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448">
    <w:name w:val="表格_内容"/>
    <w:basedOn w:val="1"/>
    <w:autoRedefine/>
    <w:qFormat/>
    <w:uiPriority w:val="99"/>
    <w:rPr>
      <w:rFonts w:ascii="宋体" w:hAnsi="宋体"/>
      <w:szCs w:val="21"/>
    </w:rPr>
  </w:style>
  <w:style w:type="paragraph" w:customStyle="1" w:styleId="449">
    <w:name w:val="五号正文项目（标准）"/>
    <w:basedOn w:val="1"/>
    <w:autoRedefine/>
    <w:qFormat/>
    <w:uiPriority w:val="99"/>
    <w:pPr>
      <w:tabs>
        <w:tab w:val="left" w:pos="900"/>
      </w:tabs>
      <w:spacing w:line="400" w:lineRule="exact"/>
      <w:ind w:left="900" w:hanging="540"/>
      <w:jc w:val="left"/>
    </w:pPr>
    <w:rPr>
      <w:rFonts w:ascii="宋体" w:hAnsi="宋体"/>
      <w:color w:val="000000"/>
      <w:szCs w:val="20"/>
    </w:rPr>
  </w:style>
  <w:style w:type="paragraph" w:customStyle="1" w:styleId="450">
    <w:name w:val="tab0/2"/>
    <w:basedOn w:val="1"/>
    <w:autoRedefine/>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51">
    <w:name w:val="Char1 Char Char Char2"/>
    <w:basedOn w:val="1"/>
    <w:autoRedefine/>
    <w:qFormat/>
    <w:uiPriority w:val="99"/>
    <w:rPr>
      <w:rFonts w:ascii="Tahoma" w:hAnsi="Tahoma"/>
      <w:sz w:val="24"/>
      <w:szCs w:val="20"/>
    </w:rPr>
  </w:style>
  <w:style w:type="paragraph" w:customStyle="1" w:styleId="452">
    <w:name w:val="正文5"/>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53">
    <w:name w:val="正文文本缩进11"/>
    <w:basedOn w:val="1"/>
    <w:autoRedefine/>
    <w:qFormat/>
    <w:uiPriority w:val="99"/>
    <w:pPr>
      <w:spacing w:after="120"/>
      <w:ind w:left="420" w:leftChars="200"/>
    </w:pPr>
    <w:rPr>
      <w:rFonts w:cs="黑体"/>
    </w:rPr>
  </w:style>
  <w:style w:type="paragraph" w:customStyle="1" w:styleId="454">
    <w:name w:val="font1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455">
    <w:name w:val="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56">
    <w:name w:val="xl86"/>
    <w:basedOn w:val="1"/>
    <w:autoRedefine/>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57">
    <w:name w:val="正文文本 New New"/>
    <w:basedOn w:val="458"/>
    <w:autoRedefine/>
    <w:qFormat/>
    <w:uiPriority w:val="99"/>
    <w:pPr>
      <w:spacing w:after="120"/>
    </w:pPr>
    <w:rPr>
      <w:sz w:val="28"/>
      <w:szCs w:val="24"/>
    </w:rPr>
  </w:style>
  <w:style w:type="paragraph" w:customStyle="1" w:styleId="458">
    <w:name w:val="正文 New New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9">
    <w:name w:val="xl9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0">
    <w:name w:val="Char Char1 Char Char Char Char Char Char Char 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61">
    <w:name w:val="msoaccenttext3"/>
    <w:autoRedefine/>
    <w:qFormat/>
    <w:uiPriority w:val="99"/>
    <w:rPr>
      <w:rFonts w:ascii="Century Schoolbook" w:hAnsi="Century Schoolbook" w:eastAsia="宋体" w:cs="宋体"/>
      <w:color w:val="FFFFFF"/>
      <w:kern w:val="28"/>
      <w:sz w:val="13"/>
      <w:szCs w:val="13"/>
      <w:lang w:val="en-US" w:eastAsia="zh-CN" w:bidi="ar-SA"/>
    </w:rPr>
  </w:style>
  <w:style w:type="paragraph" w:customStyle="1" w:styleId="462">
    <w:name w:val="样式 标题 3Chapter X.X.X. + 段后: 0.5 行1"/>
    <w:basedOn w:val="4"/>
    <w:next w:val="1"/>
    <w:autoRedefine/>
    <w:qFormat/>
    <w:uiPriority w:val="99"/>
    <w:pPr>
      <w:keepLines w:val="0"/>
      <w:spacing w:before="120" w:afterLines="50" w:line="240" w:lineRule="auto"/>
      <w:jc w:val="left"/>
    </w:pPr>
    <w:rPr>
      <w:rFonts w:ascii="宋体" w:cs="宋体"/>
      <w:kern w:val="0"/>
      <w:sz w:val="24"/>
      <w:szCs w:val="20"/>
    </w:rPr>
  </w:style>
  <w:style w:type="paragraph" w:customStyle="1" w:styleId="463">
    <w:name w:val="Char Char10"/>
    <w:basedOn w:val="1"/>
    <w:autoRedefine/>
    <w:qFormat/>
    <w:uiPriority w:val="99"/>
    <w:rPr>
      <w:rFonts w:ascii="Tahoma" w:hAnsi="Tahoma"/>
      <w:sz w:val="24"/>
      <w:szCs w:val="20"/>
    </w:rPr>
  </w:style>
  <w:style w:type="paragraph" w:customStyle="1" w:styleId="464">
    <w:name w:val="Char Char Char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65">
    <w:name w:val="[Normal]"/>
    <w:autoRedefine/>
    <w:qFormat/>
    <w:uiPriority w:val="99"/>
    <w:rPr>
      <w:rFonts w:ascii="宋体" w:hAnsi="宋体" w:eastAsia="宋体" w:cs="Times New Roman"/>
      <w:sz w:val="24"/>
      <w:lang w:val="zh-CN" w:eastAsia="zh-CN" w:bidi="ar-SA"/>
    </w:rPr>
  </w:style>
  <w:style w:type="paragraph" w:customStyle="1" w:styleId="466">
    <w:name w:val="小四 段落 宋体 Char Char"/>
    <w:basedOn w:val="1"/>
    <w:autoRedefine/>
    <w:qFormat/>
    <w:uiPriority w:val="99"/>
    <w:pPr>
      <w:spacing w:line="360" w:lineRule="auto"/>
      <w:ind w:firstLine="480" w:firstLineChars="200"/>
    </w:pPr>
    <w:rPr>
      <w:rFonts w:ascii="宋体" w:hAnsi="宋体"/>
      <w:sz w:val="24"/>
      <w:szCs w:val="24"/>
    </w:rPr>
  </w:style>
  <w:style w:type="paragraph" w:customStyle="1" w:styleId="467">
    <w:name w:val="GP标题1"/>
    <w:basedOn w:val="1"/>
    <w:next w:val="1"/>
    <w:autoRedefine/>
    <w:qFormat/>
    <w:uiPriority w:val="99"/>
    <w:pPr>
      <w:numPr>
        <w:ilvl w:val="0"/>
        <w:numId w:val="14"/>
      </w:numPr>
      <w:spacing w:beforeLines="100" w:afterLines="100" w:line="360" w:lineRule="auto"/>
      <w:jc w:val="center"/>
      <w:outlineLvl w:val="0"/>
    </w:pPr>
    <w:rPr>
      <w:rFonts w:ascii="黑体" w:hAnsi="黑体" w:eastAsia="黑体"/>
      <w:b/>
      <w:sz w:val="36"/>
      <w:szCs w:val="21"/>
    </w:rPr>
  </w:style>
  <w:style w:type="paragraph" w:customStyle="1" w:styleId="468">
    <w:name w:val="Char111"/>
    <w:basedOn w:val="1"/>
    <w:autoRedefine/>
    <w:qFormat/>
    <w:uiPriority w:val="99"/>
    <w:rPr>
      <w:rFonts w:ascii="仿宋_GB2312" w:hAnsi="Times New Roman" w:eastAsia="仿宋_GB2312"/>
      <w:b/>
      <w:sz w:val="32"/>
      <w:szCs w:val="32"/>
    </w:rPr>
  </w:style>
  <w:style w:type="paragraph" w:customStyle="1" w:styleId="469">
    <w:name w:val="样式6"/>
    <w:basedOn w:val="1"/>
    <w:autoRedefine/>
    <w:qFormat/>
    <w:uiPriority w:val="99"/>
    <w:pPr>
      <w:adjustRightInd w:val="0"/>
      <w:spacing w:beforeLines="50" w:afterLines="50"/>
      <w:ind w:firstLine="669"/>
      <w:textAlignment w:val="baseline"/>
    </w:pPr>
    <w:rPr>
      <w:rFonts w:ascii="宋体" w:hAnsi="宋体"/>
      <w:kern w:val="0"/>
      <w:sz w:val="28"/>
      <w:szCs w:val="20"/>
    </w:rPr>
  </w:style>
  <w:style w:type="paragraph" w:customStyle="1" w:styleId="470">
    <w:name w:val="Char11"/>
    <w:basedOn w:val="1"/>
    <w:autoRedefine/>
    <w:qFormat/>
    <w:uiPriority w:val="99"/>
    <w:pPr>
      <w:spacing w:beforeLines="20" w:afterLines="20"/>
    </w:pPr>
    <w:rPr>
      <w:rFonts w:ascii="楷体_GB2312" w:hAnsi="宋体" w:eastAsia="楷体_GB2312" w:cs="Arial"/>
      <w:kern w:val="0"/>
      <w:sz w:val="24"/>
      <w:szCs w:val="24"/>
    </w:rPr>
  </w:style>
  <w:style w:type="paragraph" w:customStyle="1" w:styleId="471">
    <w:name w:val="样式 三号 加粗 段后: 0.5 行"/>
    <w:basedOn w:val="1"/>
    <w:autoRedefine/>
    <w:qFormat/>
    <w:uiPriority w:val="99"/>
    <w:pPr>
      <w:spacing w:afterLines="50"/>
      <w:jc w:val="left"/>
    </w:pPr>
    <w:rPr>
      <w:rFonts w:ascii="宋体" w:hAnsi="Times New Roman" w:cs="宋体"/>
      <w:b/>
      <w:bCs/>
      <w:kern w:val="0"/>
      <w:sz w:val="32"/>
      <w:szCs w:val="20"/>
    </w:rPr>
  </w:style>
  <w:style w:type="paragraph" w:customStyle="1" w:styleId="472">
    <w:name w:val="Char Char1 Char Char Char Char1 Char Char Char"/>
    <w:basedOn w:val="1"/>
    <w:autoRedefine/>
    <w:qFormat/>
    <w:uiPriority w:val="99"/>
    <w:pPr>
      <w:adjustRightInd w:val="0"/>
      <w:spacing w:line="360" w:lineRule="atLeast"/>
      <w:textAlignment w:val="baseline"/>
    </w:pPr>
    <w:rPr>
      <w:rFonts w:ascii="Tahoma" w:hAnsi="Tahoma"/>
      <w:sz w:val="24"/>
      <w:szCs w:val="20"/>
    </w:rPr>
  </w:style>
  <w:style w:type="paragraph" w:customStyle="1" w:styleId="473">
    <w:name w:val="Table Paragraph"/>
    <w:basedOn w:val="1"/>
    <w:autoRedefine/>
    <w:qFormat/>
    <w:uiPriority w:val="99"/>
  </w:style>
  <w:style w:type="paragraph" w:customStyle="1" w:styleId="474">
    <w:name w:val="A正文小四"/>
    <w:basedOn w:val="1"/>
    <w:autoRedefine/>
    <w:qFormat/>
    <w:uiPriority w:val="99"/>
    <w:pPr>
      <w:spacing w:line="360" w:lineRule="auto"/>
      <w:ind w:firstLine="200" w:firstLineChars="200"/>
    </w:pPr>
    <w:rPr>
      <w:rFonts w:ascii="Times New Roman" w:hAnsi="Times New Roman"/>
      <w:sz w:val="24"/>
      <w:szCs w:val="24"/>
    </w:rPr>
  </w:style>
  <w:style w:type="paragraph" w:customStyle="1" w:styleId="475">
    <w:name w:val="Char3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76">
    <w:name w:val="Paragraph4"/>
    <w:basedOn w:val="1"/>
    <w:autoRedefine/>
    <w:qFormat/>
    <w:uiPriority w:val="99"/>
    <w:pPr>
      <w:spacing w:before="80" w:afterLines="50"/>
      <w:ind w:left="2250"/>
    </w:pPr>
    <w:rPr>
      <w:rFonts w:ascii="宋体" w:hAnsi="Times New Roman"/>
      <w:kern w:val="0"/>
      <w:szCs w:val="20"/>
    </w:rPr>
  </w:style>
  <w:style w:type="paragraph" w:customStyle="1" w:styleId="477">
    <w:name w:val="列出段落11"/>
    <w:basedOn w:val="1"/>
    <w:autoRedefine/>
    <w:qFormat/>
    <w:uiPriority w:val="99"/>
    <w:pPr>
      <w:ind w:firstLine="420" w:firstLineChars="200"/>
    </w:pPr>
  </w:style>
  <w:style w:type="paragraph" w:customStyle="1" w:styleId="478">
    <w:name w:val="样式 正文段落 + (西文) 仿宋_GB2312 行距: 1.5 倍行距"/>
    <w:basedOn w:val="165"/>
    <w:autoRedefine/>
    <w:qFormat/>
    <w:uiPriority w:val="99"/>
    <w:pPr>
      <w:spacing w:line="360" w:lineRule="auto"/>
      <w:ind w:firstLine="560" w:firstLineChars="200"/>
    </w:pPr>
    <w:rPr>
      <w:rFonts w:ascii="仿宋" w:hAnsi="宋体" w:eastAsia="仿宋" w:cs="宋体"/>
      <w:kern w:val="0"/>
      <w:sz w:val="28"/>
    </w:rPr>
  </w:style>
  <w:style w:type="paragraph" w:customStyle="1" w:styleId="479">
    <w:name w:val="批注主题11"/>
    <w:basedOn w:val="22"/>
    <w:next w:val="22"/>
    <w:autoRedefine/>
    <w:qFormat/>
    <w:uiPriority w:val="99"/>
    <w:rPr>
      <w:b/>
      <w:bCs/>
      <w:kern w:val="0"/>
      <w:sz w:val="20"/>
      <w:szCs w:val="20"/>
    </w:rPr>
  </w:style>
  <w:style w:type="paragraph" w:customStyle="1" w:styleId="480">
    <w:name w:val="Item List"/>
    <w:autoRedefine/>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481">
    <w:name w:val="样式 标题1"/>
    <w:basedOn w:val="482"/>
    <w:next w:val="483"/>
    <w:autoRedefine/>
    <w:qFormat/>
    <w:uiPriority w:val="99"/>
    <w:pPr>
      <w:tabs>
        <w:tab w:val="left" w:pos="1140"/>
      </w:tabs>
      <w:spacing w:after="50"/>
      <w:ind w:left="1140" w:hanging="720"/>
    </w:pPr>
    <w:rPr>
      <w:bCs w:val="0"/>
      <w:sz w:val="32"/>
    </w:rPr>
  </w:style>
  <w:style w:type="paragraph" w:customStyle="1" w:styleId="482">
    <w:name w:val="样式 标题 1 + 段后: 0.5 行"/>
    <w:basedOn w:val="2"/>
    <w:autoRedefine/>
    <w:qFormat/>
    <w:uiPriority w:val="99"/>
    <w:pPr>
      <w:keepNext/>
      <w:autoSpaceDE/>
      <w:autoSpaceDN/>
      <w:adjustRightInd/>
      <w:spacing w:before="120" w:afterLines="50" w:line="240" w:lineRule="auto"/>
      <w:jc w:val="left"/>
    </w:pPr>
    <w:rPr>
      <w:rFonts w:ascii="宋体" w:eastAsia="宋体" w:cs="宋体"/>
      <w:sz w:val="28"/>
      <w:szCs w:val="20"/>
    </w:rPr>
  </w:style>
  <w:style w:type="paragraph" w:customStyle="1" w:styleId="483">
    <w:name w:val="最新标题2"/>
    <w:basedOn w:val="484"/>
    <w:next w:val="485"/>
    <w:autoRedefine/>
    <w:qFormat/>
    <w:uiPriority w:val="99"/>
    <w:pPr>
      <w:spacing w:after="120"/>
    </w:pPr>
  </w:style>
  <w:style w:type="paragraph" w:customStyle="1" w:styleId="484">
    <w:name w:val="样式 标题 2"/>
    <w:basedOn w:val="3"/>
    <w:next w:val="485"/>
    <w:autoRedefine/>
    <w:qFormat/>
    <w:uiPriority w:val="99"/>
    <w:pPr>
      <w:keepLines w:val="0"/>
      <w:spacing w:before="120" w:afterLines="50" w:line="240" w:lineRule="auto"/>
      <w:ind w:left="380" w:hanging="380"/>
      <w:jc w:val="left"/>
    </w:pPr>
    <w:rPr>
      <w:rFonts w:ascii="宋体" w:hAnsi="Times New Roman" w:eastAsia="宋体" w:cs="宋体"/>
      <w:kern w:val="0"/>
      <w:sz w:val="28"/>
      <w:szCs w:val="20"/>
    </w:rPr>
  </w:style>
  <w:style w:type="paragraph" w:customStyle="1" w:styleId="485">
    <w:name w:val="最新标题3"/>
    <w:basedOn w:val="424"/>
    <w:next w:val="425"/>
    <w:autoRedefine/>
    <w:qFormat/>
    <w:uiPriority w:val="99"/>
    <w:pPr>
      <w:spacing w:after="120"/>
    </w:pPr>
  </w:style>
  <w:style w:type="paragraph" w:customStyle="1" w:styleId="486">
    <w:name w:val="xl12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487">
    <w:name w:val="图表引用"/>
    <w:basedOn w:val="1"/>
    <w:autoRedefine/>
    <w:qFormat/>
    <w:uiPriority w:val="99"/>
    <w:pPr>
      <w:spacing w:line="360" w:lineRule="auto"/>
      <w:jc w:val="center"/>
    </w:pPr>
    <w:rPr>
      <w:rFonts w:ascii="仿宋_GB2312" w:eastAsia="仿宋_GB2312"/>
      <w:b/>
      <w:sz w:val="24"/>
      <w:szCs w:val="28"/>
    </w:rPr>
  </w:style>
  <w:style w:type="paragraph" w:customStyle="1" w:styleId="488">
    <w:name w:val="xl100"/>
    <w:basedOn w:val="1"/>
    <w:autoRedefine/>
    <w:qFormat/>
    <w:uiPriority w:val="99"/>
    <w:pPr>
      <w:widowControl/>
      <w:spacing w:before="100" w:beforeAutospacing="1" w:after="100" w:afterAutospacing="1"/>
    </w:pPr>
    <w:rPr>
      <w:rFonts w:ascii="宋体" w:hAnsi="宋体" w:cs="宋体"/>
      <w:color w:val="000000"/>
      <w:kern w:val="0"/>
      <w:szCs w:val="21"/>
    </w:rPr>
  </w:style>
  <w:style w:type="paragraph" w:customStyle="1" w:styleId="489">
    <w:name w:val="二级标题"/>
    <w:basedOn w:val="3"/>
    <w:autoRedefine/>
    <w:qFormat/>
    <w:uiPriority w:val="99"/>
    <w:pPr>
      <w:tabs>
        <w:tab w:val="left" w:pos="1116"/>
      </w:tabs>
      <w:ind w:left="1116" w:hanging="576"/>
    </w:pPr>
    <w:rPr>
      <w:rFonts w:ascii="黑体" w:hAnsi="Cambria"/>
      <w:kern w:val="0"/>
    </w:rPr>
  </w:style>
  <w:style w:type="paragraph" w:customStyle="1" w:styleId="490">
    <w:name w:val="xl11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491">
    <w:name w:val="xl9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92">
    <w:name w:val="浅色列表 - 强调文字颜色 31"/>
    <w:autoRedefine/>
    <w:qFormat/>
    <w:uiPriority w:val="99"/>
    <w:rPr>
      <w:rFonts w:ascii="Calibri" w:hAnsi="Calibri" w:eastAsia="宋体" w:cs="Times New Roman"/>
      <w:kern w:val="2"/>
      <w:sz w:val="21"/>
      <w:szCs w:val="22"/>
      <w:lang w:val="en-US" w:eastAsia="zh-CN" w:bidi="ar-SA"/>
    </w:rPr>
  </w:style>
  <w:style w:type="paragraph" w:customStyle="1" w:styleId="493">
    <w:name w:val="Paragraph1"/>
    <w:basedOn w:val="1"/>
    <w:autoRedefine/>
    <w:qFormat/>
    <w:uiPriority w:val="99"/>
    <w:pPr>
      <w:spacing w:before="80" w:afterLines="50"/>
    </w:pPr>
    <w:rPr>
      <w:rFonts w:ascii="宋体" w:hAnsi="Times New Roman"/>
      <w:kern w:val="0"/>
      <w:szCs w:val="20"/>
    </w:rPr>
  </w:style>
  <w:style w:type="paragraph" w:customStyle="1" w:styleId="494">
    <w:name w:val="pt9"/>
    <w:basedOn w:val="1"/>
    <w:autoRedefine/>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495">
    <w:name w:val="要点2"/>
    <w:basedOn w:val="1"/>
    <w:autoRedefine/>
    <w:qFormat/>
    <w:uiPriority w:val="99"/>
    <w:pPr>
      <w:spacing w:line="360" w:lineRule="auto"/>
      <w:ind w:left="420" w:hanging="420"/>
    </w:pPr>
    <w:rPr>
      <w:rFonts w:ascii="Times New Roman" w:hAnsi="Times New Roman"/>
      <w:b/>
      <w:szCs w:val="21"/>
      <w:shd w:val="pct10" w:color="auto" w:fill="FFFFFF"/>
    </w:rPr>
  </w:style>
  <w:style w:type="paragraph" w:customStyle="1" w:styleId="496">
    <w:name w:val="样式 标题 5H5ITT t5PA Pico Section5H5-Heading 5h5l5heading5...1"/>
    <w:basedOn w:val="6"/>
    <w:autoRedefine/>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497">
    <w:name w:val="font14"/>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98">
    <w:name w:val="xl10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样式2"/>
    <w:basedOn w:val="3"/>
    <w:autoRedefine/>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00">
    <w:name w:val="Table Text"/>
    <w:basedOn w:val="1"/>
    <w:autoRedefine/>
    <w:qFormat/>
    <w:uiPriority w:val="99"/>
    <w:pPr>
      <w:widowControl/>
      <w:spacing w:before="60" w:after="60"/>
      <w:jc w:val="left"/>
    </w:pPr>
    <w:rPr>
      <w:rFonts w:ascii="Times New Roman" w:hAnsi="Times New Roman"/>
      <w:kern w:val="0"/>
      <w:sz w:val="24"/>
      <w:szCs w:val="24"/>
    </w:rPr>
  </w:style>
  <w:style w:type="paragraph" w:customStyle="1" w:styleId="501">
    <w:name w:val="Proposals body"/>
    <w:basedOn w:val="1"/>
    <w:next w:val="1"/>
    <w:autoRedefine/>
    <w:qFormat/>
    <w:uiPriority w:val="99"/>
    <w:pPr>
      <w:widowControl/>
      <w:spacing w:line="360" w:lineRule="auto"/>
      <w:jc w:val="left"/>
    </w:pPr>
    <w:rPr>
      <w:rFonts w:ascii="宋体" w:hAnsi="Times New Roman"/>
      <w:color w:val="000000"/>
      <w:kern w:val="0"/>
      <w:sz w:val="24"/>
      <w:szCs w:val="20"/>
    </w:rPr>
  </w:style>
  <w:style w:type="paragraph" w:customStyle="1" w:styleId="502">
    <w:name w:val="Bullet 2"/>
    <w:basedOn w:val="25"/>
    <w:autoRedefine/>
    <w:qFormat/>
    <w:uiPriority w:val="99"/>
    <w:pPr>
      <w:numPr>
        <w:ilvl w:val="0"/>
        <w:numId w:val="16"/>
      </w:numPr>
      <w:spacing w:beforeLines="10" w:afterLines="10" w:line="264" w:lineRule="auto"/>
    </w:pPr>
    <w:rPr>
      <w:rFonts w:ascii="Arial" w:hAnsi="Arial"/>
      <w:sz w:val="21"/>
      <w:szCs w:val="21"/>
    </w:rPr>
  </w:style>
  <w:style w:type="paragraph" w:customStyle="1" w:styleId="503">
    <w:name w:val="mod_selection1"/>
    <w:basedOn w:val="1"/>
    <w:autoRedefine/>
    <w:qFormat/>
    <w:uiPriority w:val="99"/>
    <w:pPr>
      <w:widowControl/>
      <w:ind w:left="75"/>
      <w:jc w:val="left"/>
    </w:pPr>
    <w:rPr>
      <w:rFonts w:ascii="Arial" w:hAnsi="Arial" w:cs="Arial"/>
      <w:b/>
      <w:bCs/>
      <w:kern w:val="0"/>
      <w:sz w:val="20"/>
      <w:szCs w:val="20"/>
    </w:rPr>
  </w:style>
  <w:style w:type="paragraph" w:customStyle="1" w:styleId="504">
    <w:name w:val="图样式"/>
    <w:basedOn w:val="1"/>
    <w:autoRedefine/>
    <w:qFormat/>
    <w:uiPriority w:val="99"/>
    <w:pPr>
      <w:keepNext/>
      <w:widowControl/>
      <w:spacing w:before="80" w:after="80"/>
      <w:jc w:val="center"/>
    </w:pPr>
    <w:rPr>
      <w:rFonts w:ascii="Times New Roman" w:hAnsi="Times New Roman"/>
      <w:szCs w:val="20"/>
    </w:rPr>
  </w:style>
  <w:style w:type="paragraph" w:customStyle="1" w:styleId="505">
    <w:name w:val="Char2 Char Char Char"/>
    <w:basedOn w:val="1"/>
    <w:autoRedefine/>
    <w:qFormat/>
    <w:uiPriority w:val="99"/>
    <w:rPr>
      <w:rFonts w:ascii="仿宋_GB2312" w:hAnsi="Times New Roman" w:eastAsia="仿宋_GB2312"/>
      <w:b/>
      <w:sz w:val="32"/>
      <w:szCs w:val="32"/>
    </w:rPr>
  </w:style>
  <w:style w:type="paragraph" w:customStyle="1" w:styleId="506">
    <w:name w:val="Char Char Char Char2"/>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507">
    <w:name w:val="xl9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8">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509">
    <w:name w:val="段落正文"/>
    <w:basedOn w:val="1"/>
    <w:autoRedefine/>
    <w:qFormat/>
    <w:uiPriority w:val="99"/>
    <w:pPr>
      <w:spacing w:line="360" w:lineRule="auto"/>
      <w:ind w:firstLine="560" w:firstLineChars="200"/>
    </w:pPr>
    <w:rPr>
      <w:rFonts w:ascii="Times New Roman" w:hAnsi="Times New Roman"/>
      <w:sz w:val="28"/>
      <w:szCs w:val="28"/>
    </w:rPr>
  </w:style>
  <w:style w:type="paragraph" w:customStyle="1" w:styleId="510">
    <w:name w:val="pbulletcmt"/>
    <w:basedOn w:val="1"/>
    <w:autoRedefine/>
    <w:qFormat/>
    <w:uiPriority w:val="99"/>
    <w:pPr>
      <w:widowControl/>
      <w:spacing w:before="100" w:beforeAutospacing="1" w:after="100" w:afterAutospacing="1"/>
      <w:jc w:val="left"/>
    </w:pPr>
    <w:rPr>
      <w:rFonts w:ascii="Times New Roman" w:hAnsi="Times New Roman"/>
      <w:kern w:val="0"/>
      <w:sz w:val="24"/>
      <w:szCs w:val="24"/>
    </w:rPr>
  </w:style>
  <w:style w:type="paragraph" w:customStyle="1" w:styleId="511">
    <w:name w:val="样式　标题4"/>
    <w:basedOn w:val="512"/>
    <w:next w:val="1"/>
    <w:autoRedefine/>
    <w:qFormat/>
    <w:uiPriority w:val="99"/>
    <w:pPr>
      <w:numPr>
        <w:ilvl w:val="0"/>
        <w:numId w:val="0"/>
      </w:numPr>
      <w:ind w:left="425" w:hanging="425"/>
    </w:pPr>
  </w:style>
  <w:style w:type="paragraph" w:customStyle="1" w:styleId="512">
    <w:name w:val="样式 标题 4Chapter X.X.X. + 段后: 0.5 行1"/>
    <w:basedOn w:val="5"/>
    <w:next w:val="5"/>
    <w:autoRedefine/>
    <w:qFormat/>
    <w:uiPriority w:val="99"/>
    <w:pPr>
      <w:keepLines w:val="0"/>
      <w:numPr>
        <w:ilvl w:val="3"/>
        <w:numId w:val="5"/>
      </w:numPr>
      <w:spacing w:before="120" w:afterLines="50" w:line="240" w:lineRule="auto"/>
      <w:ind w:left="425" w:hanging="425"/>
      <w:jc w:val="left"/>
    </w:pPr>
    <w:rPr>
      <w:rFonts w:ascii="宋体" w:hAnsi="Times New Roman" w:eastAsia="宋体" w:cs="宋体"/>
      <w:kern w:val="0"/>
      <w:sz w:val="21"/>
      <w:szCs w:val="20"/>
    </w:rPr>
  </w:style>
  <w:style w:type="paragraph" w:customStyle="1" w:styleId="513">
    <w:name w:val="四级"/>
    <w:basedOn w:val="5"/>
    <w:autoRedefine/>
    <w:qFormat/>
    <w:uiPriority w:val="99"/>
    <w:pPr>
      <w:tabs>
        <w:tab w:val="left" w:pos="284"/>
      </w:tabs>
      <w:spacing w:before="160" w:after="170" w:line="240" w:lineRule="auto"/>
      <w:ind w:left="828" w:hanging="544"/>
    </w:pPr>
    <w:rPr>
      <w:bCs w:val="0"/>
      <w:sz w:val="30"/>
      <w:szCs w:val="20"/>
    </w:rPr>
  </w:style>
  <w:style w:type="paragraph" w:customStyle="1" w:styleId="514">
    <w:name w:val="日期1"/>
    <w:basedOn w:val="1"/>
    <w:next w:val="1"/>
    <w:autoRedefine/>
    <w:qFormat/>
    <w:uiPriority w:val="99"/>
    <w:pPr>
      <w:adjustRightInd w:val="0"/>
      <w:spacing w:line="312" w:lineRule="atLeast"/>
      <w:textAlignment w:val="baseline"/>
    </w:pPr>
    <w:rPr>
      <w:rFonts w:ascii="Times New Roman" w:hAnsi="Times New Roman"/>
      <w:kern w:val="0"/>
      <w:sz w:val="24"/>
      <w:szCs w:val="20"/>
    </w:rPr>
  </w:style>
  <w:style w:type="paragraph" w:customStyle="1" w:styleId="515">
    <w:name w:val="样式 标题 3Chapter X.X.X. + 段后: 0.5 行"/>
    <w:basedOn w:val="4"/>
    <w:autoRedefine/>
    <w:qFormat/>
    <w:uiPriority w:val="99"/>
    <w:pPr>
      <w:keepLines w:val="0"/>
      <w:spacing w:before="120" w:afterLines="50" w:line="240" w:lineRule="auto"/>
      <w:jc w:val="left"/>
    </w:pPr>
    <w:rPr>
      <w:rFonts w:ascii="宋体" w:cs="宋体"/>
      <w:kern w:val="0"/>
      <w:sz w:val="24"/>
      <w:szCs w:val="20"/>
    </w:rPr>
  </w:style>
  <w:style w:type="paragraph" w:customStyle="1" w:styleId="516">
    <w:name w:val="图表"/>
    <w:basedOn w:val="1"/>
    <w:autoRedefine/>
    <w:qFormat/>
    <w:uiPriority w:val="99"/>
    <w:pPr>
      <w:adjustRightInd w:val="0"/>
      <w:snapToGrid w:val="0"/>
      <w:jc w:val="center"/>
    </w:pPr>
    <w:rPr>
      <w:rFonts w:ascii="宋体" w:hAnsi="宋体"/>
      <w:szCs w:val="21"/>
    </w:rPr>
  </w:style>
  <w:style w:type="paragraph" w:customStyle="1" w:styleId="517">
    <w:name w:val="xl66"/>
    <w:basedOn w:val="1"/>
    <w:autoRedefine/>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18">
    <w:name w:val="Blockquote"/>
    <w:basedOn w:val="1"/>
    <w:link w:val="919"/>
    <w:autoRedefine/>
    <w:qFormat/>
    <w:uiPriority w:val="99"/>
    <w:pPr>
      <w:widowControl/>
      <w:spacing w:before="100" w:afterLines="50"/>
      <w:ind w:left="360" w:right="360"/>
      <w:jc w:val="left"/>
    </w:pPr>
    <w:rPr>
      <w:rFonts w:ascii="宋体" w:hAnsi="Times New Roman"/>
      <w:kern w:val="0"/>
      <w:sz w:val="24"/>
      <w:szCs w:val="20"/>
      <w:lang w:val="en-CA"/>
    </w:rPr>
  </w:style>
  <w:style w:type="paragraph" w:customStyle="1" w:styleId="519">
    <w:name w:val="表格内容"/>
    <w:basedOn w:val="25"/>
    <w:autoRedefine/>
    <w:qFormat/>
    <w:uiPriority w:val="99"/>
    <w:pPr>
      <w:suppressLineNumbers/>
      <w:suppressAutoHyphens/>
    </w:pPr>
    <w:rPr>
      <w:kern w:val="1"/>
      <w:sz w:val="21"/>
      <w:lang w:eastAsia="ar-SA"/>
    </w:rPr>
  </w:style>
  <w:style w:type="paragraph" w:customStyle="1" w:styleId="520">
    <w:name w:val="样式 书籍标题3 + Arial 段前: 1 行 段后: 1 行"/>
    <w:basedOn w:val="1"/>
    <w:autoRedefine/>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21">
    <w:name w:val="样式 标题 3Chapter X.X.X"/>
    <w:basedOn w:val="522"/>
    <w:autoRedefine/>
    <w:qFormat/>
    <w:uiPriority w:val="99"/>
    <w:pPr>
      <w:spacing w:after="120"/>
    </w:pPr>
  </w:style>
  <w:style w:type="paragraph" w:customStyle="1" w:styleId="522">
    <w:name w:val="标题 3Chapter X.X.X. + 段后: 0.5 行 + 段后: 0.5 行 + 段后: 0.5 行1"/>
    <w:basedOn w:val="523"/>
    <w:autoRedefine/>
    <w:qFormat/>
    <w:uiPriority w:val="99"/>
  </w:style>
  <w:style w:type="paragraph" w:customStyle="1" w:styleId="523">
    <w:name w:val="样式 样式 标题 3Chapter X.X.X. + 段后: 0.5 行 + 段后: 0.5 行"/>
    <w:basedOn w:val="515"/>
    <w:autoRedefine/>
    <w:qFormat/>
    <w:uiPriority w:val="99"/>
  </w:style>
  <w:style w:type="paragraph" w:customStyle="1" w:styleId="524">
    <w:name w:val="GP有序编号2级"/>
    <w:basedOn w:val="1"/>
    <w:autoRedefine/>
    <w:qFormat/>
    <w:uiPriority w:val="99"/>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525">
    <w:name w:val="标准小四"/>
    <w:basedOn w:val="1"/>
    <w:autoRedefine/>
    <w:qFormat/>
    <w:uiPriority w:val="99"/>
    <w:pPr>
      <w:spacing w:line="360" w:lineRule="auto"/>
      <w:ind w:firstLine="480" w:firstLineChars="200"/>
    </w:pPr>
    <w:rPr>
      <w:rFonts w:ascii="Arial" w:hAnsi="Arial"/>
      <w:sz w:val="24"/>
      <w:szCs w:val="21"/>
    </w:rPr>
  </w:style>
  <w:style w:type="paragraph" w:customStyle="1" w:styleId="526">
    <w:name w:val="xl11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7">
    <w:name w:val="金保文档标准正文 Char"/>
    <w:basedOn w:val="1"/>
    <w:autoRedefine/>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28">
    <w:name w:val="af17cgridlangnp1033langf"/>
    <w:autoRedefine/>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29">
    <w:name w:val="InfoBlue"/>
    <w:basedOn w:val="1"/>
    <w:next w:val="25"/>
    <w:autoRedefine/>
    <w:qFormat/>
    <w:uiPriority w:val="99"/>
    <w:pPr>
      <w:spacing w:afterLines="50"/>
      <w:ind w:left="720"/>
      <w:jc w:val="left"/>
    </w:pPr>
    <w:rPr>
      <w:rFonts w:ascii="宋体" w:hAnsi="Times New Roman"/>
      <w:i/>
      <w:color w:val="0000FF"/>
      <w:kern w:val="0"/>
      <w:szCs w:val="20"/>
    </w:rPr>
  </w:style>
  <w:style w:type="paragraph" w:customStyle="1" w:styleId="530">
    <w:name w:val="封面公司名称中文"/>
    <w:basedOn w:val="1"/>
    <w:next w:val="1"/>
    <w:autoRedefine/>
    <w:qFormat/>
    <w:uiPriority w:val="99"/>
    <w:pPr>
      <w:jc w:val="center"/>
    </w:pPr>
    <w:rPr>
      <w:rFonts w:ascii="Times New Roman" w:hAnsi="Times New Roman" w:eastAsia="幼圆" w:cs="宋体"/>
      <w:b/>
      <w:sz w:val="28"/>
      <w:szCs w:val="28"/>
    </w:rPr>
  </w:style>
  <w:style w:type="paragraph" w:customStyle="1" w:styleId="531">
    <w:name w:val="正文缩进11"/>
    <w:basedOn w:val="1"/>
    <w:autoRedefine/>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532">
    <w:name w:val="_Style 13"/>
    <w:basedOn w:val="1"/>
    <w:autoRedefine/>
    <w:qFormat/>
    <w:uiPriority w:val="99"/>
    <w:pPr>
      <w:tabs>
        <w:tab w:val="left" w:pos="360"/>
      </w:tabs>
      <w:ind w:firstLine="420" w:firstLineChars="150"/>
    </w:pPr>
    <w:rPr>
      <w:rFonts w:ascii="Times New Roman" w:hAnsi="Times New Roman"/>
      <w:szCs w:val="20"/>
    </w:rPr>
  </w:style>
  <w:style w:type="paragraph" w:customStyle="1" w:styleId="533">
    <w:name w:val="S4-I-U-L15-No-dot"/>
    <w:basedOn w:val="1"/>
    <w:autoRedefine/>
    <w:qFormat/>
    <w:uiPriority w:val="99"/>
    <w:pPr>
      <w:numPr>
        <w:ilvl w:val="1"/>
        <w:numId w:val="18"/>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34">
    <w:name w:val="xl10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5">
    <w:name w:val="正文文本 21"/>
    <w:basedOn w:val="1"/>
    <w:autoRedefine/>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536">
    <w:name w:val="xl10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7">
    <w:name w:val="样式 正文 段落文字 + 宋体 小四 左侧:  0 厘米 首行缩进:  2 字符 段后: 0 磅 行距: 固定值 24..."/>
    <w:basedOn w:val="1"/>
    <w:autoRedefine/>
    <w:qFormat/>
    <w:uiPriority w:val="99"/>
    <w:pPr>
      <w:spacing w:line="480" w:lineRule="exact"/>
      <w:ind w:firstLine="480" w:firstLineChars="200"/>
    </w:pPr>
    <w:rPr>
      <w:rFonts w:ascii="宋体" w:hAnsi="宋体" w:cs="宋体"/>
      <w:sz w:val="24"/>
      <w:szCs w:val="20"/>
    </w:rPr>
  </w:style>
  <w:style w:type="paragraph" w:customStyle="1" w:styleId="538">
    <w:name w:val="正文居中"/>
    <w:autoRedefine/>
    <w:qFormat/>
    <w:uiPriority w:val="99"/>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539">
    <w:name w:val="xl8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40">
    <w:name w:val="MM Title"/>
    <w:basedOn w:val="61"/>
    <w:autoRedefine/>
    <w:qFormat/>
    <w:uiPriority w:val="99"/>
    <w:rPr>
      <w:rFonts w:ascii="Calibri" w:hAnsi="Calibri" w:cs="Arial"/>
      <w:b w:val="0"/>
      <w:sz w:val="18"/>
    </w:rPr>
  </w:style>
  <w:style w:type="paragraph" w:customStyle="1" w:styleId="541">
    <w:name w:val="Char Char Char Char Char Char Char Char Char Char Char Char Char"/>
    <w:basedOn w:val="1"/>
    <w:autoRedefine/>
    <w:qFormat/>
    <w:uiPriority w:val="99"/>
    <w:pPr>
      <w:tabs>
        <w:tab w:val="left" w:pos="432"/>
      </w:tabs>
      <w:ind w:left="432" w:hanging="432"/>
    </w:pPr>
    <w:rPr>
      <w:rFonts w:ascii="Tahoma" w:hAnsi="Tahoma"/>
      <w:sz w:val="24"/>
      <w:szCs w:val="20"/>
    </w:rPr>
  </w:style>
  <w:style w:type="paragraph" w:customStyle="1" w:styleId="542">
    <w:name w:val="Char Char Char Char Char Char Char Char1"/>
    <w:basedOn w:val="1"/>
    <w:autoRedefine/>
    <w:qFormat/>
    <w:uiPriority w:val="99"/>
    <w:rPr>
      <w:rFonts w:ascii="仿宋_GB2312" w:hAnsi="Times New Roman" w:eastAsia="仿宋_GB2312"/>
      <w:b/>
      <w:sz w:val="32"/>
      <w:szCs w:val="32"/>
    </w:rPr>
  </w:style>
  <w:style w:type="paragraph" w:customStyle="1" w:styleId="543">
    <w:name w:val="章正文"/>
    <w:basedOn w:val="1"/>
    <w:autoRedefine/>
    <w:qFormat/>
    <w:uiPriority w:val="99"/>
    <w:pPr>
      <w:spacing w:beforeLines="50" w:after="120" w:line="300" w:lineRule="auto"/>
      <w:ind w:firstLine="480"/>
    </w:pPr>
    <w:rPr>
      <w:rFonts w:ascii="Helvetica" w:hAnsi="Helvetica"/>
      <w:kern w:val="0"/>
      <w:sz w:val="24"/>
      <w:szCs w:val="24"/>
    </w:rPr>
  </w:style>
  <w:style w:type="paragraph" w:customStyle="1" w:styleId="544">
    <w:name w:val="图名"/>
    <w:basedOn w:val="18"/>
    <w:autoRedefine/>
    <w:qFormat/>
    <w:uiPriority w:val="99"/>
    <w:pPr>
      <w:spacing w:beforeLines="50" w:afterLines="50"/>
      <w:jc w:val="center"/>
    </w:pPr>
    <w:rPr>
      <w:rFonts w:ascii="Times New Roman" w:hAnsi="Times New Roman"/>
      <w:kern w:val="0"/>
      <w:sz w:val="24"/>
      <w:szCs w:val="24"/>
    </w:rPr>
  </w:style>
  <w:style w:type="paragraph" w:customStyle="1" w:styleId="545">
    <w:name w:val="样式 四号 行距: 1.5 倍行距"/>
    <w:basedOn w:val="1"/>
    <w:autoRedefine/>
    <w:qFormat/>
    <w:uiPriority w:val="99"/>
    <w:pPr>
      <w:spacing w:line="312" w:lineRule="auto"/>
      <w:ind w:firstLine="202" w:firstLineChars="202"/>
    </w:pPr>
    <w:rPr>
      <w:rFonts w:ascii="Times New Roman" w:hAnsi="Times New Roman" w:cs="宋体"/>
      <w:sz w:val="24"/>
      <w:szCs w:val="20"/>
    </w:rPr>
  </w:style>
  <w:style w:type="paragraph" w:customStyle="1" w:styleId="546">
    <w:name w:val="Char Char Char Char Char Char Char Char Char Char"/>
    <w:basedOn w:val="1"/>
    <w:autoRedefine/>
    <w:qFormat/>
    <w:uiPriority w:val="99"/>
    <w:pPr>
      <w:tabs>
        <w:tab w:val="left" w:pos="360"/>
      </w:tabs>
      <w:ind w:left="480" w:hanging="480" w:hangingChars="200"/>
    </w:pPr>
    <w:rPr>
      <w:rFonts w:ascii="仿宋_GB2312" w:hAnsi="Times New Roman" w:eastAsia="仿宋_GB2312"/>
      <w:b/>
      <w:sz w:val="24"/>
      <w:szCs w:val="24"/>
    </w:rPr>
  </w:style>
  <w:style w:type="paragraph" w:customStyle="1" w:styleId="547">
    <w:name w:val="Char9"/>
    <w:basedOn w:val="1"/>
    <w:autoRedefine/>
    <w:qFormat/>
    <w:uiPriority w:val="99"/>
    <w:pPr>
      <w:adjustRightInd w:val="0"/>
      <w:textAlignment w:val="baseline"/>
    </w:pPr>
    <w:rPr>
      <w:rFonts w:ascii="Tahoma" w:hAnsi="Tahoma"/>
      <w:sz w:val="24"/>
      <w:szCs w:val="20"/>
    </w:rPr>
  </w:style>
  <w:style w:type="paragraph" w:customStyle="1" w:styleId="548">
    <w:name w:val="flType"/>
    <w:basedOn w:val="1"/>
    <w:autoRedefine/>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549">
    <w:name w:val="Paragraph2"/>
    <w:basedOn w:val="1"/>
    <w:autoRedefine/>
    <w:qFormat/>
    <w:uiPriority w:val="99"/>
    <w:pPr>
      <w:spacing w:before="80" w:afterLines="50"/>
      <w:ind w:left="720"/>
    </w:pPr>
    <w:rPr>
      <w:rFonts w:ascii="宋体" w:hAnsi="Times New Roman"/>
      <w:color w:val="000000"/>
      <w:kern w:val="0"/>
      <w:szCs w:val="20"/>
      <w:lang w:val="en-AU"/>
    </w:rPr>
  </w:style>
  <w:style w:type="paragraph" w:customStyle="1" w:styleId="550">
    <w:name w:val="公司名"/>
    <w:basedOn w:val="1"/>
    <w:next w:val="1"/>
    <w:autoRedefine/>
    <w:qFormat/>
    <w:uiPriority w:val="99"/>
    <w:pPr>
      <w:widowControl/>
      <w:spacing w:before="420" w:after="60" w:line="320" w:lineRule="exact"/>
      <w:jc w:val="left"/>
    </w:pPr>
    <w:rPr>
      <w:rFonts w:ascii="Garamond" w:hAnsi="Garamond"/>
      <w:caps/>
      <w:kern w:val="36"/>
      <w:sz w:val="38"/>
      <w:szCs w:val="20"/>
      <w:lang w:bidi="he-IL"/>
    </w:rPr>
  </w:style>
  <w:style w:type="paragraph" w:customStyle="1" w:styleId="551">
    <w:name w:val="f1"/>
    <w:basedOn w:val="1"/>
    <w:autoRedefine/>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52">
    <w:name w:val="正文小四"/>
    <w:basedOn w:val="1"/>
    <w:autoRedefine/>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553">
    <w:name w:val="S4-B-L15"/>
    <w:basedOn w:val="1"/>
    <w:autoRedefine/>
    <w:qFormat/>
    <w:uiPriority w:val="99"/>
    <w:pPr>
      <w:spacing w:line="360" w:lineRule="auto"/>
    </w:pPr>
    <w:rPr>
      <w:rFonts w:ascii="Times New Roman" w:hAnsi="Times New Roman"/>
      <w:b/>
      <w:bCs/>
      <w:sz w:val="24"/>
      <w:szCs w:val="24"/>
    </w:rPr>
  </w:style>
  <w:style w:type="paragraph" w:customStyle="1" w:styleId="554">
    <w:name w:val="font9"/>
    <w:basedOn w:val="1"/>
    <w:autoRedefine/>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font12"/>
    <w:basedOn w:val="1"/>
    <w:autoRedefine/>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556">
    <w:name w:val="Bullet1"/>
    <w:basedOn w:val="1"/>
    <w:autoRedefine/>
    <w:qFormat/>
    <w:uiPriority w:val="99"/>
    <w:pPr>
      <w:spacing w:afterLines="50"/>
      <w:ind w:left="720" w:hanging="432"/>
      <w:jc w:val="left"/>
    </w:pPr>
    <w:rPr>
      <w:rFonts w:ascii="宋体" w:hAnsi="Times New Roman"/>
      <w:kern w:val="0"/>
      <w:szCs w:val="20"/>
    </w:rPr>
  </w:style>
  <w:style w:type="paragraph" w:customStyle="1" w:styleId="557">
    <w:name w:val="正文居中标题1"/>
    <w:basedOn w:val="1"/>
    <w:autoRedefine/>
    <w:qFormat/>
    <w:uiPriority w:val="99"/>
    <w:pPr>
      <w:numPr>
        <w:ilvl w:val="0"/>
        <w:numId w:val="19"/>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558">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559">
    <w:name w:val="Char Char Char Char1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560">
    <w:name w:val="页眉1"/>
    <w:basedOn w:val="1"/>
    <w:autoRedefine/>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561">
    <w:name w:val="表文字"/>
    <w:autoRedefine/>
    <w:qFormat/>
    <w:uiPriority w:val="99"/>
    <w:rPr>
      <w:rFonts w:ascii="宋体" w:hAnsi="Times New Roman" w:eastAsia="宋体" w:cs="Times New Roman"/>
      <w:kern w:val="2"/>
      <w:lang w:val="en-US" w:eastAsia="zh-CN" w:bidi="ar-SA"/>
    </w:rPr>
  </w:style>
  <w:style w:type="paragraph" w:customStyle="1" w:styleId="562">
    <w:name w:val="xl122"/>
    <w:basedOn w:val="1"/>
    <w:autoRedefine/>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3">
    <w:name w:val="S4-L15"/>
    <w:basedOn w:val="1"/>
    <w:autoRedefine/>
    <w:qFormat/>
    <w:uiPriority w:val="99"/>
    <w:pPr>
      <w:spacing w:after="120" w:line="360" w:lineRule="auto"/>
      <w:ind w:left="720" w:firstLine="392"/>
    </w:pPr>
    <w:rPr>
      <w:rFonts w:ascii="Times New Roman" w:hAnsi="Times New Roman"/>
      <w:szCs w:val="21"/>
      <w:lang w:val="fr-FR"/>
    </w:rPr>
  </w:style>
  <w:style w:type="paragraph" w:customStyle="1" w:styleId="564">
    <w:name w:val="正文首行缩进两字"/>
    <w:autoRedefine/>
    <w:qFormat/>
    <w:uiPriority w:val="99"/>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65">
    <w:name w:val="xl8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6">
    <w:name w:val="img"/>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567">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8">
    <w:name w:val="正文样式 首行缩进:  0.74 厘米"/>
    <w:basedOn w:val="1"/>
    <w:autoRedefine/>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569">
    <w:name w:val="P1"/>
    <w:basedOn w:val="1"/>
    <w:autoRedefine/>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70">
    <w:name w:val="列出段落12"/>
    <w:basedOn w:val="1"/>
    <w:autoRedefine/>
    <w:qFormat/>
    <w:uiPriority w:val="99"/>
    <w:pPr>
      <w:ind w:firstLine="420" w:firstLineChars="200"/>
    </w:pPr>
  </w:style>
  <w:style w:type="paragraph" w:customStyle="1" w:styleId="571">
    <w:name w:val="S4-L15-C"/>
    <w:basedOn w:val="1"/>
    <w:autoRedefine/>
    <w:qFormat/>
    <w:uiPriority w:val="99"/>
    <w:pPr>
      <w:spacing w:after="120" w:line="360" w:lineRule="auto"/>
      <w:jc w:val="center"/>
    </w:pPr>
    <w:rPr>
      <w:rFonts w:ascii="Times New Roman" w:hAnsi="Times New Roman"/>
      <w:szCs w:val="21"/>
    </w:rPr>
  </w:style>
  <w:style w:type="paragraph" w:customStyle="1" w:styleId="572">
    <w:name w:val="正文1"/>
    <w:basedOn w:val="20"/>
    <w:next w:val="1"/>
    <w:autoRedefine/>
    <w:qFormat/>
    <w:uiPriority w:val="99"/>
    <w:pPr>
      <w:shd w:val="clear" w:color="auto" w:fill="000080"/>
    </w:pPr>
    <w:rPr>
      <w:rFonts w:ascii="Tahoma" w:hAnsi="Tahoma" w:cs="Tahoma"/>
      <w:kern w:val="0"/>
      <w:szCs w:val="24"/>
    </w:rPr>
  </w:style>
  <w:style w:type="paragraph" w:customStyle="1" w:styleId="573">
    <w:name w:val="规范正文"/>
    <w:basedOn w:val="1"/>
    <w:autoRedefine/>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574">
    <w:name w:val="xl10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5">
    <w:name w:val="默认段落字体 Para Char Char Char Char Char Char Char Char Char Char"/>
    <w:basedOn w:val="1"/>
    <w:autoRedefine/>
    <w:qFormat/>
    <w:uiPriority w:val="99"/>
    <w:rPr>
      <w:rFonts w:ascii="Tahoma" w:hAnsi="Tahoma"/>
      <w:sz w:val="24"/>
      <w:szCs w:val="20"/>
    </w:rPr>
  </w:style>
  <w:style w:type="paragraph" w:customStyle="1" w:styleId="576">
    <w:name w:val="大表 mt"/>
    <w:basedOn w:val="1"/>
    <w:autoRedefine/>
    <w:qFormat/>
    <w:uiPriority w:val="99"/>
    <w:pPr>
      <w:widowControl/>
      <w:jc w:val="left"/>
    </w:pPr>
    <w:rPr>
      <w:rFonts w:ascii="宋体" w:hAnsi="宋体" w:cs="宋体"/>
      <w:kern w:val="0"/>
      <w:szCs w:val="21"/>
    </w:rPr>
  </w:style>
  <w:style w:type="paragraph" w:customStyle="1" w:styleId="577">
    <w:name w:val="xl123"/>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8">
    <w:name w:val="列出段落211"/>
    <w:basedOn w:val="1"/>
    <w:autoRedefine/>
    <w:qFormat/>
    <w:uiPriority w:val="99"/>
    <w:pPr>
      <w:ind w:firstLine="420" w:firstLineChars="200"/>
    </w:pPr>
    <w:rPr>
      <w:szCs w:val="24"/>
    </w:rPr>
  </w:style>
  <w:style w:type="paragraph" w:customStyle="1" w:styleId="579">
    <w:name w:val="样式 标题 4Chapter X.X.X. + 段后: 0.5 行1 + 段后: 0.5 行"/>
    <w:basedOn w:val="512"/>
    <w:autoRedefine/>
    <w:qFormat/>
    <w:uiPriority w:val="99"/>
    <w:pPr>
      <w:numPr>
        <w:ilvl w:val="0"/>
        <w:numId w:val="0"/>
      </w:numPr>
      <w:tabs>
        <w:tab w:val="left" w:pos="864"/>
      </w:tabs>
      <w:ind w:left="425" w:hanging="425"/>
    </w:pPr>
    <w:rPr>
      <w:szCs w:val="21"/>
    </w:rPr>
  </w:style>
  <w:style w:type="paragraph" w:customStyle="1" w:styleId="580">
    <w:name w:val="PDGInstructions"/>
    <w:basedOn w:val="1"/>
    <w:autoRedefine/>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581">
    <w:name w:val="圆点"/>
    <w:basedOn w:val="1"/>
    <w:autoRedefine/>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82">
    <w:name w:val="样式 标题 3 + 首行缩进:  2 字符1"/>
    <w:basedOn w:val="4"/>
    <w:autoRedefine/>
    <w:qFormat/>
    <w:uiPriority w:val="99"/>
    <w:pPr>
      <w:spacing w:line="360" w:lineRule="auto"/>
    </w:pPr>
    <w:rPr>
      <w:rFonts w:ascii="Times New Roman" w:hAnsi="Times New Roman" w:cs="宋体"/>
      <w:szCs w:val="20"/>
    </w:rPr>
  </w:style>
  <w:style w:type="paragraph" w:customStyle="1" w:styleId="583">
    <w:name w:val="样式 标题 1 + 五号"/>
    <w:basedOn w:val="2"/>
    <w:autoRedefine/>
    <w:qFormat/>
    <w:uiPriority w:val="99"/>
    <w:pPr>
      <w:keepNext/>
      <w:keepLines/>
      <w:autoSpaceDE/>
      <w:autoSpaceDN/>
      <w:adjustRightInd/>
      <w:spacing w:line="240" w:lineRule="auto"/>
    </w:pPr>
    <w:rPr>
      <w:rFonts w:eastAsia="宋体"/>
      <w:kern w:val="44"/>
      <w:sz w:val="32"/>
      <w:szCs w:val="32"/>
    </w:rPr>
  </w:style>
  <w:style w:type="paragraph" w:customStyle="1" w:styleId="584">
    <w:name w:val="样式 样式 正文文本缩进 + 仿宋_GB2312 小四 首行缩进:  0 厘米 行距: 1.5 倍行距 + (中文) 仿宋_GB..."/>
    <w:basedOn w:val="445"/>
    <w:autoRedefine/>
    <w:qFormat/>
    <w:uiPriority w:val="99"/>
    <w:pPr>
      <w:ind w:firstLine="480" w:firstLineChars="200"/>
    </w:pPr>
  </w:style>
  <w:style w:type="paragraph" w:customStyle="1" w:styleId="585">
    <w:name w:val="xl11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6">
    <w:name w:val="GP有序编号3级"/>
    <w:basedOn w:val="1"/>
    <w:autoRedefine/>
    <w:qFormat/>
    <w:uiPriority w:val="99"/>
    <w:pPr>
      <w:numPr>
        <w:ilvl w:val="3"/>
        <w:numId w:val="14"/>
      </w:numPr>
      <w:spacing w:line="360" w:lineRule="auto"/>
      <w:ind w:left="1320" w:hanging="420"/>
      <w:jc w:val="left"/>
    </w:pPr>
    <w:rPr>
      <w:rFonts w:ascii="Times New Roman" w:hAnsi="Times New Roman"/>
      <w:sz w:val="24"/>
      <w:szCs w:val="21"/>
    </w:rPr>
  </w:style>
  <w:style w:type="paragraph" w:customStyle="1" w:styleId="587">
    <w:name w:val="样式 标题 5 + 五号 居中 段前: 1.5 磅 段后: 1.5 磅 行距: 多倍行距 1.57 字行"/>
    <w:basedOn w:val="6"/>
    <w:autoRedefine/>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588">
    <w:name w:val="xl65"/>
    <w:basedOn w:val="1"/>
    <w:autoRedefine/>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89">
    <w:name w:val="Char Char Char Char Char Char Char"/>
    <w:basedOn w:val="1"/>
    <w:autoRedefine/>
    <w:qFormat/>
    <w:uiPriority w:val="99"/>
    <w:pPr>
      <w:tabs>
        <w:tab w:val="left" w:pos="432"/>
      </w:tabs>
      <w:ind w:left="432" w:hanging="432"/>
    </w:pPr>
    <w:rPr>
      <w:rFonts w:ascii="Tahoma" w:hAnsi="Tahoma"/>
      <w:sz w:val="24"/>
      <w:szCs w:val="20"/>
    </w:rPr>
  </w:style>
  <w:style w:type="paragraph" w:customStyle="1" w:styleId="590">
    <w:name w:val="Char Char1 Char11"/>
    <w:basedOn w:val="1"/>
    <w:autoRedefine/>
    <w:qFormat/>
    <w:uiPriority w:val="99"/>
    <w:rPr>
      <w:rFonts w:ascii="仿宋_GB2312" w:hAnsi="Times New Roman" w:eastAsia="仿宋_GB2312"/>
      <w:b/>
      <w:sz w:val="32"/>
      <w:szCs w:val="32"/>
    </w:rPr>
  </w:style>
  <w:style w:type="paragraph" w:customStyle="1" w:styleId="591">
    <w:name w:val="Char Char11"/>
    <w:basedOn w:val="1"/>
    <w:autoRedefine/>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92">
    <w:name w:val="强调点"/>
    <w:basedOn w:val="1"/>
    <w:autoRedefine/>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593">
    <w:name w:val="样式 左侧:  1 厘米 段后: 0.5 行"/>
    <w:basedOn w:val="1"/>
    <w:autoRedefine/>
    <w:qFormat/>
    <w:uiPriority w:val="99"/>
    <w:pPr>
      <w:spacing w:afterLines="50"/>
      <w:ind w:firstLine="425"/>
      <w:jc w:val="left"/>
    </w:pPr>
    <w:rPr>
      <w:rFonts w:ascii="宋体" w:hAnsi="Times New Roman" w:cs="宋体"/>
      <w:kern w:val="0"/>
      <w:szCs w:val="20"/>
    </w:rPr>
  </w:style>
  <w:style w:type="paragraph" w:customStyle="1" w:styleId="594">
    <w:name w:val="xl72"/>
    <w:basedOn w:val="1"/>
    <w:autoRedefine/>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95">
    <w:name w:val="xl9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6">
    <w:name w:val="样式 小四 行距: 1.5 倍行距 首行缩进:  2 字符"/>
    <w:basedOn w:val="1"/>
    <w:autoRedefine/>
    <w:qFormat/>
    <w:uiPriority w:val="99"/>
    <w:pPr>
      <w:spacing w:line="360" w:lineRule="auto"/>
      <w:ind w:firstLine="480" w:firstLineChars="200"/>
    </w:pPr>
    <w:rPr>
      <w:rFonts w:ascii="Times New Roman" w:hAnsi="Times New Roman" w:cs="宋体"/>
      <w:sz w:val="24"/>
      <w:szCs w:val="20"/>
    </w:rPr>
  </w:style>
  <w:style w:type="paragraph" w:customStyle="1" w:styleId="597">
    <w:name w:val="xl69"/>
    <w:basedOn w:val="1"/>
    <w:autoRedefine/>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98">
    <w:name w:val="文本框内文字"/>
    <w:basedOn w:val="1"/>
    <w:autoRedefine/>
    <w:qFormat/>
    <w:uiPriority w:val="99"/>
    <w:pPr>
      <w:spacing w:line="240" w:lineRule="atLeast"/>
    </w:pPr>
    <w:rPr>
      <w:rFonts w:ascii="Times New Roman" w:hAnsi="Times New Roman" w:eastAsia="仿宋_GB2312"/>
      <w:sz w:val="22"/>
      <w:szCs w:val="24"/>
    </w:rPr>
  </w:style>
  <w:style w:type="paragraph" w:customStyle="1" w:styleId="599">
    <w:name w:val="标题2"/>
    <w:basedOn w:val="3"/>
    <w:next w:val="4"/>
    <w:autoRedefine/>
    <w:qFormat/>
    <w:uiPriority w:val="99"/>
    <w:pPr>
      <w:numPr>
        <w:ilvl w:val="1"/>
        <w:numId w:val="20"/>
      </w:numPr>
      <w:spacing w:beforeLines="100" w:afterLines="100" w:line="360" w:lineRule="auto"/>
    </w:pPr>
    <w:rPr>
      <w:rFonts w:ascii="Times New Roman" w:hAnsi="Times New Roman"/>
      <w:sz w:val="30"/>
    </w:rPr>
  </w:style>
  <w:style w:type="paragraph" w:customStyle="1" w:styleId="600">
    <w:name w:val="Char"/>
    <w:basedOn w:val="1"/>
    <w:autoRedefine/>
    <w:qFormat/>
    <w:uiPriority w:val="99"/>
    <w:rPr>
      <w:rFonts w:ascii="仿宋_GB2312" w:hAnsi="Times New Roman" w:eastAsia="仿宋_GB2312"/>
      <w:b/>
      <w:sz w:val="32"/>
      <w:szCs w:val="32"/>
    </w:rPr>
  </w:style>
  <w:style w:type="paragraph" w:customStyle="1" w:styleId="601">
    <w:name w:val="Char Char Char Char Char Char Char1"/>
    <w:basedOn w:val="1"/>
    <w:autoRedefine/>
    <w:qFormat/>
    <w:uiPriority w:val="99"/>
    <w:pPr>
      <w:tabs>
        <w:tab w:val="left" w:pos="432"/>
      </w:tabs>
      <w:ind w:left="432" w:hanging="432"/>
    </w:pPr>
    <w:rPr>
      <w:rFonts w:ascii="Tahoma" w:hAnsi="Tahoma"/>
      <w:sz w:val="24"/>
      <w:szCs w:val="20"/>
    </w:rPr>
  </w:style>
  <w:style w:type="paragraph" w:customStyle="1" w:styleId="602">
    <w:name w:val="文档结构图2"/>
    <w:basedOn w:val="1"/>
    <w:autoRedefine/>
    <w:qFormat/>
    <w:uiPriority w:val="99"/>
    <w:rPr>
      <w:rFonts w:ascii="宋体"/>
      <w:kern w:val="0"/>
      <w:sz w:val="18"/>
      <w:szCs w:val="18"/>
    </w:rPr>
  </w:style>
  <w:style w:type="paragraph" w:customStyle="1" w:styleId="603">
    <w:name w:val="Figure Description"/>
    <w:next w:val="1"/>
    <w:autoRedefine/>
    <w:qFormat/>
    <w:uiPriority w:val="99"/>
    <w:pPr>
      <w:numPr>
        <w:ilvl w:val="4"/>
        <w:numId w:val="21"/>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604">
    <w:name w:val="xl10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5">
    <w:name w:val="样式 纯文本 + 首行缩进:  2 字符 Char Char Char Char Char Char Char Char Char Char Char Char Char Char Char Char Char Char Char Char Char Char Char Char"/>
    <w:basedOn w:val="33"/>
    <w:autoRedefine/>
    <w:qFormat/>
    <w:uiPriority w:val="99"/>
    <w:pPr>
      <w:spacing w:beforeLines="0" w:afterLines="0" w:line="360" w:lineRule="auto"/>
      <w:jc w:val="left"/>
    </w:pPr>
    <w:rPr>
      <w:rFonts w:eastAsia="仿宋_GB2312" w:cs="Arial"/>
      <w:sz w:val="28"/>
      <w:szCs w:val="20"/>
    </w:rPr>
  </w:style>
  <w:style w:type="paragraph" w:customStyle="1" w:styleId="606">
    <w:name w:val="正文首行缩进 21"/>
    <w:basedOn w:val="453"/>
    <w:autoRedefine/>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607">
    <w:name w:val="正文样式1"/>
    <w:basedOn w:val="1"/>
    <w:autoRedefine/>
    <w:qFormat/>
    <w:uiPriority w:val="99"/>
    <w:pPr>
      <w:spacing w:line="360" w:lineRule="auto"/>
      <w:ind w:firstLine="200" w:firstLineChars="200"/>
    </w:pPr>
    <w:rPr>
      <w:rFonts w:ascii="Times New Roman" w:hAnsi="Times New Roman" w:cs="宋体"/>
      <w:sz w:val="24"/>
      <w:szCs w:val="20"/>
    </w:rPr>
  </w:style>
  <w:style w:type="paragraph" w:customStyle="1" w:styleId="608">
    <w:name w:val="msolistparagraph"/>
    <w:basedOn w:val="1"/>
    <w:autoRedefine/>
    <w:qFormat/>
    <w:uiPriority w:val="99"/>
    <w:pPr>
      <w:ind w:firstLine="420" w:firstLineChars="200"/>
    </w:pPr>
  </w:style>
  <w:style w:type="paragraph" w:customStyle="1" w:styleId="609">
    <w:name w:val="Table - Col. Head"/>
    <w:basedOn w:val="1"/>
    <w:autoRedefine/>
    <w:qFormat/>
    <w:uiPriority w:val="99"/>
    <w:pPr>
      <w:keepNext/>
      <w:widowControl/>
      <w:spacing w:before="60" w:afterLines="50"/>
      <w:jc w:val="left"/>
    </w:pPr>
    <w:rPr>
      <w:rFonts w:ascii="Arial" w:hAnsi="Arial"/>
      <w:b/>
      <w:kern w:val="0"/>
      <w:sz w:val="18"/>
      <w:szCs w:val="20"/>
      <w:lang w:eastAsia="en-US"/>
    </w:rPr>
  </w:style>
  <w:style w:type="paragraph" w:customStyle="1" w:styleId="610">
    <w:name w:val="4"/>
    <w:basedOn w:val="1"/>
    <w:autoRedefine/>
    <w:qFormat/>
    <w:uiPriority w:val="99"/>
  </w:style>
  <w:style w:type="paragraph" w:customStyle="1" w:styleId="611">
    <w:name w:val="彩色列表 - 强调文字颜色 11"/>
    <w:basedOn w:val="1"/>
    <w:link w:val="920"/>
    <w:autoRedefine/>
    <w:qFormat/>
    <w:uiPriority w:val="99"/>
    <w:pPr>
      <w:ind w:firstLine="420" w:firstLineChars="200"/>
    </w:pPr>
    <w:rPr>
      <w:rFonts w:ascii="Times New Roman" w:hAnsi="Times New Roman"/>
      <w:sz w:val="22"/>
      <w:szCs w:val="20"/>
    </w:rPr>
  </w:style>
  <w:style w:type="paragraph" w:customStyle="1" w:styleId="612">
    <w:name w:val="xl77"/>
    <w:basedOn w:val="1"/>
    <w:autoRedefine/>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3">
    <w:name w:val="image"/>
    <w:basedOn w:val="1"/>
    <w:autoRedefine/>
    <w:qFormat/>
    <w:uiPriority w:val="99"/>
    <w:pPr>
      <w:widowControl/>
      <w:spacing w:before="360" w:after="360"/>
      <w:jc w:val="center"/>
    </w:pPr>
    <w:rPr>
      <w:rFonts w:ascii="宋体" w:hAnsi="宋体" w:cs="宋体"/>
      <w:kern w:val="0"/>
      <w:sz w:val="24"/>
      <w:szCs w:val="24"/>
    </w:rPr>
  </w:style>
  <w:style w:type="paragraph" w:customStyle="1" w:styleId="614">
    <w:name w:val="标书_正文"/>
    <w:basedOn w:val="1"/>
    <w:autoRedefine/>
    <w:qFormat/>
    <w:uiPriority w:val="99"/>
    <w:pPr>
      <w:spacing w:line="360" w:lineRule="auto"/>
    </w:pPr>
    <w:rPr>
      <w:rFonts w:ascii="宋体" w:hAnsi="Times New Roman"/>
      <w:b/>
      <w:kern w:val="0"/>
      <w:sz w:val="32"/>
      <w:szCs w:val="32"/>
    </w:rPr>
  </w:style>
  <w:style w:type="paragraph" w:customStyle="1" w:styleId="615">
    <w:name w:val="TOC 标题1"/>
    <w:basedOn w:val="2"/>
    <w:next w:val="1"/>
    <w:autoRedefine/>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616">
    <w:name w:val="中等深浅列表 2 - 强调文字颜色 21"/>
    <w:autoRedefine/>
    <w:semiHidden/>
    <w:qFormat/>
    <w:uiPriority w:val="99"/>
    <w:rPr>
      <w:rFonts w:ascii="Calibri" w:hAnsi="Calibri" w:eastAsia="宋体" w:cs="Times New Roman"/>
      <w:kern w:val="2"/>
      <w:sz w:val="21"/>
      <w:szCs w:val="22"/>
      <w:lang w:val="en-US" w:eastAsia="zh-CN" w:bidi="ar-SA"/>
    </w:rPr>
  </w:style>
  <w:style w:type="paragraph" w:customStyle="1" w:styleId="617">
    <w:name w:val="text"/>
    <w:basedOn w:val="1"/>
    <w:autoRedefine/>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618">
    <w:name w:val="彩色列表1"/>
    <w:basedOn w:val="1"/>
    <w:autoRedefine/>
    <w:qFormat/>
    <w:uiPriority w:val="99"/>
    <w:pPr>
      <w:tabs>
        <w:tab w:val="left" w:pos="1200"/>
      </w:tabs>
      <w:ind w:left="1200" w:hanging="360"/>
    </w:pPr>
  </w:style>
  <w:style w:type="paragraph" w:customStyle="1" w:styleId="619">
    <w:name w:val="Bullet2"/>
    <w:basedOn w:val="1"/>
    <w:autoRedefine/>
    <w:qFormat/>
    <w:uiPriority w:val="99"/>
    <w:pPr>
      <w:spacing w:afterLines="50"/>
      <w:ind w:left="1440" w:hanging="360"/>
      <w:jc w:val="left"/>
    </w:pPr>
    <w:rPr>
      <w:rFonts w:ascii="宋体" w:hAnsi="Times New Roman"/>
      <w:color w:val="000080"/>
      <w:kern w:val="0"/>
      <w:szCs w:val="20"/>
    </w:rPr>
  </w:style>
  <w:style w:type="paragraph" w:customStyle="1" w:styleId="620">
    <w:name w:val="a1"/>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621">
    <w:name w:val="样式 小四 行距: 1.5 倍行距 首行缩进:  2.25 字符"/>
    <w:basedOn w:val="1"/>
    <w:autoRedefine/>
    <w:qFormat/>
    <w:uiPriority w:val="99"/>
    <w:pPr>
      <w:tabs>
        <w:tab w:val="left" w:pos="360"/>
        <w:tab w:val="left" w:pos="704"/>
      </w:tabs>
      <w:spacing w:line="360" w:lineRule="auto"/>
    </w:pPr>
    <w:rPr>
      <w:rFonts w:ascii="宋体" w:hAnsi="宋体"/>
      <w:spacing w:val="-8"/>
      <w:sz w:val="24"/>
      <w:szCs w:val="20"/>
    </w:rPr>
  </w:style>
  <w:style w:type="paragraph" w:customStyle="1" w:styleId="622">
    <w:name w:val="xl11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23">
    <w:name w:val="样式 标题 3(A-3)sect1.2.3h3H3level_3PIM 3Level 3 HeadHeading..."/>
    <w:basedOn w:val="4"/>
    <w:autoRedefine/>
    <w:qFormat/>
    <w:uiPriority w:val="99"/>
    <w:rPr>
      <w:rFonts w:ascii="Arial" w:hAnsi="Arial"/>
      <w:sz w:val="30"/>
    </w:rPr>
  </w:style>
  <w:style w:type="paragraph" w:customStyle="1" w:styleId="624">
    <w:name w:val="Char Char12 Char Char Char Char"/>
    <w:basedOn w:val="1"/>
    <w:autoRedefine/>
    <w:qFormat/>
    <w:uiPriority w:val="99"/>
    <w:pPr>
      <w:tabs>
        <w:tab w:val="left" w:pos="432"/>
      </w:tabs>
      <w:ind w:left="432" w:hanging="432"/>
    </w:pPr>
    <w:rPr>
      <w:rFonts w:ascii="Tahoma" w:hAnsi="Tahoma"/>
      <w:sz w:val="24"/>
      <w:szCs w:val="20"/>
    </w:rPr>
  </w:style>
  <w:style w:type="paragraph" w:customStyle="1" w:styleId="625">
    <w:name w:val="默认段落字体 Para Char Char Char Char Char Char Char Char Char1 Char Char Char Char"/>
    <w:basedOn w:val="1"/>
    <w:autoRedefine/>
    <w:qFormat/>
    <w:uiPriority w:val="99"/>
    <w:rPr>
      <w:rFonts w:ascii="Tahoma" w:hAnsi="Tahoma"/>
      <w:sz w:val="24"/>
      <w:szCs w:val="20"/>
    </w:rPr>
  </w:style>
  <w:style w:type="paragraph" w:customStyle="1" w:styleId="626">
    <w:name w:val="xl68"/>
    <w:basedOn w:val="1"/>
    <w:autoRedefine/>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627">
    <w:name w:val="样式1"/>
    <w:basedOn w:val="1"/>
    <w:link w:val="916"/>
    <w:autoRedefine/>
    <w:qFormat/>
    <w:uiPriority w:val="99"/>
    <w:pPr>
      <w:pBdr>
        <w:bottom w:val="single" w:color="auto" w:sz="4" w:space="1"/>
      </w:pBdr>
    </w:pPr>
    <w:rPr>
      <w:rFonts w:ascii="Times New Roman" w:hAnsi="Times New Roman"/>
      <w:sz w:val="24"/>
      <w:szCs w:val="20"/>
    </w:rPr>
  </w:style>
  <w:style w:type="paragraph" w:customStyle="1" w:styleId="628">
    <w:name w:val="样式 模板正文 + 左侧:  2 字符 段前: 0 磅 行距: 单倍行距"/>
    <w:basedOn w:val="1"/>
    <w:autoRedefine/>
    <w:qFormat/>
    <w:uiPriority w:val="99"/>
    <w:pPr>
      <w:wordWrap w:val="0"/>
      <w:spacing w:before="120" w:line="320" w:lineRule="exact"/>
      <w:ind w:firstLine="200" w:firstLineChars="200"/>
    </w:pPr>
    <w:rPr>
      <w:rFonts w:ascii="Arial" w:hAnsi="Arial"/>
      <w:szCs w:val="20"/>
    </w:rPr>
  </w:style>
  <w:style w:type="paragraph" w:customStyle="1" w:styleId="629">
    <w:name w:val="xl9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0">
    <w:name w:val="正文样式加粗"/>
    <w:basedOn w:val="181"/>
    <w:autoRedefine/>
    <w:qFormat/>
    <w:uiPriority w:val="99"/>
    <w:pPr>
      <w:ind w:firstLine="562"/>
    </w:pPr>
    <w:rPr>
      <w:rFonts w:ascii="仿宋_GB2312" w:eastAsia="仿宋_GB2312"/>
      <w:b/>
      <w:sz w:val="28"/>
      <w:szCs w:val="28"/>
    </w:rPr>
  </w:style>
  <w:style w:type="paragraph" w:customStyle="1" w:styleId="631">
    <w:name w:val="font5"/>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632">
    <w:name w:val="技术方案正文样式"/>
    <w:basedOn w:val="1"/>
    <w:autoRedefine/>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633">
    <w:name w:val="Char Char Char Char Char Char Char Char Char Char1"/>
    <w:basedOn w:val="1"/>
    <w:autoRedefine/>
    <w:qFormat/>
    <w:uiPriority w:val="99"/>
    <w:pPr>
      <w:tabs>
        <w:tab w:val="left" w:pos="360"/>
      </w:tabs>
      <w:ind w:left="480" w:hanging="480" w:hangingChars="200"/>
    </w:pPr>
    <w:rPr>
      <w:rFonts w:ascii="仿宋_GB2312" w:hAnsi="Times New Roman" w:eastAsia="仿宋_GB2312"/>
      <w:b/>
      <w:sz w:val="24"/>
      <w:szCs w:val="24"/>
    </w:rPr>
  </w:style>
  <w:style w:type="paragraph" w:customStyle="1" w:styleId="634">
    <w:name w:val="纯文本1"/>
    <w:basedOn w:val="452"/>
    <w:autoRedefine/>
    <w:qFormat/>
    <w:uiPriority w:val="99"/>
    <w:rPr>
      <w:rFonts w:ascii="宋体" w:hAnsi="Courier New"/>
    </w:rPr>
  </w:style>
  <w:style w:type="paragraph" w:customStyle="1" w:styleId="635">
    <w:name w:val="pa-17"/>
    <w:basedOn w:val="1"/>
    <w:autoRedefine/>
    <w:qFormat/>
    <w:uiPriority w:val="99"/>
    <w:pPr>
      <w:widowControl/>
      <w:spacing w:before="150" w:after="150"/>
      <w:jc w:val="left"/>
    </w:pPr>
    <w:rPr>
      <w:rFonts w:ascii="宋体" w:hAnsi="宋体" w:cs="宋体"/>
      <w:kern w:val="0"/>
      <w:sz w:val="24"/>
      <w:szCs w:val="24"/>
    </w:rPr>
  </w:style>
  <w:style w:type="paragraph" w:customStyle="1" w:styleId="636">
    <w:name w:val="标准标题2"/>
    <w:basedOn w:val="3"/>
    <w:autoRedefine/>
    <w:qFormat/>
    <w:uiPriority w:val="99"/>
    <w:pPr>
      <w:spacing w:line="360" w:lineRule="auto"/>
    </w:pPr>
    <w:rPr>
      <w:rFonts w:eastAsia="仿宋_GB2312"/>
      <w:bCs w:val="0"/>
      <w:sz w:val="28"/>
    </w:rPr>
  </w:style>
  <w:style w:type="paragraph" w:customStyle="1" w:styleId="637">
    <w:name w:val="正文缩进1"/>
    <w:basedOn w:val="1"/>
    <w:autoRedefine/>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38">
    <w:name w:val="f656565_12"/>
    <w:basedOn w:val="1"/>
    <w:autoRedefine/>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639">
    <w:name w:val="样式 样式 小四 行距: 1.5 倍行距 首行缩进:  2 字符 + +中文正文"/>
    <w:basedOn w:val="1"/>
    <w:autoRedefine/>
    <w:qFormat/>
    <w:uiPriority w:val="99"/>
    <w:pPr>
      <w:spacing w:line="360" w:lineRule="auto"/>
      <w:ind w:firstLine="480" w:firstLineChars="200"/>
    </w:pPr>
    <w:rPr>
      <w:rFonts w:ascii="宋体" w:hAnsi="宋体" w:cs="宋体"/>
      <w:sz w:val="24"/>
      <w:szCs w:val="20"/>
    </w:rPr>
  </w:style>
  <w:style w:type="paragraph" w:customStyle="1" w:styleId="640">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641">
    <w:name w:val="paracharcharcharcharcharcharcharcharchar1charcharcharcha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42">
    <w:name w:val="此正文"/>
    <w:basedOn w:val="1"/>
    <w:autoRedefine/>
    <w:qFormat/>
    <w:uiPriority w:val="99"/>
    <w:pPr>
      <w:spacing w:line="360" w:lineRule="auto"/>
      <w:ind w:firstLine="200" w:firstLineChars="200"/>
    </w:pPr>
    <w:rPr>
      <w:rFonts w:ascii="Times New Roman" w:hAnsi="Times New Roman"/>
      <w:sz w:val="24"/>
      <w:szCs w:val="24"/>
    </w:rPr>
  </w:style>
  <w:style w:type="paragraph" w:customStyle="1" w:styleId="643">
    <w:name w:val="S4-L15-No"/>
    <w:basedOn w:val="563"/>
    <w:autoRedefine/>
    <w:qFormat/>
    <w:uiPriority w:val="99"/>
    <w:pPr>
      <w:tabs>
        <w:tab w:val="left" w:pos="720"/>
      </w:tabs>
      <w:ind w:hanging="720"/>
    </w:pPr>
  </w:style>
  <w:style w:type="paragraph" w:customStyle="1" w:styleId="644">
    <w:name w:val="大汉正文"/>
    <w:basedOn w:val="1"/>
    <w:autoRedefine/>
    <w:qFormat/>
    <w:uiPriority w:val="99"/>
    <w:pPr>
      <w:spacing w:line="360" w:lineRule="auto"/>
      <w:ind w:firstLine="200" w:firstLineChars="200"/>
      <w:jc w:val="left"/>
    </w:pPr>
    <w:rPr>
      <w:rFonts w:ascii="宋体" w:hAnsi="Times New Roman"/>
      <w:kern w:val="0"/>
      <w:sz w:val="24"/>
      <w:szCs w:val="24"/>
    </w:rPr>
  </w:style>
  <w:style w:type="paragraph" w:customStyle="1" w:styleId="645">
    <w:name w:val="xl8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6">
    <w:name w:val="IBM 正文"/>
    <w:basedOn w:val="1"/>
    <w:autoRedefine/>
    <w:qFormat/>
    <w:uiPriority w:val="99"/>
    <w:pPr>
      <w:spacing w:line="360" w:lineRule="atLeast"/>
    </w:pPr>
    <w:rPr>
      <w:rFonts w:ascii="Times New Roman" w:hAnsi="Times New Roman"/>
      <w:sz w:val="24"/>
      <w:szCs w:val="20"/>
    </w:rPr>
  </w:style>
  <w:style w:type="paragraph" w:customStyle="1" w:styleId="647">
    <w:name w:val="封面标准文稿编辑信息"/>
    <w:autoRedefine/>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648">
    <w:name w:val="font8"/>
    <w:basedOn w:val="1"/>
    <w:autoRedefine/>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49">
    <w:name w:val="xl73"/>
    <w:basedOn w:val="1"/>
    <w:autoRedefine/>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50">
    <w:name w:val="贷方"/>
    <w:basedOn w:val="1"/>
    <w:autoRedefine/>
    <w:qFormat/>
    <w:uiPriority w:val="99"/>
    <w:pPr>
      <w:ind w:left="1890" w:leftChars="900"/>
    </w:pPr>
    <w:rPr>
      <w:rFonts w:ascii="Times New Roman" w:hAnsi="Times New Roman"/>
      <w:sz w:val="24"/>
      <w:szCs w:val="24"/>
    </w:rPr>
  </w:style>
  <w:style w:type="paragraph" w:customStyle="1" w:styleId="651">
    <w:name w:val="xl9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52">
    <w:name w:val="列表（编号一级）（绿盟科技）"/>
    <w:basedOn w:val="1"/>
    <w:autoRedefine/>
    <w:qFormat/>
    <w:uiPriority w:val="99"/>
    <w:pPr>
      <w:widowControl/>
      <w:numPr>
        <w:ilvl w:val="0"/>
        <w:numId w:val="22"/>
      </w:numPr>
      <w:spacing w:beforeLines="25" w:line="300" w:lineRule="auto"/>
      <w:jc w:val="left"/>
    </w:pPr>
    <w:rPr>
      <w:rFonts w:ascii="Arial" w:hAnsi="Arial"/>
      <w:kern w:val="0"/>
      <w:szCs w:val="21"/>
    </w:rPr>
  </w:style>
  <w:style w:type="paragraph" w:customStyle="1" w:styleId="653">
    <w:name w:val="List Paragraph1"/>
    <w:basedOn w:val="1"/>
    <w:autoRedefine/>
    <w:qFormat/>
    <w:uiPriority w:val="99"/>
    <w:pPr>
      <w:ind w:firstLine="420" w:firstLineChars="200"/>
    </w:pPr>
    <w:rPr>
      <w:szCs w:val="24"/>
    </w:rPr>
  </w:style>
  <w:style w:type="paragraph" w:customStyle="1" w:styleId="654">
    <w:name w:val="pbullet2cm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55">
    <w:name w:val="Char Char1 Char Char Char Char Char Char Char Char Char Char Char Char Char Char"/>
    <w:basedOn w:val="1"/>
    <w:autoRedefine/>
    <w:qFormat/>
    <w:uiPriority w:val="99"/>
    <w:pPr>
      <w:widowControl/>
      <w:spacing w:after="160" w:line="240" w:lineRule="exact"/>
      <w:jc w:val="left"/>
    </w:pPr>
    <w:rPr>
      <w:rFonts w:ascii="Times New Roman" w:hAnsi="Times New Roman"/>
      <w:szCs w:val="20"/>
    </w:rPr>
  </w:style>
  <w:style w:type="paragraph" w:customStyle="1" w:styleId="656">
    <w:name w:val="标准标题1"/>
    <w:basedOn w:val="2"/>
    <w:autoRedefine/>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57">
    <w:name w:val="Plain Text1"/>
    <w:basedOn w:val="1"/>
    <w:autoRedefine/>
    <w:qFormat/>
    <w:uiPriority w:val="99"/>
    <w:pPr>
      <w:autoSpaceDE w:val="0"/>
      <w:autoSpaceDN w:val="0"/>
      <w:adjustRightInd w:val="0"/>
      <w:spacing w:line="360" w:lineRule="auto"/>
    </w:pPr>
    <w:rPr>
      <w:rFonts w:ascii="宋体" w:hAnsi="宋体"/>
      <w:sz w:val="24"/>
      <w:szCs w:val="20"/>
    </w:rPr>
  </w:style>
  <w:style w:type="paragraph" w:customStyle="1" w:styleId="658">
    <w:name w:val="xl11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59">
    <w:name w:val="正文浙江中烟安全"/>
    <w:basedOn w:val="1"/>
    <w:autoRedefine/>
    <w:qFormat/>
    <w:uiPriority w:val="99"/>
    <w:pPr>
      <w:spacing w:before="120" w:line="360" w:lineRule="auto"/>
      <w:ind w:firstLine="200" w:firstLineChars="200"/>
    </w:pPr>
    <w:rPr>
      <w:rFonts w:ascii="Times New Roman" w:hAnsi="Times New Roman"/>
      <w:kern w:val="0"/>
      <w:sz w:val="24"/>
      <w:szCs w:val="24"/>
    </w:rPr>
  </w:style>
  <w:style w:type="paragraph" w:customStyle="1" w:styleId="660">
    <w:name w:val="列表内容"/>
    <w:basedOn w:val="1"/>
    <w:next w:val="1"/>
    <w:autoRedefine/>
    <w:qFormat/>
    <w:uiPriority w:val="99"/>
    <w:pPr>
      <w:widowControl/>
      <w:numPr>
        <w:ilvl w:val="0"/>
        <w:numId w:val="23"/>
      </w:numPr>
      <w:jc w:val="left"/>
    </w:pPr>
    <w:rPr>
      <w:rFonts w:ascii="Times New Roman" w:hAnsi="Times New Roman"/>
      <w:kern w:val="0"/>
      <w:sz w:val="18"/>
      <w:szCs w:val="24"/>
    </w:rPr>
  </w:style>
  <w:style w:type="paragraph" w:customStyle="1" w:styleId="661">
    <w:name w:val="SZF表"/>
    <w:basedOn w:val="429"/>
    <w:autoRedefine/>
    <w:qFormat/>
    <w:uiPriority w:val="99"/>
    <w:rPr>
      <w:rFonts w:ascii="宋体" w:hAnsi="宋体"/>
      <w:bCs/>
      <w:szCs w:val="21"/>
    </w:rPr>
  </w:style>
  <w:style w:type="paragraph" w:customStyle="1" w:styleId="662">
    <w:name w:val="样式 标题 2 + 五号"/>
    <w:basedOn w:val="3"/>
    <w:autoRedefine/>
    <w:qFormat/>
    <w:uiPriority w:val="99"/>
    <w:pPr>
      <w:spacing w:before="0" w:after="0" w:line="240" w:lineRule="auto"/>
    </w:pPr>
    <w:rPr>
      <w:rFonts w:ascii="宋体" w:hAnsi="宋体" w:eastAsia="宋体"/>
      <w:sz w:val="21"/>
    </w:rPr>
  </w:style>
  <w:style w:type="paragraph" w:customStyle="1" w:styleId="663">
    <w:name w:val="Char Char Char Char Char Char Char11"/>
    <w:basedOn w:val="1"/>
    <w:autoRedefine/>
    <w:qFormat/>
    <w:uiPriority w:val="99"/>
    <w:pPr>
      <w:tabs>
        <w:tab w:val="left" w:pos="432"/>
      </w:tabs>
      <w:ind w:left="432" w:hanging="432"/>
    </w:pPr>
    <w:rPr>
      <w:rFonts w:ascii="Tahoma" w:hAnsi="Tahoma"/>
      <w:sz w:val="24"/>
      <w:szCs w:val="20"/>
    </w:rPr>
  </w:style>
  <w:style w:type="paragraph" w:customStyle="1" w:styleId="664">
    <w:name w:val="最新标题1"/>
    <w:basedOn w:val="481"/>
    <w:next w:val="483"/>
    <w:autoRedefine/>
    <w:qFormat/>
    <w:uiPriority w:val="99"/>
    <w:pPr>
      <w:spacing w:after="120"/>
    </w:pPr>
    <w:rPr>
      <w:bCs/>
    </w:rPr>
  </w:style>
  <w:style w:type="paragraph" w:customStyle="1" w:styleId="665">
    <w:name w:val="表格内文"/>
    <w:autoRedefine/>
    <w:qFormat/>
    <w:uiPriority w:val="99"/>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666">
    <w:name w:val="itemlis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67">
    <w:name w:val="内文正文"/>
    <w:basedOn w:val="1"/>
    <w:link w:val="892"/>
    <w:autoRedefine/>
    <w:qFormat/>
    <w:uiPriority w:val="99"/>
    <w:pPr>
      <w:adjustRightInd w:val="0"/>
      <w:snapToGrid w:val="0"/>
      <w:spacing w:line="400" w:lineRule="atLeast"/>
      <w:ind w:firstLine="200" w:firstLineChars="200"/>
    </w:pPr>
    <w:rPr>
      <w:rFonts w:ascii="宋体" w:hAnsi="Times New Roman"/>
      <w:sz w:val="24"/>
      <w:szCs w:val="20"/>
    </w:rPr>
  </w:style>
  <w:style w:type="paragraph" w:customStyle="1" w:styleId="668">
    <w:name w:val="Char Char Char Char Char Char Char Char"/>
    <w:basedOn w:val="1"/>
    <w:autoRedefine/>
    <w:qFormat/>
    <w:uiPriority w:val="99"/>
    <w:pPr>
      <w:tabs>
        <w:tab w:val="left" w:pos="360"/>
      </w:tabs>
    </w:pPr>
    <w:rPr>
      <w:rFonts w:ascii="Times New Roman" w:hAnsi="Times New Roman"/>
      <w:sz w:val="24"/>
      <w:szCs w:val="24"/>
    </w:rPr>
  </w:style>
  <w:style w:type="paragraph" w:customStyle="1" w:styleId="669">
    <w:name w:val="样式 样式 样式 标题 3Chapter X.X.X. + 段后: 0.5 行 + 段后: 0.5 行 + 段后: 0.5 行"/>
    <w:basedOn w:val="523"/>
    <w:autoRedefine/>
    <w:qFormat/>
    <w:uiPriority w:val="99"/>
    <w:pPr>
      <w:spacing w:after="120"/>
    </w:pPr>
  </w:style>
  <w:style w:type="paragraph" w:customStyle="1" w:styleId="670">
    <w:name w:val="二级."/>
    <w:basedOn w:val="3"/>
    <w:autoRedefine/>
    <w:qFormat/>
    <w:uiPriority w:val="99"/>
    <w:pPr>
      <w:tabs>
        <w:tab w:val="left" w:pos="0"/>
      </w:tabs>
      <w:spacing w:before="0" w:after="0" w:line="528" w:lineRule="auto"/>
      <w:ind w:left="181" w:hanging="181"/>
    </w:pPr>
    <w:rPr>
      <w:bCs w:val="0"/>
      <w:kern w:val="0"/>
      <w:sz w:val="36"/>
      <w:szCs w:val="20"/>
    </w:rPr>
  </w:style>
  <w:style w:type="paragraph" w:customStyle="1" w:styleId="671">
    <w:name w:val="xl9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72">
    <w:name w:val="段(正文）"/>
    <w:autoRedefine/>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673">
    <w:name w:val="样式 正文缩进正文（首行缩进两字）四号四号1四号2四号11特点正文非缩进段1ALT+ZPI正文文字首行缩进...2"/>
    <w:basedOn w:val="17"/>
    <w:autoRedefine/>
    <w:qFormat/>
    <w:uiPriority w:val="99"/>
    <w:pPr>
      <w:spacing w:beforeLines="50" w:line="360" w:lineRule="exact"/>
      <w:ind w:firstLine="200" w:firstLineChars="200"/>
    </w:pPr>
    <w:rPr>
      <w:rFonts w:ascii="宋体" w:cs="宋体"/>
      <w:bCs/>
      <w:kern w:val="0"/>
      <w:sz w:val="24"/>
    </w:rPr>
  </w:style>
  <w:style w:type="paragraph" w:customStyle="1" w:styleId="674">
    <w:name w:val="P3"/>
    <w:basedOn w:val="1"/>
    <w:autoRedefine/>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75">
    <w:name w:val="Char1 Char Char Char"/>
    <w:basedOn w:val="1"/>
    <w:autoRedefine/>
    <w:qFormat/>
    <w:uiPriority w:val="99"/>
    <w:rPr>
      <w:rFonts w:ascii="Tahoma" w:hAnsi="Tahoma"/>
      <w:sz w:val="24"/>
      <w:szCs w:val="20"/>
    </w:rPr>
  </w:style>
  <w:style w:type="paragraph" w:customStyle="1" w:styleId="676">
    <w:name w:val="xl10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7">
    <w:name w:val="S4-I-L15-U"/>
    <w:basedOn w:val="1"/>
    <w:autoRedefine/>
    <w:qFormat/>
    <w:uiPriority w:val="99"/>
    <w:pPr>
      <w:spacing w:line="360" w:lineRule="auto"/>
    </w:pPr>
    <w:rPr>
      <w:rFonts w:ascii="Times New Roman" w:hAnsi="Times New Roman"/>
      <w:b/>
      <w:i/>
      <w:sz w:val="24"/>
      <w:szCs w:val="24"/>
      <w:u w:val="single"/>
    </w:rPr>
  </w:style>
  <w:style w:type="paragraph" w:customStyle="1" w:styleId="678">
    <w:name w:val="样式 仿宋_GB2312 (符号) 宋体 四号 行距: 1.5 倍行距 首行缩进:  2 字符"/>
    <w:basedOn w:val="1"/>
    <w:autoRedefine/>
    <w:qFormat/>
    <w:uiPriority w:val="99"/>
    <w:pPr>
      <w:spacing w:line="360" w:lineRule="auto"/>
      <w:ind w:firstLine="560" w:firstLineChars="200"/>
    </w:pPr>
    <w:rPr>
      <w:rFonts w:ascii="仿宋" w:hAnsi="宋体" w:eastAsia="仿宋" w:cs="宋体"/>
      <w:sz w:val="28"/>
      <w:szCs w:val="20"/>
    </w:rPr>
  </w:style>
  <w:style w:type="paragraph" w:customStyle="1" w:styleId="679">
    <w:name w:val="标书正文格式"/>
    <w:autoRedefine/>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680">
    <w:name w:val="样式 Arial 小四 首行缩进:  0.85 厘米"/>
    <w:basedOn w:val="1"/>
    <w:autoRedefine/>
    <w:qFormat/>
    <w:uiPriority w:val="99"/>
    <w:pPr>
      <w:spacing w:line="360" w:lineRule="auto"/>
      <w:ind w:left="-2" w:leftChars="-1" w:firstLine="479" w:firstLineChars="228"/>
    </w:pPr>
    <w:rPr>
      <w:rFonts w:ascii="Times New Roman" w:hAnsi="Arial" w:cs="宋体"/>
      <w:szCs w:val="21"/>
    </w:rPr>
  </w:style>
  <w:style w:type="paragraph" w:customStyle="1" w:styleId="681">
    <w:name w:val="Bullet"/>
    <w:basedOn w:val="1"/>
    <w:autoRedefine/>
    <w:qFormat/>
    <w:uiPriority w:val="99"/>
    <w:pPr>
      <w:widowControl/>
      <w:tabs>
        <w:tab w:val="left" w:pos="720"/>
        <w:tab w:val="left" w:pos="964"/>
      </w:tabs>
      <w:spacing w:before="120" w:afterLines="50"/>
      <w:ind w:left="720" w:right="360" w:hanging="482"/>
    </w:pPr>
    <w:rPr>
      <w:rFonts w:ascii="宋体" w:hAnsi="Times New Roman"/>
      <w:kern w:val="0"/>
      <w:szCs w:val="20"/>
    </w:rPr>
  </w:style>
  <w:style w:type="paragraph" w:customStyle="1" w:styleId="682">
    <w:name w:val="ZJGIS表格表头"/>
    <w:basedOn w:val="1"/>
    <w:autoRedefine/>
    <w:qFormat/>
    <w:uiPriority w:val="99"/>
    <w:pPr>
      <w:jc w:val="center"/>
    </w:pPr>
    <w:rPr>
      <w:rFonts w:ascii="Arial" w:hAnsi="Arial" w:eastAsia="黑体"/>
      <w:b/>
    </w:rPr>
  </w:style>
  <w:style w:type="paragraph" w:customStyle="1" w:styleId="683">
    <w:name w:val="文档结构图1"/>
    <w:basedOn w:val="1"/>
    <w:autoRedefine/>
    <w:qFormat/>
    <w:uiPriority w:val="99"/>
    <w:rPr>
      <w:rFonts w:ascii="宋体"/>
      <w:kern w:val="0"/>
      <w:sz w:val="18"/>
      <w:szCs w:val="18"/>
    </w:rPr>
  </w:style>
  <w:style w:type="paragraph" w:customStyle="1" w:styleId="684">
    <w:name w:val="普通 (Web)"/>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685">
    <w:name w:val="插图"/>
    <w:next w:val="63"/>
    <w:autoRedefine/>
    <w:qFormat/>
    <w:uiPriority w:val="99"/>
    <w:pPr>
      <w:numPr>
        <w:ilvl w:val="0"/>
        <w:numId w:val="24"/>
      </w:numPr>
      <w:jc w:val="center"/>
    </w:pPr>
    <w:rPr>
      <w:rFonts w:ascii="Tahoma" w:hAnsi="Tahoma" w:eastAsia="楷体_GB2312" w:cs="Times New Roman"/>
      <w:kern w:val="2"/>
      <w:sz w:val="21"/>
      <w:szCs w:val="24"/>
      <w:lang w:val="en-US" w:eastAsia="zh-CN" w:bidi="ar-SA"/>
    </w:rPr>
  </w:style>
  <w:style w:type="paragraph" w:customStyle="1" w:styleId="686">
    <w:name w:val="Char1"/>
    <w:basedOn w:val="1"/>
    <w:autoRedefine/>
    <w:qFormat/>
    <w:uiPriority w:val="99"/>
    <w:pPr>
      <w:spacing w:beforeLines="20" w:afterLines="20"/>
    </w:pPr>
    <w:rPr>
      <w:rFonts w:ascii="楷体_GB2312" w:hAnsi="宋体" w:eastAsia="楷体_GB2312" w:cs="Arial"/>
      <w:kern w:val="0"/>
      <w:sz w:val="24"/>
      <w:szCs w:val="24"/>
    </w:rPr>
  </w:style>
  <w:style w:type="paragraph" w:customStyle="1" w:styleId="687">
    <w:name w:val="页面边线"/>
    <w:basedOn w:val="1"/>
    <w:autoRedefine/>
    <w:qFormat/>
    <w:uiPriority w:val="99"/>
    <w:pPr>
      <w:adjustRightInd w:val="0"/>
      <w:spacing w:line="360" w:lineRule="atLeast"/>
      <w:textAlignment w:val="baseline"/>
    </w:pPr>
    <w:rPr>
      <w:rFonts w:ascii="Century" w:hAnsi="Century"/>
      <w:kern w:val="0"/>
      <w:szCs w:val="20"/>
      <w:lang w:eastAsia="ja-JP"/>
    </w:rPr>
  </w:style>
  <w:style w:type="paragraph" w:customStyle="1" w:styleId="688">
    <w:name w:val="沈标题四"/>
    <w:basedOn w:val="5"/>
    <w:next w:val="1"/>
    <w:autoRedefine/>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689">
    <w:name w:val="样式 模板描述"/>
    <w:basedOn w:val="1"/>
    <w:next w:val="427"/>
    <w:autoRedefine/>
    <w:qFormat/>
    <w:uiPriority w:val="99"/>
    <w:pPr>
      <w:spacing w:afterLines="50"/>
      <w:jc w:val="left"/>
    </w:pPr>
    <w:rPr>
      <w:rFonts w:ascii="宋体" w:hAnsi="Times New Roman" w:cs="宋体"/>
      <w:i/>
      <w:iCs/>
      <w:color w:val="0000FF"/>
      <w:kern w:val="0"/>
      <w:szCs w:val="21"/>
    </w:rPr>
  </w:style>
  <w:style w:type="paragraph" w:customStyle="1" w:styleId="690">
    <w:name w:val="Char7"/>
    <w:basedOn w:val="1"/>
    <w:autoRedefine/>
    <w:qFormat/>
    <w:uiPriority w:val="99"/>
    <w:pPr>
      <w:tabs>
        <w:tab w:val="left" w:pos="432"/>
      </w:tabs>
      <w:ind w:left="432" w:hanging="432"/>
    </w:pPr>
    <w:rPr>
      <w:rFonts w:ascii="Times New Roman" w:hAnsi="Times New Roman"/>
      <w:sz w:val="24"/>
      <w:szCs w:val="24"/>
    </w:rPr>
  </w:style>
  <w:style w:type="paragraph" w:customStyle="1" w:styleId="691">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692">
    <w:name w:val="标准书脚_奇数页"/>
    <w:autoRedefine/>
    <w:qFormat/>
    <w:uiPriority w:val="99"/>
    <w:pPr>
      <w:spacing w:before="120"/>
      <w:jc w:val="right"/>
    </w:pPr>
    <w:rPr>
      <w:rFonts w:ascii="Times New Roman" w:hAnsi="Times New Roman" w:eastAsia="宋体" w:cs="Times New Roman"/>
      <w:sz w:val="18"/>
      <w:lang w:val="en-US" w:eastAsia="zh-CN" w:bidi="ar-SA"/>
    </w:rPr>
  </w:style>
  <w:style w:type="paragraph" w:customStyle="1" w:styleId="693">
    <w:name w:val="样式 标题 2Chapter X.X. Statementh22Header 2l2Level 2 Headhea..."/>
    <w:basedOn w:val="3"/>
    <w:autoRedefine/>
    <w:qFormat/>
    <w:uiPriority w:val="99"/>
    <w:pPr>
      <w:keepLines w:val="0"/>
      <w:spacing w:before="120" w:afterLines="50" w:line="240" w:lineRule="auto"/>
      <w:jc w:val="left"/>
    </w:pPr>
    <w:rPr>
      <w:rFonts w:ascii="宋体" w:hAnsi="Times New Roman" w:eastAsia="宋体" w:cs="宋体"/>
      <w:kern w:val="0"/>
      <w:sz w:val="24"/>
      <w:szCs w:val="24"/>
    </w:rPr>
  </w:style>
  <w:style w:type="paragraph" w:customStyle="1" w:styleId="694">
    <w:name w:val="正文缩进2字符"/>
    <w:basedOn w:val="257"/>
    <w:autoRedefine/>
    <w:qFormat/>
    <w:uiPriority w:val="99"/>
    <w:pPr>
      <w:ind w:firstLine="480" w:firstLineChars="200"/>
    </w:pPr>
  </w:style>
  <w:style w:type="paragraph" w:customStyle="1" w:styleId="695">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6">
    <w:name w:val="_Style 148"/>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97">
    <w:name w:val="Char Char1 Char Char Char Char Char Char Char Char Char Char Char Char Char Char1"/>
    <w:basedOn w:val="1"/>
    <w:autoRedefine/>
    <w:qFormat/>
    <w:uiPriority w:val="99"/>
    <w:pPr>
      <w:widowControl/>
      <w:spacing w:after="160" w:line="240" w:lineRule="exact"/>
      <w:jc w:val="left"/>
    </w:pPr>
    <w:rPr>
      <w:rFonts w:ascii="Times New Roman" w:hAnsi="Times New Roman"/>
      <w:szCs w:val="20"/>
    </w:rPr>
  </w:style>
  <w:style w:type="paragraph" w:customStyle="1" w:styleId="698">
    <w:name w:val="红日标题"/>
    <w:basedOn w:val="61"/>
    <w:next w:val="1"/>
    <w:autoRedefine/>
    <w:qFormat/>
    <w:uiPriority w:val="99"/>
    <w:pPr>
      <w:pageBreakBefore/>
      <w:widowControl/>
      <w:numPr>
        <w:ilvl w:val="0"/>
        <w:numId w:val="6"/>
      </w:numPr>
      <w:spacing w:line="276" w:lineRule="auto"/>
      <w:jc w:val="left"/>
    </w:pPr>
    <w:rPr>
      <w:caps/>
      <w:color w:val="4F81BD"/>
      <w:spacing w:val="10"/>
      <w:kern w:val="28"/>
      <w:sz w:val="36"/>
      <w:szCs w:val="36"/>
      <w:lang w:eastAsia="en-US"/>
    </w:rPr>
  </w:style>
  <w:style w:type="paragraph" w:customStyle="1" w:styleId="699">
    <w:name w:val="Table"/>
    <w:basedOn w:val="1"/>
    <w:autoRedefine/>
    <w:qFormat/>
    <w:uiPriority w:val="99"/>
    <w:pPr>
      <w:widowControl/>
      <w:spacing w:before="40" w:after="40"/>
      <w:jc w:val="left"/>
    </w:pPr>
    <w:rPr>
      <w:rFonts w:ascii="Arial" w:hAnsi="Arial"/>
      <w:kern w:val="0"/>
      <w:sz w:val="20"/>
      <w:szCs w:val="20"/>
      <w:lang w:val="en-GB" w:eastAsia="en-US"/>
    </w:rPr>
  </w:style>
  <w:style w:type="paragraph" w:customStyle="1" w:styleId="700">
    <w:name w:val="样式 正文段落 + 四号"/>
    <w:basedOn w:val="165"/>
    <w:autoRedefine/>
    <w:qFormat/>
    <w:uiPriority w:val="99"/>
    <w:pPr>
      <w:spacing w:line="360" w:lineRule="auto"/>
      <w:ind w:firstLine="0"/>
    </w:pPr>
    <w:rPr>
      <w:rFonts w:ascii="宋体" w:hAnsi="宋体" w:cs="宋体"/>
      <w:kern w:val="0"/>
    </w:rPr>
  </w:style>
  <w:style w:type="paragraph" w:customStyle="1" w:styleId="701">
    <w:name w:val="左对齐的表内文字"/>
    <w:basedOn w:val="1"/>
    <w:autoRedefine/>
    <w:qFormat/>
    <w:uiPriority w:val="99"/>
    <w:rPr>
      <w:rFonts w:ascii="Times New Roman" w:hAnsi="Times New Roman" w:eastAsia="仿宋_GB2312" w:cs="宋体"/>
      <w:szCs w:val="20"/>
    </w:rPr>
  </w:style>
  <w:style w:type="paragraph" w:customStyle="1" w:styleId="702">
    <w:name w:val="纯文本2"/>
    <w:basedOn w:val="452"/>
    <w:autoRedefine/>
    <w:qFormat/>
    <w:uiPriority w:val="99"/>
    <w:pPr>
      <w:widowControl/>
      <w:jc w:val="left"/>
    </w:pPr>
    <w:rPr>
      <w:rFonts w:ascii="宋体" w:hAnsi="Courier New"/>
    </w:rPr>
  </w:style>
  <w:style w:type="paragraph" w:customStyle="1" w:styleId="703">
    <w:name w:val="默认段落字体 Para Char Char Char Char"/>
    <w:basedOn w:val="1"/>
    <w:autoRedefine/>
    <w:qFormat/>
    <w:uiPriority w:val="99"/>
    <w:pPr>
      <w:adjustRightInd w:val="0"/>
      <w:spacing w:line="360" w:lineRule="auto"/>
    </w:pPr>
    <w:rPr>
      <w:rFonts w:ascii="Times New Roman" w:hAnsi="Times New Roman"/>
      <w:kern w:val="0"/>
      <w:sz w:val="24"/>
      <w:szCs w:val="20"/>
    </w:rPr>
  </w:style>
  <w:style w:type="paragraph" w:customStyle="1" w:styleId="704">
    <w:name w:val="缺省文本"/>
    <w:basedOn w:val="1"/>
    <w:autoRedefine/>
    <w:qFormat/>
    <w:uiPriority w:val="99"/>
    <w:pPr>
      <w:autoSpaceDE w:val="0"/>
      <w:autoSpaceDN w:val="0"/>
      <w:adjustRightInd w:val="0"/>
      <w:jc w:val="left"/>
    </w:pPr>
    <w:rPr>
      <w:rFonts w:ascii="Times New Roman" w:hAnsi="Times New Roman"/>
      <w:kern w:val="0"/>
      <w:sz w:val="24"/>
      <w:szCs w:val="20"/>
    </w:rPr>
  </w:style>
  <w:style w:type="paragraph" w:customStyle="1" w:styleId="705">
    <w:name w:val="样式 样式3 + 宋体 五号 Char Char Char"/>
    <w:basedOn w:val="1"/>
    <w:autoRedefine/>
    <w:qFormat/>
    <w:uiPriority w:val="99"/>
    <w:pPr>
      <w:keepNext/>
      <w:keepLines/>
      <w:tabs>
        <w:tab w:val="left" w:pos="1050"/>
      </w:tabs>
      <w:ind w:left="1050" w:hanging="450"/>
      <w:jc w:val="left"/>
      <w:outlineLvl w:val="7"/>
    </w:pPr>
    <w:rPr>
      <w:rFonts w:ascii="宋体" w:hAnsi="宋体"/>
      <w:b/>
      <w:bCs/>
      <w:szCs w:val="24"/>
    </w:rPr>
  </w:style>
  <w:style w:type="paragraph" w:customStyle="1" w:styleId="706">
    <w:name w:val="默认段落字体 Para Char"/>
    <w:basedOn w:val="1"/>
    <w:autoRedefine/>
    <w:qFormat/>
    <w:uiPriority w:val="99"/>
    <w:pPr>
      <w:adjustRightInd w:val="0"/>
      <w:spacing w:line="360" w:lineRule="auto"/>
      <w:ind w:firstLine="480"/>
    </w:pPr>
    <w:rPr>
      <w:rFonts w:ascii="宋体" w:hAnsi="宋体"/>
      <w:kern w:val="0"/>
      <w:sz w:val="24"/>
      <w:szCs w:val="20"/>
    </w:rPr>
  </w:style>
  <w:style w:type="paragraph" w:customStyle="1" w:styleId="707">
    <w:name w:val="p15"/>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8">
    <w:name w:val="Char Char1 Char1"/>
    <w:basedOn w:val="1"/>
    <w:autoRedefine/>
    <w:qFormat/>
    <w:uiPriority w:val="99"/>
    <w:rPr>
      <w:rFonts w:ascii="仿宋_GB2312" w:hAnsi="Times New Roman" w:eastAsia="仿宋_GB2312"/>
      <w:b/>
      <w:sz w:val="32"/>
      <w:szCs w:val="32"/>
    </w:rPr>
  </w:style>
  <w:style w:type="paragraph" w:customStyle="1" w:styleId="709">
    <w:name w:val="正文-带编号1)"/>
    <w:basedOn w:val="1"/>
    <w:autoRedefine/>
    <w:qFormat/>
    <w:uiPriority w:val="99"/>
    <w:pPr>
      <w:numPr>
        <w:ilvl w:val="0"/>
        <w:numId w:val="25"/>
      </w:numPr>
      <w:spacing w:line="400" w:lineRule="exact"/>
    </w:pPr>
    <w:rPr>
      <w:rFonts w:ascii="Arial" w:hAnsi="Arial"/>
      <w:szCs w:val="24"/>
    </w:rPr>
  </w:style>
  <w:style w:type="paragraph" w:customStyle="1" w:styleId="710">
    <w:name w:val="tabletex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11">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2">
    <w:name w:val="丽天正文"/>
    <w:basedOn w:val="1"/>
    <w:autoRedefine/>
    <w:qFormat/>
    <w:uiPriority w:val="99"/>
    <w:pPr>
      <w:spacing w:line="540" w:lineRule="exact"/>
      <w:ind w:firstLine="560" w:firstLineChars="200"/>
    </w:pPr>
    <w:rPr>
      <w:rFonts w:ascii="宋体" w:hAnsi="宋体"/>
      <w:color w:val="000000"/>
      <w:sz w:val="28"/>
      <w:szCs w:val="28"/>
    </w:rPr>
  </w:style>
  <w:style w:type="paragraph" w:customStyle="1" w:styleId="713">
    <w:name w:val="_Style 1181"/>
    <w:basedOn w:val="1"/>
    <w:autoRedefine/>
    <w:qFormat/>
    <w:uiPriority w:val="99"/>
  </w:style>
  <w:style w:type="paragraph" w:customStyle="1" w:styleId="714">
    <w:name w:val="Char31"/>
    <w:basedOn w:val="1"/>
    <w:autoRedefine/>
    <w:qFormat/>
    <w:uiPriority w:val="99"/>
    <w:rPr>
      <w:rFonts w:ascii="仿宋_GB2312" w:hAnsi="Times New Roman" w:eastAsia="仿宋_GB2312"/>
      <w:b/>
      <w:sz w:val="32"/>
      <w:szCs w:val="32"/>
    </w:rPr>
  </w:style>
  <w:style w:type="paragraph" w:customStyle="1" w:styleId="715">
    <w:name w:val="p0"/>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716">
    <w:name w:val="xl9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7">
    <w:name w:val="xl114"/>
    <w:basedOn w:val="1"/>
    <w:autoRedefine/>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718">
    <w:name w:val="吉奥表头文字"/>
    <w:basedOn w:val="1"/>
    <w:autoRedefine/>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719">
    <w:name w:val="文档正文"/>
    <w:basedOn w:val="1"/>
    <w:autoRedefine/>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720">
    <w:name w:val="样式 标题 2 + 宋体 小四 段前: 0 磅 段后: 0 磅 行距: 1.5 倍行距"/>
    <w:basedOn w:val="3"/>
    <w:autoRedefine/>
    <w:qFormat/>
    <w:uiPriority w:val="99"/>
    <w:pPr>
      <w:numPr>
        <w:ilvl w:val="0"/>
        <w:numId w:val="26"/>
      </w:numPr>
      <w:spacing w:before="0" w:after="0" w:line="360" w:lineRule="auto"/>
    </w:pPr>
    <w:rPr>
      <w:rFonts w:ascii="宋体" w:hAnsi="宋体" w:eastAsia="宋体" w:cs="宋体"/>
      <w:sz w:val="24"/>
      <w:szCs w:val="20"/>
    </w:rPr>
  </w:style>
  <w:style w:type="paragraph" w:customStyle="1" w:styleId="721">
    <w:name w:val="P2"/>
    <w:basedOn w:val="1"/>
    <w:autoRedefine/>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722">
    <w:name w:val="Char Char Char2"/>
    <w:basedOn w:val="1"/>
    <w:autoRedefine/>
    <w:qFormat/>
    <w:uiPriority w:val="99"/>
    <w:rPr>
      <w:rFonts w:ascii="Times New Roman" w:hAnsi="Times New Roman" w:eastAsia="仿宋_GB2312" w:cs="宋体"/>
      <w:sz w:val="24"/>
      <w:szCs w:val="20"/>
    </w:rPr>
  </w:style>
  <w:style w:type="paragraph" w:customStyle="1" w:styleId="723">
    <w:name w:val="小四正文"/>
    <w:basedOn w:val="1"/>
    <w:autoRedefine/>
    <w:qFormat/>
    <w:uiPriority w:val="99"/>
    <w:pPr>
      <w:spacing w:line="360" w:lineRule="auto"/>
      <w:ind w:firstLine="200" w:firstLineChars="200"/>
    </w:pPr>
    <w:rPr>
      <w:rFonts w:ascii="Times New Roman" w:hAnsi="Times New Roman" w:eastAsia="仿宋_GB2312" w:cs="宋体"/>
      <w:sz w:val="24"/>
      <w:szCs w:val="24"/>
    </w:rPr>
  </w:style>
  <w:style w:type="paragraph" w:customStyle="1" w:styleId="724">
    <w:name w:val="Table Description"/>
    <w:next w:val="1"/>
    <w:autoRedefine/>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725">
    <w:name w:val="xl11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26">
    <w:name w:val="Char Char1 Char Char Char Char1 Char Char Char1"/>
    <w:basedOn w:val="1"/>
    <w:autoRedefine/>
    <w:qFormat/>
    <w:uiPriority w:val="99"/>
    <w:pPr>
      <w:adjustRightInd w:val="0"/>
      <w:spacing w:line="360" w:lineRule="atLeast"/>
      <w:textAlignment w:val="baseline"/>
    </w:pPr>
    <w:rPr>
      <w:rFonts w:ascii="Tahoma" w:hAnsi="Tahoma"/>
      <w:sz w:val="24"/>
      <w:szCs w:val="20"/>
    </w:rPr>
  </w:style>
  <w:style w:type="paragraph" w:customStyle="1" w:styleId="727">
    <w:name w:val="Char6"/>
    <w:basedOn w:val="1"/>
    <w:autoRedefine/>
    <w:qFormat/>
    <w:uiPriority w:val="99"/>
    <w:pPr>
      <w:tabs>
        <w:tab w:val="left" w:pos="432"/>
      </w:tabs>
      <w:ind w:left="432" w:hanging="432"/>
    </w:pPr>
    <w:rPr>
      <w:rFonts w:ascii="Times New Roman" w:hAnsi="Times New Roman"/>
      <w:sz w:val="24"/>
      <w:szCs w:val="24"/>
    </w:rPr>
  </w:style>
  <w:style w:type="paragraph" w:customStyle="1" w:styleId="728">
    <w:name w:val="正文3"/>
    <w:basedOn w:val="1"/>
    <w:autoRedefine/>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729">
    <w:name w:val="Char Char Char Char"/>
    <w:basedOn w:val="1"/>
    <w:autoRedefine/>
    <w:qFormat/>
    <w:uiPriority w:val="99"/>
    <w:pPr>
      <w:widowControl/>
      <w:spacing w:after="160" w:line="240" w:lineRule="exact"/>
      <w:jc w:val="left"/>
    </w:pPr>
    <w:rPr>
      <w:rFonts w:ascii="Arial" w:hAnsi="Arial" w:cs="Verdana"/>
      <w:b/>
      <w:kern w:val="0"/>
      <w:sz w:val="24"/>
      <w:szCs w:val="20"/>
      <w:lang w:eastAsia="en-US"/>
    </w:rPr>
  </w:style>
  <w:style w:type="paragraph" w:customStyle="1" w:styleId="730">
    <w:name w:val="样式 样式 标题 4 + 段后: 0.5 行 + 段后: 0.5 行"/>
    <w:basedOn w:val="418"/>
    <w:autoRedefine/>
    <w:qFormat/>
    <w:uiPriority w:val="99"/>
    <w:pPr>
      <w:numPr>
        <w:ilvl w:val="0"/>
        <w:numId w:val="0"/>
      </w:numPr>
      <w:tabs>
        <w:tab w:val="left" w:pos="864"/>
      </w:tabs>
      <w:ind w:left="864" w:hanging="864"/>
    </w:pPr>
  </w:style>
  <w:style w:type="paragraph" w:customStyle="1" w:styleId="731">
    <w:name w:val="默认段落字体 Para Char Char Char"/>
    <w:basedOn w:val="1"/>
    <w:autoRedefine/>
    <w:qFormat/>
    <w:uiPriority w:val="99"/>
    <w:rPr>
      <w:rFonts w:ascii="Times New Roman" w:hAnsi="Times New Roman"/>
      <w:szCs w:val="24"/>
    </w:rPr>
  </w:style>
  <w:style w:type="paragraph" w:customStyle="1" w:styleId="732">
    <w:name w:val="注意事项"/>
    <w:basedOn w:val="1"/>
    <w:autoRedefine/>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33">
    <w:name w:val="graytext"/>
    <w:basedOn w:val="1"/>
    <w:autoRedefine/>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734">
    <w:name w:val="xl8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5">
    <w:name w:val="Char Char Char1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36">
    <w:name w:val="Char5"/>
    <w:basedOn w:val="1"/>
    <w:autoRedefine/>
    <w:qFormat/>
    <w:uiPriority w:val="99"/>
    <w:pPr>
      <w:tabs>
        <w:tab w:val="left" w:pos="432"/>
      </w:tabs>
      <w:ind w:left="432" w:hanging="432"/>
    </w:pPr>
    <w:rPr>
      <w:rFonts w:ascii="Times New Roman" w:hAnsi="Times New Roman"/>
      <w:sz w:val="24"/>
      <w:szCs w:val="24"/>
    </w:rPr>
  </w:style>
  <w:style w:type="paragraph" w:customStyle="1" w:styleId="737">
    <w:name w:val="Char Char Char"/>
    <w:basedOn w:val="1"/>
    <w:autoRedefine/>
    <w:qFormat/>
    <w:uiPriority w:val="99"/>
    <w:rPr>
      <w:rFonts w:ascii="Tahoma" w:hAnsi="Tahoma"/>
      <w:sz w:val="24"/>
      <w:szCs w:val="20"/>
    </w:rPr>
  </w:style>
  <w:style w:type="paragraph" w:customStyle="1" w:styleId="738">
    <w:name w:val="正文样式"/>
    <w:basedOn w:val="1"/>
    <w:autoRedefine/>
    <w:qFormat/>
    <w:uiPriority w:val="99"/>
    <w:pPr>
      <w:spacing w:line="360" w:lineRule="auto"/>
      <w:ind w:firstLine="200" w:firstLineChars="200"/>
    </w:pPr>
    <w:rPr>
      <w:rFonts w:ascii="宋体" w:hAnsi="Times New Roman"/>
      <w:sz w:val="24"/>
      <w:szCs w:val="24"/>
    </w:rPr>
  </w:style>
  <w:style w:type="paragraph" w:customStyle="1" w:styleId="739">
    <w:name w:val="xl11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0">
    <w:name w:val="Char Char Char11"/>
    <w:basedOn w:val="1"/>
    <w:autoRedefine/>
    <w:qFormat/>
    <w:uiPriority w:val="99"/>
  </w:style>
  <w:style w:type="paragraph" w:customStyle="1" w:styleId="741">
    <w:name w:val="font11"/>
    <w:basedOn w:val="1"/>
    <w:autoRedefine/>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742">
    <w:name w:val="正文文本 New"/>
    <w:basedOn w:val="1"/>
    <w:autoRedefine/>
    <w:qFormat/>
    <w:uiPriority w:val="99"/>
    <w:pPr>
      <w:spacing w:after="120"/>
    </w:pPr>
    <w:rPr>
      <w:rFonts w:ascii="Times New Roman" w:hAnsi="Times New Roman"/>
      <w:sz w:val="28"/>
      <w:szCs w:val="24"/>
    </w:rPr>
  </w:style>
  <w:style w:type="paragraph" w:customStyle="1" w:styleId="743">
    <w:name w:val="Normal0"/>
    <w:autoRedefine/>
    <w:qFormat/>
    <w:uiPriority w:val="99"/>
    <w:rPr>
      <w:rFonts w:ascii="Times New Roman" w:hAnsi="Times New Roman" w:eastAsia="宋体" w:cs="Times New Roman"/>
      <w:lang w:val="en-US" w:eastAsia="en-US" w:bidi="ar-SA"/>
    </w:rPr>
  </w:style>
  <w:style w:type="paragraph" w:customStyle="1" w:styleId="744">
    <w:name w:val="ZJGIS-一级标题"/>
    <w:basedOn w:val="2"/>
    <w:autoRedefine/>
    <w:qFormat/>
    <w:uiPriority w:val="99"/>
    <w:pPr>
      <w:keepNext/>
      <w:keepLines/>
      <w:numPr>
        <w:ilvl w:val="0"/>
        <w:numId w:val="8"/>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745">
    <w:name w:val="footnote"/>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746">
    <w:name w:val="xl12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7">
    <w:name w:val="普通(网站)1"/>
    <w:basedOn w:val="1"/>
    <w:autoRedefine/>
    <w:qFormat/>
    <w:uiPriority w:val="99"/>
    <w:pPr>
      <w:widowControl/>
      <w:spacing w:before="100" w:beforeAutospacing="1" w:after="100" w:afterAutospacing="1"/>
      <w:jc w:val="left"/>
    </w:pPr>
    <w:rPr>
      <w:rFonts w:ascii="宋体" w:hAnsi="宋体"/>
      <w:color w:val="000000"/>
      <w:sz w:val="24"/>
    </w:rPr>
  </w:style>
  <w:style w:type="paragraph" w:customStyle="1" w:styleId="748">
    <w:name w:val="二级项目符号"/>
    <w:basedOn w:val="1"/>
    <w:autoRedefine/>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749">
    <w:name w:val="列表（编号二级）（绿盟科技）"/>
    <w:basedOn w:val="652"/>
    <w:autoRedefine/>
    <w:qFormat/>
    <w:uiPriority w:val="99"/>
    <w:pPr>
      <w:numPr>
        <w:ilvl w:val="1"/>
      </w:numPr>
      <w:tabs>
        <w:tab w:val="left" w:pos="1260"/>
      </w:tabs>
      <w:spacing w:beforeLines="0"/>
      <w:ind w:left="1260"/>
    </w:pPr>
  </w:style>
  <w:style w:type="paragraph" w:customStyle="1" w:styleId="750">
    <w:name w:val="pa-7"/>
    <w:basedOn w:val="1"/>
    <w:autoRedefine/>
    <w:qFormat/>
    <w:uiPriority w:val="99"/>
    <w:pPr>
      <w:widowControl/>
      <w:spacing w:before="150" w:after="150"/>
      <w:jc w:val="left"/>
    </w:pPr>
    <w:rPr>
      <w:rFonts w:ascii="宋体" w:hAnsi="宋体" w:cs="宋体"/>
      <w:kern w:val="0"/>
      <w:sz w:val="24"/>
      <w:szCs w:val="24"/>
    </w:rPr>
  </w:style>
  <w:style w:type="paragraph" w:customStyle="1" w:styleId="751">
    <w:name w:val="Char2"/>
    <w:basedOn w:val="1"/>
    <w:autoRedefine/>
    <w:qFormat/>
    <w:uiPriority w:val="99"/>
    <w:rPr>
      <w:rFonts w:ascii="仿宋_GB2312" w:hAnsi="Times New Roman" w:eastAsia="仿宋_GB2312"/>
      <w:b/>
      <w:sz w:val="32"/>
      <w:szCs w:val="20"/>
    </w:rPr>
  </w:style>
  <w:style w:type="paragraph" w:customStyle="1" w:styleId="752">
    <w:name w:val="书籍标题3"/>
    <w:basedOn w:val="1"/>
    <w:autoRedefine/>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753">
    <w:name w:val="xl10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54">
    <w:name w:val="aspnumfaautoadjustrightr"/>
    <w:autoRedefine/>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5">
    <w:name w:val="Table Contents"/>
    <w:basedOn w:val="1"/>
    <w:autoRedefine/>
    <w:qFormat/>
    <w:uiPriority w:val="99"/>
    <w:pPr>
      <w:suppressAutoHyphens/>
      <w:autoSpaceDE w:val="0"/>
      <w:spacing w:after="120"/>
      <w:jc w:val="left"/>
    </w:pPr>
    <w:rPr>
      <w:rFonts w:ascii="Helvetica" w:hAnsi="Helvetica"/>
      <w:kern w:val="1"/>
      <w:sz w:val="20"/>
      <w:szCs w:val="20"/>
    </w:rPr>
  </w:style>
  <w:style w:type="paragraph" w:customStyle="1" w:styleId="756">
    <w:name w:val="Char8"/>
    <w:basedOn w:val="1"/>
    <w:autoRedefine/>
    <w:qFormat/>
    <w:uiPriority w:val="99"/>
    <w:pPr>
      <w:tabs>
        <w:tab w:val="left" w:pos="432"/>
      </w:tabs>
      <w:ind w:left="432" w:hanging="432"/>
    </w:pPr>
    <w:rPr>
      <w:rFonts w:ascii="Times New Roman" w:hAnsi="Times New Roman"/>
      <w:sz w:val="24"/>
      <w:szCs w:val="24"/>
    </w:rPr>
  </w:style>
  <w:style w:type="paragraph" w:customStyle="1" w:styleId="757">
    <w:name w:val="contentarticle"/>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58">
    <w:name w:val="psubhead2cmt"/>
    <w:basedOn w:val="1"/>
    <w:autoRedefine/>
    <w:qFormat/>
    <w:uiPriority w:val="99"/>
    <w:pPr>
      <w:widowControl/>
      <w:spacing w:before="100" w:beforeAutospacing="1" w:after="100" w:afterAutospacing="1"/>
      <w:jc w:val="left"/>
    </w:pPr>
    <w:rPr>
      <w:rFonts w:ascii="Times New Roman" w:hAnsi="Times New Roman"/>
      <w:kern w:val="0"/>
      <w:sz w:val="24"/>
      <w:szCs w:val="24"/>
    </w:rPr>
  </w:style>
  <w:style w:type="paragraph" w:customStyle="1" w:styleId="759">
    <w:name w:val="表格标题"/>
    <w:basedOn w:val="519"/>
    <w:autoRedefine/>
    <w:qFormat/>
    <w:uiPriority w:val="99"/>
    <w:pPr>
      <w:numPr>
        <w:ilvl w:val="0"/>
        <w:numId w:val="27"/>
      </w:numPr>
      <w:tabs>
        <w:tab w:val="clear" w:pos="360"/>
      </w:tabs>
      <w:ind w:left="0" w:firstLine="0"/>
      <w:jc w:val="center"/>
    </w:pPr>
    <w:rPr>
      <w:b/>
      <w:bCs/>
      <w:i/>
      <w:iCs/>
    </w:rPr>
  </w:style>
  <w:style w:type="paragraph" w:customStyle="1" w:styleId="760">
    <w:name w:val="文档正文 Char"/>
    <w:basedOn w:val="1"/>
    <w:autoRedefine/>
    <w:qFormat/>
    <w:uiPriority w:val="99"/>
    <w:pPr>
      <w:adjustRightInd w:val="0"/>
      <w:spacing w:line="500" w:lineRule="atLeast"/>
      <w:ind w:firstLine="567"/>
    </w:pPr>
    <w:rPr>
      <w:rFonts w:ascii="仿宋_GB2312" w:hAnsi="Times New Roman" w:eastAsia="仿宋_GB2312"/>
      <w:sz w:val="28"/>
      <w:szCs w:val="24"/>
    </w:rPr>
  </w:style>
  <w:style w:type="paragraph" w:customStyle="1" w:styleId="761">
    <w:name w:val="样式 样式 标题 4 + 段后: 0.5 行1"/>
    <w:basedOn w:val="418"/>
    <w:next w:val="39"/>
    <w:autoRedefine/>
    <w:qFormat/>
    <w:uiPriority w:val="99"/>
    <w:pPr>
      <w:numPr>
        <w:ilvl w:val="1"/>
        <w:numId w:val="5"/>
      </w:numPr>
      <w:spacing w:after="120"/>
      <w:ind w:left="0" w:firstLine="0"/>
    </w:pPr>
  </w:style>
  <w:style w:type="paragraph" w:customStyle="1" w:styleId="762">
    <w:name w:val="xl70"/>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763">
    <w:name w:val="Char Char3 Char Char Char Char"/>
    <w:basedOn w:val="1"/>
    <w:autoRedefine/>
    <w:qFormat/>
    <w:uiPriority w:val="99"/>
    <w:pPr>
      <w:widowControl/>
      <w:spacing w:after="160" w:line="360" w:lineRule="auto"/>
      <w:jc w:val="left"/>
    </w:pPr>
    <w:rPr>
      <w:rFonts w:ascii="Verdana" w:hAnsi="Verdana"/>
      <w:kern w:val="0"/>
      <w:sz w:val="24"/>
      <w:szCs w:val="20"/>
      <w:lang w:eastAsia="en-US"/>
    </w:rPr>
  </w:style>
  <w:style w:type="paragraph" w:customStyle="1" w:styleId="764">
    <w:name w:val="Char4"/>
    <w:basedOn w:val="1"/>
    <w:autoRedefine/>
    <w:qFormat/>
    <w:uiPriority w:val="99"/>
    <w:pPr>
      <w:tabs>
        <w:tab w:val="left" w:pos="432"/>
      </w:tabs>
      <w:ind w:left="432" w:hanging="432"/>
    </w:pPr>
    <w:rPr>
      <w:rFonts w:ascii="Times New Roman" w:hAnsi="Times New Roman"/>
      <w:sz w:val="24"/>
      <w:szCs w:val="24"/>
    </w:rPr>
  </w:style>
  <w:style w:type="paragraph" w:customStyle="1" w:styleId="765">
    <w:name w:val="Normal Indent1"/>
    <w:basedOn w:val="1"/>
    <w:autoRedefine/>
    <w:qFormat/>
    <w:uiPriority w:val="99"/>
    <w:pPr>
      <w:ind w:firstLine="420"/>
    </w:pPr>
    <w:rPr>
      <w:rFonts w:ascii="Times New Roman" w:hAnsi="Times New Roman"/>
      <w:szCs w:val="20"/>
    </w:rPr>
  </w:style>
  <w:style w:type="paragraph" w:customStyle="1" w:styleId="766">
    <w:name w:val="xl64"/>
    <w:basedOn w:val="1"/>
    <w:autoRedefine/>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767">
    <w:name w:val="封面1级标题"/>
    <w:basedOn w:val="1"/>
    <w:next w:val="1"/>
    <w:autoRedefine/>
    <w:qFormat/>
    <w:uiPriority w:val="99"/>
    <w:pPr>
      <w:spacing w:beforeLines="800"/>
      <w:jc w:val="center"/>
    </w:pPr>
    <w:rPr>
      <w:rFonts w:ascii="Arial" w:hAnsi="Arial" w:eastAsia="黑体" w:cs="宋体"/>
      <w:b/>
      <w:sz w:val="72"/>
      <w:szCs w:val="72"/>
    </w:rPr>
  </w:style>
  <w:style w:type="paragraph" w:customStyle="1" w:styleId="768">
    <w:name w:val="标书_标题2"/>
    <w:basedOn w:val="3"/>
    <w:autoRedefine/>
    <w:qFormat/>
    <w:uiPriority w:val="99"/>
    <w:pPr>
      <w:spacing w:after="0" w:line="415" w:lineRule="auto"/>
    </w:pPr>
    <w:rPr>
      <w:sz w:val="28"/>
      <w:szCs w:val="20"/>
    </w:rPr>
  </w:style>
  <w:style w:type="paragraph" w:customStyle="1" w:styleId="769">
    <w:name w:val="表格标题栏"/>
    <w:basedOn w:val="1"/>
    <w:autoRedefine/>
    <w:qFormat/>
    <w:uiPriority w:val="99"/>
    <w:pPr>
      <w:shd w:val="pct5" w:color="auto" w:fill="auto"/>
      <w:jc w:val="center"/>
      <w:textAlignment w:val="center"/>
    </w:pPr>
    <w:rPr>
      <w:rFonts w:ascii="新宋体" w:hAnsi="新宋体" w:eastAsia="华文中宋"/>
      <w:b/>
      <w:sz w:val="28"/>
      <w:szCs w:val="28"/>
    </w:rPr>
  </w:style>
  <w:style w:type="paragraph" w:customStyle="1" w:styleId="770">
    <w:name w:val="xl76"/>
    <w:basedOn w:val="1"/>
    <w:autoRedefine/>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771">
    <w:name w:val="正文居中_加粗"/>
    <w:basedOn w:val="1"/>
    <w:autoRedefine/>
    <w:qFormat/>
    <w:uiPriority w:val="99"/>
    <w:pPr>
      <w:spacing w:line="360" w:lineRule="auto"/>
      <w:jc w:val="center"/>
    </w:pPr>
    <w:rPr>
      <w:rFonts w:ascii="宋体" w:hAnsi="宋体"/>
      <w:b/>
      <w:sz w:val="24"/>
      <w:szCs w:val="24"/>
    </w:rPr>
  </w:style>
  <w:style w:type="paragraph" w:customStyle="1" w:styleId="772">
    <w:name w:val="Char Char Char Char1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773">
    <w:name w:val="一级项目符号"/>
    <w:basedOn w:val="1"/>
    <w:autoRedefine/>
    <w:qFormat/>
    <w:uiPriority w:val="99"/>
    <w:pPr>
      <w:widowControl/>
      <w:numPr>
        <w:ilvl w:val="0"/>
        <w:numId w:val="28"/>
      </w:numPr>
      <w:spacing w:line="360" w:lineRule="auto"/>
    </w:pPr>
    <w:rPr>
      <w:rFonts w:ascii="Times New Roman" w:hAnsi="Times New Roman"/>
      <w:kern w:val="0"/>
      <w:sz w:val="24"/>
      <w:szCs w:val="20"/>
    </w:rPr>
  </w:style>
  <w:style w:type="paragraph" w:customStyle="1" w:styleId="774">
    <w:name w:val="标题1"/>
    <w:basedOn w:val="33"/>
    <w:autoRedefine/>
    <w:qFormat/>
    <w:uiPriority w:val="99"/>
    <w:pPr>
      <w:spacing w:beforeLines="0" w:afterLines="0" w:line="360" w:lineRule="auto"/>
    </w:pPr>
    <w:rPr>
      <w:b/>
      <w:sz w:val="30"/>
      <w:szCs w:val="20"/>
    </w:rPr>
  </w:style>
  <w:style w:type="paragraph" w:customStyle="1" w:styleId="775">
    <w:name w:val="xl10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6">
    <w:name w:val="15"/>
    <w:basedOn w:val="1"/>
    <w:autoRedefine/>
    <w:qFormat/>
    <w:uiPriority w:val="99"/>
    <w:pPr>
      <w:widowControl/>
      <w:spacing w:line="312" w:lineRule="auto"/>
      <w:ind w:firstLine="202"/>
    </w:pPr>
    <w:rPr>
      <w:rFonts w:ascii="Times New Roman" w:hAnsi="Times New Roman"/>
      <w:kern w:val="0"/>
      <w:sz w:val="24"/>
      <w:szCs w:val="24"/>
    </w:rPr>
  </w:style>
  <w:style w:type="paragraph" w:customStyle="1" w:styleId="777">
    <w:name w:val="Style-正文"/>
    <w:basedOn w:val="1"/>
    <w:autoRedefine/>
    <w:qFormat/>
    <w:uiPriority w:val="99"/>
    <w:pPr>
      <w:spacing w:line="360" w:lineRule="auto"/>
      <w:ind w:firstLine="420"/>
    </w:pPr>
    <w:rPr>
      <w:rFonts w:ascii="宋体" w:hAnsi="宋体"/>
      <w:sz w:val="24"/>
      <w:szCs w:val="24"/>
    </w:rPr>
  </w:style>
  <w:style w:type="paragraph" w:customStyle="1" w:styleId="778">
    <w:name w:val="xl78"/>
    <w:basedOn w:val="1"/>
    <w:autoRedefine/>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79">
    <w:name w:val="标准有序列表（L1）"/>
    <w:basedOn w:val="17"/>
    <w:autoRedefine/>
    <w:qFormat/>
    <w:uiPriority w:val="99"/>
    <w:pPr>
      <w:tabs>
        <w:tab w:val="left" w:pos="0"/>
      </w:tabs>
      <w:spacing w:line="360" w:lineRule="auto"/>
      <w:ind w:firstLine="0"/>
    </w:pPr>
    <w:rPr>
      <w:rFonts w:ascii="黑体" w:eastAsia="黑体"/>
      <w:color w:val="000000"/>
      <w:sz w:val="24"/>
    </w:rPr>
  </w:style>
  <w:style w:type="paragraph" w:customStyle="1" w:styleId="780">
    <w:name w:val="xl1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1">
    <w:name w:val="Table_Medium"/>
    <w:basedOn w:val="699"/>
    <w:autoRedefine/>
    <w:qFormat/>
    <w:uiPriority w:val="99"/>
    <w:rPr>
      <w:sz w:val="18"/>
    </w:rPr>
  </w:style>
  <w:style w:type="paragraph" w:customStyle="1" w:styleId="782">
    <w:name w:val="Paragraph3"/>
    <w:basedOn w:val="1"/>
    <w:autoRedefine/>
    <w:qFormat/>
    <w:uiPriority w:val="99"/>
    <w:pPr>
      <w:spacing w:before="80" w:afterLines="50"/>
      <w:ind w:left="1530"/>
    </w:pPr>
    <w:rPr>
      <w:rFonts w:ascii="宋体" w:hAnsi="Times New Roman"/>
      <w:kern w:val="0"/>
      <w:szCs w:val="20"/>
    </w:rPr>
  </w:style>
  <w:style w:type="paragraph" w:customStyle="1" w:styleId="783">
    <w:name w:val="xl9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84">
    <w:name w:val="font10"/>
    <w:basedOn w:val="1"/>
    <w:autoRedefine/>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785">
    <w:name w:val="封面2级标题"/>
    <w:basedOn w:val="1"/>
    <w:next w:val="270"/>
    <w:autoRedefine/>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6">
    <w:name w:val="正文文本缩进 21"/>
    <w:basedOn w:val="1"/>
    <w:autoRedefine/>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87">
    <w:name w:val="xl10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8">
    <w:name w:val="huide00"/>
    <w:basedOn w:val="1"/>
    <w:autoRedefine/>
    <w:qFormat/>
    <w:uiPriority w:val="99"/>
    <w:pPr>
      <w:widowControl/>
      <w:spacing w:before="100" w:beforeAutospacing="1" w:after="100" w:afterAutospacing="1"/>
      <w:jc w:val="left"/>
    </w:pPr>
    <w:rPr>
      <w:rFonts w:ascii="Arial" w:hAnsi="Arial" w:cs="Arial"/>
      <w:color w:val="666666"/>
      <w:kern w:val="0"/>
      <w:sz w:val="18"/>
      <w:szCs w:val="18"/>
    </w:rPr>
  </w:style>
  <w:style w:type="paragraph" w:customStyle="1" w:styleId="789">
    <w:name w:val="新昌图表样式"/>
    <w:basedOn w:val="18"/>
    <w:autoRedefine/>
    <w:qFormat/>
    <w:uiPriority w:val="99"/>
    <w:pPr>
      <w:spacing w:beforeLines="50" w:afterLines="50"/>
      <w:jc w:val="center"/>
    </w:pPr>
    <w:rPr>
      <w:rFonts w:ascii="黑体"/>
      <w:kern w:val="0"/>
      <w:sz w:val="24"/>
      <w:szCs w:val="24"/>
    </w:rPr>
  </w:style>
  <w:style w:type="paragraph" w:customStyle="1" w:styleId="790">
    <w:name w:val="样式"/>
    <w:basedOn w:val="1"/>
    <w:autoRedefine/>
    <w:qFormat/>
    <w:uiPriority w:val="99"/>
    <w:pPr>
      <w:autoSpaceDE w:val="0"/>
      <w:autoSpaceDN w:val="0"/>
      <w:snapToGrid w:val="0"/>
      <w:spacing w:before="120" w:after="120" w:line="360" w:lineRule="auto"/>
      <w:jc w:val="left"/>
    </w:pPr>
    <w:rPr>
      <w:rFonts w:ascii="宋体" w:hAnsi="宋体" w:eastAsia="仿宋_GB2312" w:cs="Arial"/>
      <w:sz w:val="24"/>
      <w:szCs w:val="20"/>
    </w:rPr>
  </w:style>
  <w:style w:type="paragraph" w:customStyle="1" w:styleId="791">
    <w:name w:val="Char Char1 Char"/>
    <w:basedOn w:val="1"/>
    <w:autoRedefine/>
    <w:qFormat/>
    <w:uiPriority w:val="99"/>
    <w:rPr>
      <w:rFonts w:ascii="仿宋_GB2312" w:hAnsi="Times New Roman" w:eastAsia="仿宋_GB2312"/>
      <w:b/>
      <w:sz w:val="32"/>
      <w:szCs w:val="32"/>
    </w:rPr>
  </w:style>
  <w:style w:type="paragraph" w:customStyle="1" w:styleId="792">
    <w:name w:val="无间隔11"/>
    <w:autoRedefine/>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793">
    <w:name w:val="pa-30"/>
    <w:basedOn w:val="1"/>
    <w:autoRedefine/>
    <w:qFormat/>
    <w:uiPriority w:val="99"/>
    <w:pPr>
      <w:widowControl/>
      <w:spacing w:before="150" w:after="150"/>
      <w:jc w:val="left"/>
    </w:pPr>
    <w:rPr>
      <w:rFonts w:ascii="宋体" w:hAnsi="宋体" w:cs="宋体"/>
      <w:kern w:val="0"/>
      <w:sz w:val="24"/>
      <w:szCs w:val="24"/>
    </w:rPr>
  </w:style>
  <w:style w:type="paragraph" w:customStyle="1" w:styleId="794">
    <w:name w:val="小标题"/>
    <w:basedOn w:val="25"/>
    <w:autoRedefine/>
    <w:qFormat/>
    <w:uiPriority w:val="99"/>
    <w:pPr>
      <w:tabs>
        <w:tab w:val="left" w:pos="840"/>
      </w:tabs>
      <w:spacing w:before="60" w:after="60" w:line="360" w:lineRule="auto"/>
      <w:ind w:left="840" w:hanging="420"/>
    </w:pPr>
    <w:rPr>
      <w:rFonts w:eastAsia="黑体"/>
      <w:sz w:val="24"/>
      <w:szCs w:val="20"/>
    </w:rPr>
  </w:style>
  <w:style w:type="paragraph" w:customStyle="1" w:styleId="795">
    <w:name w:val="_Style 1481"/>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96">
    <w:name w:val="样式 样式 正文文本缩进 + 仿宋_GB2312 小四 首行缩进:  0 厘米 行距: 1.5 倍行距 + (中文) 仿宋_GB... Char Char"/>
    <w:basedOn w:val="445"/>
    <w:autoRedefine/>
    <w:qFormat/>
    <w:uiPriority w:val="99"/>
    <w:pPr>
      <w:ind w:firstLine="480" w:firstLineChars="200"/>
    </w:pPr>
  </w:style>
  <w:style w:type="paragraph" w:customStyle="1" w:styleId="797">
    <w:name w:val="xl74"/>
    <w:basedOn w:val="1"/>
    <w:autoRedefine/>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98">
    <w:name w:val="Char3 Char Char Char"/>
    <w:basedOn w:val="1"/>
    <w:autoRedefine/>
    <w:qFormat/>
    <w:uiPriority w:val="99"/>
    <w:pPr>
      <w:widowControl/>
      <w:spacing w:after="160" w:line="240" w:lineRule="exact"/>
      <w:jc w:val="left"/>
    </w:pPr>
    <w:rPr>
      <w:rFonts w:ascii="Times New Roman" w:hAnsi="Times New Roman"/>
      <w:szCs w:val="20"/>
    </w:rPr>
  </w:style>
  <w:style w:type="paragraph" w:customStyle="1" w:styleId="799">
    <w:name w:val="无间隔2"/>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00">
    <w:name w:val="标题 3 （加黑）"/>
    <w:basedOn w:val="4"/>
    <w:autoRedefine/>
    <w:qFormat/>
    <w:uiPriority w:val="99"/>
    <w:pPr>
      <w:keepNext w:val="0"/>
      <w:spacing w:before="120" w:after="120" w:line="413" w:lineRule="auto"/>
      <w:ind w:left="354" w:hanging="354" w:hangingChars="150"/>
    </w:pPr>
    <w:rPr>
      <w:rFonts w:ascii="Times New Roman" w:hAnsi="Times New Roman"/>
      <w:sz w:val="24"/>
      <w:szCs w:val="20"/>
    </w:rPr>
  </w:style>
  <w:style w:type="paragraph" w:customStyle="1" w:styleId="801">
    <w:name w:val="Char3"/>
    <w:basedOn w:val="1"/>
    <w:autoRedefine/>
    <w:qFormat/>
    <w:uiPriority w:val="99"/>
    <w:rPr>
      <w:rFonts w:ascii="仿宋_GB2312" w:hAnsi="Times New Roman" w:eastAsia="仿宋_GB2312"/>
      <w:b/>
      <w:sz w:val="32"/>
      <w:szCs w:val="20"/>
    </w:rPr>
  </w:style>
  <w:style w:type="paragraph" w:customStyle="1" w:styleId="802">
    <w:name w:val="Tabletext"/>
    <w:basedOn w:val="1"/>
    <w:autoRedefine/>
    <w:qFormat/>
    <w:uiPriority w:val="99"/>
    <w:pPr>
      <w:keepLines/>
      <w:spacing w:afterLines="50"/>
      <w:jc w:val="left"/>
    </w:pPr>
    <w:rPr>
      <w:rFonts w:ascii="宋体" w:hAnsi="Times New Roman"/>
      <w:kern w:val="0"/>
      <w:szCs w:val="20"/>
    </w:rPr>
  </w:style>
  <w:style w:type="paragraph" w:customStyle="1" w:styleId="803">
    <w:name w:val="无间隔211"/>
    <w:autoRedefine/>
    <w:qFormat/>
    <w:uiPriority w:val="99"/>
    <w:rPr>
      <w:rFonts w:ascii="Times New Roman" w:hAnsi="Times New Roman" w:eastAsia="宋体" w:cs="Times New Roman"/>
      <w:kern w:val="2"/>
      <w:sz w:val="22"/>
      <w:szCs w:val="22"/>
      <w:lang w:val="en-US" w:eastAsia="zh-CN" w:bidi="ar-SA"/>
    </w:rPr>
  </w:style>
  <w:style w:type="paragraph" w:customStyle="1" w:styleId="804">
    <w:name w:val="xl9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5">
    <w:name w:val="样式 标题 2Chapter X.X. Statementh22Header 2l2Level 2 Headhea...1"/>
    <w:basedOn w:val="4"/>
    <w:autoRedefine/>
    <w:qFormat/>
    <w:uiPriority w:val="99"/>
    <w:pPr>
      <w:keepLines w:val="0"/>
      <w:spacing w:before="120" w:afterLines="50" w:line="240" w:lineRule="auto"/>
      <w:jc w:val="left"/>
    </w:pPr>
    <w:rPr>
      <w:rFonts w:ascii="宋体" w:cs="宋体"/>
      <w:kern w:val="0"/>
      <w:sz w:val="24"/>
      <w:szCs w:val="20"/>
    </w:rPr>
  </w:style>
  <w:style w:type="paragraph" w:customStyle="1" w:styleId="806">
    <w:name w:val="ZJGIS-三级标题"/>
    <w:basedOn w:val="4"/>
    <w:autoRedefine/>
    <w:qFormat/>
    <w:uiPriority w:val="99"/>
    <w:pPr>
      <w:numPr>
        <w:ilvl w:val="2"/>
        <w:numId w:val="8"/>
      </w:numPr>
      <w:spacing w:before="120" w:after="120" w:line="240" w:lineRule="auto"/>
    </w:pPr>
    <w:rPr>
      <w:rFonts w:ascii="Times New Roman" w:hAnsi="Times New Roman" w:eastAsia="黑体"/>
      <w:sz w:val="28"/>
      <w:szCs w:val="28"/>
    </w:rPr>
  </w:style>
  <w:style w:type="paragraph" w:customStyle="1" w:styleId="807">
    <w:name w:val="xl11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8">
    <w:name w:val="表格"/>
    <w:basedOn w:val="1"/>
    <w:autoRedefine/>
    <w:qFormat/>
    <w:uiPriority w:val="99"/>
    <w:pPr>
      <w:adjustRightInd w:val="0"/>
      <w:spacing w:beforeLines="25" w:afterLines="25"/>
      <w:textAlignment w:val="baseline"/>
    </w:pPr>
    <w:rPr>
      <w:rFonts w:ascii="Arial" w:hAnsi="Arial" w:eastAsia="仿宋_GB2312"/>
      <w:kern w:val="0"/>
      <w:sz w:val="24"/>
      <w:szCs w:val="28"/>
    </w:rPr>
  </w:style>
  <w:style w:type="paragraph" w:customStyle="1" w:styleId="809">
    <w:name w:val="5级"/>
    <w:basedOn w:val="1"/>
    <w:next w:val="17"/>
    <w:autoRedefine/>
    <w:qFormat/>
    <w:uiPriority w:val="99"/>
    <w:pPr>
      <w:numPr>
        <w:ilvl w:val="4"/>
        <w:numId w:val="29"/>
      </w:numPr>
    </w:pPr>
    <w:rPr>
      <w:rFonts w:eastAsia="黑体"/>
      <w:kern w:val="0"/>
      <w:sz w:val="24"/>
      <w:szCs w:val="20"/>
    </w:rPr>
  </w:style>
  <w:style w:type="paragraph" w:customStyle="1" w:styleId="810">
    <w:name w:val="Body"/>
    <w:basedOn w:val="1"/>
    <w:autoRedefine/>
    <w:qFormat/>
    <w:uiPriority w:val="99"/>
    <w:pPr>
      <w:widowControl/>
      <w:spacing w:before="120" w:afterLines="50"/>
    </w:pPr>
    <w:rPr>
      <w:rFonts w:ascii="宋体" w:hAnsi="Times New Roman"/>
      <w:kern w:val="0"/>
      <w:szCs w:val="20"/>
    </w:rPr>
  </w:style>
  <w:style w:type="paragraph" w:customStyle="1" w:styleId="811">
    <w:name w:val="xl83"/>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812">
    <w:name w:val="一"/>
    <w:basedOn w:val="262"/>
    <w:autoRedefine/>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813">
    <w:name w:val="xl11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814">
    <w:name w:val="样式 标题 3h33rd levelHeading 3 - oldH3Fab-3level_3PIM 3Leve..."/>
    <w:basedOn w:val="4"/>
    <w:autoRedefine/>
    <w:qFormat/>
    <w:uiPriority w:val="99"/>
    <w:pPr>
      <w:widowControl/>
      <w:spacing w:before="0" w:after="0" w:line="360" w:lineRule="auto"/>
      <w:jc w:val="left"/>
    </w:pPr>
    <w:rPr>
      <w:rFonts w:ascii="宋体" w:hAnsi="宋体" w:cs="宋体"/>
      <w:color w:val="000000"/>
      <w:spacing w:val="-5"/>
      <w:kern w:val="28"/>
      <w:sz w:val="30"/>
      <w:szCs w:val="30"/>
    </w:rPr>
  </w:style>
  <w:style w:type="paragraph" w:customStyle="1" w:styleId="815">
    <w:name w:val="_Style 164"/>
    <w:basedOn w:val="1"/>
    <w:autoRedefine/>
    <w:qFormat/>
    <w:uiPriority w:val="99"/>
    <w:rPr>
      <w:rFonts w:ascii="Times New Roman" w:hAnsi="Times New Roman"/>
      <w:szCs w:val="20"/>
    </w:rPr>
  </w:style>
  <w:style w:type="paragraph" w:customStyle="1" w:styleId="816">
    <w:name w:val="button"/>
    <w:basedOn w:val="1"/>
    <w:autoRedefine/>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817">
    <w:name w:val="xl75"/>
    <w:basedOn w:val="1"/>
    <w:autoRedefine/>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818">
    <w:name w:val="样式 标题 3Chapter X.X.X. + 五号 段后: 0.5 行"/>
    <w:basedOn w:val="4"/>
    <w:autoRedefine/>
    <w:qFormat/>
    <w:uiPriority w:val="99"/>
    <w:pPr>
      <w:keepLines w:val="0"/>
      <w:spacing w:before="120" w:afterLines="50" w:line="240" w:lineRule="auto"/>
      <w:jc w:val="left"/>
    </w:pPr>
    <w:rPr>
      <w:rFonts w:ascii="宋体" w:cs="宋体"/>
      <w:kern w:val="0"/>
      <w:sz w:val="21"/>
      <w:szCs w:val="20"/>
    </w:rPr>
  </w:style>
  <w:style w:type="paragraph" w:customStyle="1" w:styleId="819">
    <w:name w:val="ZJGIS-二级标题"/>
    <w:basedOn w:val="3"/>
    <w:autoRedefine/>
    <w:qFormat/>
    <w:uiPriority w:val="99"/>
    <w:pPr>
      <w:numPr>
        <w:ilvl w:val="1"/>
        <w:numId w:val="8"/>
      </w:numPr>
      <w:spacing w:before="240" w:after="240" w:line="240" w:lineRule="auto"/>
    </w:pPr>
    <w:rPr>
      <w:rFonts w:ascii="Times New Roman" w:hAnsi="Times New Roman" w:eastAsia="楷体_GB2312"/>
      <w:sz w:val="30"/>
      <w:szCs w:val="30"/>
    </w:rPr>
  </w:style>
  <w:style w:type="paragraph" w:customStyle="1" w:styleId="820">
    <w:name w:val="CM12"/>
    <w:basedOn w:val="116"/>
    <w:next w:val="116"/>
    <w:autoRedefine/>
    <w:qFormat/>
    <w:uiPriority w:val="99"/>
    <w:pPr>
      <w:spacing w:line="468" w:lineRule="atLeast"/>
    </w:pPr>
    <w:rPr>
      <w:rFonts w:ascii="宋体" w:eastAsia="宋体"/>
      <w:color w:val="auto"/>
    </w:rPr>
  </w:style>
  <w:style w:type="paragraph" w:customStyle="1" w:styleId="821">
    <w:name w:val="样式 楷体_GB2312 四号 行距: 多倍行距 1.25 字行"/>
    <w:basedOn w:val="1"/>
    <w:autoRedefine/>
    <w:qFormat/>
    <w:uiPriority w:val="99"/>
    <w:pPr>
      <w:tabs>
        <w:tab w:val="left" w:pos="6384"/>
      </w:tabs>
      <w:adjustRightInd w:val="0"/>
      <w:snapToGrid w:val="0"/>
      <w:spacing w:line="324" w:lineRule="auto"/>
      <w:ind w:firstLine="560" w:firstLineChars="200"/>
    </w:pPr>
    <w:rPr>
      <w:rFonts w:ascii="Times New Roman" w:hAnsi="Times New Roman" w:eastAsia="楷体_GB2312" w:cs="宋体"/>
      <w:kern w:val="0"/>
      <w:sz w:val="28"/>
      <w:szCs w:val="20"/>
    </w:rPr>
  </w:style>
  <w:style w:type="paragraph" w:customStyle="1" w:styleId="822">
    <w:name w:val="Char Char Char1"/>
    <w:basedOn w:val="1"/>
    <w:autoRedefine/>
    <w:qFormat/>
    <w:uiPriority w:val="99"/>
    <w:rPr>
      <w:rFonts w:ascii="Times New Roman" w:hAnsi="Times New Roman" w:eastAsia="仿宋_GB2312" w:cs="宋体"/>
      <w:sz w:val="24"/>
      <w:szCs w:val="20"/>
    </w:rPr>
  </w:style>
  <w:style w:type="paragraph" w:customStyle="1" w:styleId="823">
    <w:name w:val="ZJGIS-五级标题"/>
    <w:basedOn w:val="6"/>
    <w:autoRedefine/>
    <w:qFormat/>
    <w:uiPriority w:val="99"/>
    <w:pPr>
      <w:numPr>
        <w:ilvl w:val="4"/>
        <w:numId w:val="8"/>
      </w:numPr>
      <w:spacing w:before="120" w:after="120" w:line="240" w:lineRule="auto"/>
    </w:pPr>
    <w:rPr>
      <w:rFonts w:ascii="Times New Roman" w:hAnsi="Times New Roman"/>
      <w:sz w:val="24"/>
      <w:szCs w:val="24"/>
    </w:rPr>
  </w:style>
  <w:style w:type="paragraph" w:customStyle="1" w:styleId="824">
    <w:name w:val="吉奥封面(黑体小初)"/>
    <w:basedOn w:val="399"/>
    <w:autoRedefine/>
    <w:qFormat/>
    <w:uiPriority w:val="99"/>
    <w:pPr>
      <w:spacing w:before="480"/>
      <w:ind w:firstLine="0" w:firstLineChars="0"/>
      <w:jc w:val="center"/>
    </w:pPr>
    <w:rPr>
      <w:rFonts w:eastAsia="黑体"/>
      <w:sz w:val="72"/>
      <w:szCs w:val="72"/>
    </w:rPr>
  </w:style>
  <w:style w:type="table" w:customStyle="1" w:styleId="825">
    <w:name w:val="浅色列表 - 着色 51"/>
    <w:autoRedefine/>
    <w:qFormat/>
    <w:uiPriority w:val="99"/>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style>
  <w:style w:type="paragraph" w:customStyle="1" w:styleId="826">
    <w:name w:val="目录 71"/>
    <w:next w:val="1"/>
    <w:autoRedefine/>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827">
    <w:name w:val="标题5"/>
    <w:basedOn w:val="4"/>
    <w:link w:val="925"/>
    <w:autoRedefine/>
    <w:qFormat/>
    <w:uiPriority w:val="99"/>
    <w:pPr>
      <w:spacing w:line="413" w:lineRule="auto"/>
      <w:ind w:firstLine="604" w:firstLineChars="100"/>
      <w:jc w:val="center"/>
    </w:pPr>
    <w:rPr>
      <w:rFonts w:ascii="Arial" w:hAnsi="Arial" w:eastAsia="微软雅黑"/>
      <w:b/>
      <w:kern w:val="0"/>
      <w:szCs w:val="20"/>
    </w:rPr>
  </w:style>
  <w:style w:type="paragraph" w:customStyle="1" w:styleId="828">
    <w:name w:val="引用1"/>
    <w:basedOn w:val="1"/>
    <w:next w:val="1"/>
    <w:link w:val="949"/>
    <w:autoRedefine/>
    <w:qFormat/>
    <w:uiPriority w:val="99"/>
    <w:rPr>
      <w:rFonts w:ascii="Times New Roman" w:hAnsi="Times New Roman" w:eastAsia="微软雅黑"/>
      <w:i/>
      <w:color w:val="000000"/>
      <w:sz w:val="22"/>
      <w:szCs w:val="20"/>
    </w:rPr>
  </w:style>
  <w:style w:type="paragraph" w:customStyle="1" w:styleId="829">
    <w:name w:val="xl25"/>
    <w:basedOn w:val="1"/>
    <w:autoRedefine/>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830">
    <w:name w:val="xl71"/>
    <w:basedOn w:val="1"/>
    <w:autoRedefine/>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831">
    <w:name w:val="6'"/>
    <w:basedOn w:val="1"/>
    <w:autoRedefine/>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32">
    <w:name w:val="样式 样式 标题 3 + Calibri 加粗 左侧:  0 厘米 + 黑色 首行缩进:  2 字符"/>
    <w:basedOn w:val="833"/>
    <w:autoRedefine/>
    <w:qFormat/>
    <w:uiPriority w:val="99"/>
    <w:pPr>
      <w:spacing w:beforeLines="100"/>
    </w:pPr>
    <w:rPr>
      <w:color w:val="000000"/>
    </w:rPr>
  </w:style>
  <w:style w:type="paragraph" w:customStyle="1" w:styleId="833">
    <w:name w:val="样式 标题 3 + Calibri 加粗 左侧:  0 厘米"/>
    <w:basedOn w:val="4"/>
    <w:autoRedefine/>
    <w:qFormat/>
    <w:uiPriority w:val="99"/>
    <w:pPr>
      <w:keepNext w:val="0"/>
      <w:keepLines w:val="0"/>
      <w:spacing w:before="0" w:after="0" w:line="360" w:lineRule="auto"/>
      <w:ind w:firstLine="200" w:firstLineChars="200"/>
      <w:jc w:val="center"/>
    </w:pPr>
    <w:rPr>
      <w:rFonts w:eastAsia="华文中宋" w:cs="宋体"/>
      <w:sz w:val="28"/>
      <w:szCs w:val="20"/>
    </w:rPr>
  </w:style>
  <w:style w:type="paragraph" w:customStyle="1" w:styleId="834">
    <w:name w:val="Char Char4 Char Char Char Char"/>
    <w:basedOn w:val="1"/>
    <w:autoRedefine/>
    <w:qFormat/>
    <w:uiPriority w:val="99"/>
    <w:rPr>
      <w:rFonts w:ascii="Times New Roman" w:hAnsi="Times New Roman" w:eastAsia="仿宋_GB2312"/>
      <w:sz w:val="28"/>
      <w:szCs w:val="24"/>
    </w:rPr>
  </w:style>
  <w:style w:type="paragraph" w:customStyle="1" w:styleId="835">
    <w:name w:val="Char Char Char Char Char Char Char Char Char Char Char Char Char Char Char Char Char Char Char Char Char Char Char Char Char"/>
    <w:basedOn w:val="1"/>
    <w:autoRedefine/>
    <w:qFormat/>
    <w:uiPriority w:val="99"/>
    <w:rPr>
      <w:rFonts w:ascii="Tahoma" w:hAnsi="Tahoma"/>
      <w:sz w:val="24"/>
      <w:szCs w:val="20"/>
    </w:rPr>
  </w:style>
  <w:style w:type="paragraph" w:customStyle="1" w:styleId="836">
    <w:name w:val="样式 纯文本普通文字 Char纯文本 Char Char普通文字纯文本 Char Char Char Char Char..."/>
    <w:basedOn w:val="2"/>
    <w:next w:val="2"/>
    <w:autoRedefine/>
    <w:qFormat/>
    <w:uiPriority w:val="99"/>
    <w:pPr>
      <w:keepNext/>
      <w:keepLines/>
      <w:autoSpaceDE/>
      <w:autoSpaceDN/>
      <w:adjustRightInd/>
      <w:jc w:val="both"/>
    </w:pPr>
    <w:rPr>
      <w:rFonts w:ascii="宋体" w:eastAsia="微软雅黑"/>
      <w:color w:val="000000"/>
      <w:kern w:val="44"/>
      <w:szCs w:val="44"/>
    </w:rPr>
  </w:style>
  <w:style w:type="paragraph" w:customStyle="1" w:styleId="837">
    <w:name w:val="正文宋体"/>
    <w:basedOn w:val="1"/>
    <w:autoRedefine/>
    <w:qFormat/>
    <w:uiPriority w:val="99"/>
    <w:pPr>
      <w:spacing w:line="360" w:lineRule="auto"/>
    </w:pPr>
    <w:rPr>
      <w:rFonts w:ascii="宋体" w:hAnsi="宋体"/>
      <w:sz w:val="24"/>
      <w:szCs w:val="24"/>
    </w:rPr>
  </w:style>
  <w:style w:type="paragraph" w:customStyle="1" w:styleId="838">
    <w:name w:val="样式 标题 3 + 小三"/>
    <w:basedOn w:val="4"/>
    <w:autoRedefine/>
    <w:qFormat/>
    <w:uiPriority w:val="99"/>
    <w:pPr>
      <w:tabs>
        <w:tab w:val="left" w:pos="420"/>
      </w:tabs>
      <w:adjustRightInd w:val="0"/>
      <w:snapToGrid w:val="0"/>
      <w:spacing w:beforeLines="200" w:after="0" w:line="408" w:lineRule="auto"/>
      <w:ind w:firstLine="604" w:firstLineChars="100"/>
      <w:jc w:val="center"/>
    </w:pPr>
    <w:rPr>
      <w:rFonts w:ascii="宋体" w:hAnsi="Times New Roman" w:eastAsia="华文中宋"/>
      <w:sz w:val="30"/>
      <w:szCs w:val="20"/>
    </w:rPr>
  </w:style>
  <w:style w:type="paragraph" w:customStyle="1" w:styleId="839">
    <w:name w:val="明显引用1"/>
    <w:basedOn w:val="1"/>
    <w:next w:val="1"/>
    <w:link w:val="929"/>
    <w:autoRedefine/>
    <w:qFormat/>
    <w:uiPriority w:val="99"/>
    <w:pPr>
      <w:pBdr>
        <w:bottom w:val="single" w:color="4F81BD" w:sz="4" w:space="4"/>
      </w:pBdr>
      <w:spacing w:before="200" w:after="280"/>
      <w:ind w:left="936" w:right="936"/>
    </w:pPr>
    <w:rPr>
      <w:rFonts w:ascii="Times New Roman" w:hAnsi="Times New Roman" w:eastAsia="微软雅黑"/>
      <w:b/>
      <w:i/>
      <w:color w:val="4F81BD"/>
      <w:sz w:val="22"/>
      <w:szCs w:val="20"/>
    </w:rPr>
  </w:style>
  <w:style w:type="paragraph" w:customStyle="1" w:styleId="840">
    <w:name w:val="Char41"/>
    <w:basedOn w:val="17"/>
    <w:autoRedefine/>
    <w:qFormat/>
    <w:uiPriority w:val="99"/>
    <w:pPr>
      <w:widowControl/>
      <w:spacing w:afterLines="50" w:line="360" w:lineRule="auto"/>
      <w:ind w:firstLine="480" w:firstLineChars="200"/>
      <w:jc w:val="left"/>
    </w:pPr>
    <w:rPr>
      <w:rFonts w:eastAsia="微软雅黑"/>
      <w:szCs w:val="24"/>
    </w:rPr>
  </w:style>
  <w:style w:type="paragraph" w:customStyle="1" w:styleId="841">
    <w:name w:val="样式 标题 2 + 小四"/>
    <w:basedOn w:val="3"/>
    <w:link w:val="900"/>
    <w:autoRedefine/>
    <w:qFormat/>
    <w:uiPriority w:val="99"/>
    <w:pPr>
      <w:tabs>
        <w:tab w:val="left" w:pos="420"/>
      </w:tabs>
      <w:spacing w:line="408" w:lineRule="auto"/>
      <w:jc w:val="center"/>
    </w:pPr>
    <w:rPr>
      <w:rFonts w:ascii="宋体" w:hAnsi="宋体" w:eastAsia="微软雅黑"/>
      <w:bCs w:val="0"/>
      <w:sz w:val="36"/>
      <w:szCs w:val="20"/>
    </w:rPr>
  </w:style>
  <w:style w:type="paragraph" w:customStyle="1" w:styleId="842">
    <w:name w:val="内文"/>
    <w:link w:val="928"/>
    <w:autoRedefine/>
    <w:qFormat/>
    <w:uiPriority w:val="99"/>
    <w:pPr>
      <w:adjustRightInd w:val="0"/>
      <w:snapToGrid w:val="0"/>
      <w:spacing w:line="400" w:lineRule="exact"/>
      <w:ind w:firstLine="200" w:firstLineChars="200"/>
      <w:jc w:val="both"/>
    </w:pPr>
    <w:rPr>
      <w:rFonts w:ascii="Arial" w:hAnsi="Arial" w:eastAsia="宋体" w:cs="Times New Roman"/>
      <w:kern w:val="2"/>
      <w:sz w:val="24"/>
      <w:szCs w:val="22"/>
      <w:lang w:val="en-US" w:eastAsia="zh-CN" w:bidi="ar-SA"/>
    </w:rPr>
  </w:style>
  <w:style w:type="paragraph" w:customStyle="1" w:styleId="843">
    <w:name w:val="样式 纯文本普通文字 Char纯文本 Char Char普通文字纯文本 Char Char Char Char Char...2"/>
    <w:basedOn w:val="4"/>
    <w:next w:val="4"/>
    <w:autoRedefine/>
    <w:qFormat/>
    <w:uiPriority w:val="99"/>
    <w:pPr>
      <w:keepNext w:val="0"/>
      <w:keepLines w:val="0"/>
      <w:tabs>
        <w:tab w:val="left" w:pos="360"/>
      </w:tabs>
      <w:spacing w:before="0" w:after="0" w:line="240" w:lineRule="auto"/>
      <w:ind w:left="2223" w:firstLine="225" w:firstLineChars="225"/>
      <w:jc w:val="center"/>
    </w:pPr>
    <w:rPr>
      <w:rFonts w:ascii="Times New Roman" w:hAnsi="Times New Roman" w:eastAsia="华文中宋" w:cs="宋体"/>
      <w:color w:val="000000"/>
      <w:sz w:val="28"/>
      <w:szCs w:val="20"/>
    </w:rPr>
  </w:style>
  <w:style w:type="paragraph" w:customStyle="1" w:styleId="844">
    <w:name w:val="No Spacing1"/>
    <w:autoRedefine/>
    <w:qFormat/>
    <w:uiPriority w:val="99"/>
    <w:rPr>
      <w:rFonts w:ascii="Calibri" w:hAnsi="Calibri" w:eastAsia="宋体" w:cs="Times New Roman"/>
      <w:sz w:val="22"/>
      <w:szCs w:val="22"/>
      <w:lang w:val="en-US" w:eastAsia="en-US" w:bidi="ar-SA"/>
    </w:rPr>
  </w:style>
  <w:style w:type="paragraph" w:customStyle="1" w:styleId="845">
    <w:name w:val="样式 标题 3 + (中文) 黑体 小四 非加粗 段前: 7.8 磅 段后: 0 磅 行距: 固定值 20 磅"/>
    <w:basedOn w:val="4"/>
    <w:autoRedefine/>
    <w:qFormat/>
    <w:uiPriority w:val="99"/>
    <w:pPr>
      <w:spacing w:before="0" w:after="0" w:line="400" w:lineRule="exact"/>
      <w:ind w:firstLine="604" w:firstLineChars="100"/>
      <w:jc w:val="center"/>
    </w:pPr>
    <w:rPr>
      <w:rFonts w:ascii="Times New Roman" w:hAnsi="Times New Roman" w:eastAsia="黑体" w:cs="宋体"/>
      <w:sz w:val="28"/>
      <w:szCs w:val="20"/>
    </w:rPr>
  </w:style>
  <w:style w:type="paragraph" w:customStyle="1" w:styleId="846">
    <w:name w:val="四级目录 Char Char Char Char Char"/>
    <w:next w:val="1"/>
    <w:autoRedefine/>
    <w:qFormat/>
    <w:uiPriority w:val="99"/>
    <w:pPr>
      <w:spacing w:line="360" w:lineRule="auto"/>
      <w:ind w:left="200" w:leftChars="200"/>
    </w:pPr>
    <w:rPr>
      <w:rFonts w:ascii="Times New Roman" w:hAnsi="Times New Roman" w:eastAsia="宋体" w:cs="Times New Roman"/>
      <w:lang w:val="en-US" w:eastAsia="zh-CN" w:bidi="ar-SA"/>
    </w:rPr>
  </w:style>
  <w:style w:type="paragraph" w:customStyle="1" w:styleId="847">
    <w:name w:val="空半行"/>
    <w:basedOn w:val="1"/>
    <w:autoRedefine/>
    <w:qFormat/>
    <w:uiPriority w:val="99"/>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848">
    <w:name w:val="样式 正文文本"/>
    <w:basedOn w:val="1"/>
    <w:link w:val="935"/>
    <w:autoRedefine/>
    <w:qFormat/>
    <w:uiPriority w:val="99"/>
    <w:pPr>
      <w:adjustRightInd w:val="0"/>
      <w:snapToGrid w:val="0"/>
      <w:spacing w:line="400" w:lineRule="exact"/>
      <w:ind w:firstLine="200" w:firstLineChars="200"/>
    </w:pPr>
    <w:rPr>
      <w:rFonts w:ascii="Arial" w:hAnsi="Arial" w:eastAsia="微软雅黑"/>
      <w:color w:val="000000"/>
      <w:szCs w:val="20"/>
    </w:rPr>
  </w:style>
  <w:style w:type="paragraph" w:customStyle="1" w:styleId="849">
    <w:name w:val="样式3"/>
    <w:basedOn w:val="1"/>
    <w:autoRedefine/>
    <w:qFormat/>
    <w:uiPriority w:val="99"/>
    <w:pPr>
      <w:spacing w:line="440" w:lineRule="exact"/>
      <w:ind w:firstLine="416" w:firstLineChars="198"/>
    </w:pPr>
    <w:rPr>
      <w:rFonts w:ascii="宋体" w:hAnsi="宋体"/>
      <w:bCs/>
      <w:szCs w:val="21"/>
    </w:rPr>
  </w:style>
  <w:style w:type="paragraph" w:customStyle="1" w:styleId="850">
    <w:name w:val="Char Char Char Char Char Char Char Char Char Char Char"/>
    <w:basedOn w:val="1"/>
    <w:autoRedefine/>
    <w:qFormat/>
    <w:uiPriority w:val="99"/>
    <w:rPr>
      <w:rFonts w:ascii="Tahoma" w:hAnsi="Tahoma"/>
      <w:sz w:val="24"/>
      <w:szCs w:val="20"/>
    </w:rPr>
  </w:style>
  <w:style w:type="paragraph" w:customStyle="1" w:styleId="851">
    <w:name w:val="样式 样式1 + 首行缩进:  2 字符"/>
    <w:basedOn w:val="1"/>
    <w:autoRedefine/>
    <w:qFormat/>
    <w:uiPriority w:val="99"/>
    <w:pPr>
      <w:spacing w:line="360" w:lineRule="exact"/>
      <w:ind w:firstLine="420" w:firstLineChars="200"/>
    </w:pPr>
    <w:rPr>
      <w:rFonts w:ascii="Arial" w:hAnsi="Arial"/>
      <w:szCs w:val="20"/>
    </w:rPr>
  </w:style>
  <w:style w:type="paragraph" w:customStyle="1" w:styleId="852">
    <w:name w:val="样式 纯文本普通文字 Char纯文本 Char Char普通文字纯文本 Char Char Char Char Char...1"/>
    <w:basedOn w:val="3"/>
    <w:next w:val="3"/>
    <w:autoRedefine/>
    <w:qFormat/>
    <w:uiPriority w:val="99"/>
    <w:pPr>
      <w:spacing w:before="0" w:after="0" w:line="360" w:lineRule="auto"/>
    </w:pPr>
    <w:rPr>
      <w:color w:val="000000"/>
      <w:sz w:val="30"/>
    </w:rPr>
  </w:style>
  <w:style w:type="paragraph" w:customStyle="1" w:styleId="853">
    <w:name w:val="样式 正文文本 + 首行缩进:  2 字符1"/>
    <w:basedOn w:val="25"/>
    <w:autoRedefine/>
    <w:qFormat/>
    <w:uiPriority w:val="99"/>
    <w:pPr>
      <w:adjustRightInd w:val="0"/>
      <w:snapToGrid w:val="0"/>
      <w:spacing w:after="0" w:line="400" w:lineRule="exact"/>
      <w:ind w:firstLine="200" w:firstLineChars="200"/>
    </w:pPr>
    <w:rPr>
      <w:rFonts w:ascii="Arial" w:hAnsi="Arial" w:eastAsia="微软雅黑" w:cs="宋体"/>
      <w:sz w:val="21"/>
      <w:szCs w:val="20"/>
    </w:rPr>
  </w:style>
  <w:style w:type="paragraph" w:customStyle="1" w:styleId="854">
    <w:name w:val="FA正文"/>
    <w:basedOn w:val="1"/>
    <w:autoRedefine/>
    <w:qFormat/>
    <w:uiPriority w:val="99"/>
    <w:pPr>
      <w:spacing w:line="360" w:lineRule="auto"/>
      <w:ind w:right="210" w:rightChars="100" w:firstLine="360"/>
    </w:pPr>
    <w:rPr>
      <w:rFonts w:ascii="Verdana" w:hAnsi="Verdana" w:eastAsia="仿宋_GB2312"/>
      <w:sz w:val="22"/>
      <w:lang w:val="sv-SE"/>
    </w:rPr>
  </w:style>
  <w:style w:type="paragraph" w:customStyle="1" w:styleId="855">
    <w:name w:val="样式 标题 3 + 段前: 7.8 磅"/>
    <w:basedOn w:val="4"/>
    <w:autoRedefine/>
    <w:qFormat/>
    <w:uiPriority w:val="99"/>
    <w:pPr>
      <w:keepNext w:val="0"/>
      <w:keepLines w:val="0"/>
      <w:tabs>
        <w:tab w:val="left" w:pos="1280"/>
      </w:tabs>
      <w:spacing w:before="156" w:after="0" w:line="360" w:lineRule="auto"/>
      <w:ind w:left="1280" w:hanging="720" w:firstLineChars="100"/>
      <w:jc w:val="center"/>
    </w:pPr>
    <w:rPr>
      <w:rFonts w:ascii="Times New Roman" w:hAnsi="Times New Roman" w:eastAsia="华文中宋" w:cs="宋体"/>
      <w:sz w:val="28"/>
      <w:szCs w:val="20"/>
    </w:rPr>
  </w:style>
  <w:style w:type="paragraph" w:customStyle="1" w:styleId="856">
    <w:name w:val="CM2"/>
    <w:basedOn w:val="1"/>
    <w:next w:val="1"/>
    <w:autoRedefine/>
    <w:qFormat/>
    <w:uiPriority w:val="99"/>
    <w:pPr>
      <w:autoSpaceDE w:val="0"/>
      <w:autoSpaceDN w:val="0"/>
      <w:adjustRightInd w:val="0"/>
      <w:spacing w:line="500" w:lineRule="atLeast"/>
      <w:jc w:val="left"/>
    </w:pPr>
    <w:rPr>
      <w:rFonts w:ascii="宋体" w:hAnsi="Times New Roman"/>
      <w:kern w:val="0"/>
      <w:sz w:val="24"/>
      <w:szCs w:val="24"/>
    </w:rPr>
  </w:style>
  <w:style w:type="paragraph" w:customStyle="1" w:styleId="857">
    <w:name w:val="多级符号2"/>
    <w:basedOn w:val="1"/>
    <w:autoRedefine/>
    <w:qFormat/>
    <w:uiPriority w:val="99"/>
    <w:pPr>
      <w:tabs>
        <w:tab w:val="left" w:pos="454"/>
      </w:tabs>
      <w:spacing w:line="360" w:lineRule="auto"/>
      <w:ind w:firstLine="420"/>
      <w:jc w:val="left"/>
    </w:pPr>
    <w:rPr>
      <w:rFonts w:ascii="Times New Roman" w:hAnsi="Times New Roman" w:eastAsia="仿宋_GB2312"/>
      <w:sz w:val="24"/>
      <w:szCs w:val="24"/>
    </w:rPr>
  </w:style>
  <w:style w:type="paragraph" w:customStyle="1" w:styleId="858">
    <w:name w:val="正文文字缩进 2"/>
    <w:basedOn w:val="1"/>
    <w:autoRedefine/>
    <w:qFormat/>
    <w:uiPriority w:val="99"/>
    <w:pPr>
      <w:widowControl/>
      <w:spacing w:line="351" w:lineRule="atLeast"/>
      <w:ind w:firstLine="481"/>
      <w:textAlignment w:val="baseline"/>
    </w:pPr>
    <w:rPr>
      <w:rFonts w:ascii="仿宋_GB2312" w:hAnsi="Times New Roman" w:eastAsia="仿宋_GB2312"/>
      <w:color w:val="000000"/>
      <w:kern w:val="0"/>
      <w:sz w:val="24"/>
      <w:szCs w:val="20"/>
      <w:u w:color="000000"/>
    </w:rPr>
  </w:style>
  <w:style w:type="paragraph" w:customStyle="1" w:styleId="859">
    <w:name w:val="样式 纯文本普通文字 Char纯文本 Char Char普通文字纯文本 Char Char Char Char Char...5"/>
    <w:basedOn w:val="4"/>
    <w:autoRedefine/>
    <w:qFormat/>
    <w:uiPriority w:val="99"/>
    <w:pPr>
      <w:keepNext w:val="0"/>
      <w:keepLines w:val="0"/>
      <w:tabs>
        <w:tab w:val="left" w:pos="360"/>
      </w:tabs>
      <w:spacing w:before="0" w:after="0" w:line="480" w:lineRule="auto"/>
      <w:ind w:left="360" w:firstLine="540" w:firstLineChars="225"/>
      <w:jc w:val="left"/>
    </w:pPr>
    <w:rPr>
      <w:rFonts w:ascii="Times New Roman" w:hAnsi="Times New Roman" w:eastAsia="华文中宋" w:cs="宋体"/>
      <w:color w:val="000000"/>
      <w:sz w:val="28"/>
      <w:szCs w:val="20"/>
    </w:rPr>
  </w:style>
  <w:style w:type="paragraph" w:customStyle="1" w:styleId="860">
    <w:name w:val="样式 纯文本普通文字 Char纯文本 Char Char普通文字纯文本 Char Char Char Char Char...4"/>
    <w:basedOn w:val="4"/>
    <w:autoRedefine/>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color w:val="000000"/>
      <w:sz w:val="28"/>
      <w:szCs w:val="20"/>
    </w:rPr>
  </w:style>
  <w:style w:type="paragraph" w:customStyle="1" w:styleId="861">
    <w:name w:val="g11"/>
    <w:basedOn w:val="1"/>
    <w:autoRedefine/>
    <w:qFormat/>
    <w:uiPriority w:val="99"/>
    <w:pPr>
      <w:widowControl/>
      <w:spacing w:before="100" w:beforeAutospacing="1" w:after="100" w:afterAutospacing="1" w:line="900" w:lineRule="atLeast"/>
      <w:jc w:val="left"/>
    </w:pPr>
    <w:rPr>
      <w:rFonts w:ascii="华文中宋" w:hAnsi="华文中宋" w:eastAsia="华文中宋"/>
      <w:b/>
      <w:bCs/>
      <w:color w:val="FF0000"/>
      <w:kern w:val="0"/>
      <w:sz w:val="60"/>
      <w:szCs w:val="60"/>
    </w:rPr>
  </w:style>
  <w:style w:type="paragraph" w:customStyle="1" w:styleId="862">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63">
    <w:name w:val="blockquote"/>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864">
    <w:name w:val="正文文字缩进 3"/>
    <w:basedOn w:val="1"/>
    <w:autoRedefine/>
    <w:qFormat/>
    <w:uiPriority w:val="99"/>
    <w:pPr>
      <w:widowControl/>
      <w:spacing w:before="119" w:line="272" w:lineRule="atLeast"/>
      <w:ind w:left="719" w:firstLine="481"/>
      <w:jc w:val="left"/>
      <w:textAlignment w:val="baseline"/>
    </w:pPr>
    <w:rPr>
      <w:rFonts w:ascii="宋体" w:hAnsi="Times New Roman"/>
      <w:color w:val="000000"/>
      <w:kern w:val="0"/>
      <w:sz w:val="24"/>
      <w:szCs w:val="20"/>
      <w:u w:color="000000"/>
    </w:rPr>
  </w:style>
  <w:style w:type="paragraph" w:customStyle="1" w:styleId="865">
    <w:name w:val="title1"/>
    <w:basedOn w:val="1"/>
    <w:autoRedefine/>
    <w:qFormat/>
    <w:uiPriority w:val="99"/>
    <w:pPr>
      <w:widowControl/>
      <w:spacing w:before="150" w:line="480" w:lineRule="atLeast"/>
      <w:jc w:val="left"/>
    </w:pPr>
    <w:rPr>
      <w:rFonts w:ascii="宋体" w:hAnsi="宋体" w:cs="宋体"/>
      <w:b/>
      <w:bCs/>
      <w:kern w:val="0"/>
      <w:sz w:val="24"/>
      <w:szCs w:val="24"/>
    </w:rPr>
  </w:style>
  <w:style w:type="paragraph" w:customStyle="1" w:styleId="866">
    <w:name w:val="flNote"/>
    <w:basedOn w:val="1"/>
    <w:autoRedefine/>
    <w:qFormat/>
    <w:uiPriority w:val="99"/>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867">
    <w:name w:val="Char1 Char Char Char Char Char Char"/>
    <w:basedOn w:val="1"/>
    <w:autoRedefine/>
    <w:qFormat/>
    <w:uiPriority w:val="99"/>
    <w:rPr>
      <w:rFonts w:ascii="仿宋_GB2312" w:hAnsi="Times New Roman" w:eastAsia="仿宋_GB2312"/>
      <w:b/>
      <w:sz w:val="32"/>
      <w:szCs w:val="32"/>
    </w:rPr>
  </w:style>
  <w:style w:type="paragraph" w:customStyle="1" w:styleId="868">
    <w:name w:val="_Style 137"/>
    <w:basedOn w:val="2"/>
    <w:next w:val="1"/>
    <w:autoRedefine/>
    <w:qFormat/>
    <w:uiPriority w:val="99"/>
    <w:pPr>
      <w:keepNext/>
      <w:keepLines/>
      <w:autoSpaceDE/>
      <w:autoSpaceDN/>
      <w:adjustRightInd/>
      <w:spacing w:before="340" w:after="330" w:line="576" w:lineRule="auto"/>
      <w:jc w:val="both"/>
      <w:outlineLvl w:val="9"/>
    </w:pPr>
    <w:rPr>
      <w:rFonts w:ascii="宋体" w:eastAsia="微软雅黑"/>
      <w:kern w:val="44"/>
      <w:sz w:val="44"/>
      <w:szCs w:val="44"/>
    </w:rPr>
  </w:style>
  <w:style w:type="paragraph" w:customStyle="1" w:styleId="869">
    <w:name w:val="Char Char3 Char"/>
    <w:basedOn w:val="1"/>
    <w:autoRedefine/>
    <w:qFormat/>
    <w:uiPriority w:val="99"/>
    <w:rPr>
      <w:rFonts w:ascii="仿宋_GB2312" w:hAnsi="Times New Roman" w:eastAsia="仿宋_GB2312"/>
      <w:b/>
      <w:sz w:val="32"/>
      <w:szCs w:val="32"/>
    </w:rPr>
  </w:style>
  <w:style w:type="paragraph" w:customStyle="1" w:styleId="870">
    <w:name w:val="p18"/>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871">
    <w:name w:val="Char Char Char Char1 Char Char Char Char Char Char"/>
    <w:basedOn w:val="1"/>
    <w:autoRedefine/>
    <w:qFormat/>
    <w:uiPriority w:val="99"/>
    <w:rPr>
      <w:rFonts w:ascii="Times New Roman" w:hAnsi="Times New Roman"/>
      <w:szCs w:val="24"/>
    </w:rPr>
  </w:style>
  <w:style w:type="paragraph" w:customStyle="1" w:styleId="872">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宋体"/>
      <w:b w:val="0"/>
      <w:bCs w:val="0"/>
      <w:kern w:val="0"/>
      <w:sz w:val="28"/>
      <w:szCs w:val="20"/>
    </w:rPr>
  </w:style>
  <w:style w:type="paragraph" w:customStyle="1" w:styleId="873">
    <w:name w:val="样式 样式 纯文本普通文字 Char纯文本 Char Char普通文字纯文本 Char Char Char Char Char...."/>
    <w:basedOn w:val="852"/>
    <w:autoRedefine/>
    <w:qFormat/>
    <w:uiPriority w:val="99"/>
    <w:pPr>
      <w:jc w:val="center"/>
    </w:pPr>
    <w:rPr>
      <w:rFonts w:ascii="宋体" w:hAnsi="宋体" w:eastAsia="宋体" w:cs="宋体"/>
      <w:bCs w:val="0"/>
      <w:szCs w:val="20"/>
    </w:rPr>
  </w:style>
  <w:style w:type="paragraph" w:customStyle="1" w:styleId="874">
    <w:name w:val="样式 样式 样式1 + 首行缩进:  2 字符 + 左侧:  0.74 厘米"/>
    <w:basedOn w:val="1"/>
    <w:autoRedefine/>
    <w:qFormat/>
    <w:uiPriority w:val="99"/>
    <w:pPr>
      <w:spacing w:line="360" w:lineRule="exact"/>
      <w:ind w:firstLine="200" w:firstLineChars="200"/>
    </w:pPr>
    <w:rPr>
      <w:rFonts w:ascii="Arial" w:hAnsi="Arial" w:cs="宋体"/>
      <w:szCs w:val="20"/>
    </w:rPr>
  </w:style>
  <w:style w:type="paragraph" w:customStyle="1" w:styleId="875">
    <w:name w:val="彩色列表 - 强调文字颜色 12"/>
    <w:basedOn w:val="1"/>
    <w:autoRedefine/>
    <w:qFormat/>
    <w:uiPriority w:val="99"/>
    <w:pPr>
      <w:ind w:firstLine="420" w:firstLineChars="200"/>
    </w:pPr>
    <w:rPr>
      <w:rFonts w:ascii="Times New Roman" w:hAnsi="Times New Roman"/>
      <w:szCs w:val="24"/>
    </w:rPr>
  </w:style>
  <w:style w:type="paragraph" w:customStyle="1" w:styleId="876">
    <w:name w:val="正文－恩普"/>
    <w:basedOn w:val="17"/>
    <w:autoRedefine/>
    <w:qFormat/>
    <w:uiPriority w:val="99"/>
    <w:pPr>
      <w:widowControl/>
      <w:spacing w:afterLines="50" w:line="360" w:lineRule="auto"/>
      <w:ind w:firstLine="480" w:firstLineChars="200"/>
      <w:jc w:val="left"/>
    </w:pPr>
    <w:rPr>
      <w:rFonts w:eastAsia="微软雅黑"/>
      <w:kern w:val="0"/>
      <w:sz w:val="24"/>
    </w:rPr>
  </w:style>
  <w:style w:type="paragraph" w:customStyle="1" w:styleId="877">
    <w:name w:val="样式 标题 1 + 黑体 三号 非加粗 居中 段前: 6 磅 段后: 6 磅 行距: 固定值 20 磅"/>
    <w:basedOn w:val="2"/>
    <w:autoRedefine/>
    <w:qFormat/>
    <w:uiPriority w:val="99"/>
    <w:pPr>
      <w:keepNext/>
      <w:keepLines/>
      <w:autoSpaceDE/>
      <w:autoSpaceDN/>
      <w:adjustRightInd/>
      <w:spacing w:before="120" w:after="120" w:line="400" w:lineRule="exact"/>
    </w:pPr>
    <w:rPr>
      <w:rFonts w:ascii="黑体" w:hAnsi="黑体" w:eastAsia="黑体" w:cs="宋体"/>
      <w:b w:val="0"/>
      <w:bCs w:val="0"/>
      <w:kern w:val="44"/>
      <w:sz w:val="32"/>
      <w:szCs w:val="20"/>
    </w:rPr>
  </w:style>
  <w:style w:type="paragraph" w:customStyle="1" w:styleId="878">
    <w:name w:val="1"/>
    <w:basedOn w:val="1"/>
    <w:next w:val="51"/>
    <w:autoRedefine/>
    <w:qFormat/>
    <w:uiPriority w:val="99"/>
    <w:pPr>
      <w:widowControl/>
      <w:snapToGrid w:val="0"/>
      <w:spacing w:line="440" w:lineRule="atLeast"/>
      <w:ind w:firstLine="480"/>
    </w:pPr>
    <w:rPr>
      <w:rFonts w:ascii="Times New Roman" w:hAnsi="Times New Roman"/>
      <w:kern w:val="0"/>
      <w:sz w:val="24"/>
      <w:szCs w:val="20"/>
    </w:rPr>
  </w:style>
  <w:style w:type="paragraph" w:customStyle="1" w:styleId="879">
    <w:name w:val="_Style 63"/>
    <w:basedOn w:val="1"/>
    <w:autoRedefine/>
    <w:qFormat/>
    <w:uiPriority w:val="99"/>
    <w:rPr>
      <w:rFonts w:ascii="Tahoma" w:hAnsi="Tahoma"/>
      <w:sz w:val="24"/>
      <w:szCs w:val="20"/>
    </w:rPr>
  </w:style>
  <w:style w:type="paragraph" w:customStyle="1" w:styleId="880">
    <w:name w:val="默认段落字体 Para Char Char Char Char Char Char Char"/>
    <w:basedOn w:val="1"/>
    <w:autoRedefine/>
    <w:qFormat/>
    <w:uiPriority w:val="99"/>
    <w:rPr>
      <w:rFonts w:ascii="Times New Roman" w:hAnsi="Times New Roman" w:eastAsia="仿宋_GB2312"/>
      <w:sz w:val="28"/>
      <w:szCs w:val="24"/>
    </w:rPr>
  </w:style>
  <w:style w:type="paragraph" w:customStyle="1" w:styleId="881">
    <w:name w:val="样式 纯文本普通文字 Char纯文本 Char Char普通文字纯文本 Char Char Char Char Char...3"/>
    <w:basedOn w:val="4"/>
    <w:next w:val="4"/>
    <w:autoRedefine/>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color w:val="000000"/>
      <w:sz w:val="28"/>
      <w:szCs w:val="20"/>
    </w:rPr>
  </w:style>
  <w:style w:type="paragraph" w:customStyle="1" w:styleId="882">
    <w:name w:val="p16"/>
    <w:basedOn w:val="1"/>
    <w:autoRedefine/>
    <w:qFormat/>
    <w:uiPriority w:val="99"/>
    <w:pPr>
      <w:widowControl/>
      <w:spacing w:before="100" w:after="100"/>
      <w:jc w:val="left"/>
    </w:pPr>
    <w:rPr>
      <w:rFonts w:ascii="宋体" w:hAnsi="宋体" w:cs="宋体"/>
      <w:color w:val="000000"/>
      <w:kern w:val="0"/>
      <w:sz w:val="24"/>
      <w:szCs w:val="24"/>
    </w:rPr>
  </w:style>
  <w:style w:type="paragraph" w:customStyle="1" w:styleId="883">
    <w:name w:val="条文1"/>
    <w:basedOn w:val="1"/>
    <w:autoRedefine/>
    <w:qFormat/>
    <w:uiPriority w:val="99"/>
    <w:pPr>
      <w:tabs>
        <w:tab w:val="left" w:pos="720"/>
      </w:tabs>
      <w:spacing w:line="360" w:lineRule="auto"/>
    </w:pPr>
    <w:rPr>
      <w:rFonts w:ascii="MS UI Gothic" w:hAnsi="MS UI Gothic"/>
      <w:kern w:val="44"/>
      <w:sz w:val="24"/>
      <w:szCs w:val="20"/>
    </w:rPr>
  </w:style>
  <w:style w:type="paragraph" w:customStyle="1" w:styleId="884">
    <w:name w:val="样式 样式 标题 3 + (符号) 宋体 四号 加粗 黑色 段前: 0 磅 段后: 0 磅 行距: 固定值 22 磅 + 段前:..."/>
    <w:basedOn w:val="1"/>
    <w:autoRedefine/>
    <w:qFormat/>
    <w:uiPriority w:val="99"/>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885">
    <w:name w:val="样式 标题 3 + Arial"/>
    <w:basedOn w:val="4"/>
    <w:autoRedefine/>
    <w:qFormat/>
    <w:uiPriority w:val="99"/>
    <w:pPr>
      <w:spacing w:beforeLines="100" w:after="0" w:line="360" w:lineRule="auto"/>
      <w:ind w:firstLine="604" w:firstLineChars="100"/>
      <w:jc w:val="center"/>
    </w:pPr>
    <w:rPr>
      <w:rFonts w:ascii="宋体" w:hAnsi="宋体" w:eastAsia="华文中宋"/>
      <w:sz w:val="28"/>
      <w:szCs w:val="20"/>
    </w:rPr>
  </w:style>
  <w:style w:type="paragraph" w:customStyle="1" w:styleId="886">
    <w:name w:val="Char Char Char Char Char Char Char Char Char Char Char Char Char Char Char Char Char Char Char Char Char Char Char Char Char Char Char Char Char Char Char Char Char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87">
    <w:name w:val="样式 纯文本普通文字 Char纯文本 Char Char普通文字纯文本 Char Char Char Char Char...7"/>
    <w:basedOn w:val="4"/>
    <w:next w:val="4"/>
    <w:autoRedefine/>
    <w:qFormat/>
    <w:uiPriority w:val="99"/>
    <w:pPr>
      <w:keepNext w:val="0"/>
      <w:keepLines w:val="0"/>
      <w:tabs>
        <w:tab w:val="left" w:pos="360"/>
      </w:tabs>
      <w:spacing w:before="0" w:after="0" w:line="600" w:lineRule="exact"/>
      <w:ind w:left="360" w:firstLine="540" w:firstLineChars="225"/>
      <w:jc w:val="center"/>
    </w:pPr>
    <w:rPr>
      <w:rFonts w:ascii="Times New Roman" w:hAnsi="Times New Roman" w:eastAsia="华文中宋" w:cs="宋体"/>
      <w:color w:val="000000"/>
      <w:sz w:val="28"/>
      <w:szCs w:val="20"/>
    </w:rPr>
  </w:style>
  <w:style w:type="paragraph" w:customStyle="1" w:styleId="888">
    <w:name w:val="样式 纯文本普通文字 Char纯文本 Char Char普通文字纯文本 Char Char Char Char Char...6"/>
    <w:basedOn w:val="4"/>
    <w:link w:val="905"/>
    <w:autoRedefine/>
    <w:qFormat/>
    <w:uiPriority w:val="99"/>
    <w:pPr>
      <w:keepNext w:val="0"/>
      <w:keepLines w:val="0"/>
      <w:tabs>
        <w:tab w:val="left" w:pos="360"/>
      </w:tabs>
      <w:spacing w:before="0" w:after="0" w:line="600" w:lineRule="exact"/>
      <w:ind w:left="360" w:firstLine="540" w:firstLineChars="225"/>
      <w:jc w:val="center"/>
    </w:pPr>
    <w:rPr>
      <w:rFonts w:ascii="Times New Roman" w:hAnsi="Times New Roman" w:eastAsia="微软雅黑"/>
      <w:color w:val="000000"/>
      <w:sz w:val="24"/>
      <w:szCs w:val="20"/>
    </w:rPr>
  </w:style>
  <w:style w:type="paragraph" w:customStyle="1" w:styleId="889">
    <w:name w:val="Char Char Char Char Char Char Char Char Char Char Char1"/>
    <w:basedOn w:val="1"/>
    <w:autoRedefine/>
    <w:qFormat/>
    <w:uiPriority w:val="99"/>
    <w:rPr>
      <w:rFonts w:ascii="Tahoma" w:hAnsi="Tahoma"/>
      <w:sz w:val="24"/>
      <w:szCs w:val="20"/>
    </w:rPr>
  </w:style>
  <w:style w:type="paragraph" w:customStyle="1" w:styleId="890">
    <w:name w:val="_Style 175"/>
    <w:autoRedefine/>
    <w:qFormat/>
    <w:uiPriority w:val="99"/>
    <w:rPr>
      <w:rFonts w:ascii="Times New Roman" w:hAnsi="Times New Roman" w:eastAsia="宋体" w:cs="Times New Roman"/>
      <w:kern w:val="2"/>
      <w:sz w:val="21"/>
      <w:szCs w:val="24"/>
      <w:lang w:val="en-US" w:eastAsia="zh-CN" w:bidi="ar-SA"/>
    </w:rPr>
  </w:style>
  <w:style w:type="character" w:customStyle="1" w:styleId="891">
    <w:name w:val="个人撰写风格"/>
    <w:autoRedefine/>
    <w:qFormat/>
    <w:uiPriority w:val="99"/>
    <w:rPr>
      <w:rFonts w:ascii="Arial" w:hAnsi="Arial" w:eastAsia="宋体"/>
      <w:color w:val="auto"/>
      <w:sz w:val="20"/>
    </w:rPr>
  </w:style>
  <w:style w:type="character" w:customStyle="1" w:styleId="892">
    <w:name w:val="内文正文 Char"/>
    <w:link w:val="667"/>
    <w:autoRedefine/>
    <w:qFormat/>
    <w:locked/>
    <w:uiPriority w:val="99"/>
    <w:rPr>
      <w:rFonts w:ascii="宋体" w:hAnsi="Times New Roman"/>
      <w:kern w:val="2"/>
      <w:sz w:val="24"/>
    </w:rPr>
  </w:style>
  <w:style w:type="character" w:customStyle="1" w:styleId="893">
    <w:name w:val="明显引用 Char2"/>
    <w:autoRedefine/>
    <w:qFormat/>
    <w:uiPriority w:val="99"/>
    <w:rPr>
      <w:rFonts w:ascii="宋体"/>
      <w:b/>
      <w:i/>
      <w:color w:val="4F81BD"/>
      <w:kern w:val="2"/>
      <w:sz w:val="28"/>
    </w:rPr>
  </w:style>
  <w:style w:type="character" w:customStyle="1" w:styleId="894">
    <w:name w:val="批注文字 Char Char"/>
    <w:autoRedefine/>
    <w:qFormat/>
    <w:uiPriority w:val="99"/>
    <w:rPr>
      <w:rFonts w:ascii="宋体" w:hAnsi="Times New Roman" w:eastAsia="宋体"/>
      <w:sz w:val="20"/>
    </w:rPr>
  </w:style>
  <w:style w:type="character" w:customStyle="1" w:styleId="895">
    <w:name w:val="内文正文 Char Char"/>
    <w:autoRedefine/>
    <w:qFormat/>
    <w:uiPriority w:val="99"/>
    <w:rPr>
      <w:rFonts w:ascii="宋体" w:hAnsi="???|CS?o｡ﾀ?"/>
      <w:sz w:val="28"/>
      <w:lang w:val="en-US" w:eastAsia="zh-CN"/>
    </w:rPr>
  </w:style>
  <w:style w:type="character" w:customStyle="1" w:styleId="896">
    <w:name w:val="日期 Char1"/>
    <w:autoRedefine/>
    <w:qFormat/>
    <w:uiPriority w:val="99"/>
    <w:rPr>
      <w:kern w:val="2"/>
      <w:sz w:val="22"/>
    </w:rPr>
  </w:style>
  <w:style w:type="character" w:customStyle="1" w:styleId="897">
    <w:name w:val="Char Char18"/>
    <w:autoRedefine/>
    <w:qFormat/>
    <w:uiPriority w:val="99"/>
    <w:rPr>
      <w:rFonts w:ascii="Calibri" w:hAnsi="Calibri"/>
      <w:b/>
      <w:kern w:val="2"/>
      <w:sz w:val="28"/>
    </w:rPr>
  </w:style>
  <w:style w:type="character" w:customStyle="1" w:styleId="898">
    <w:name w:val="_Style 196"/>
    <w:autoRedefine/>
    <w:qFormat/>
    <w:uiPriority w:val="99"/>
    <w:rPr>
      <w:b/>
      <w:smallCaps/>
      <w:color w:val="C0504D"/>
      <w:spacing w:val="5"/>
      <w:u w:val="single"/>
    </w:rPr>
  </w:style>
  <w:style w:type="character" w:customStyle="1" w:styleId="899">
    <w:name w:val="Char Char19"/>
    <w:autoRedefine/>
    <w:qFormat/>
    <w:uiPriority w:val="99"/>
    <w:rPr>
      <w:rFonts w:ascii="Cambria" w:hAnsi="Cambria"/>
      <w:b/>
      <w:kern w:val="2"/>
      <w:sz w:val="28"/>
    </w:rPr>
  </w:style>
  <w:style w:type="character" w:customStyle="1" w:styleId="900">
    <w:name w:val="样式 标题 2 + 小四 Char Char"/>
    <w:link w:val="841"/>
    <w:autoRedefine/>
    <w:qFormat/>
    <w:locked/>
    <w:uiPriority w:val="99"/>
    <w:rPr>
      <w:rFonts w:ascii="宋体" w:hAnsi="宋体" w:eastAsia="微软雅黑"/>
      <w:b/>
      <w:kern w:val="2"/>
      <w:sz w:val="36"/>
    </w:rPr>
  </w:style>
  <w:style w:type="character" w:customStyle="1" w:styleId="901">
    <w:name w:val="_Style 201"/>
    <w:autoRedefine/>
    <w:qFormat/>
    <w:uiPriority w:val="99"/>
    <w:rPr>
      <w:b/>
      <w:smallCaps/>
      <w:spacing w:val="5"/>
    </w:rPr>
  </w:style>
  <w:style w:type="character" w:customStyle="1" w:styleId="902">
    <w:name w:val="unnamed51"/>
    <w:autoRedefine/>
    <w:qFormat/>
    <w:uiPriority w:val="99"/>
    <w:rPr>
      <w:sz w:val="22"/>
    </w:rPr>
  </w:style>
  <w:style w:type="character" w:customStyle="1" w:styleId="903">
    <w:name w:val="Char Char101"/>
    <w:autoRedefine/>
    <w:qFormat/>
    <w:uiPriority w:val="99"/>
    <w:rPr>
      <w:rFonts w:ascii="Arial" w:hAnsi="Arial" w:eastAsia="黑体"/>
      <w:b/>
      <w:kern w:val="2"/>
      <w:sz w:val="28"/>
    </w:rPr>
  </w:style>
  <w:style w:type="character" w:customStyle="1" w:styleId="904">
    <w:name w:val="标题 Char1"/>
    <w:autoRedefine/>
    <w:qFormat/>
    <w:uiPriority w:val="99"/>
    <w:rPr>
      <w:rFonts w:ascii="Cambria" w:hAnsi="Cambria"/>
      <w:b/>
      <w:kern w:val="2"/>
      <w:sz w:val="32"/>
    </w:rPr>
  </w:style>
  <w:style w:type="character" w:customStyle="1" w:styleId="905">
    <w:name w:val="样式 纯文本普通文字 Char纯文本 Char Char普通文字纯文本 Char Char Char Char Char...6 Char"/>
    <w:link w:val="888"/>
    <w:autoRedefine/>
    <w:qFormat/>
    <w:locked/>
    <w:uiPriority w:val="99"/>
    <w:rPr>
      <w:rFonts w:eastAsia="微软雅黑"/>
      <w:color w:val="000000"/>
      <w:kern w:val="2"/>
      <w:sz w:val="24"/>
    </w:rPr>
  </w:style>
  <w:style w:type="character" w:customStyle="1" w:styleId="906">
    <w:name w:val="样式 正文文本 Char Char"/>
    <w:autoRedefine/>
    <w:qFormat/>
    <w:uiPriority w:val="99"/>
    <w:rPr>
      <w:rFonts w:ascii="Arial" w:hAnsi="Arial" w:eastAsia="宋体"/>
      <w:color w:val="000000"/>
      <w:kern w:val="2"/>
      <w:sz w:val="21"/>
      <w:lang w:val="en-US" w:eastAsia="zh-CN"/>
    </w:rPr>
  </w:style>
  <w:style w:type="character" w:customStyle="1" w:styleId="907">
    <w:name w:val="批注主题 Char2"/>
    <w:autoRedefine/>
    <w:qFormat/>
    <w:uiPriority w:val="99"/>
    <w:rPr>
      <w:rFonts w:ascii="宋体" w:hAnsi="宋体" w:eastAsia="宋体"/>
      <w:b/>
      <w:kern w:val="2"/>
      <w:sz w:val="24"/>
      <w:lang w:val="en-US" w:eastAsia="zh-CN"/>
    </w:rPr>
  </w:style>
  <w:style w:type="character" w:customStyle="1" w:styleId="908">
    <w:name w:val="正文文本 Char1"/>
    <w:autoRedefine/>
    <w:qFormat/>
    <w:uiPriority w:val="99"/>
    <w:rPr>
      <w:kern w:val="2"/>
      <w:sz w:val="22"/>
    </w:rPr>
  </w:style>
  <w:style w:type="character" w:customStyle="1" w:styleId="909">
    <w:name w:val="dz1"/>
    <w:autoRedefine/>
    <w:qFormat/>
    <w:uiPriority w:val="99"/>
  </w:style>
  <w:style w:type="character" w:customStyle="1" w:styleId="910">
    <w:name w:val="zbggmain style9"/>
    <w:autoRedefine/>
    <w:qFormat/>
    <w:uiPriority w:val="99"/>
  </w:style>
  <w:style w:type="character" w:customStyle="1" w:styleId="911">
    <w:name w:val="无间隔 字符"/>
    <w:autoRedefine/>
    <w:qFormat/>
    <w:uiPriority w:val="99"/>
    <w:rPr>
      <w:kern w:val="2"/>
      <w:sz w:val="22"/>
      <w:lang w:val="en-US" w:eastAsia="zh-CN"/>
    </w:rPr>
  </w:style>
  <w:style w:type="character" w:customStyle="1" w:styleId="912">
    <w:name w:val="样式1 Char"/>
    <w:autoRedefine/>
    <w:qFormat/>
    <w:uiPriority w:val="99"/>
    <w:rPr>
      <w:rFonts w:ascii="Arial" w:hAnsi="Arial" w:eastAsia="宋体"/>
      <w:kern w:val="2"/>
      <w:sz w:val="24"/>
      <w:lang w:val="en-US" w:eastAsia="zh-CN"/>
    </w:rPr>
  </w:style>
  <w:style w:type="character" w:customStyle="1" w:styleId="913">
    <w:name w:val="批注框文本 Char1"/>
    <w:autoRedefine/>
    <w:qFormat/>
    <w:uiPriority w:val="99"/>
    <w:rPr>
      <w:kern w:val="2"/>
      <w:sz w:val="18"/>
    </w:rPr>
  </w:style>
  <w:style w:type="character" w:customStyle="1" w:styleId="914">
    <w:name w:val="font141"/>
    <w:autoRedefine/>
    <w:qFormat/>
    <w:uiPriority w:val="99"/>
    <w:rPr>
      <w:rFonts w:ascii="Tahoma" w:hAnsi="Tahoma"/>
      <w:color w:val="000000"/>
      <w:sz w:val="24"/>
      <w:u w:val="none"/>
    </w:rPr>
  </w:style>
  <w:style w:type="character" w:customStyle="1" w:styleId="915">
    <w:name w:val="font112"/>
    <w:autoRedefine/>
    <w:qFormat/>
    <w:uiPriority w:val="99"/>
    <w:rPr>
      <w:rFonts w:ascii="Times New Roman" w:hAnsi="Times New Roman"/>
      <w:color w:val="000000"/>
      <w:sz w:val="24"/>
      <w:u w:val="none"/>
    </w:rPr>
  </w:style>
  <w:style w:type="character" w:customStyle="1" w:styleId="916">
    <w:name w:val="样式1 Char Char"/>
    <w:link w:val="627"/>
    <w:autoRedefine/>
    <w:qFormat/>
    <w:locked/>
    <w:uiPriority w:val="99"/>
    <w:rPr>
      <w:rFonts w:ascii="Times New Roman" w:hAnsi="Times New Roman"/>
      <w:kern w:val="2"/>
      <w:sz w:val="24"/>
    </w:rPr>
  </w:style>
  <w:style w:type="character" w:customStyle="1" w:styleId="917">
    <w:name w:val="正文文本 Char3"/>
    <w:autoRedefine/>
    <w:qFormat/>
    <w:uiPriority w:val="99"/>
    <w:rPr>
      <w:rFonts w:ascii="宋体"/>
      <w:kern w:val="2"/>
      <w:sz w:val="28"/>
    </w:rPr>
  </w:style>
  <w:style w:type="character" w:customStyle="1" w:styleId="918">
    <w:name w:val="_Style 225"/>
    <w:autoRedefine/>
    <w:qFormat/>
    <w:uiPriority w:val="99"/>
    <w:rPr>
      <w:b/>
      <w:i/>
      <w:color w:val="4F81BD"/>
    </w:rPr>
  </w:style>
  <w:style w:type="character" w:customStyle="1" w:styleId="919">
    <w:name w:val="Blockquote Char"/>
    <w:link w:val="518"/>
    <w:autoRedefine/>
    <w:qFormat/>
    <w:locked/>
    <w:uiPriority w:val="99"/>
    <w:rPr>
      <w:rFonts w:ascii="宋体" w:hAnsi="Times New Roman"/>
      <w:sz w:val="24"/>
      <w:lang w:val="en-CA"/>
    </w:rPr>
  </w:style>
  <w:style w:type="character" w:customStyle="1" w:styleId="920">
    <w:name w:val="彩色列表 - 强调文字颜色 1 Char"/>
    <w:link w:val="611"/>
    <w:autoRedefine/>
    <w:qFormat/>
    <w:locked/>
    <w:uiPriority w:val="99"/>
    <w:rPr>
      <w:kern w:val="2"/>
      <w:sz w:val="22"/>
    </w:rPr>
  </w:style>
  <w:style w:type="character" w:customStyle="1" w:styleId="921">
    <w:name w:val="个人答复风格"/>
    <w:autoRedefine/>
    <w:qFormat/>
    <w:uiPriority w:val="99"/>
    <w:rPr>
      <w:rFonts w:ascii="Arial" w:hAnsi="Arial" w:eastAsia="宋体"/>
      <w:color w:val="auto"/>
      <w:sz w:val="20"/>
    </w:rPr>
  </w:style>
  <w:style w:type="character" w:customStyle="1" w:styleId="922">
    <w:name w:val="font161"/>
    <w:autoRedefine/>
    <w:qFormat/>
    <w:uiPriority w:val="99"/>
    <w:rPr>
      <w:b/>
      <w:sz w:val="32"/>
    </w:rPr>
  </w:style>
  <w:style w:type="character" w:customStyle="1" w:styleId="923">
    <w:name w:val="Char Char20"/>
    <w:autoRedefine/>
    <w:qFormat/>
    <w:uiPriority w:val="99"/>
    <w:rPr>
      <w:kern w:val="2"/>
      <w:sz w:val="21"/>
    </w:rPr>
  </w:style>
  <w:style w:type="character" w:customStyle="1" w:styleId="924">
    <w:name w:val="font131"/>
    <w:autoRedefine/>
    <w:qFormat/>
    <w:uiPriority w:val="99"/>
    <w:rPr>
      <w:rFonts w:ascii="Calibri" w:hAnsi="Calibri"/>
      <w:color w:val="000000"/>
      <w:sz w:val="24"/>
      <w:u w:val="none"/>
    </w:rPr>
  </w:style>
  <w:style w:type="character" w:customStyle="1" w:styleId="925">
    <w:name w:val="标题5 Char Char"/>
    <w:link w:val="827"/>
    <w:autoRedefine/>
    <w:qFormat/>
    <w:locked/>
    <w:uiPriority w:val="99"/>
    <w:rPr>
      <w:rFonts w:ascii="Arial" w:hAnsi="Arial" w:eastAsia="微软雅黑"/>
      <w:b/>
      <w:sz w:val="32"/>
    </w:rPr>
  </w:style>
  <w:style w:type="character" w:customStyle="1" w:styleId="926">
    <w:name w:val="font121"/>
    <w:autoRedefine/>
    <w:qFormat/>
    <w:uiPriority w:val="99"/>
    <w:rPr>
      <w:rFonts w:ascii="Times New Roman" w:hAnsi="Times New Roman"/>
      <w:color w:val="000000"/>
      <w:sz w:val="24"/>
      <w:u w:val="none"/>
    </w:rPr>
  </w:style>
  <w:style w:type="character" w:customStyle="1" w:styleId="927">
    <w:name w:val="font01"/>
    <w:autoRedefine/>
    <w:qFormat/>
    <w:uiPriority w:val="99"/>
    <w:rPr>
      <w:rFonts w:ascii="宋体" w:hAnsi="宋体" w:eastAsia="宋体"/>
      <w:color w:val="000000"/>
      <w:sz w:val="24"/>
      <w:u w:val="none"/>
    </w:rPr>
  </w:style>
  <w:style w:type="character" w:customStyle="1" w:styleId="928">
    <w:name w:val="内文 Char"/>
    <w:link w:val="842"/>
    <w:autoRedefine/>
    <w:qFormat/>
    <w:locked/>
    <w:uiPriority w:val="99"/>
    <w:rPr>
      <w:rFonts w:ascii="Arial" w:hAnsi="Arial"/>
      <w:kern w:val="2"/>
      <w:sz w:val="22"/>
    </w:rPr>
  </w:style>
  <w:style w:type="character" w:customStyle="1" w:styleId="929">
    <w:name w:val="明显引用 字符"/>
    <w:link w:val="839"/>
    <w:autoRedefine/>
    <w:qFormat/>
    <w:locked/>
    <w:uiPriority w:val="99"/>
    <w:rPr>
      <w:rFonts w:eastAsia="微软雅黑"/>
      <w:b/>
      <w:i/>
      <w:color w:val="4F81BD"/>
      <w:kern w:val="2"/>
      <w:sz w:val="22"/>
    </w:rPr>
  </w:style>
  <w:style w:type="character" w:customStyle="1" w:styleId="930">
    <w:name w:val="textcontents"/>
    <w:autoRedefine/>
    <w:qFormat/>
    <w:uiPriority w:val="99"/>
  </w:style>
  <w:style w:type="character" w:customStyle="1" w:styleId="931">
    <w:name w:val="EmailStyle161"/>
    <w:autoRedefine/>
    <w:qFormat/>
    <w:uiPriority w:val="99"/>
    <w:rPr>
      <w:rFonts w:ascii="Arial" w:hAnsi="Arial" w:eastAsia="宋体"/>
      <w:color w:val="auto"/>
      <w:sz w:val="20"/>
    </w:rPr>
  </w:style>
  <w:style w:type="character" w:customStyle="1" w:styleId="932">
    <w:name w:val="日期 Char Char"/>
    <w:autoRedefine/>
    <w:qFormat/>
    <w:uiPriority w:val="99"/>
    <w:rPr>
      <w:kern w:val="2"/>
      <w:sz w:val="24"/>
    </w:rPr>
  </w:style>
  <w:style w:type="character" w:customStyle="1" w:styleId="933">
    <w:name w:val="普通文字 Char1"/>
    <w:autoRedefine/>
    <w:qFormat/>
    <w:uiPriority w:val="99"/>
    <w:rPr>
      <w:rFonts w:ascii="宋体" w:hAnsi="Courier New" w:eastAsia="宋体"/>
      <w:kern w:val="2"/>
      <w:sz w:val="21"/>
      <w:lang w:val="en-US" w:eastAsia="zh-CN"/>
    </w:rPr>
  </w:style>
  <w:style w:type="character" w:customStyle="1" w:styleId="934">
    <w:name w:val="Default Char"/>
    <w:link w:val="116"/>
    <w:autoRedefine/>
    <w:qFormat/>
    <w:locked/>
    <w:uiPriority w:val="99"/>
    <w:rPr>
      <w:rFonts w:ascii="楷体" w:eastAsia="楷体"/>
      <w:color w:val="000000"/>
      <w:sz w:val="22"/>
    </w:rPr>
  </w:style>
  <w:style w:type="character" w:customStyle="1" w:styleId="935">
    <w:name w:val="样式 正文文本 Char"/>
    <w:link w:val="848"/>
    <w:autoRedefine/>
    <w:qFormat/>
    <w:locked/>
    <w:uiPriority w:val="99"/>
    <w:rPr>
      <w:rFonts w:ascii="Arial" w:hAnsi="Arial" w:eastAsia="微软雅黑"/>
      <w:color w:val="000000"/>
      <w:kern w:val="2"/>
      <w:sz w:val="21"/>
    </w:rPr>
  </w:style>
  <w:style w:type="character" w:customStyle="1" w:styleId="936">
    <w:name w:val="样式1 Char Char Char"/>
    <w:autoRedefine/>
    <w:qFormat/>
    <w:uiPriority w:val="99"/>
    <w:rPr>
      <w:rFonts w:ascii="Arial" w:hAnsi="Arial" w:eastAsia="宋体"/>
      <w:kern w:val="2"/>
      <w:sz w:val="24"/>
      <w:lang w:val="en-US" w:eastAsia="zh-CN"/>
    </w:rPr>
  </w:style>
  <w:style w:type="character" w:customStyle="1" w:styleId="937">
    <w:name w:val="批注主题 Char1"/>
    <w:autoRedefine/>
    <w:qFormat/>
    <w:uiPriority w:val="99"/>
    <w:rPr>
      <w:b/>
      <w:kern w:val="2"/>
      <w:sz w:val="22"/>
    </w:rPr>
  </w:style>
  <w:style w:type="character" w:customStyle="1" w:styleId="938">
    <w:name w:val="标题 Char2"/>
    <w:autoRedefine/>
    <w:qFormat/>
    <w:uiPriority w:val="99"/>
    <w:rPr>
      <w:rFonts w:ascii="Cambria" w:hAnsi="Cambria"/>
      <w:b/>
      <w:kern w:val="2"/>
      <w:sz w:val="32"/>
    </w:rPr>
  </w:style>
  <w:style w:type="character" w:customStyle="1" w:styleId="939">
    <w:name w:val="正文缩进 Char1"/>
    <w:autoRedefine/>
    <w:qFormat/>
    <w:uiPriority w:val="99"/>
    <w:rPr>
      <w:kern w:val="2"/>
      <w:sz w:val="21"/>
    </w:rPr>
  </w:style>
  <w:style w:type="character" w:customStyle="1" w:styleId="940">
    <w:name w:val="正文文本 Char2"/>
    <w:autoRedefine/>
    <w:qFormat/>
    <w:uiPriority w:val="99"/>
    <w:rPr>
      <w:rFonts w:ascii="宋体"/>
      <w:kern w:val="2"/>
      <w:sz w:val="28"/>
    </w:rPr>
  </w:style>
  <w:style w:type="character" w:customStyle="1" w:styleId="941">
    <w:name w:val="明显引用 Char1"/>
    <w:autoRedefine/>
    <w:qFormat/>
    <w:uiPriority w:val="99"/>
    <w:rPr>
      <w:b/>
      <w:i/>
      <w:color w:val="4F81BD"/>
      <w:kern w:val="2"/>
      <w:sz w:val="24"/>
    </w:rPr>
  </w:style>
  <w:style w:type="character" w:customStyle="1" w:styleId="942">
    <w:name w:val="列出段落 字符"/>
    <w:autoRedefine/>
    <w:qFormat/>
    <w:uiPriority w:val="99"/>
    <w:rPr>
      <w:rFonts w:ascii="Calibri" w:hAnsi="Calibri"/>
      <w:kern w:val="2"/>
      <w:sz w:val="22"/>
    </w:rPr>
  </w:style>
  <w:style w:type="character" w:customStyle="1" w:styleId="943">
    <w:name w:val="EmailStyle151"/>
    <w:autoRedefine/>
    <w:qFormat/>
    <w:uiPriority w:val="99"/>
    <w:rPr>
      <w:rFonts w:ascii="Arial" w:hAnsi="Arial" w:eastAsia="宋体"/>
      <w:color w:val="auto"/>
      <w:sz w:val="20"/>
    </w:rPr>
  </w:style>
  <w:style w:type="character" w:customStyle="1" w:styleId="944">
    <w:name w:val="_Style 267"/>
    <w:autoRedefine/>
    <w:qFormat/>
    <w:uiPriority w:val="99"/>
    <w:rPr>
      <w:i/>
      <w:color w:val="808080"/>
    </w:rPr>
  </w:style>
  <w:style w:type="character" w:customStyle="1" w:styleId="945">
    <w:name w:val="文档结构图 Char2"/>
    <w:autoRedefine/>
    <w:qFormat/>
    <w:uiPriority w:val="99"/>
    <w:rPr>
      <w:rFonts w:ascii="宋体"/>
      <w:kern w:val="2"/>
      <w:sz w:val="18"/>
    </w:rPr>
  </w:style>
  <w:style w:type="character" w:customStyle="1" w:styleId="946">
    <w:name w:val="font41"/>
    <w:basedOn w:val="69"/>
    <w:autoRedefine/>
    <w:qFormat/>
    <w:uiPriority w:val="99"/>
    <w:rPr>
      <w:rFonts w:ascii="宋体" w:hAnsi="宋体" w:eastAsia="宋体" w:cs="宋体"/>
      <w:color w:val="000000"/>
      <w:sz w:val="24"/>
      <w:szCs w:val="24"/>
      <w:u w:val="none"/>
    </w:rPr>
  </w:style>
  <w:style w:type="character" w:customStyle="1" w:styleId="947">
    <w:name w:val="Char Char16"/>
    <w:autoRedefine/>
    <w:qFormat/>
    <w:uiPriority w:val="99"/>
    <w:rPr>
      <w:rFonts w:ascii="宋体" w:eastAsia="宋体"/>
      <w:b/>
      <w:kern w:val="2"/>
      <w:sz w:val="28"/>
      <w:lang w:val="en-US" w:eastAsia="zh-CN"/>
    </w:rPr>
  </w:style>
  <w:style w:type="character" w:customStyle="1" w:styleId="948">
    <w:name w:val="引用 Char1"/>
    <w:autoRedefine/>
    <w:qFormat/>
    <w:uiPriority w:val="99"/>
    <w:rPr>
      <w:i/>
      <w:color w:val="000000"/>
      <w:kern w:val="2"/>
      <w:sz w:val="24"/>
    </w:rPr>
  </w:style>
  <w:style w:type="character" w:customStyle="1" w:styleId="949">
    <w:name w:val="引用 字符"/>
    <w:link w:val="828"/>
    <w:autoRedefine/>
    <w:qFormat/>
    <w:locked/>
    <w:uiPriority w:val="99"/>
    <w:rPr>
      <w:rFonts w:eastAsia="微软雅黑"/>
      <w:i/>
      <w:color w:val="000000"/>
      <w:kern w:val="2"/>
      <w:sz w:val="22"/>
    </w:rPr>
  </w:style>
  <w:style w:type="character" w:customStyle="1" w:styleId="950">
    <w:name w:val="日期 Char2"/>
    <w:autoRedefine/>
    <w:qFormat/>
    <w:uiPriority w:val="99"/>
    <w:rPr>
      <w:rFonts w:ascii="宋体"/>
      <w:kern w:val="2"/>
      <w:sz w:val="28"/>
    </w:rPr>
  </w:style>
  <w:style w:type="character" w:customStyle="1" w:styleId="951">
    <w:name w:val="未处理的提及1"/>
    <w:autoRedefine/>
    <w:qFormat/>
    <w:uiPriority w:val="99"/>
    <w:rPr>
      <w:color w:val="605E5C"/>
      <w:shd w:val="clear" w:color="auto" w:fill="E1DFDD"/>
    </w:rPr>
  </w:style>
  <w:style w:type="character" w:customStyle="1" w:styleId="952">
    <w:name w:val="_Style 282"/>
    <w:autoRedefine/>
    <w:qFormat/>
    <w:uiPriority w:val="99"/>
    <w:rPr>
      <w:smallCaps/>
      <w:color w:val="C0504D"/>
      <w:u w:val="single"/>
    </w:rPr>
  </w:style>
  <w:style w:type="character" w:customStyle="1" w:styleId="953">
    <w:name w:val="Char Char111"/>
    <w:autoRedefine/>
    <w:qFormat/>
    <w:uiPriority w:val="99"/>
    <w:rPr>
      <w:kern w:val="2"/>
      <w:sz w:val="21"/>
    </w:rPr>
  </w:style>
  <w:style w:type="character" w:customStyle="1" w:styleId="954">
    <w:name w:val="副标题 Char1"/>
    <w:autoRedefine/>
    <w:qFormat/>
    <w:uiPriority w:val="99"/>
    <w:rPr>
      <w:rFonts w:ascii="Cambria" w:hAnsi="Cambria"/>
      <w:b/>
      <w:kern w:val="28"/>
      <w:sz w:val="32"/>
    </w:rPr>
  </w:style>
  <w:style w:type="character" w:customStyle="1" w:styleId="955">
    <w:name w:val="htd01"/>
    <w:autoRedefine/>
    <w:qFormat/>
    <w:uiPriority w:val="99"/>
  </w:style>
  <w:style w:type="paragraph" w:styleId="956">
    <w:name w:val="List Paragraph"/>
    <w:basedOn w:val="1"/>
    <w:autoRedefine/>
    <w:qFormat/>
    <w:uiPriority w:val="99"/>
    <w:pPr>
      <w:ind w:firstLine="420" w:firstLineChars="200"/>
    </w:pPr>
    <w:rPr>
      <w:szCs w:val="24"/>
    </w:rPr>
  </w:style>
  <w:style w:type="paragraph" w:customStyle="1" w:styleId="957">
    <w:name w:val="引文目录1"/>
    <w:basedOn w:val="1"/>
    <w:next w:val="1"/>
    <w:autoRedefine/>
    <w:qFormat/>
    <w:uiPriority w:val="99"/>
    <w:pPr>
      <w:ind w:left="420" w:leftChars="200"/>
    </w:pPr>
    <w:rPr>
      <w:rFonts w:ascii="Times New Roman" w:hAnsi="Times New Roman"/>
    </w:rPr>
  </w:style>
  <w:style w:type="table" w:customStyle="1" w:styleId="958">
    <w:name w:val="网格型1"/>
    <w:autoRedefine/>
    <w:qFormat/>
    <w:uiPriority w:val="99"/>
    <w:rPr>
      <w:rFonts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59">
    <w:name w:val="标题4 Char Char"/>
    <w:link w:val="960"/>
    <w:autoRedefine/>
    <w:qFormat/>
    <w:locked/>
    <w:uiPriority w:val="99"/>
    <w:rPr>
      <w:rFonts w:ascii="Arial" w:hAnsi="Arial"/>
      <w:b/>
      <w:sz w:val="32"/>
    </w:rPr>
  </w:style>
  <w:style w:type="paragraph" w:customStyle="1" w:styleId="960">
    <w:name w:val="标题4"/>
    <w:basedOn w:val="3"/>
    <w:next w:val="30"/>
    <w:link w:val="959"/>
    <w:autoRedefine/>
    <w:qFormat/>
    <w:uiPriority w:val="99"/>
    <w:pPr>
      <w:spacing w:line="413" w:lineRule="auto"/>
    </w:pPr>
    <w:rPr>
      <w:rFonts w:eastAsia="宋体"/>
      <w:bCs w:val="0"/>
      <w:kern w:val="0"/>
      <w:szCs w:val="20"/>
    </w:rPr>
  </w:style>
  <w:style w:type="paragraph" w:styleId="961">
    <w:name w:val="Intense Quote"/>
    <w:basedOn w:val="1"/>
    <w:next w:val="1"/>
    <w:link w:val="962"/>
    <w:autoRedefine/>
    <w:qFormat/>
    <w:uiPriority w:val="99"/>
    <w:pPr>
      <w:pBdr>
        <w:bottom w:val="single" w:color="4F81BD" w:sz="4" w:space="4"/>
      </w:pBdr>
      <w:spacing w:before="200" w:after="280"/>
      <w:ind w:left="936" w:right="936"/>
    </w:pPr>
    <w:rPr>
      <w:rFonts w:ascii="Times New Roman" w:hAnsi="Times New Roman"/>
      <w:b/>
      <w:bCs/>
      <w:i/>
      <w:iCs/>
      <w:color w:val="4F81BD"/>
    </w:rPr>
  </w:style>
  <w:style w:type="character" w:customStyle="1" w:styleId="962">
    <w:name w:val="明显引用 字符1"/>
    <w:basedOn w:val="69"/>
    <w:link w:val="961"/>
    <w:autoRedefine/>
    <w:qFormat/>
    <w:locked/>
    <w:uiPriority w:val="99"/>
    <w:rPr>
      <w:rFonts w:ascii="Times New Roman" w:hAnsi="Times New Roman" w:cs="Times New Roman"/>
      <w:b/>
      <w:i/>
      <w:color w:val="4F81BD"/>
      <w:kern w:val="2"/>
      <w:sz w:val="22"/>
    </w:rPr>
  </w:style>
  <w:style w:type="character" w:customStyle="1" w:styleId="963">
    <w:name w:val="书籍标题111"/>
    <w:autoRedefine/>
    <w:qFormat/>
    <w:uiPriority w:val="99"/>
    <w:rPr>
      <w:b/>
      <w:smallCaps/>
      <w:spacing w:val="5"/>
    </w:rPr>
  </w:style>
  <w:style w:type="character" w:customStyle="1" w:styleId="964">
    <w:name w:val="明显强调1"/>
    <w:autoRedefine/>
    <w:qFormat/>
    <w:uiPriority w:val="99"/>
    <w:rPr>
      <w:b/>
      <w:i/>
      <w:color w:val="4F81BD"/>
    </w:rPr>
  </w:style>
  <w:style w:type="character" w:customStyle="1" w:styleId="965">
    <w:name w:val="不明显强调1"/>
    <w:autoRedefine/>
    <w:qFormat/>
    <w:uiPriority w:val="99"/>
    <w:rPr>
      <w:i/>
      <w:color w:val="808080"/>
    </w:rPr>
  </w:style>
  <w:style w:type="character" w:customStyle="1" w:styleId="966">
    <w:name w:val="不明显参考111"/>
    <w:autoRedefine/>
    <w:qFormat/>
    <w:uiPriority w:val="99"/>
    <w:rPr>
      <w:smallCaps/>
      <w:color w:val="C0504D"/>
      <w:u w:val="single"/>
    </w:rPr>
  </w:style>
  <w:style w:type="character" w:customStyle="1" w:styleId="967">
    <w:name w:val="明显参考111"/>
    <w:autoRedefine/>
    <w:qFormat/>
    <w:uiPriority w:val="99"/>
    <w:rPr>
      <w:b/>
      <w:smallCaps/>
      <w:color w:val="C0504D"/>
      <w:spacing w:val="5"/>
      <w:u w:val="single"/>
    </w:rPr>
  </w:style>
  <w:style w:type="paragraph" w:styleId="968">
    <w:name w:val="Quote"/>
    <w:basedOn w:val="1"/>
    <w:next w:val="1"/>
    <w:link w:val="969"/>
    <w:autoRedefine/>
    <w:qFormat/>
    <w:uiPriority w:val="99"/>
    <w:rPr>
      <w:rFonts w:ascii="Times New Roman" w:hAnsi="Times New Roman"/>
      <w:i/>
      <w:iCs/>
      <w:color w:val="000000"/>
    </w:rPr>
  </w:style>
  <w:style w:type="character" w:customStyle="1" w:styleId="969">
    <w:name w:val="引用 字符1"/>
    <w:basedOn w:val="69"/>
    <w:link w:val="968"/>
    <w:autoRedefine/>
    <w:qFormat/>
    <w:locked/>
    <w:uiPriority w:val="99"/>
    <w:rPr>
      <w:rFonts w:ascii="Times New Roman" w:hAnsi="Times New Roman" w:cs="Times New Roman"/>
      <w:i/>
      <w:color w:val="000000"/>
      <w:kern w:val="2"/>
      <w:sz w:val="22"/>
    </w:rPr>
  </w:style>
  <w:style w:type="character" w:customStyle="1" w:styleId="970">
    <w:name w:val="批注文字 字符1"/>
    <w:autoRedefine/>
    <w:semiHidden/>
    <w:qFormat/>
    <w:uiPriority w:val="99"/>
    <w:rPr>
      <w:rFonts w:ascii="Calibri" w:hAnsi="Calibri" w:eastAsia="宋体"/>
      <w:kern w:val="2"/>
      <w:sz w:val="22"/>
    </w:rPr>
  </w:style>
  <w:style w:type="paragraph" w:styleId="971">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72">
    <w:name w:val="副标题 字符1"/>
    <w:autoRedefine/>
    <w:qFormat/>
    <w:uiPriority w:val="99"/>
    <w:rPr>
      <w:rFonts w:ascii="Calibri" w:hAnsi="Calibri" w:eastAsia="宋体"/>
      <w:b/>
      <w:kern w:val="28"/>
      <w:sz w:val="32"/>
    </w:rPr>
  </w:style>
  <w:style w:type="character" w:customStyle="1" w:styleId="973">
    <w:name w:val="标题 字符1"/>
    <w:autoRedefine/>
    <w:qFormat/>
    <w:uiPriority w:val="99"/>
    <w:rPr>
      <w:rFonts w:ascii="Cambria" w:hAnsi="Cambria" w:eastAsia="宋体"/>
      <w:b/>
      <w:kern w:val="2"/>
      <w:sz w:val="32"/>
    </w:rPr>
  </w:style>
  <w:style w:type="character" w:customStyle="1" w:styleId="974">
    <w:name w:val="文档结构图 字符1"/>
    <w:autoRedefine/>
    <w:semiHidden/>
    <w:qFormat/>
    <w:uiPriority w:val="99"/>
    <w:rPr>
      <w:rFonts w:ascii="Microsoft YaHei UI" w:hAnsi="Calibri" w:eastAsia="Microsoft YaHei UI"/>
      <w:kern w:val="2"/>
      <w:sz w:val="18"/>
    </w:rPr>
  </w:style>
  <w:style w:type="character" w:customStyle="1" w:styleId="975">
    <w:name w:val="正文文本 字符1"/>
    <w:autoRedefine/>
    <w:semiHidden/>
    <w:qFormat/>
    <w:uiPriority w:val="99"/>
    <w:rPr>
      <w:rFonts w:ascii="Calibri" w:hAnsi="Calibri" w:eastAsia="宋体"/>
      <w:kern w:val="2"/>
      <w:sz w:val="22"/>
    </w:rPr>
  </w:style>
  <w:style w:type="paragraph" w:customStyle="1" w:styleId="976">
    <w:name w:val="修订111"/>
    <w:autoRedefine/>
    <w:qFormat/>
    <w:uiPriority w:val="99"/>
    <w:rPr>
      <w:rFonts w:ascii="Times New Roman" w:hAnsi="Times New Roman" w:eastAsia="宋体" w:cs="Times New Roman"/>
      <w:kern w:val="2"/>
      <w:sz w:val="21"/>
      <w:szCs w:val="24"/>
      <w:lang w:val="en-US" w:eastAsia="zh-CN" w:bidi="ar-SA"/>
    </w:rPr>
  </w:style>
  <w:style w:type="character" w:customStyle="1" w:styleId="977">
    <w:name w:val="批注主题 字符1"/>
    <w:autoRedefine/>
    <w:semiHidden/>
    <w:qFormat/>
    <w:uiPriority w:val="99"/>
    <w:rPr>
      <w:rFonts w:ascii="Calibri" w:hAnsi="Calibri" w:eastAsia="宋体"/>
      <w:b/>
      <w:kern w:val="2"/>
      <w:sz w:val="22"/>
    </w:rPr>
  </w:style>
  <w:style w:type="character" w:customStyle="1" w:styleId="978">
    <w:name w:val="日期 字符1"/>
    <w:autoRedefine/>
    <w:semiHidden/>
    <w:qFormat/>
    <w:uiPriority w:val="99"/>
    <w:rPr>
      <w:rFonts w:ascii="Calibri" w:hAnsi="Calibri" w:eastAsia="宋体"/>
      <w:kern w:val="2"/>
      <w:sz w:val="22"/>
    </w:rPr>
  </w:style>
  <w:style w:type="character" w:customStyle="1" w:styleId="979">
    <w:name w:val="批注框文本 字符1"/>
    <w:autoRedefine/>
    <w:semiHidden/>
    <w:qFormat/>
    <w:uiPriority w:val="99"/>
    <w:rPr>
      <w:rFonts w:ascii="Calibri" w:hAnsi="Calibri" w:eastAsia="宋体"/>
      <w:kern w:val="2"/>
      <w:sz w:val="18"/>
    </w:rPr>
  </w:style>
  <w:style w:type="paragraph" w:customStyle="1" w:styleId="980">
    <w:name w:val="TOC 标题111"/>
    <w:basedOn w:val="2"/>
    <w:next w:val="1"/>
    <w:autoRedefine/>
    <w:qFormat/>
    <w:uiPriority w:val="99"/>
    <w:pPr>
      <w:keepNext/>
      <w:keepLines/>
      <w:autoSpaceDE/>
      <w:autoSpaceDN/>
      <w:adjustRightInd/>
      <w:spacing w:before="340" w:after="330" w:line="576" w:lineRule="auto"/>
      <w:jc w:val="both"/>
      <w:outlineLvl w:val="9"/>
    </w:pPr>
    <w:rPr>
      <w:rFonts w:eastAsia="微软雅黑"/>
      <w:kern w:val="44"/>
      <w:sz w:val="44"/>
      <w:szCs w:val="44"/>
    </w:rPr>
  </w:style>
  <w:style w:type="character" w:customStyle="1" w:styleId="981">
    <w:name w:val="doc_title"/>
    <w:autoRedefine/>
    <w:qFormat/>
    <w:uiPriority w:val="99"/>
  </w:style>
  <w:style w:type="table" w:customStyle="1" w:styleId="982">
    <w:name w:val="网格型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3">
    <w:name w:val="页眉 字符1"/>
    <w:autoRedefine/>
    <w:semiHidden/>
    <w:qFormat/>
    <w:uiPriority w:val="99"/>
    <w:rPr>
      <w:kern w:val="2"/>
      <w:sz w:val="18"/>
    </w:rPr>
  </w:style>
  <w:style w:type="character" w:customStyle="1" w:styleId="984">
    <w:name w:val="正文文本缩进 字符1"/>
    <w:autoRedefine/>
    <w:semiHidden/>
    <w:qFormat/>
    <w:uiPriority w:val="99"/>
    <w:rPr>
      <w:kern w:val="2"/>
      <w:sz w:val="22"/>
    </w:rPr>
  </w:style>
  <w:style w:type="paragraph" w:customStyle="1" w:styleId="985">
    <w:name w:val="_Style 976"/>
    <w:basedOn w:val="1"/>
    <w:next w:val="956"/>
    <w:autoRedefine/>
    <w:qFormat/>
    <w:uiPriority w:val="99"/>
    <w:pPr>
      <w:ind w:firstLine="420" w:firstLineChars="200"/>
    </w:pPr>
    <w:rPr>
      <w:szCs w:val="24"/>
    </w:rPr>
  </w:style>
  <w:style w:type="character" w:customStyle="1" w:styleId="986">
    <w:name w:val="页脚 字符1"/>
    <w:autoRedefine/>
    <w:semiHidden/>
    <w:qFormat/>
    <w:uiPriority w:val="99"/>
    <w:rPr>
      <w:kern w:val="2"/>
      <w:sz w:val="18"/>
    </w:rPr>
  </w:style>
  <w:style w:type="character" w:customStyle="1" w:styleId="987">
    <w:name w:val="HTML 预设格式 字符1"/>
    <w:autoRedefine/>
    <w:semiHidden/>
    <w:qFormat/>
    <w:uiPriority w:val="99"/>
    <w:rPr>
      <w:rFonts w:ascii="Courier New" w:hAnsi="Courier New"/>
      <w:kern w:val="2"/>
    </w:rPr>
  </w:style>
  <w:style w:type="character" w:customStyle="1" w:styleId="988">
    <w:name w:val="正文文本 2 字符1"/>
    <w:autoRedefine/>
    <w:semiHidden/>
    <w:qFormat/>
    <w:uiPriority w:val="99"/>
    <w:rPr>
      <w:kern w:val="2"/>
      <w:sz w:val="22"/>
    </w:rPr>
  </w:style>
  <w:style w:type="character" w:customStyle="1" w:styleId="989">
    <w:name w:val="正文文本缩进 2 字符1"/>
    <w:autoRedefine/>
    <w:semiHidden/>
    <w:qFormat/>
    <w:uiPriority w:val="99"/>
    <w:rPr>
      <w:kern w:val="2"/>
      <w:sz w:val="22"/>
    </w:rPr>
  </w:style>
  <w:style w:type="character" w:customStyle="1" w:styleId="990">
    <w:name w:val="纯文本 字符1"/>
    <w:autoRedefine/>
    <w:semiHidden/>
    <w:qFormat/>
    <w:uiPriority w:val="99"/>
    <w:rPr>
      <w:rFonts w:ascii="等线" w:hAnsi="Courier New" w:eastAsia="等线"/>
      <w:kern w:val="2"/>
      <w:sz w:val="22"/>
    </w:rPr>
  </w:style>
  <w:style w:type="character" w:customStyle="1" w:styleId="991">
    <w:name w:val="正文文本 3 字符1"/>
    <w:autoRedefine/>
    <w:semiHidden/>
    <w:qFormat/>
    <w:uiPriority w:val="99"/>
    <w:rPr>
      <w:kern w:val="2"/>
      <w:sz w:val="16"/>
    </w:rPr>
  </w:style>
  <w:style w:type="character" w:customStyle="1" w:styleId="992">
    <w:name w:val="称呼 字符1"/>
    <w:autoRedefine/>
    <w:semiHidden/>
    <w:qFormat/>
    <w:uiPriority w:val="99"/>
    <w:rPr>
      <w:kern w:val="2"/>
      <w:sz w:val="22"/>
    </w:rPr>
  </w:style>
  <w:style w:type="character" w:customStyle="1" w:styleId="993">
    <w:name w:val="正文文本缩进 3 字符1"/>
    <w:autoRedefine/>
    <w:semiHidden/>
    <w:qFormat/>
    <w:uiPriority w:val="99"/>
    <w:rPr>
      <w:kern w:val="2"/>
      <w:sz w:val="16"/>
    </w:rPr>
  </w:style>
  <w:style w:type="character" w:customStyle="1" w:styleId="994">
    <w:name w:val="尾注文本 字符1"/>
    <w:autoRedefine/>
    <w:semiHidden/>
    <w:qFormat/>
    <w:uiPriority w:val="99"/>
    <w:rPr>
      <w:kern w:val="2"/>
      <w:sz w:val="22"/>
    </w:rPr>
  </w:style>
  <w:style w:type="character" w:customStyle="1" w:styleId="995">
    <w:name w:val="脚注文本 字符1"/>
    <w:autoRedefine/>
    <w:semiHidden/>
    <w:qFormat/>
    <w:uiPriority w:val="99"/>
    <w:rPr>
      <w:kern w:val="2"/>
      <w:sz w:val="18"/>
    </w:rPr>
  </w:style>
  <w:style w:type="character" w:customStyle="1" w:styleId="996">
    <w:name w:val="正文文本首行缩进 字符"/>
    <w:autoRedefine/>
    <w:semiHidden/>
    <w:qFormat/>
    <w:uiPriority w:val="99"/>
  </w:style>
  <w:style w:type="paragraph" w:customStyle="1" w:styleId="997">
    <w:name w:val="列出段落21"/>
    <w:basedOn w:val="1"/>
    <w:autoRedefine/>
    <w:qFormat/>
    <w:uiPriority w:val="99"/>
    <w:pPr>
      <w:ind w:firstLine="420" w:firstLineChars="200"/>
    </w:pPr>
    <w:rPr>
      <w:szCs w:val="24"/>
    </w:rPr>
  </w:style>
  <w:style w:type="paragraph" w:customStyle="1" w:styleId="998">
    <w:name w:val="无间隔21"/>
    <w:autoRedefine/>
    <w:qFormat/>
    <w:uiPriority w:val="99"/>
    <w:rPr>
      <w:rFonts w:ascii="Times New Roman" w:hAnsi="Times New Roman" w:eastAsia="宋体" w:cs="Times New Roman"/>
      <w:kern w:val="2"/>
      <w:sz w:val="22"/>
      <w:szCs w:val="22"/>
      <w:lang w:val="en-US" w:eastAsia="zh-CN" w:bidi="ar-SA"/>
    </w:rPr>
  </w:style>
  <w:style w:type="character" w:customStyle="1" w:styleId="999">
    <w:name w:val="未处理的提及2"/>
    <w:autoRedefine/>
    <w:qFormat/>
    <w:uiPriority w:val="99"/>
    <w:rPr>
      <w:color w:val="605E5C"/>
      <w:shd w:val="clear" w:color="auto" w:fill="E1DFDD"/>
    </w:rPr>
  </w:style>
  <w:style w:type="character" w:customStyle="1" w:styleId="1000">
    <w:name w:val="书籍标题11"/>
    <w:autoRedefine/>
    <w:qFormat/>
    <w:uiPriority w:val="99"/>
    <w:rPr>
      <w:b/>
      <w:smallCaps/>
      <w:spacing w:val="5"/>
    </w:rPr>
  </w:style>
  <w:style w:type="character" w:customStyle="1" w:styleId="1001">
    <w:name w:val="不明显参考11"/>
    <w:autoRedefine/>
    <w:qFormat/>
    <w:uiPriority w:val="99"/>
    <w:rPr>
      <w:smallCaps/>
      <w:color w:val="C0504D"/>
      <w:u w:val="single"/>
    </w:rPr>
  </w:style>
  <w:style w:type="character" w:customStyle="1" w:styleId="1002">
    <w:name w:val="明显参考11"/>
    <w:autoRedefine/>
    <w:qFormat/>
    <w:uiPriority w:val="99"/>
    <w:rPr>
      <w:b/>
      <w:smallCaps/>
      <w:color w:val="C0504D"/>
      <w:spacing w:val="5"/>
      <w:u w:val="single"/>
    </w:rPr>
  </w:style>
  <w:style w:type="paragraph" w:customStyle="1" w:styleId="1003">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1004">
    <w:name w:val="TOC 标题11"/>
    <w:basedOn w:val="2"/>
    <w:next w:val="1"/>
    <w:autoRedefine/>
    <w:qFormat/>
    <w:uiPriority w:val="99"/>
    <w:pPr>
      <w:keepNext/>
      <w:keepLines/>
      <w:autoSpaceDE/>
      <w:autoSpaceDN/>
      <w:adjustRightInd/>
      <w:spacing w:before="340" w:after="330" w:line="576" w:lineRule="auto"/>
      <w:jc w:val="both"/>
      <w:outlineLvl w:val="9"/>
    </w:pPr>
    <w:rPr>
      <w:rFonts w:ascii="Times New Roman" w:hAnsi="Times New Roman" w:eastAsia="微软雅黑"/>
      <w:kern w:val="44"/>
      <w:sz w:val="44"/>
      <w:szCs w:val="44"/>
    </w:rPr>
  </w:style>
  <w:style w:type="paragraph" w:customStyle="1" w:styleId="1005">
    <w:name w:val="_Style 9761"/>
    <w:basedOn w:val="1"/>
    <w:next w:val="956"/>
    <w:autoRedefine/>
    <w:qFormat/>
    <w:uiPriority w:val="99"/>
    <w:pPr>
      <w:ind w:firstLine="420" w:firstLineChars="200"/>
    </w:pPr>
    <w:rPr>
      <w:szCs w:val="24"/>
    </w:rPr>
  </w:style>
  <w:style w:type="character" w:customStyle="1" w:styleId="1006">
    <w:name w:val="Document Map Char1"/>
    <w:basedOn w:val="69"/>
    <w:autoRedefine/>
    <w:semiHidden/>
    <w:qFormat/>
    <w:uiPriority w:val="99"/>
    <w:rPr>
      <w:rFonts w:ascii="Times New Roman" w:hAnsi="Times New Roman" w:eastAsia="宋体" w:cs="Times New Roman"/>
      <w:sz w:val="2"/>
      <w:szCs w:val="2"/>
    </w:rPr>
  </w:style>
  <w:style w:type="character" w:customStyle="1" w:styleId="1007">
    <w:name w:val="Comment Text Char1"/>
    <w:basedOn w:val="69"/>
    <w:autoRedefine/>
    <w:semiHidden/>
    <w:qFormat/>
    <w:uiPriority w:val="99"/>
    <w:rPr>
      <w:rFonts w:ascii="Times New Roman" w:hAnsi="Times New Roman" w:eastAsia="宋体" w:cs="Times New Roman"/>
      <w:sz w:val="21"/>
      <w:szCs w:val="21"/>
    </w:rPr>
  </w:style>
  <w:style w:type="character" w:customStyle="1" w:styleId="1008">
    <w:name w:val="Comment Subject Char1"/>
    <w:basedOn w:val="95"/>
    <w:autoRedefine/>
    <w:semiHidden/>
    <w:qFormat/>
    <w:uiPriority w:val="99"/>
    <w:rPr>
      <w:rFonts w:ascii="Times New Roman" w:hAnsi="Times New Roman" w:eastAsia="宋体" w:cs="Times New Roman"/>
      <w:b/>
      <w:bCs/>
      <w:kern w:val="2"/>
      <w:sz w:val="21"/>
      <w:szCs w:val="21"/>
    </w:rPr>
  </w:style>
  <w:style w:type="character" w:customStyle="1" w:styleId="1009">
    <w:name w:val="Date Char1"/>
    <w:basedOn w:val="69"/>
    <w:autoRedefine/>
    <w:semiHidden/>
    <w:qFormat/>
    <w:uiPriority w:val="99"/>
    <w:rPr>
      <w:rFonts w:ascii="Times New Roman" w:hAnsi="Times New Roman" w:eastAsia="宋体" w:cs="Times New Roman"/>
      <w:sz w:val="21"/>
      <w:szCs w:val="21"/>
    </w:rPr>
  </w:style>
  <w:style w:type="character" w:customStyle="1" w:styleId="1010">
    <w:name w:val="ant-select-tree-switcher"/>
    <w:basedOn w:val="69"/>
    <w:autoRedefine/>
    <w:qFormat/>
    <w:uiPriority w:val="99"/>
    <w:rPr>
      <w:rFonts w:cs="Times New Roman"/>
    </w:rPr>
  </w:style>
  <w:style w:type="character" w:customStyle="1" w:styleId="1011">
    <w:name w:val="ant-select-tree-iconele"/>
    <w:basedOn w:val="69"/>
    <w:autoRedefine/>
    <w:qFormat/>
    <w:uiPriority w:val="99"/>
    <w:rPr>
      <w:rFonts w:cs="Times New Roman"/>
    </w:rPr>
  </w:style>
  <w:style w:type="character" w:customStyle="1" w:styleId="1012">
    <w:name w:val="ant-upload-download"/>
    <w:basedOn w:val="69"/>
    <w:autoRedefine/>
    <w:qFormat/>
    <w:uiPriority w:val="99"/>
    <w:rPr>
      <w:rFonts w:cs="Times New Roman"/>
    </w:rPr>
  </w:style>
  <w:style w:type="character" w:customStyle="1" w:styleId="1013">
    <w:name w:val="ant-radio+*"/>
    <w:basedOn w:val="69"/>
    <w:autoRedefine/>
    <w:qFormat/>
    <w:uiPriority w:val="99"/>
    <w:rPr>
      <w:rFonts w:cs="Times New Roman"/>
    </w:rPr>
  </w:style>
  <w:style w:type="character" w:customStyle="1" w:styleId="1014">
    <w:name w:val="ant-radio+*1"/>
    <w:basedOn w:val="69"/>
    <w:autoRedefine/>
    <w:qFormat/>
    <w:uiPriority w:val="99"/>
    <w:rPr>
      <w:rFonts w:cs="Times New Roman"/>
    </w:rPr>
  </w:style>
  <w:style w:type="character" w:customStyle="1" w:styleId="1015">
    <w:name w:val="ant-input18"/>
    <w:basedOn w:val="69"/>
    <w:autoRedefine/>
    <w:qFormat/>
    <w:uiPriority w:val="99"/>
    <w:rPr>
      <w:rFonts w:cs="Times New Roman"/>
    </w:rPr>
  </w:style>
  <w:style w:type="character" w:customStyle="1" w:styleId="1016">
    <w:name w:val="ant-select-tree-checkbox"/>
    <w:basedOn w:val="69"/>
    <w:autoRedefine/>
    <w:qFormat/>
    <w:uiPriority w:val="99"/>
    <w:rPr>
      <w:rFonts w:cs="Times New Roman"/>
    </w:rPr>
  </w:style>
  <w:style w:type="character" w:customStyle="1" w:styleId="1017">
    <w:name w:val="money1"/>
    <w:basedOn w:val="69"/>
    <w:autoRedefine/>
    <w:qFormat/>
    <w:uiPriority w:val="99"/>
    <w:rPr>
      <w:rFonts w:cs="Times New Roman"/>
      <w:color w:val="FF7900"/>
    </w:rPr>
  </w:style>
  <w:style w:type="character" w:customStyle="1" w:styleId="1018">
    <w:name w:val="ant-input20"/>
    <w:basedOn w:val="69"/>
    <w:autoRedefine/>
    <w:qFormat/>
    <w:uiPriority w:val="99"/>
    <w:rPr>
      <w:rFonts w:cs="Times New Roman"/>
    </w:rPr>
  </w:style>
  <w:style w:type="character" w:customStyle="1" w:styleId="1019">
    <w:name w:val="ant-select-tree-checkbox2"/>
    <w:basedOn w:val="69"/>
    <w:autoRedefine/>
    <w:qFormat/>
    <w:uiPriority w:val="99"/>
    <w:rPr>
      <w:rFonts w:cs="Times New Roman"/>
    </w:rPr>
  </w:style>
  <w:style w:type="character" w:customStyle="1" w:styleId="1020">
    <w:name w:val="font31"/>
    <w:basedOn w:val="69"/>
    <w:autoRedefine/>
    <w:qFormat/>
    <w:uiPriority w:val="99"/>
    <w:rPr>
      <w:rFonts w:ascii="宋体" w:hAnsi="宋体" w:eastAsia="宋体" w:cs="宋体"/>
      <w:color w:val="000000"/>
      <w:sz w:val="24"/>
      <w:szCs w:val="24"/>
      <w:u w:val="none"/>
    </w:rPr>
  </w:style>
  <w:style w:type="character" w:customStyle="1" w:styleId="1021">
    <w:name w:val="font21"/>
    <w:basedOn w:val="69"/>
    <w:autoRedefine/>
    <w:qFormat/>
    <w:uiPriority w:val="99"/>
    <w:rPr>
      <w:rFonts w:ascii="Times New Roman" w:hAnsi="Times New Roman" w:cs="Times New Roman"/>
      <w:color w:val="000000"/>
      <w:sz w:val="24"/>
      <w:szCs w:val="24"/>
      <w:u w:val="none"/>
    </w:rPr>
  </w:style>
  <w:style w:type="table" w:customStyle="1" w:styleId="1022">
    <w:name w:val="Table Normal1"/>
    <w:autoRedefine/>
    <w:semiHidden/>
    <w:qFormat/>
    <w:uiPriority w:val="99"/>
    <w:tblPr>
      <w:tblCellMar>
        <w:top w:w="0" w:type="dxa"/>
        <w:left w:w="0" w:type="dxa"/>
        <w:bottom w:w="0" w:type="dxa"/>
        <w:right w:w="0" w:type="dxa"/>
      </w:tblCellMar>
    </w:tblPr>
  </w:style>
  <w:style w:type="paragraph" w:customStyle="1" w:styleId="1023">
    <w:name w:val="WPSOffice手动目录 1"/>
    <w:autoRedefine/>
    <w:qFormat/>
    <w:uiPriority w:val="99"/>
    <w:rPr>
      <w:rFonts w:ascii="Times New Roman" w:hAnsi="Times New Roman" w:eastAsia="宋体" w:cs="Times New Roman"/>
      <w:lang w:val="en-US" w:eastAsia="zh-CN" w:bidi="ar-SA"/>
    </w:rPr>
  </w:style>
  <w:style w:type="paragraph" w:customStyle="1" w:styleId="1024">
    <w:name w:val="_Style 5"/>
    <w:basedOn w:val="2"/>
    <w:next w:val="1"/>
    <w:autoRedefine/>
    <w:qFormat/>
    <w:uiPriority w:val="0"/>
    <w:pPr>
      <w:outlineLvl w:val="9"/>
    </w:pPr>
  </w:style>
  <w:style w:type="paragraph" w:customStyle="1" w:styleId="1025">
    <w:name w:val="_Style 6"/>
    <w:basedOn w:val="2"/>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上海上海远瞩计算机技术有限公司</Company>
  <Pages>189</Pages>
  <Words>4199</Words>
  <Characters>4715</Characters>
  <Lines>973</Lines>
  <Paragraphs>273</Paragraphs>
  <TotalTime>38</TotalTime>
  <ScaleCrop>false</ScaleCrop>
  <LinksUpToDate>false</LinksUpToDate>
  <CharactersWithSpaces>4909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2022-03-17T00:49:00Z</dcterms:created>
  <dc:creator>NTKO</dc:creator>
  <cp:lastModifiedBy>奥利弗。 ❁</cp:lastModifiedBy>
  <cp:lastPrinted>2025-08-29T00:43:00Z</cp:lastPrinted>
  <dcterms:modified xsi:type="dcterms:W3CDTF">2026-04-29T06:34:09Z</dcterms:modified>
  <dc:title>竞争性磋商-工程</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9492A67D48EB43918D2A21EF291B82D8_13</vt:lpwstr>
  </property>
  <property fmtid="{D5CDD505-2E9C-101B-9397-08002B2CF9AE}" pid="4" name="KSOTemplateDocerSaveRecord">
    <vt:lpwstr>eyJoZGlkIjoiYWQwMmZmM2EzNjhiNjhhZjAxNGI4YmYwZTc3YzI1YTEiLCJ1c2VySWQiOiIxMTM2NjkzNDA1In0=</vt:lpwstr>
  </property>
</Properties>
</file>