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A83D79">
      <w:pPr>
        <w:tabs>
          <w:tab w:val="left" w:pos="720"/>
          <w:tab w:val="left" w:pos="2160"/>
          <w:tab w:val="left" w:pos="2880"/>
          <w:tab w:val="left" w:pos="3600"/>
          <w:tab w:val="left" w:pos="4320"/>
          <w:tab w:val="left" w:pos="5040"/>
          <w:tab w:val="left" w:pos="5760"/>
        </w:tabs>
        <w:autoSpaceDE w:val="0"/>
        <w:autoSpaceDN w:val="0"/>
        <w:adjustRightInd w:val="0"/>
        <w:spacing w:after="0" w:line="312" w:lineRule="auto"/>
        <w:ind w:left="540" w:right="924" w:firstLine="355"/>
        <w:jc w:val="center"/>
        <w:rPr>
          <w:rFonts w:hint="eastAsia" w:ascii="宋体" w:hAnsi="宋体" w:cs="宋体"/>
          <w:color w:val="auto"/>
        </w:rPr>
      </w:pPr>
    </w:p>
    <w:p w14:paraId="2E4AEC00">
      <w:pPr>
        <w:tabs>
          <w:tab w:val="left" w:pos="720"/>
          <w:tab w:val="left" w:pos="2160"/>
          <w:tab w:val="left" w:pos="2880"/>
          <w:tab w:val="left" w:pos="3600"/>
          <w:tab w:val="left" w:pos="4320"/>
          <w:tab w:val="left" w:pos="5040"/>
          <w:tab w:val="left" w:pos="5760"/>
        </w:tabs>
        <w:autoSpaceDE w:val="0"/>
        <w:autoSpaceDN w:val="0"/>
        <w:adjustRightInd w:val="0"/>
        <w:spacing w:after="0" w:line="312" w:lineRule="auto"/>
        <w:ind w:left="540" w:right="924" w:firstLine="355"/>
        <w:jc w:val="center"/>
        <w:rPr>
          <w:rFonts w:hint="eastAsia" w:ascii="宋体" w:hAnsi="宋体" w:cs="宋体"/>
          <w:color w:val="auto"/>
        </w:rPr>
      </w:pPr>
    </w:p>
    <w:p w14:paraId="0B4C99D1">
      <w:pPr>
        <w:tabs>
          <w:tab w:val="left" w:pos="720"/>
          <w:tab w:val="left" w:pos="2160"/>
          <w:tab w:val="left" w:pos="2880"/>
          <w:tab w:val="left" w:pos="3600"/>
          <w:tab w:val="left" w:pos="4320"/>
          <w:tab w:val="left" w:pos="5040"/>
          <w:tab w:val="left" w:pos="5760"/>
        </w:tabs>
        <w:autoSpaceDE w:val="0"/>
        <w:autoSpaceDN w:val="0"/>
        <w:adjustRightInd w:val="0"/>
        <w:spacing w:after="0" w:line="312" w:lineRule="auto"/>
        <w:ind w:left="540" w:right="924" w:firstLine="355"/>
        <w:jc w:val="center"/>
        <w:rPr>
          <w:rFonts w:hint="eastAsia" w:ascii="宋体" w:hAnsi="宋体" w:cs="宋体"/>
          <w:color w:val="auto"/>
        </w:rPr>
      </w:pPr>
    </w:p>
    <w:p w14:paraId="12DD62EB">
      <w:pPr>
        <w:shd w:val="clear" w:color="auto"/>
        <w:spacing w:line="360" w:lineRule="auto"/>
        <w:jc w:val="center"/>
        <w:textAlignment w:val="bottom"/>
        <w:rPr>
          <w:rFonts w:hint="eastAsia" w:ascii="宋体" w:hAnsi="宋体" w:eastAsia="宋体" w:cs="宋体"/>
          <w:b/>
          <w:color w:val="auto"/>
          <w:kern w:val="0"/>
          <w:sz w:val="52"/>
          <w:szCs w:val="52"/>
          <w:highlight w:val="none"/>
        </w:rPr>
      </w:pPr>
      <w:r>
        <w:rPr>
          <w:rFonts w:hint="eastAsia" w:ascii="宋体" w:hAnsi="宋体" w:eastAsia="宋体" w:cs="宋体"/>
          <w:b/>
          <w:color w:val="auto"/>
          <w:kern w:val="0"/>
          <w:sz w:val="52"/>
          <w:szCs w:val="52"/>
          <w:highlight w:val="none"/>
        </w:rPr>
        <w:t>政府采购电子公开招标文件</w:t>
      </w:r>
    </w:p>
    <w:p w14:paraId="27ED43CF">
      <w:pPr>
        <w:shd w:val="clear" w:color="auto"/>
        <w:spacing w:line="360" w:lineRule="auto"/>
        <w:textAlignment w:val="bottom"/>
        <w:rPr>
          <w:rFonts w:hint="eastAsia" w:ascii="宋体" w:hAnsi="宋体" w:eastAsia="宋体" w:cs="宋体"/>
          <w:color w:val="auto"/>
          <w:kern w:val="0"/>
          <w:sz w:val="28"/>
          <w:highlight w:val="none"/>
        </w:rPr>
      </w:pPr>
    </w:p>
    <w:p w14:paraId="6A3A3E87">
      <w:pPr>
        <w:shd w:val="clear" w:color="auto"/>
        <w:spacing w:line="360" w:lineRule="auto"/>
        <w:jc w:val="center"/>
        <w:textAlignment w:val="bottom"/>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项目编号：</w:t>
      </w:r>
      <w:r>
        <w:rPr>
          <w:rFonts w:hint="eastAsia" w:ascii="宋体" w:hAnsi="宋体" w:cs="宋体"/>
          <w:color w:val="auto"/>
          <w:sz w:val="28"/>
          <w:szCs w:val="28"/>
          <w:highlight w:val="none"/>
          <w:lang w:eastAsia="zh-CN"/>
        </w:rPr>
        <w:t>331003267110020000014-JC-GK2026-014号</w:t>
      </w:r>
    </w:p>
    <w:p w14:paraId="220A7B81">
      <w:pPr>
        <w:shd w:val="clear" w:color="auto"/>
        <w:spacing w:line="360" w:lineRule="auto"/>
        <w:textAlignment w:val="bottom"/>
        <w:rPr>
          <w:rFonts w:hint="eastAsia" w:ascii="宋体" w:hAnsi="宋体" w:eastAsia="宋体" w:cs="宋体"/>
          <w:color w:val="auto"/>
          <w:kern w:val="0"/>
          <w:sz w:val="28"/>
          <w:highlight w:val="none"/>
        </w:rPr>
      </w:pPr>
    </w:p>
    <w:p w14:paraId="597E8D40">
      <w:pPr>
        <w:shd w:val="clear" w:color="auto"/>
        <w:spacing w:line="360" w:lineRule="auto"/>
        <w:textAlignment w:val="bottom"/>
        <w:rPr>
          <w:rFonts w:hint="eastAsia" w:ascii="宋体" w:hAnsi="宋体" w:eastAsia="宋体" w:cs="宋体"/>
          <w:color w:val="auto"/>
          <w:kern w:val="0"/>
          <w:sz w:val="28"/>
          <w:highlight w:val="none"/>
        </w:rPr>
      </w:pPr>
    </w:p>
    <w:p w14:paraId="39CDBAD0">
      <w:pPr>
        <w:shd w:val="clear"/>
        <w:autoSpaceDE w:val="0"/>
        <w:autoSpaceDN w:val="0"/>
        <w:adjustRightInd w:val="0"/>
        <w:spacing w:line="360" w:lineRule="auto"/>
        <w:jc w:val="center"/>
        <w:rPr>
          <w:rFonts w:hint="eastAsia" w:ascii="宋体" w:hAnsi="宋体" w:eastAsia="宋体" w:cs="宋体"/>
          <w:color w:val="auto"/>
          <w:kern w:val="0"/>
          <w:sz w:val="28"/>
          <w:highlight w:val="none"/>
          <w:lang w:val="en-US" w:eastAsia="zh-CN"/>
        </w:rPr>
      </w:pPr>
      <w:r>
        <w:rPr>
          <w:rFonts w:hint="eastAsia" w:ascii="宋体" w:hAnsi="宋体" w:eastAsia="宋体" w:cs="宋体"/>
          <w:color w:val="auto"/>
          <w:kern w:val="0"/>
          <w:sz w:val="28"/>
          <w:highlight w:val="none"/>
        </w:rPr>
        <w:t>采购项目：</w:t>
      </w:r>
      <w:r>
        <w:rPr>
          <w:rFonts w:hint="eastAsia" w:ascii="宋体" w:hAnsi="宋体" w:cs="宋体"/>
          <w:color w:val="auto"/>
          <w:kern w:val="0"/>
          <w:sz w:val="28"/>
          <w:highlight w:val="none"/>
          <w:lang w:eastAsia="zh-CN"/>
        </w:rPr>
        <w:t>北洋镇应急中心改造提升工程（智能化）</w:t>
      </w:r>
    </w:p>
    <w:p w14:paraId="3928AE8B">
      <w:pPr>
        <w:shd w:val="clear"/>
        <w:autoSpaceDE w:val="0"/>
        <w:autoSpaceDN w:val="0"/>
        <w:adjustRightInd w:val="0"/>
        <w:spacing w:line="360" w:lineRule="auto"/>
        <w:jc w:val="center"/>
        <w:rPr>
          <w:rFonts w:hint="eastAsia" w:ascii="宋体" w:hAnsi="宋体" w:eastAsia="宋体" w:cs="宋体"/>
          <w:color w:val="auto"/>
          <w:kern w:val="0"/>
          <w:sz w:val="28"/>
          <w:highlight w:val="none"/>
          <w:lang w:eastAsia="zh-CN"/>
        </w:rPr>
      </w:pPr>
      <w:r>
        <w:rPr>
          <w:rFonts w:hint="eastAsia" w:ascii="宋体" w:hAnsi="宋体" w:eastAsia="宋体" w:cs="宋体"/>
          <w:color w:val="auto"/>
          <w:kern w:val="0"/>
          <w:sz w:val="28"/>
          <w:highlight w:val="none"/>
        </w:rPr>
        <w:t>采购单位：台州市黄岩区北洋镇人民政府</w:t>
      </w:r>
    </w:p>
    <w:p w14:paraId="5061EC6F">
      <w:pPr>
        <w:shd w:val="clear" w:color="auto"/>
        <w:spacing w:line="360" w:lineRule="auto"/>
        <w:textAlignment w:val="bottom"/>
        <w:rPr>
          <w:rFonts w:hint="eastAsia" w:ascii="宋体" w:hAnsi="宋体" w:eastAsia="宋体" w:cs="宋体"/>
          <w:color w:val="auto"/>
          <w:kern w:val="0"/>
          <w:sz w:val="28"/>
          <w:highlight w:val="none"/>
        </w:rPr>
      </w:pPr>
    </w:p>
    <w:p w14:paraId="15C589BB">
      <w:pPr>
        <w:shd w:val="clear" w:color="auto"/>
        <w:spacing w:line="360" w:lineRule="auto"/>
        <w:textAlignment w:val="bottom"/>
        <w:rPr>
          <w:rFonts w:hint="eastAsia" w:ascii="宋体" w:hAnsi="宋体" w:eastAsia="宋体" w:cs="宋体"/>
          <w:color w:val="auto"/>
          <w:kern w:val="0"/>
          <w:sz w:val="28"/>
          <w:highlight w:val="none"/>
        </w:rPr>
      </w:pPr>
    </w:p>
    <w:p w14:paraId="4A44B2BA">
      <w:pPr>
        <w:shd w:val="clear"/>
        <w:autoSpaceDE w:val="0"/>
        <w:autoSpaceDN w:val="0"/>
        <w:adjustRightInd w:val="0"/>
        <w:spacing w:line="360" w:lineRule="auto"/>
        <w:jc w:val="center"/>
        <w:rPr>
          <w:rFonts w:hint="eastAsia" w:ascii="宋体" w:hAnsi="宋体" w:eastAsia="宋体" w:cs="宋体"/>
          <w:color w:val="auto"/>
          <w:kern w:val="0"/>
          <w:sz w:val="28"/>
          <w:highlight w:val="none"/>
          <w:lang w:eastAsia="zh-CN"/>
        </w:rPr>
      </w:pPr>
      <w:r>
        <w:rPr>
          <w:rFonts w:hint="eastAsia" w:ascii="宋体" w:hAnsi="宋体" w:eastAsia="宋体" w:cs="宋体"/>
          <w:color w:val="auto"/>
          <w:kern w:val="0"/>
          <w:sz w:val="28"/>
          <w:highlight w:val="none"/>
        </w:rPr>
        <w:t>采购代理机构：</w:t>
      </w:r>
      <w:r>
        <w:rPr>
          <w:rFonts w:hint="eastAsia" w:ascii="宋体" w:hAnsi="宋体" w:cs="宋体"/>
          <w:color w:val="auto"/>
          <w:kern w:val="0"/>
          <w:sz w:val="28"/>
          <w:highlight w:val="none"/>
          <w:lang w:eastAsia="zh-CN"/>
        </w:rPr>
        <w:t>台州市玖诚工程管理有限公司</w:t>
      </w:r>
    </w:p>
    <w:p w14:paraId="1D638B68">
      <w:pPr>
        <w:shd w:val="clear"/>
        <w:autoSpaceDE w:val="0"/>
        <w:autoSpaceDN w:val="0"/>
        <w:adjustRightInd w:val="0"/>
        <w:spacing w:line="360" w:lineRule="auto"/>
        <w:jc w:val="center"/>
        <w:rPr>
          <w:rFonts w:hint="eastAsia" w:ascii="宋体" w:hAnsi="宋体" w:eastAsia="宋体" w:cs="宋体"/>
          <w:color w:val="auto"/>
          <w:sz w:val="24"/>
          <w:szCs w:val="32"/>
          <w:highlight w:val="none"/>
        </w:rPr>
      </w:pPr>
      <w:r>
        <w:rPr>
          <w:rFonts w:hint="eastAsia" w:ascii="宋体" w:hAnsi="宋体" w:cs="宋体"/>
          <w:color w:val="auto"/>
          <w:kern w:val="0"/>
          <w:sz w:val="28"/>
          <w:highlight w:val="none"/>
          <w:lang w:val="en-US" w:eastAsia="zh-CN"/>
        </w:rPr>
        <w:t>2026年04月</w:t>
      </w:r>
    </w:p>
    <w:p w14:paraId="484AD0B6">
      <w:pPr>
        <w:tabs>
          <w:tab w:val="left" w:pos="720"/>
          <w:tab w:val="left" w:pos="2160"/>
          <w:tab w:val="left" w:pos="2880"/>
          <w:tab w:val="left" w:pos="3600"/>
          <w:tab w:val="left" w:pos="4320"/>
          <w:tab w:val="left" w:pos="5040"/>
          <w:tab w:val="left" w:pos="5760"/>
        </w:tabs>
        <w:autoSpaceDE w:val="0"/>
        <w:autoSpaceDN w:val="0"/>
        <w:adjustRightInd w:val="0"/>
        <w:spacing w:after="0" w:line="312" w:lineRule="auto"/>
        <w:ind w:left="540" w:right="924" w:firstLine="355"/>
        <w:jc w:val="center"/>
        <w:rPr>
          <w:rFonts w:hint="eastAsia" w:ascii="宋体" w:hAnsi="宋体" w:cs="宋体"/>
          <w:b/>
          <w:color w:val="auto"/>
          <w:kern w:val="0"/>
          <w:sz w:val="52"/>
          <w:szCs w:val="52"/>
        </w:rPr>
      </w:pPr>
    </w:p>
    <w:p w14:paraId="144C160A">
      <w:pPr>
        <w:pStyle w:val="23"/>
        <w:rPr>
          <w:rFonts w:hint="eastAsia" w:ascii="宋体" w:hAnsi="宋体"/>
          <w:color w:val="auto"/>
        </w:rPr>
      </w:pPr>
    </w:p>
    <w:p w14:paraId="19B4EC1F">
      <w:pPr>
        <w:autoSpaceDE w:val="0"/>
        <w:autoSpaceDN w:val="0"/>
        <w:adjustRightInd w:val="0"/>
        <w:spacing w:line="360" w:lineRule="auto"/>
        <w:jc w:val="center"/>
        <w:rPr>
          <w:rFonts w:hint="eastAsia" w:ascii="宋体" w:hAnsi="宋体" w:cs="宋体"/>
          <w:color w:val="auto"/>
          <w:kern w:val="0"/>
          <w:sz w:val="28"/>
        </w:rPr>
      </w:pPr>
    </w:p>
    <w:p w14:paraId="4CD3291E">
      <w:pPr>
        <w:spacing w:after="0" w:line="312" w:lineRule="auto"/>
        <w:rPr>
          <w:rFonts w:hint="eastAsia" w:ascii="宋体" w:hAnsi="宋体" w:cs="宋体"/>
          <w:b/>
          <w:bCs/>
          <w:color w:val="auto"/>
          <w:sz w:val="36"/>
          <w:szCs w:val="36"/>
        </w:rPr>
      </w:pPr>
    </w:p>
    <w:p w14:paraId="5BDD4527">
      <w:pPr>
        <w:spacing w:after="0" w:line="312" w:lineRule="auto"/>
        <w:jc w:val="center"/>
        <w:rPr>
          <w:rFonts w:hint="eastAsia" w:ascii="宋体" w:hAnsi="宋体" w:cs="宋体"/>
          <w:b/>
          <w:bCs/>
          <w:color w:val="auto"/>
          <w:sz w:val="36"/>
          <w:szCs w:val="36"/>
        </w:rPr>
      </w:pPr>
    </w:p>
    <w:p w14:paraId="52B2E087">
      <w:pPr>
        <w:spacing w:after="0" w:line="312" w:lineRule="auto"/>
        <w:jc w:val="center"/>
        <w:rPr>
          <w:rFonts w:hint="eastAsia" w:ascii="宋体" w:hAnsi="宋体" w:cs="宋体"/>
          <w:b/>
          <w:bCs/>
          <w:color w:val="auto"/>
          <w:sz w:val="36"/>
          <w:szCs w:val="36"/>
        </w:rPr>
      </w:pPr>
      <w:r>
        <w:rPr>
          <w:rFonts w:hint="eastAsia" w:ascii="宋体" w:hAnsi="宋体" w:cs="宋体"/>
          <w:b/>
          <w:bCs/>
          <w:color w:val="auto"/>
          <w:sz w:val="36"/>
          <w:szCs w:val="36"/>
        </w:rPr>
        <w:t>目    录</w:t>
      </w:r>
    </w:p>
    <w:p w14:paraId="335C8272">
      <w:pPr>
        <w:tabs>
          <w:tab w:val="left" w:pos="720"/>
          <w:tab w:val="left" w:pos="1260"/>
          <w:tab w:val="left" w:pos="2160"/>
          <w:tab w:val="left" w:pos="2880"/>
          <w:tab w:val="left" w:pos="3600"/>
          <w:tab w:val="left" w:pos="4320"/>
          <w:tab w:val="left" w:pos="5040"/>
          <w:tab w:val="left" w:pos="5760"/>
          <w:tab w:val="left" w:pos="8280"/>
        </w:tabs>
        <w:autoSpaceDE w:val="0"/>
        <w:autoSpaceDN w:val="0"/>
        <w:adjustRightInd w:val="0"/>
        <w:spacing w:after="0" w:line="312" w:lineRule="auto"/>
        <w:ind w:left="3232" w:right="25" w:firstLine="6847"/>
        <w:jc w:val="left"/>
        <w:rPr>
          <w:rFonts w:hint="eastAsia" w:ascii="宋体" w:hAnsi="宋体" w:cs="宋体"/>
          <w:b/>
          <w:color w:val="auto"/>
          <w:sz w:val="36"/>
        </w:rPr>
      </w:pPr>
    </w:p>
    <w:p w14:paraId="7F051C5D">
      <w:pPr>
        <w:spacing w:after="0" w:line="312" w:lineRule="auto"/>
        <w:rPr>
          <w:rFonts w:hint="eastAsia" w:ascii="宋体" w:hAnsi="宋体" w:cs="宋体"/>
          <w:color w:val="auto"/>
          <w:sz w:val="28"/>
          <w:szCs w:val="28"/>
        </w:rPr>
      </w:pPr>
    </w:p>
    <w:p w14:paraId="021E0A89">
      <w:pPr>
        <w:numPr>
          <w:ilvl w:val="0"/>
          <w:numId w:val="2"/>
        </w:numPr>
        <w:spacing w:after="0" w:line="312" w:lineRule="auto"/>
        <w:rPr>
          <w:rFonts w:hint="eastAsia" w:ascii="宋体" w:hAnsi="宋体" w:cs="宋体"/>
          <w:color w:val="auto"/>
          <w:sz w:val="28"/>
          <w:szCs w:val="28"/>
        </w:rPr>
      </w:pPr>
      <w:r>
        <w:rPr>
          <w:rFonts w:hint="eastAsia" w:ascii="宋体" w:hAnsi="宋体" w:cs="宋体"/>
          <w:color w:val="auto"/>
          <w:sz w:val="28"/>
          <w:szCs w:val="28"/>
        </w:rPr>
        <w:t>公开招标采购公告</w:t>
      </w:r>
    </w:p>
    <w:p w14:paraId="5586C8DD">
      <w:pPr>
        <w:numPr>
          <w:ilvl w:val="0"/>
          <w:numId w:val="2"/>
        </w:numPr>
        <w:spacing w:after="0" w:line="312" w:lineRule="auto"/>
        <w:rPr>
          <w:rFonts w:hint="eastAsia" w:ascii="宋体" w:hAnsi="宋体" w:cs="宋体"/>
          <w:color w:val="auto"/>
          <w:sz w:val="28"/>
          <w:szCs w:val="28"/>
        </w:rPr>
      </w:pPr>
      <w:r>
        <w:rPr>
          <w:rFonts w:hint="eastAsia" w:ascii="宋体" w:hAnsi="宋体" w:cs="宋体"/>
          <w:color w:val="auto"/>
          <w:sz w:val="28"/>
          <w:szCs w:val="28"/>
        </w:rPr>
        <w:t>公开招标需求</w:t>
      </w:r>
    </w:p>
    <w:p w14:paraId="2ED4AEBD">
      <w:pPr>
        <w:numPr>
          <w:ilvl w:val="0"/>
          <w:numId w:val="2"/>
        </w:numPr>
        <w:spacing w:after="0" w:line="312" w:lineRule="auto"/>
        <w:rPr>
          <w:rFonts w:hint="eastAsia" w:ascii="宋体" w:hAnsi="宋体" w:cs="宋体"/>
          <w:color w:val="auto"/>
          <w:sz w:val="28"/>
          <w:szCs w:val="28"/>
        </w:rPr>
      </w:pPr>
      <w:r>
        <w:rPr>
          <w:rFonts w:hint="eastAsia" w:ascii="宋体" w:hAnsi="宋体" w:cs="宋体"/>
          <w:color w:val="auto"/>
          <w:sz w:val="28"/>
          <w:szCs w:val="28"/>
        </w:rPr>
        <w:t>投标人须知</w:t>
      </w:r>
    </w:p>
    <w:p w14:paraId="30405B15">
      <w:pPr>
        <w:numPr>
          <w:ilvl w:val="0"/>
          <w:numId w:val="2"/>
        </w:numPr>
        <w:spacing w:after="0" w:line="312" w:lineRule="auto"/>
        <w:rPr>
          <w:rFonts w:hint="eastAsia" w:ascii="宋体" w:hAnsi="宋体" w:cs="宋体"/>
          <w:color w:val="auto"/>
          <w:sz w:val="28"/>
          <w:szCs w:val="28"/>
        </w:rPr>
      </w:pPr>
      <w:r>
        <w:rPr>
          <w:rFonts w:hint="eastAsia" w:ascii="宋体" w:hAnsi="宋体" w:cs="宋体"/>
          <w:color w:val="auto"/>
          <w:sz w:val="28"/>
          <w:szCs w:val="28"/>
        </w:rPr>
        <w:t>评标办法及评分标准</w:t>
      </w:r>
    </w:p>
    <w:p w14:paraId="2FF306FA">
      <w:pPr>
        <w:numPr>
          <w:ilvl w:val="0"/>
          <w:numId w:val="2"/>
        </w:numPr>
        <w:spacing w:after="0" w:line="312" w:lineRule="auto"/>
        <w:rPr>
          <w:rFonts w:hint="eastAsia" w:ascii="宋体" w:hAnsi="宋体" w:cs="宋体"/>
          <w:color w:val="auto"/>
          <w:sz w:val="28"/>
          <w:szCs w:val="28"/>
        </w:rPr>
      </w:pPr>
      <w:r>
        <w:rPr>
          <w:rFonts w:hint="eastAsia" w:ascii="宋体" w:hAnsi="宋体" w:cs="宋体"/>
          <w:color w:val="auto"/>
          <w:sz w:val="28"/>
          <w:szCs w:val="28"/>
        </w:rPr>
        <w:t>政府采购合同主要条款指引</w:t>
      </w:r>
    </w:p>
    <w:p w14:paraId="195F7033">
      <w:pPr>
        <w:numPr>
          <w:ilvl w:val="0"/>
          <w:numId w:val="2"/>
        </w:numPr>
        <w:spacing w:after="0" w:line="312" w:lineRule="auto"/>
        <w:rPr>
          <w:rFonts w:hint="eastAsia" w:ascii="宋体" w:hAnsi="宋体" w:cs="宋体"/>
          <w:color w:val="auto"/>
          <w:sz w:val="28"/>
          <w:szCs w:val="28"/>
        </w:rPr>
      </w:pPr>
      <w:r>
        <w:rPr>
          <w:rFonts w:hint="eastAsia" w:ascii="宋体" w:hAnsi="宋体" w:cs="宋体"/>
          <w:color w:val="auto"/>
          <w:sz w:val="28"/>
          <w:szCs w:val="28"/>
        </w:rPr>
        <w:t>投标文件格式附件</w:t>
      </w:r>
    </w:p>
    <w:p w14:paraId="7D602406">
      <w:pPr>
        <w:spacing w:after="0" w:line="312" w:lineRule="auto"/>
        <w:rPr>
          <w:rFonts w:hint="eastAsia" w:ascii="宋体" w:hAnsi="宋体" w:cs="宋体"/>
          <w:color w:val="auto"/>
        </w:rPr>
      </w:pPr>
    </w:p>
    <w:p w14:paraId="6C52EFAA">
      <w:pPr>
        <w:spacing w:after="0" w:line="312" w:lineRule="auto"/>
        <w:rPr>
          <w:rFonts w:hint="eastAsia" w:ascii="宋体" w:hAnsi="宋体" w:cs="宋体"/>
          <w:color w:val="auto"/>
        </w:rPr>
      </w:pPr>
    </w:p>
    <w:p w14:paraId="44C145C4">
      <w:pPr>
        <w:spacing w:after="0" w:line="312" w:lineRule="auto"/>
        <w:rPr>
          <w:rFonts w:hint="eastAsia" w:ascii="宋体" w:hAnsi="宋体" w:cs="宋体"/>
          <w:color w:val="auto"/>
        </w:rPr>
      </w:pPr>
    </w:p>
    <w:p w14:paraId="459E5787">
      <w:pPr>
        <w:spacing w:after="0" w:line="312" w:lineRule="auto"/>
        <w:rPr>
          <w:rFonts w:hint="eastAsia" w:ascii="宋体" w:hAnsi="宋体" w:cs="宋体"/>
          <w:color w:val="auto"/>
        </w:rPr>
      </w:pPr>
    </w:p>
    <w:p w14:paraId="6690C263">
      <w:pPr>
        <w:spacing w:after="0" w:line="312" w:lineRule="auto"/>
        <w:rPr>
          <w:rFonts w:hint="eastAsia" w:ascii="宋体" w:hAnsi="宋体" w:cs="宋体"/>
          <w:color w:val="auto"/>
        </w:rPr>
      </w:pPr>
    </w:p>
    <w:p w14:paraId="5A7E42D4">
      <w:pPr>
        <w:spacing w:after="0" w:line="312" w:lineRule="auto"/>
        <w:rPr>
          <w:rFonts w:hint="eastAsia" w:ascii="宋体" w:hAnsi="宋体" w:cs="宋体"/>
          <w:color w:val="auto"/>
        </w:rPr>
      </w:pPr>
    </w:p>
    <w:p w14:paraId="38D6AA50">
      <w:pPr>
        <w:spacing w:after="0" w:line="312" w:lineRule="auto"/>
        <w:rPr>
          <w:rFonts w:hint="eastAsia" w:ascii="宋体" w:hAnsi="宋体" w:cs="宋体"/>
          <w:color w:val="auto"/>
        </w:rPr>
      </w:pPr>
    </w:p>
    <w:p w14:paraId="1E509D1A">
      <w:pPr>
        <w:spacing w:after="0" w:line="312" w:lineRule="auto"/>
        <w:rPr>
          <w:rFonts w:hint="eastAsia" w:ascii="宋体" w:hAnsi="宋体" w:cs="宋体"/>
          <w:color w:val="auto"/>
        </w:rPr>
      </w:pPr>
    </w:p>
    <w:p w14:paraId="15A7A05A">
      <w:pPr>
        <w:spacing w:after="0" w:line="312" w:lineRule="auto"/>
        <w:rPr>
          <w:rFonts w:hint="eastAsia" w:ascii="宋体" w:hAnsi="宋体" w:cs="宋体"/>
          <w:color w:val="auto"/>
        </w:rPr>
      </w:pPr>
    </w:p>
    <w:p w14:paraId="5ABF4F1F">
      <w:pPr>
        <w:tabs>
          <w:tab w:val="left" w:pos="180"/>
          <w:tab w:val="left" w:pos="360"/>
          <w:tab w:val="left" w:pos="540"/>
          <w:tab w:val="left" w:pos="8280"/>
        </w:tabs>
        <w:autoSpaceDE w:val="0"/>
        <w:autoSpaceDN w:val="0"/>
        <w:adjustRightInd w:val="0"/>
        <w:spacing w:after="0" w:line="360" w:lineRule="auto"/>
        <w:ind w:right="23"/>
        <w:jc w:val="center"/>
        <w:rPr>
          <w:rFonts w:hint="eastAsia" w:ascii="宋体" w:hAnsi="宋体" w:cs="宋体"/>
          <w:b/>
          <w:color w:val="auto"/>
          <w:kern w:val="0"/>
          <w:sz w:val="36"/>
          <w:szCs w:val="36"/>
        </w:rPr>
      </w:pPr>
    </w:p>
    <w:p w14:paraId="784B3B77">
      <w:pPr>
        <w:tabs>
          <w:tab w:val="left" w:pos="180"/>
          <w:tab w:val="left" w:pos="360"/>
          <w:tab w:val="left" w:pos="540"/>
          <w:tab w:val="left" w:pos="8280"/>
        </w:tabs>
        <w:autoSpaceDE w:val="0"/>
        <w:autoSpaceDN w:val="0"/>
        <w:adjustRightInd w:val="0"/>
        <w:spacing w:after="0" w:line="360" w:lineRule="auto"/>
        <w:ind w:right="23"/>
        <w:jc w:val="center"/>
        <w:rPr>
          <w:rFonts w:hint="eastAsia" w:ascii="宋体" w:hAnsi="宋体" w:cs="宋体"/>
          <w:b/>
          <w:color w:val="auto"/>
          <w:kern w:val="0"/>
          <w:sz w:val="36"/>
          <w:szCs w:val="36"/>
        </w:rPr>
      </w:pPr>
    </w:p>
    <w:p w14:paraId="793530F3">
      <w:pPr>
        <w:tabs>
          <w:tab w:val="left" w:pos="180"/>
          <w:tab w:val="left" w:pos="360"/>
          <w:tab w:val="left" w:pos="540"/>
          <w:tab w:val="left" w:pos="8280"/>
        </w:tabs>
        <w:autoSpaceDE w:val="0"/>
        <w:autoSpaceDN w:val="0"/>
        <w:adjustRightInd w:val="0"/>
        <w:spacing w:after="0" w:line="360" w:lineRule="auto"/>
        <w:ind w:right="23"/>
        <w:jc w:val="center"/>
        <w:rPr>
          <w:rFonts w:hint="eastAsia" w:ascii="宋体" w:hAnsi="宋体" w:cs="宋体"/>
          <w:b/>
          <w:color w:val="auto"/>
          <w:kern w:val="0"/>
          <w:sz w:val="36"/>
          <w:szCs w:val="36"/>
        </w:rPr>
      </w:pPr>
    </w:p>
    <w:p w14:paraId="08A3C9B3">
      <w:pPr>
        <w:tabs>
          <w:tab w:val="left" w:pos="180"/>
          <w:tab w:val="left" w:pos="360"/>
          <w:tab w:val="left" w:pos="540"/>
          <w:tab w:val="left" w:pos="8280"/>
        </w:tabs>
        <w:autoSpaceDE w:val="0"/>
        <w:autoSpaceDN w:val="0"/>
        <w:adjustRightInd w:val="0"/>
        <w:spacing w:after="0" w:line="360" w:lineRule="auto"/>
        <w:ind w:right="23"/>
        <w:jc w:val="center"/>
        <w:rPr>
          <w:rFonts w:hint="eastAsia" w:ascii="宋体" w:hAnsi="宋体" w:cs="宋体"/>
          <w:b/>
          <w:color w:val="auto"/>
          <w:kern w:val="0"/>
          <w:sz w:val="36"/>
          <w:szCs w:val="36"/>
        </w:rPr>
      </w:pPr>
    </w:p>
    <w:p w14:paraId="0E7D8F67">
      <w:pPr>
        <w:tabs>
          <w:tab w:val="left" w:pos="180"/>
          <w:tab w:val="left" w:pos="360"/>
          <w:tab w:val="left" w:pos="540"/>
          <w:tab w:val="left" w:pos="8280"/>
        </w:tabs>
        <w:autoSpaceDE w:val="0"/>
        <w:autoSpaceDN w:val="0"/>
        <w:adjustRightInd w:val="0"/>
        <w:spacing w:after="0" w:line="360" w:lineRule="auto"/>
        <w:ind w:right="23"/>
        <w:jc w:val="center"/>
        <w:rPr>
          <w:rFonts w:hint="eastAsia" w:ascii="宋体" w:hAnsi="宋体" w:cs="宋体"/>
          <w:b/>
          <w:color w:val="auto"/>
          <w:kern w:val="0"/>
          <w:sz w:val="36"/>
          <w:szCs w:val="36"/>
        </w:rPr>
      </w:pPr>
    </w:p>
    <w:p w14:paraId="66F1D479">
      <w:pPr>
        <w:rPr>
          <w:rFonts w:hint="eastAsia" w:ascii="宋体" w:hAnsi="宋体" w:cs="宋体"/>
          <w:b/>
          <w:color w:val="auto"/>
          <w:kern w:val="0"/>
          <w:sz w:val="36"/>
          <w:szCs w:val="36"/>
        </w:rPr>
      </w:pPr>
    </w:p>
    <w:p w14:paraId="667107AA">
      <w:pPr>
        <w:pStyle w:val="2"/>
        <w:rPr>
          <w:b w:val="0"/>
          <w:color w:val="auto"/>
        </w:rPr>
      </w:pPr>
      <w:r>
        <w:rPr>
          <w:rFonts w:hint="eastAsia"/>
          <w:color w:val="auto"/>
        </w:rPr>
        <w:t>第一章  公开招标采购公告</w:t>
      </w:r>
    </w:p>
    <w:p w14:paraId="193FF035">
      <w:pPr>
        <w:spacing w:after="0" w:line="240" w:lineRule="auto"/>
        <w:rPr>
          <w:rFonts w:hint="eastAsia" w:ascii="宋体" w:hAnsi="宋体" w:eastAsia="宋体" w:cs="宋体"/>
          <w:color w:val="auto"/>
          <w:kern w:val="0"/>
          <w:sz w:val="21"/>
          <w:szCs w:val="21"/>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6"/>
      </w:tblGrid>
      <w:tr w14:paraId="750AB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6" w:type="dxa"/>
          </w:tcPr>
          <w:p w14:paraId="46C8595D">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auto"/>
              <w:rPr>
                <w:rFonts w:hint="eastAsia"/>
                <w:color w:val="auto"/>
              </w:rPr>
            </w:pPr>
            <w:bookmarkStart w:id="0" w:name="_Toc28359002"/>
            <w:bookmarkStart w:id="1" w:name="_Toc35393621"/>
            <w:bookmarkStart w:id="2" w:name="_Toc28359079"/>
            <w:bookmarkStart w:id="3" w:name="_Toc35393790"/>
            <w:bookmarkStart w:id="4" w:name="_Hlk24379207"/>
            <w:r>
              <w:rPr>
                <w:rFonts w:hint="eastAsia"/>
                <w:color w:val="auto"/>
              </w:rPr>
              <w:t>项目概况</w:t>
            </w:r>
          </w:p>
          <w:p w14:paraId="2923DAE4">
            <w:pPr>
              <w:keepNext w:val="0"/>
              <w:keepLines w:val="0"/>
              <w:pageBreakBefore w:val="0"/>
              <w:widowControl w:val="0"/>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bCs w:val="0"/>
                <w:color w:val="auto"/>
                <w:sz w:val="21"/>
                <w:szCs w:val="21"/>
                <w:vertAlign w:val="baseline"/>
              </w:rPr>
            </w:pPr>
            <w:r>
              <w:rPr>
                <w:rFonts w:hint="eastAsia"/>
                <w:color w:val="auto"/>
                <w:u w:val="single"/>
                <w:lang w:eastAsia="zh-CN"/>
              </w:rPr>
              <w:t>北洋镇应急中心改造提升工程（智能化）</w:t>
            </w:r>
            <w:r>
              <w:rPr>
                <w:rFonts w:hint="eastAsia"/>
                <w:color w:val="auto"/>
              </w:rPr>
              <w:t>的潜在投标人应在</w:t>
            </w:r>
            <w:r>
              <w:rPr>
                <w:rFonts w:hint="eastAsia"/>
                <w:color w:val="auto"/>
                <w:u w:val="single"/>
              </w:rPr>
              <w:t xml:space="preserve"> 浙江政府采购网（http://zfcg.czt.zj.gov.cn）</w:t>
            </w:r>
            <w:r>
              <w:rPr>
                <w:rFonts w:hint="eastAsia"/>
                <w:color w:val="auto"/>
              </w:rPr>
              <w:t xml:space="preserve">  获取（下载）招标文件，并于</w:t>
            </w:r>
            <w:r>
              <w:rPr>
                <w:rFonts w:hint="eastAsia"/>
                <w:color w:val="auto"/>
                <w:u w:val="single"/>
              </w:rPr>
              <w:t xml:space="preserve"> </w:t>
            </w:r>
            <w:r>
              <w:rPr>
                <w:rFonts w:hint="eastAsia"/>
                <w:color w:val="auto"/>
                <w:u w:val="single"/>
                <w:lang w:eastAsia="zh-CN"/>
              </w:rPr>
              <w:t>2026年</w:t>
            </w:r>
            <w:r>
              <w:rPr>
                <w:rFonts w:hint="eastAsia"/>
                <w:color w:val="auto"/>
                <w:u w:val="single"/>
                <w:lang w:val="en-US" w:eastAsia="zh-CN"/>
              </w:rPr>
              <w:t>4</w:t>
            </w:r>
            <w:r>
              <w:rPr>
                <w:rFonts w:hint="eastAsia"/>
                <w:color w:val="auto"/>
                <w:u w:val="single"/>
                <w:lang w:eastAsia="zh-CN"/>
              </w:rPr>
              <w:t>月</w:t>
            </w:r>
            <w:r>
              <w:rPr>
                <w:rFonts w:hint="eastAsia"/>
                <w:color w:val="auto"/>
                <w:u w:val="single"/>
                <w:lang w:val="en-US" w:eastAsia="zh-CN"/>
              </w:rPr>
              <w:t>30</w:t>
            </w:r>
            <w:r>
              <w:rPr>
                <w:rFonts w:hint="eastAsia"/>
                <w:color w:val="auto"/>
                <w:u w:val="single"/>
                <w:lang w:eastAsia="zh-CN"/>
              </w:rPr>
              <w:t xml:space="preserve"> 日</w:t>
            </w:r>
            <w:r>
              <w:rPr>
                <w:rFonts w:hint="eastAsia"/>
                <w:color w:val="auto"/>
                <w:u w:val="single"/>
                <w:lang w:val="en-US" w:eastAsia="zh-CN"/>
              </w:rPr>
              <w:t>14</w:t>
            </w:r>
            <w:r>
              <w:rPr>
                <w:rFonts w:hint="eastAsia"/>
                <w:color w:val="auto"/>
                <w:u w:val="single"/>
              </w:rPr>
              <w:t>点</w:t>
            </w:r>
            <w:r>
              <w:rPr>
                <w:rFonts w:hint="eastAsia"/>
                <w:color w:val="auto"/>
                <w:u w:val="single"/>
                <w:lang w:val="en-US" w:eastAsia="zh-CN"/>
              </w:rPr>
              <w:t>0</w:t>
            </w:r>
            <w:r>
              <w:rPr>
                <w:rFonts w:hint="eastAsia"/>
                <w:color w:val="auto"/>
                <w:u w:val="single"/>
              </w:rPr>
              <w:t>0分（北京时间）</w:t>
            </w:r>
            <w:r>
              <w:rPr>
                <w:rFonts w:hint="eastAsia"/>
                <w:color w:val="auto"/>
              </w:rPr>
              <w:t>前递交（上传）投标文件。</w:t>
            </w:r>
          </w:p>
        </w:tc>
      </w:tr>
    </w:tbl>
    <w:p w14:paraId="657CBC3D">
      <w:pPr>
        <w:pStyle w:val="3"/>
        <w:spacing w:before="0" w:after="0" w:line="360" w:lineRule="auto"/>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一、项目基本情况</w:t>
      </w:r>
      <w:bookmarkEnd w:id="0"/>
      <w:bookmarkEnd w:id="1"/>
      <w:bookmarkEnd w:id="2"/>
      <w:bookmarkEnd w:id="3"/>
    </w:p>
    <w:p w14:paraId="7D4E4C52">
      <w:pPr>
        <w:spacing w:after="0"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项目编号：</w:t>
      </w:r>
      <w:r>
        <w:rPr>
          <w:rFonts w:hint="eastAsia" w:ascii="宋体" w:hAnsi="宋体" w:cs="宋体"/>
          <w:color w:val="auto"/>
          <w:sz w:val="21"/>
          <w:szCs w:val="21"/>
          <w:lang w:eastAsia="zh-CN"/>
        </w:rPr>
        <w:t>331003267110020000014-JC-GK2026-014号</w:t>
      </w:r>
    </w:p>
    <w:p w14:paraId="3FD2CFAA">
      <w:pPr>
        <w:spacing w:after="0"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项目名称：</w:t>
      </w:r>
      <w:bookmarkEnd w:id="4"/>
      <w:r>
        <w:rPr>
          <w:rFonts w:hint="eastAsia" w:ascii="宋体" w:hAnsi="宋体" w:cs="宋体"/>
          <w:color w:val="auto"/>
          <w:sz w:val="21"/>
          <w:szCs w:val="21"/>
          <w:lang w:eastAsia="zh-CN"/>
        </w:rPr>
        <w:t>北洋镇应急中心改造提升工程（智能化）</w:t>
      </w:r>
    </w:p>
    <w:p w14:paraId="15757990">
      <w:pPr>
        <w:spacing w:after="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预算金额：</w:t>
      </w:r>
      <w:r>
        <w:rPr>
          <w:rFonts w:hint="eastAsia" w:ascii="宋体" w:hAnsi="宋体" w:cs="宋体"/>
          <w:color w:val="auto"/>
          <w:sz w:val="21"/>
          <w:szCs w:val="21"/>
          <w:lang w:eastAsia="zh-CN"/>
        </w:rPr>
        <w:t>108万元</w:t>
      </w:r>
    </w:p>
    <w:p w14:paraId="56C543C1">
      <w:pPr>
        <w:spacing w:after="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最高限价：</w:t>
      </w:r>
      <w:r>
        <w:rPr>
          <w:rFonts w:hint="eastAsia" w:ascii="宋体" w:hAnsi="宋体" w:cs="宋体"/>
          <w:color w:val="auto"/>
          <w:sz w:val="21"/>
          <w:szCs w:val="21"/>
          <w:lang w:eastAsia="zh-CN"/>
        </w:rPr>
        <w:t>108万元</w:t>
      </w:r>
    </w:p>
    <w:p w14:paraId="68C53706">
      <w:pPr>
        <w:spacing w:after="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采购需求：</w:t>
      </w:r>
    </w:p>
    <w:tbl>
      <w:tblPr>
        <w:tblStyle w:val="24"/>
        <w:tblW w:w="9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3"/>
        <w:gridCol w:w="1828"/>
        <w:gridCol w:w="2121"/>
        <w:gridCol w:w="700"/>
        <w:gridCol w:w="817"/>
        <w:gridCol w:w="2550"/>
        <w:gridCol w:w="1312"/>
      </w:tblGrid>
      <w:tr w14:paraId="1438E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0" w:type="auto"/>
            <w:vAlign w:val="center"/>
          </w:tcPr>
          <w:p w14:paraId="70DCE14E">
            <w:pPr>
              <w:pStyle w:val="13"/>
              <w:spacing w:line="240" w:lineRule="auto"/>
              <w:jc w:val="center"/>
              <w:rPr>
                <w:rFonts w:hint="eastAsia" w:ascii="宋体" w:hAnsi="宋体" w:eastAsia="宋体" w:cs="宋体"/>
                <w:b/>
                <w:color w:val="auto"/>
                <w:sz w:val="21"/>
                <w:szCs w:val="21"/>
              </w:rPr>
            </w:pPr>
            <w:bookmarkStart w:id="5" w:name="_Toc28359080"/>
            <w:bookmarkStart w:id="6" w:name="_Toc28359003"/>
            <w:bookmarkStart w:id="7" w:name="_Toc35393791"/>
            <w:bookmarkStart w:id="8" w:name="_Toc35393622"/>
            <w:r>
              <w:rPr>
                <w:rFonts w:hint="eastAsia" w:ascii="宋体" w:hAnsi="宋体" w:eastAsia="宋体" w:cs="宋体"/>
                <w:b/>
                <w:color w:val="auto"/>
                <w:sz w:val="21"/>
                <w:szCs w:val="21"/>
              </w:rPr>
              <w:t>标项号</w:t>
            </w:r>
          </w:p>
        </w:tc>
        <w:tc>
          <w:tcPr>
            <w:tcW w:w="1828" w:type="dxa"/>
            <w:vAlign w:val="center"/>
          </w:tcPr>
          <w:p w14:paraId="64BC5E67">
            <w:pPr>
              <w:pStyle w:val="13"/>
              <w:spacing w:line="24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采购内容</w:t>
            </w:r>
          </w:p>
        </w:tc>
        <w:tc>
          <w:tcPr>
            <w:tcW w:w="2121" w:type="dxa"/>
            <w:vAlign w:val="center"/>
          </w:tcPr>
          <w:p w14:paraId="297E7301">
            <w:pPr>
              <w:pStyle w:val="13"/>
              <w:spacing w:line="24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简要技术要求</w:t>
            </w:r>
          </w:p>
        </w:tc>
        <w:tc>
          <w:tcPr>
            <w:tcW w:w="700" w:type="dxa"/>
            <w:vAlign w:val="center"/>
          </w:tcPr>
          <w:p w14:paraId="730EC22E">
            <w:pPr>
              <w:pStyle w:val="13"/>
              <w:spacing w:line="24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数量</w:t>
            </w:r>
          </w:p>
        </w:tc>
        <w:tc>
          <w:tcPr>
            <w:tcW w:w="817" w:type="dxa"/>
            <w:vAlign w:val="center"/>
          </w:tcPr>
          <w:p w14:paraId="183C503B">
            <w:pPr>
              <w:pStyle w:val="13"/>
              <w:spacing w:line="24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单位</w:t>
            </w:r>
          </w:p>
        </w:tc>
        <w:tc>
          <w:tcPr>
            <w:tcW w:w="2550" w:type="dxa"/>
            <w:vAlign w:val="center"/>
          </w:tcPr>
          <w:p w14:paraId="5CDEA21A">
            <w:pPr>
              <w:pStyle w:val="13"/>
              <w:spacing w:line="24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交货期</w:t>
            </w:r>
          </w:p>
        </w:tc>
        <w:tc>
          <w:tcPr>
            <w:tcW w:w="1312" w:type="dxa"/>
            <w:vAlign w:val="center"/>
          </w:tcPr>
          <w:p w14:paraId="63FDA1E6">
            <w:pPr>
              <w:pStyle w:val="13"/>
              <w:spacing w:line="24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交货地点</w:t>
            </w:r>
          </w:p>
        </w:tc>
      </w:tr>
      <w:tr w14:paraId="00E1B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0" w:type="auto"/>
            <w:vAlign w:val="center"/>
          </w:tcPr>
          <w:p w14:paraId="66355D9D">
            <w:pPr>
              <w:pStyle w:val="13"/>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828" w:type="dxa"/>
            <w:vAlign w:val="center"/>
          </w:tcPr>
          <w:p w14:paraId="28554959">
            <w:pPr>
              <w:pStyle w:val="13"/>
              <w:spacing w:line="240" w:lineRule="auto"/>
              <w:jc w:val="center"/>
              <w:rPr>
                <w:rFonts w:hint="eastAsia" w:ascii="宋体" w:hAnsi="宋体" w:eastAsia="宋体" w:cs="宋体"/>
                <w:color w:val="auto"/>
                <w:sz w:val="21"/>
                <w:szCs w:val="21"/>
                <w:lang w:eastAsia="zh-CN"/>
              </w:rPr>
            </w:pPr>
            <w:r>
              <w:rPr>
                <w:rFonts w:hint="eastAsia" w:hAnsi="宋体" w:cs="宋体"/>
                <w:color w:val="auto"/>
                <w:sz w:val="21"/>
                <w:szCs w:val="21"/>
                <w:lang w:eastAsia="zh-CN"/>
              </w:rPr>
              <w:t>北洋镇应急中心改造提升工程（智能化）</w:t>
            </w:r>
          </w:p>
        </w:tc>
        <w:tc>
          <w:tcPr>
            <w:tcW w:w="2121" w:type="dxa"/>
            <w:vAlign w:val="center"/>
          </w:tcPr>
          <w:p w14:paraId="6AEB91BA">
            <w:pPr>
              <w:pStyle w:val="13"/>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详见第二章 公开招标需求</w:t>
            </w:r>
          </w:p>
        </w:tc>
        <w:tc>
          <w:tcPr>
            <w:tcW w:w="700" w:type="dxa"/>
            <w:vAlign w:val="center"/>
          </w:tcPr>
          <w:p w14:paraId="6A4287D3">
            <w:pPr>
              <w:pStyle w:val="13"/>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817" w:type="dxa"/>
            <w:vAlign w:val="center"/>
          </w:tcPr>
          <w:p w14:paraId="1561A237">
            <w:pPr>
              <w:pStyle w:val="13"/>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批</w:t>
            </w:r>
          </w:p>
        </w:tc>
        <w:tc>
          <w:tcPr>
            <w:tcW w:w="2550" w:type="dxa"/>
            <w:vAlign w:val="center"/>
          </w:tcPr>
          <w:p w14:paraId="5D98D56C">
            <w:pPr>
              <w:pStyle w:val="13"/>
              <w:spacing w:line="240" w:lineRule="auto"/>
              <w:jc w:val="center"/>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eastAsia="zh-CN"/>
              </w:rPr>
              <w:t>合同签订后3个月内完成供货、安装、调试。</w:t>
            </w:r>
          </w:p>
        </w:tc>
        <w:tc>
          <w:tcPr>
            <w:tcW w:w="1312" w:type="dxa"/>
            <w:vAlign w:val="center"/>
          </w:tcPr>
          <w:p w14:paraId="4B4067FA">
            <w:pPr>
              <w:pStyle w:val="13"/>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采购人指定地点</w:t>
            </w:r>
          </w:p>
        </w:tc>
      </w:tr>
    </w:tbl>
    <w:p w14:paraId="169E604C">
      <w:pPr>
        <w:pStyle w:val="3"/>
        <w:spacing w:before="0" w:after="0" w:line="360" w:lineRule="auto"/>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二、申请人的资格要求：</w:t>
      </w:r>
      <w:bookmarkEnd w:id="5"/>
      <w:bookmarkEnd w:id="6"/>
      <w:bookmarkEnd w:id="7"/>
      <w:bookmarkEnd w:id="8"/>
    </w:p>
    <w:p w14:paraId="54E10A6A">
      <w:pPr>
        <w:spacing w:after="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1.满足《中华人民共和国政府采购法》第二十二条规定；</w:t>
      </w:r>
    </w:p>
    <w:p w14:paraId="5859774C">
      <w:pPr>
        <w:spacing w:after="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2.未被“信用中国”（www.creditchina.gov.cn)、中国政府采购网（www.ccgp.gov.cn）列入失信被执行人、重大税收违法案件当事人名单、政府采购严重违法失信行为记录名单。</w:t>
      </w:r>
    </w:p>
    <w:p w14:paraId="7B4282EF">
      <w:pPr>
        <w:spacing w:after="0" w:line="360" w:lineRule="auto"/>
        <w:ind w:firstLine="420" w:firstLineChars="200"/>
        <w:rPr>
          <w:rFonts w:hint="eastAsia" w:ascii="宋体" w:hAnsi="宋体" w:eastAsia="宋体" w:cs="宋体"/>
          <w:color w:val="auto"/>
          <w:sz w:val="21"/>
          <w:szCs w:val="21"/>
          <w:lang w:val="en-US" w:eastAsia="zh-CN"/>
        </w:rPr>
      </w:pPr>
      <w:bookmarkStart w:id="9" w:name="_Toc28359081"/>
      <w:bookmarkStart w:id="10" w:name="_Toc28359004"/>
      <w:r>
        <w:rPr>
          <w:rFonts w:hint="eastAsia" w:ascii="宋体" w:hAnsi="宋体" w:eastAsia="宋体" w:cs="宋体"/>
          <w:color w:val="auto"/>
          <w:sz w:val="21"/>
          <w:szCs w:val="21"/>
        </w:rPr>
        <w:t>3.落实政府采购政策需满足的资格要求：</w:t>
      </w:r>
      <w:r>
        <w:rPr>
          <w:rFonts w:hint="eastAsia" w:ascii="宋体" w:hAnsi="宋体" w:eastAsia="宋体" w:cs="宋体"/>
          <w:color w:val="auto"/>
          <w:sz w:val="21"/>
          <w:szCs w:val="21"/>
          <w:lang w:val="en-US" w:eastAsia="zh-CN"/>
        </w:rPr>
        <w:t>无</w:t>
      </w:r>
      <w:r>
        <w:rPr>
          <w:rFonts w:hint="eastAsia" w:ascii="宋体" w:hAnsi="宋体" w:cs="宋体"/>
          <w:color w:val="auto"/>
          <w:sz w:val="21"/>
          <w:szCs w:val="21"/>
          <w:lang w:val="en-US" w:eastAsia="zh-CN"/>
        </w:rPr>
        <w:t>。</w:t>
      </w:r>
    </w:p>
    <w:p w14:paraId="3BDDCB9D">
      <w:pPr>
        <w:spacing w:after="0"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4.本项目的特定资格要求：</w:t>
      </w:r>
      <w:r>
        <w:rPr>
          <w:rFonts w:hint="eastAsia" w:ascii="宋体" w:hAnsi="宋体" w:eastAsia="宋体" w:cs="宋体"/>
          <w:color w:val="auto"/>
          <w:sz w:val="21"/>
          <w:szCs w:val="21"/>
          <w:lang w:val="en-US" w:eastAsia="zh-CN"/>
        </w:rPr>
        <w:t>无</w:t>
      </w:r>
      <w:r>
        <w:rPr>
          <w:rFonts w:hint="eastAsia" w:ascii="宋体" w:hAnsi="宋体" w:cs="宋体"/>
          <w:color w:val="auto"/>
          <w:sz w:val="21"/>
          <w:szCs w:val="21"/>
          <w:lang w:val="en-US" w:eastAsia="zh-CN"/>
        </w:rPr>
        <w:t>。</w:t>
      </w:r>
    </w:p>
    <w:p w14:paraId="41A61358">
      <w:pPr>
        <w:spacing w:after="0" w:line="360" w:lineRule="auto"/>
        <w:ind w:firstLine="420" w:firstLineChars="200"/>
        <w:rPr>
          <w:rFonts w:hint="eastAsia" w:ascii="宋体" w:hAnsi="宋体" w:eastAsia="宋体" w:cs="宋体"/>
          <w:i/>
          <w:iCs/>
          <w:color w:val="auto"/>
          <w:sz w:val="21"/>
          <w:szCs w:val="21"/>
          <w:u w:val="single"/>
          <w:lang w:eastAsia="zh-CN"/>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u w:val="none"/>
        </w:rPr>
        <w:t>本项目不接受联合体投标</w:t>
      </w:r>
      <w:r>
        <w:rPr>
          <w:rFonts w:hint="eastAsia" w:ascii="宋体" w:hAnsi="宋体" w:cs="宋体"/>
          <w:color w:val="auto"/>
          <w:sz w:val="21"/>
          <w:szCs w:val="21"/>
          <w:u w:val="none"/>
          <w:lang w:eastAsia="zh-CN"/>
        </w:rPr>
        <w:t>。</w:t>
      </w:r>
    </w:p>
    <w:p w14:paraId="1B40EF03">
      <w:pPr>
        <w:pStyle w:val="3"/>
        <w:spacing w:before="0" w:after="0" w:line="360" w:lineRule="auto"/>
        <w:rPr>
          <w:rFonts w:hint="eastAsia" w:ascii="宋体" w:hAnsi="宋体" w:eastAsia="宋体" w:cs="宋体"/>
          <w:bCs w:val="0"/>
          <w:color w:val="auto"/>
          <w:sz w:val="21"/>
          <w:szCs w:val="21"/>
        </w:rPr>
      </w:pPr>
      <w:bookmarkStart w:id="11" w:name="_Toc35393792"/>
      <w:bookmarkStart w:id="12" w:name="_Toc35393623"/>
      <w:r>
        <w:rPr>
          <w:rFonts w:hint="eastAsia" w:ascii="宋体" w:hAnsi="宋体" w:eastAsia="宋体" w:cs="宋体"/>
          <w:bCs w:val="0"/>
          <w:color w:val="auto"/>
          <w:sz w:val="21"/>
          <w:szCs w:val="21"/>
        </w:rPr>
        <w:t>三、获取招标文件</w:t>
      </w:r>
      <w:bookmarkEnd w:id="9"/>
      <w:bookmarkEnd w:id="10"/>
      <w:bookmarkEnd w:id="11"/>
      <w:bookmarkEnd w:id="12"/>
    </w:p>
    <w:p w14:paraId="251E09FA">
      <w:pPr>
        <w:spacing w:after="0" w:line="360" w:lineRule="auto"/>
        <w:ind w:firstLine="540"/>
        <w:rPr>
          <w:rFonts w:hint="eastAsia" w:ascii="宋体" w:hAnsi="宋体" w:eastAsia="宋体" w:cs="宋体"/>
          <w:iCs/>
          <w:color w:val="auto"/>
          <w:sz w:val="21"/>
          <w:szCs w:val="21"/>
          <w:u w:val="single"/>
          <w:lang w:eastAsia="zh-CN"/>
        </w:rPr>
      </w:pPr>
      <w:r>
        <w:rPr>
          <w:rFonts w:hint="eastAsia" w:ascii="宋体" w:hAnsi="宋体" w:eastAsia="宋体" w:cs="宋体"/>
          <w:color w:val="auto"/>
          <w:sz w:val="21"/>
          <w:szCs w:val="21"/>
        </w:rPr>
        <w:t>时间：</w:t>
      </w:r>
      <w:r>
        <w:rPr>
          <w:rFonts w:hint="eastAsia" w:ascii="宋体" w:hAnsi="宋体" w:eastAsia="宋体" w:cs="宋体"/>
          <w:color w:val="auto"/>
          <w:sz w:val="21"/>
          <w:szCs w:val="21"/>
          <w:u w:val="single"/>
        </w:rPr>
        <w:t>公告</w:t>
      </w:r>
      <w:r>
        <w:rPr>
          <w:rFonts w:hint="eastAsia" w:ascii="宋体" w:hAnsi="宋体" w:eastAsia="宋体" w:cs="宋体"/>
          <w:color w:val="auto"/>
          <w:sz w:val="21"/>
          <w:szCs w:val="21"/>
          <w:highlight w:val="none"/>
          <w:u w:val="single"/>
        </w:rPr>
        <w:t xml:space="preserve">发出 </w:t>
      </w:r>
      <w:r>
        <w:rPr>
          <w:rFonts w:hint="eastAsia" w:ascii="宋体" w:hAnsi="宋体" w:eastAsia="宋体" w:cs="宋体"/>
          <w:color w:val="auto"/>
          <w:sz w:val="21"/>
          <w:szCs w:val="21"/>
          <w:highlight w:val="none"/>
        </w:rPr>
        <w:t>至</w:t>
      </w:r>
      <w:r>
        <w:rPr>
          <w:rFonts w:hint="eastAsia"/>
          <w:color w:val="auto"/>
          <w:u w:val="single"/>
          <w:lang w:eastAsia="zh-CN"/>
        </w:rPr>
        <w:t>2026年</w:t>
      </w:r>
      <w:r>
        <w:rPr>
          <w:rFonts w:hint="eastAsia"/>
          <w:color w:val="auto"/>
          <w:u w:val="single"/>
          <w:lang w:val="en-US" w:eastAsia="zh-CN"/>
        </w:rPr>
        <w:t>4</w:t>
      </w:r>
      <w:r>
        <w:rPr>
          <w:rFonts w:hint="eastAsia"/>
          <w:color w:val="auto"/>
          <w:u w:val="single"/>
          <w:lang w:eastAsia="zh-CN"/>
        </w:rPr>
        <w:t>月</w:t>
      </w:r>
      <w:r>
        <w:rPr>
          <w:rFonts w:hint="eastAsia"/>
          <w:color w:val="auto"/>
          <w:u w:val="single"/>
          <w:lang w:val="en-US" w:eastAsia="zh-CN"/>
        </w:rPr>
        <w:t>30</w:t>
      </w:r>
      <w:r>
        <w:rPr>
          <w:rFonts w:hint="eastAsia"/>
          <w:color w:val="auto"/>
          <w:u w:val="single"/>
          <w:lang w:eastAsia="zh-CN"/>
        </w:rPr>
        <w:t xml:space="preserve"> 日</w:t>
      </w:r>
      <w:r>
        <w:rPr>
          <w:rFonts w:hint="eastAsia"/>
          <w:color w:val="auto"/>
          <w:u w:val="single"/>
          <w:lang w:val="en-US" w:eastAsia="zh-CN"/>
        </w:rPr>
        <w:t>14</w:t>
      </w:r>
      <w:r>
        <w:rPr>
          <w:rFonts w:hint="eastAsia"/>
          <w:color w:val="auto"/>
          <w:u w:val="single"/>
        </w:rPr>
        <w:t>点</w:t>
      </w:r>
      <w:r>
        <w:rPr>
          <w:rFonts w:hint="eastAsia"/>
          <w:color w:val="auto"/>
          <w:u w:val="single"/>
          <w:lang w:val="en-US" w:eastAsia="zh-CN"/>
        </w:rPr>
        <w:t>0</w:t>
      </w:r>
      <w:r>
        <w:rPr>
          <w:rFonts w:hint="eastAsia"/>
          <w:color w:val="auto"/>
          <w:u w:val="single"/>
        </w:rPr>
        <w:t>0分</w:t>
      </w:r>
    </w:p>
    <w:p w14:paraId="0C718507">
      <w:pPr>
        <w:spacing w:line="360" w:lineRule="auto"/>
        <w:ind w:firstLine="540"/>
        <w:rPr>
          <w:rFonts w:hint="eastAsia" w:ascii="宋体" w:hAnsi="宋体" w:eastAsia="宋体" w:cs="宋体"/>
          <w:color w:val="auto"/>
          <w:sz w:val="21"/>
          <w:szCs w:val="21"/>
          <w:u w:val="single"/>
        </w:rPr>
      </w:pPr>
      <w:r>
        <w:rPr>
          <w:rFonts w:hint="eastAsia" w:ascii="宋体" w:hAnsi="宋体" w:eastAsia="宋体" w:cs="宋体"/>
          <w:color w:val="auto"/>
          <w:sz w:val="21"/>
          <w:szCs w:val="21"/>
        </w:rPr>
        <w:t>地点：本项目招标文件实行“浙江政府采购网”（http://zfcg.czt.zj.gov.cn）在线获取， 不提供招标文件纸质版。供应商获取招标文件前应先完成“浙江政府采购网”的账号注册。注册流程详见https://middle.zcygov.cn/v-settle-front/registry“政采云”，咨询电话：400-881-7190。已经注册成功的供应商无需重复注册。</w:t>
      </w:r>
    </w:p>
    <w:p w14:paraId="7A0922C6">
      <w:pPr>
        <w:spacing w:line="360" w:lineRule="auto"/>
        <w:ind w:firstLine="540"/>
        <w:rPr>
          <w:rFonts w:hint="eastAsia" w:ascii="宋体" w:hAnsi="宋体" w:eastAsia="宋体" w:cs="宋体"/>
          <w:color w:val="auto"/>
          <w:sz w:val="21"/>
          <w:szCs w:val="21"/>
        </w:rPr>
      </w:pPr>
      <w:r>
        <w:rPr>
          <w:rFonts w:hint="eastAsia" w:ascii="宋体" w:hAnsi="宋体" w:eastAsia="宋体" w:cs="宋体"/>
          <w:color w:val="auto"/>
          <w:sz w:val="21"/>
          <w:szCs w:val="21"/>
        </w:rPr>
        <w:t>方式：潜在供应商登陆政采云平台，在线申请获取采购文件（进入“项目采购”应用，在获取采购文件菜单中选择项目，申请获取采购文件，本项目采购文件不收取工本费；仅需浏览采购文件的供应商可点击“游客，浏览采购文件”直接下载采购文件浏览）；</w:t>
      </w:r>
    </w:p>
    <w:p w14:paraId="4B87FFD6">
      <w:pPr>
        <w:snapToGrid w:val="0"/>
        <w:spacing w:line="360" w:lineRule="auto"/>
        <w:ind w:firstLine="540"/>
        <w:rPr>
          <w:rFonts w:hint="eastAsia" w:ascii="宋体" w:hAnsi="宋体" w:eastAsia="宋体" w:cs="宋体"/>
          <w:color w:val="auto"/>
          <w:sz w:val="21"/>
          <w:szCs w:val="21"/>
          <w:u w:val="single"/>
        </w:rPr>
      </w:pPr>
      <w:r>
        <w:rPr>
          <w:rFonts w:hint="eastAsia" w:ascii="宋体" w:hAnsi="宋体" w:eastAsia="宋体" w:cs="宋体"/>
          <w:color w:val="auto"/>
          <w:sz w:val="21"/>
          <w:szCs w:val="21"/>
        </w:rPr>
        <w:t>提示：招标公告附件内的采购文件（或采购需求）仅供阅览使用，供应商只有在“政府采购云平台”注册登陆，完成获取采购文件申请并下载了采购文件后才视作依法获取采购文件（法律法规所指的供应商获取采购文件时间以供应商完成获取采购文件申请后下载采购文件的时间为准）。未按采购文件规定方法获取采购文件的供应商，其投标响应文件将被拒绝。</w:t>
      </w:r>
    </w:p>
    <w:p w14:paraId="3B6EA2F6">
      <w:pPr>
        <w:pStyle w:val="23"/>
        <w:ind w:left="0" w:leftChars="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售价：0元。</w:t>
      </w:r>
    </w:p>
    <w:p w14:paraId="1E6E98A0">
      <w:pPr>
        <w:pStyle w:val="3"/>
        <w:keepNext w:val="0"/>
        <w:keepLines w:val="0"/>
        <w:snapToGrid w:val="0"/>
        <w:spacing w:before="0" w:after="0" w:line="360" w:lineRule="auto"/>
        <w:rPr>
          <w:rFonts w:hint="eastAsia" w:ascii="宋体" w:hAnsi="宋体" w:eastAsia="宋体" w:cs="宋体"/>
          <w:bCs w:val="0"/>
          <w:color w:val="auto"/>
          <w:sz w:val="21"/>
          <w:szCs w:val="21"/>
        </w:rPr>
      </w:pPr>
      <w:bookmarkStart w:id="13" w:name="_Toc28359092"/>
      <w:bookmarkStart w:id="14" w:name="_Toc35393632"/>
      <w:bookmarkStart w:id="15" w:name="_Toc35393801"/>
      <w:bookmarkStart w:id="16" w:name="_Toc28359015"/>
      <w:r>
        <w:rPr>
          <w:rFonts w:hint="eastAsia" w:ascii="宋体" w:hAnsi="宋体" w:eastAsia="宋体" w:cs="宋体"/>
          <w:bCs w:val="0"/>
          <w:color w:val="auto"/>
          <w:sz w:val="21"/>
          <w:szCs w:val="21"/>
        </w:rPr>
        <w:t>四、响应文件提交</w:t>
      </w:r>
      <w:bookmarkEnd w:id="13"/>
      <w:bookmarkEnd w:id="14"/>
      <w:bookmarkEnd w:id="15"/>
      <w:bookmarkEnd w:id="16"/>
    </w:p>
    <w:p w14:paraId="13E20320">
      <w:pPr>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rPr>
        <w:t>截止时</w:t>
      </w:r>
      <w:r>
        <w:rPr>
          <w:rFonts w:hint="eastAsia" w:ascii="宋体" w:hAnsi="宋体" w:eastAsia="宋体" w:cs="宋体"/>
          <w:color w:val="auto"/>
          <w:sz w:val="21"/>
          <w:szCs w:val="21"/>
          <w:highlight w:val="none"/>
        </w:rPr>
        <w:t>间：2026年4月30 日14点00分</w:t>
      </w:r>
      <w:r>
        <w:rPr>
          <w:rFonts w:hint="eastAsia" w:ascii="宋体" w:hAnsi="宋体" w:eastAsia="宋体" w:cs="宋体"/>
          <w:bCs/>
          <w:color w:val="auto"/>
          <w:sz w:val="21"/>
          <w:szCs w:val="21"/>
          <w:highlight w:val="none"/>
        </w:rPr>
        <w:t>（北京时间）</w:t>
      </w:r>
    </w:p>
    <w:p w14:paraId="609EA3A9">
      <w:pPr>
        <w:snapToGrid w:val="0"/>
        <w:spacing w:line="360" w:lineRule="auto"/>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地点：“政府采购云平台”在线投标响应。</w:t>
      </w:r>
    </w:p>
    <w:p w14:paraId="40F97DB6">
      <w:pPr>
        <w:pStyle w:val="3"/>
        <w:keepNext w:val="0"/>
        <w:keepLines w:val="0"/>
        <w:snapToGrid w:val="0"/>
        <w:spacing w:before="0" w:after="0" w:line="360" w:lineRule="auto"/>
        <w:rPr>
          <w:rFonts w:hint="eastAsia" w:ascii="宋体" w:hAnsi="宋体" w:eastAsia="宋体" w:cs="宋体"/>
          <w:bCs w:val="0"/>
          <w:color w:val="auto"/>
          <w:sz w:val="21"/>
          <w:szCs w:val="21"/>
          <w:highlight w:val="none"/>
        </w:rPr>
      </w:pPr>
      <w:bookmarkStart w:id="17" w:name="_Toc35393802"/>
      <w:bookmarkStart w:id="18" w:name="_Toc28359093"/>
      <w:bookmarkStart w:id="19" w:name="_Toc35393633"/>
      <w:bookmarkStart w:id="20" w:name="_Toc28359016"/>
      <w:r>
        <w:rPr>
          <w:rFonts w:hint="eastAsia" w:ascii="宋体" w:hAnsi="宋体" w:eastAsia="宋体" w:cs="宋体"/>
          <w:bCs w:val="0"/>
          <w:color w:val="auto"/>
          <w:sz w:val="21"/>
          <w:szCs w:val="21"/>
          <w:highlight w:val="none"/>
        </w:rPr>
        <w:t>五、开启</w:t>
      </w:r>
      <w:bookmarkEnd w:id="17"/>
      <w:bookmarkEnd w:id="18"/>
      <w:bookmarkEnd w:id="19"/>
      <w:bookmarkEnd w:id="20"/>
    </w:p>
    <w:p w14:paraId="3E587780">
      <w:pPr>
        <w:snapToGrid w:val="0"/>
        <w:spacing w:line="360" w:lineRule="auto"/>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rPr>
        <w:t>时间：2026年4月30 日14点00分</w:t>
      </w:r>
      <w:r>
        <w:rPr>
          <w:rFonts w:hint="eastAsia" w:ascii="宋体" w:hAnsi="宋体" w:eastAsia="宋体" w:cs="宋体"/>
          <w:bCs/>
          <w:color w:val="auto"/>
          <w:sz w:val="21"/>
          <w:szCs w:val="21"/>
          <w:highlight w:val="none"/>
        </w:rPr>
        <w:t>（北京时间）</w:t>
      </w:r>
    </w:p>
    <w:p w14:paraId="62ED2ECF">
      <w:pPr>
        <w:spacing w:after="0" w:line="360" w:lineRule="auto"/>
        <w:ind w:firstLine="420" w:firstLineChars="0"/>
        <w:rPr>
          <w:rFonts w:hint="eastAsia" w:ascii="宋体" w:hAnsi="宋体" w:eastAsia="宋体" w:cs="宋体"/>
          <w:color w:val="auto"/>
          <w:sz w:val="21"/>
          <w:szCs w:val="21"/>
        </w:rPr>
      </w:pPr>
      <w:r>
        <w:rPr>
          <w:rFonts w:hint="eastAsia" w:ascii="宋体" w:hAnsi="宋体" w:eastAsia="宋体" w:cs="宋体"/>
          <w:color w:val="auto"/>
          <w:sz w:val="21"/>
          <w:szCs w:val="21"/>
        </w:rPr>
        <w:t>地点：通过“政府采购云平台”实现在线投标响应。请在开标开始当日9:00至9:30将投标响应文件自行完成远程解密。</w:t>
      </w:r>
      <w:r>
        <w:rPr>
          <w:rFonts w:hint="eastAsia" w:ascii="宋体" w:hAnsi="宋体" w:eastAsia="宋体" w:cs="宋体"/>
          <w:color w:val="auto"/>
          <w:kern w:val="0"/>
          <w:sz w:val="21"/>
          <w:szCs w:val="21"/>
        </w:rPr>
        <w:t>▲</w:t>
      </w:r>
      <w:r>
        <w:rPr>
          <w:rFonts w:hint="eastAsia" w:ascii="宋体" w:hAnsi="宋体" w:eastAsia="宋体" w:cs="宋体"/>
          <w:color w:val="auto"/>
          <w:sz w:val="21"/>
          <w:szCs w:val="21"/>
        </w:rPr>
        <w:t>投标响应文件未按时解密，且未规定提交备份文件的投标无效。  </w:t>
      </w:r>
    </w:p>
    <w:p w14:paraId="402995B7">
      <w:pPr>
        <w:pStyle w:val="3"/>
        <w:spacing w:before="0" w:after="0" w:line="360" w:lineRule="auto"/>
        <w:rPr>
          <w:rFonts w:hint="eastAsia" w:ascii="宋体" w:hAnsi="宋体" w:eastAsia="宋体" w:cs="宋体"/>
          <w:bCs w:val="0"/>
          <w:color w:val="auto"/>
          <w:sz w:val="21"/>
          <w:szCs w:val="21"/>
        </w:rPr>
      </w:pPr>
      <w:bookmarkStart w:id="21" w:name="_Toc28359084"/>
      <w:bookmarkStart w:id="22" w:name="_Toc35393625"/>
      <w:bookmarkStart w:id="23" w:name="_Toc35393794"/>
      <w:bookmarkStart w:id="24" w:name="_Toc28359007"/>
      <w:r>
        <w:rPr>
          <w:rFonts w:hint="eastAsia" w:ascii="宋体" w:hAnsi="宋体" w:eastAsia="宋体" w:cs="宋体"/>
          <w:bCs w:val="0"/>
          <w:color w:val="auto"/>
          <w:sz w:val="21"/>
          <w:szCs w:val="21"/>
        </w:rPr>
        <w:t>六、公告期限</w:t>
      </w:r>
      <w:bookmarkEnd w:id="21"/>
      <w:bookmarkEnd w:id="22"/>
      <w:bookmarkEnd w:id="23"/>
      <w:bookmarkEnd w:id="24"/>
    </w:p>
    <w:p w14:paraId="16615125">
      <w:pPr>
        <w:spacing w:after="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自本公告发布之日起5个工作日。</w:t>
      </w:r>
    </w:p>
    <w:p w14:paraId="2E72ACBE">
      <w:pPr>
        <w:pStyle w:val="3"/>
        <w:keepNext w:val="0"/>
        <w:keepLines w:val="0"/>
        <w:snapToGrid w:val="0"/>
        <w:spacing w:before="0" w:after="0" w:line="360" w:lineRule="auto"/>
        <w:rPr>
          <w:rFonts w:hint="eastAsia" w:ascii="宋体" w:hAnsi="宋体" w:eastAsia="宋体" w:cs="宋体"/>
          <w:bCs w:val="0"/>
          <w:color w:val="auto"/>
          <w:sz w:val="21"/>
          <w:szCs w:val="21"/>
        </w:rPr>
      </w:pPr>
      <w:bookmarkStart w:id="25" w:name="_Toc35393804"/>
      <w:bookmarkStart w:id="26" w:name="_Toc35393635"/>
      <w:bookmarkStart w:id="27" w:name="_Toc35393796"/>
      <w:bookmarkStart w:id="28" w:name="_Toc35393627"/>
      <w:bookmarkStart w:id="29" w:name="_Toc28359085"/>
      <w:bookmarkStart w:id="30" w:name="_Toc28359008"/>
      <w:r>
        <w:rPr>
          <w:rFonts w:hint="eastAsia" w:ascii="宋体" w:hAnsi="宋体" w:eastAsia="宋体" w:cs="宋体"/>
          <w:bCs w:val="0"/>
          <w:color w:val="auto"/>
          <w:sz w:val="21"/>
          <w:szCs w:val="21"/>
        </w:rPr>
        <w:t>七、其他补充事宜</w:t>
      </w:r>
      <w:bookmarkEnd w:id="25"/>
      <w:bookmarkEnd w:id="26"/>
    </w:p>
    <w:p w14:paraId="4523035D">
      <w:pPr>
        <w:spacing w:line="360" w:lineRule="auto"/>
        <w:ind w:firstLine="540"/>
        <w:rPr>
          <w:rFonts w:hint="eastAsia" w:ascii="宋体" w:hAnsi="宋体" w:eastAsia="宋体" w:cs="宋体"/>
          <w:color w:val="auto"/>
          <w:sz w:val="21"/>
          <w:szCs w:val="21"/>
        </w:rPr>
      </w:pPr>
      <w:r>
        <w:rPr>
          <w:rFonts w:hint="eastAsia" w:ascii="宋体" w:hAnsi="宋体" w:eastAsia="宋体" w:cs="宋体"/>
          <w:color w:val="auto"/>
          <w:sz w:val="21"/>
          <w:szCs w:val="21"/>
        </w:rPr>
        <w:t>1.《浙江省财政厅关于进一步发挥政府采购政策功能全力推动经济稳进提质的通知》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p>
    <w:p w14:paraId="01421B4D">
      <w:pPr>
        <w:spacing w:line="360" w:lineRule="auto"/>
        <w:ind w:firstLine="540"/>
        <w:rPr>
          <w:rFonts w:hint="eastAsia" w:ascii="宋体" w:hAnsi="宋体" w:eastAsia="宋体" w:cs="宋体"/>
          <w:color w:val="auto"/>
          <w:sz w:val="21"/>
          <w:szCs w:val="21"/>
        </w:rPr>
      </w:pPr>
      <w:r>
        <w:rPr>
          <w:rFonts w:hint="eastAsia" w:ascii="宋体" w:hAnsi="宋体" w:eastAsia="宋体" w:cs="宋体"/>
          <w:color w:val="auto"/>
          <w:sz w:val="21"/>
          <w:szCs w:val="21"/>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25C71470">
      <w:pPr>
        <w:spacing w:line="360" w:lineRule="auto"/>
        <w:ind w:firstLine="540"/>
        <w:rPr>
          <w:rFonts w:hint="eastAsia" w:ascii="宋体" w:hAnsi="宋体" w:eastAsia="宋体" w:cs="宋体"/>
          <w:color w:val="auto"/>
          <w:sz w:val="21"/>
          <w:szCs w:val="21"/>
        </w:rPr>
      </w:pPr>
      <w:r>
        <w:rPr>
          <w:rFonts w:hint="eastAsia" w:ascii="宋体" w:hAnsi="宋体" w:eastAsia="宋体" w:cs="宋体"/>
          <w:color w:val="auto"/>
          <w:sz w:val="21"/>
          <w:szCs w:val="21"/>
        </w:rPr>
        <w:t>3.供应商认为采购文件使自己的权益受到损害的，可以自获取采购文件之日或者采购文件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35FCF7ED">
      <w:pPr>
        <w:spacing w:line="360" w:lineRule="auto"/>
        <w:ind w:firstLine="540"/>
        <w:rPr>
          <w:rFonts w:hint="eastAsia" w:ascii="宋体" w:hAnsi="宋体" w:eastAsia="宋体" w:cs="宋体"/>
          <w:color w:val="auto"/>
          <w:sz w:val="21"/>
          <w:szCs w:val="21"/>
        </w:rPr>
      </w:pPr>
      <w:r>
        <w:rPr>
          <w:rFonts w:hint="eastAsia" w:ascii="宋体" w:hAnsi="宋体" w:eastAsia="宋体" w:cs="宋体"/>
          <w:color w:val="auto"/>
          <w:sz w:val="21"/>
          <w:szCs w:val="21"/>
        </w:rPr>
        <w:t>4.根据财库[2016]125号《关于在政府采购活动中查询及使用信用记录有关问题的通知》要求，采购代理机构会对供应商信用记录进行查询并甄别。</w:t>
      </w:r>
    </w:p>
    <w:p w14:paraId="05308389">
      <w:pPr>
        <w:spacing w:line="360" w:lineRule="auto"/>
        <w:ind w:firstLine="540"/>
        <w:rPr>
          <w:rFonts w:hint="eastAsia" w:ascii="宋体" w:hAnsi="宋体" w:eastAsia="宋体" w:cs="宋体"/>
          <w:color w:val="auto"/>
          <w:sz w:val="21"/>
          <w:szCs w:val="21"/>
        </w:rPr>
      </w:pPr>
      <w:r>
        <w:rPr>
          <w:rFonts w:hint="eastAsia" w:ascii="宋体" w:hAnsi="宋体" w:eastAsia="宋体" w:cs="宋体"/>
          <w:color w:val="auto"/>
          <w:sz w:val="21"/>
          <w:szCs w:val="21"/>
        </w:rPr>
        <w:t>1）信用信息查询的截止时点：开标后评标前；</w:t>
      </w:r>
    </w:p>
    <w:p w14:paraId="047F84FF">
      <w:pPr>
        <w:spacing w:line="360" w:lineRule="auto"/>
        <w:ind w:firstLine="540"/>
        <w:rPr>
          <w:rFonts w:hint="eastAsia" w:ascii="宋体" w:hAnsi="宋体" w:eastAsia="宋体" w:cs="宋体"/>
          <w:color w:val="auto"/>
          <w:sz w:val="21"/>
          <w:szCs w:val="21"/>
        </w:rPr>
      </w:pPr>
      <w:r>
        <w:rPr>
          <w:rFonts w:hint="eastAsia" w:ascii="宋体" w:hAnsi="宋体" w:eastAsia="宋体" w:cs="宋体"/>
          <w:color w:val="auto"/>
          <w:sz w:val="21"/>
          <w:szCs w:val="21"/>
        </w:rPr>
        <w:t>2）查询渠道：“信用中国”（www.creditchina.gov.cn）、“中国政府采购网”（www.ccgp.gov.cn）、“浙江政府采购网（www.zjzfcg.gov.cn）；</w:t>
      </w:r>
    </w:p>
    <w:p w14:paraId="3D3B54B5">
      <w:pPr>
        <w:spacing w:line="360" w:lineRule="auto"/>
        <w:ind w:firstLine="540"/>
        <w:rPr>
          <w:rFonts w:hint="eastAsia" w:ascii="宋体" w:hAnsi="宋体" w:eastAsia="宋体" w:cs="宋体"/>
          <w:color w:val="auto"/>
          <w:sz w:val="21"/>
          <w:szCs w:val="21"/>
        </w:rPr>
      </w:pPr>
      <w:r>
        <w:rPr>
          <w:rFonts w:hint="eastAsia" w:ascii="宋体" w:hAnsi="宋体" w:eastAsia="宋体" w:cs="宋体"/>
          <w:color w:val="auto"/>
          <w:sz w:val="21"/>
          <w:szCs w:val="21"/>
        </w:rPr>
        <w:t>3）信用信息查询记录和证据留存具体方式：采购代理机构经办人和监督人员将查询网页打印与其他采购相关文件一并保存；</w:t>
      </w:r>
    </w:p>
    <w:p w14:paraId="0381BBCB">
      <w:pPr>
        <w:spacing w:line="360" w:lineRule="auto"/>
        <w:ind w:firstLine="540"/>
        <w:rPr>
          <w:rFonts w:hint="eastAsia" w:ascii="宋体" w:hAnsi="宋体" w:eastAsia="宋体" w:cs="宋体"/>
          <w:color w:val="auto"/>
          <w:sz w:val="21"/>
          <w:szCs w:val="21"/>
        </w:rPr>
      </w:pPr>
      <w:r>
        <w:rPr>
          <w:rFonts w:hint="eastAsia" w:ascii="宋体" w:hAnsi="宋体" w:eastAsia="宋体" w:cs="宋体"/>
          <w:color w:val="auto"/>
          <w:sz w:val="21"/>
          <w:szCs w:val="21"/>
        </w:rPr>
        <w:t>4）信用信息的使用规则：投标人存在不良信用记录的，其投标将被作为无效投标被拒绝。</w:t>
      </w:r>
    </w:p>
    <w:p w14:paraId="440A697C">
      <w:pPr>
        <w:spacing w:line="360" w:lineRule="auto"/>
        <w:ind w:firstLine="540"/>
        <w:rPr>
          <w:rFonts w:hint="eastAsia" w:ascii="宋体" w:hAnsi="宋体" w:eastAsia="宋体" w:cs="宋体"/>
          <w:color w:val="auto"/>
          <w:sz w:val="21"/>
          <w:szCs w:val="21"/>
        </w:rPr>
      </w:pPr>
      <w:r>
        <w:rPr>
          <w:rFonts w:hint="eastAsia" w:ascii="宋体" w:hAnsi="宋体" w:eastAsia="宋体" w:cs="宋体"/>
          <w:color w:val="auto"/>
          <w:sz w:val="21"/>
          <w:szCs w:val="21"/>
        </w:rPr>
        <w:t>5）不良信用记录指：被列入失信被执行人、重大税收违法案件当事人名单、政府采购严重违法失信行为记录名单或浙江政府采购网曝光台中尚在行政处罚期内的。</w:t>
      </w:r>
    </w:p>
    <w:p w14:paraId="0FACC5AA">
      <w:pPr>
        <w:spacing w:line="360" w:lineRule="auto"/>
        <w:ind w:firstLine="540"/>
        <w:rPr>
          <w:rFonts w:hint="eastAsia" w:ascii="宋体" w:hAnsi="宋体" w:eastAsia="宋体" w:cs="宋体"/>
          <w:color w:val="auto"/>
          <w:sz w:val="21"/>
          <w:szCs w:val="21"/>
        </w:rPr>
      </w:pPr>
      <w:r>
        <w:rPr>
          <w:rFonts w:hint="eastAsia" w:ascii="宋体" w:hAnsi="宋体" w:eastAsia="宋体" w:cs="宋体"/>
          <w:color w:val="auto"/>
          <w:sz w:val="21"/>
          <w:szCs w:val="21"/>
        </w:rPr>
        <w:t>5.开标时间后30分钟内供应商须携带CA自备电脑登录“政采云”平台，用“项目采购-开标评标”功能解密投标文件，投标人未按时解密或解密失败的，其上传的电子投标文件自动失效。</w:t>
      </w:r>
    </w:p>
    <w:p w14:paraId="12BEDF60">
      <w:pPr>
        <w:spacing w:after="0"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6.</w:t>
      </w:r>
      <w:r>
        <w:rPr>
          <w:rFonts w:hint="eastAsia" w:ascii="宋体" w:hAnsi="宋体" w:eastAsia="宋体" w:cs="宋体"/>
          <w:color w:val="auto"/>
          <w:kern w:val="0"/>
          <w:sz w:val="21"/>
          <w:szCs w:val="21"/>
        </w:rPr>
        <w:t>中标供应商如有融资需求，可使用附件中银行政采贷服务。</w:t>
      </w:r>
    </w:p>
    <w:tbl>
      <w:tblPr>
        <w:tblStyle w:val="2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1873"/>
        <w:gridCol w:w="1688"/>
        <w:gridCol w:w="2131"/>
      </w:tblGrid>
      <w:tr w14:paraId="1A28E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0" w:type="dxa"/>
            <w:vAlign w:val="center"/>
          </w:tcPr>
          <w:p w14:paraId="3F8C27AA">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银行</w:t>
            </w:r>
          </w:p>
        </w:tc>
        <w:tc>
          <w:tcPr>
            <w:tcW w:w="1873" w:type="dxa"/>
            <w:vAlign w:val="center"/>
          </w:tcPr>
          <w:p w14:paraId="7EDA6AA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贷款年利率</w:t>
            </w:r>
          </w:p>
        </w:tc>
        <w:tc>
          <w:tcPr>
            <w:tcW w:w="1688" w:type="dxa"/>
            <w:vAlign w:val="center"/>
          </w:tcPr>
          <w:p w14:paraId="1C3AE7A8">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联系人</w:t>
            </w:r>
          </w:p>
        </w:tc>
        <w:tc>
          <w:tcPr>
            <w:tcW w:w="2131" w:type="dxa"/>
            <w:vAlign w:val="center"/>
          </w:tcPr>
          <w:p w14:paraId="1AD5E117">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联系电话</w:t>
            </w:r>
          </w:p>
        </w:tc>
      </w:tr>
      <w:tr w14:paraId="7A2FF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0" w:type="dxa"/>
            <w:vAlign w:val="center"/>
          </w:tcPr>
          <w:p w14:paraId="2E257075">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中国工商银行</w:t>
            </w:r>
          </w:p>
        </w:tc>
        <w:tc>
          <w:tcPr>
            <w:tcW w:w="1873" w:type="dxa"/>
            <w:vAlign w:val="center"/>
          </w:tcPr>
          <w:p w14:paraId="6D57FF89">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3.8%起</w:t>
            </w:r>
          </w:p>
        </w:tc>
        <w:tc>
          <w:tcPr>
            <w:tcW w:w="1688" w:type="dxa"/>
            <w:vAlign w:val="center"/>
          </w:tcPr>
          <w:p w14:paraId="63F30C19">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卢嘉诚</w:t>
            </w:r>
          </w:p>
        </w:tc>
        <w:tc>
          <w:tcPr>
            <w:tcW w:w="2131" w:type="dxa"/>
            <w:vAlign w:val="center"/>
          </w:tcPr>
          <w:p w14:paraId="7E24197C">
            <w:pPr>
              <w:keepNext w:val="0"/>
              <w:keepLines w:val="0"/>
              <w:pageBreakBefore w:val="0"/>
              <w:widowControl w:val="0"/>
              <w:kinsoku/>
              <w:wordWrap/>
              <w:overflowPunct/>
              <w:topLinePunct w:val="0"/>
              <w:autoSpaceDE/>
              <w:autoSpaceDN/>
              <w:bidi w:val="0"/>
              <w:adjustRightInd/>
              <w:snapToGrid/>
              <w:spacing w:after="0" w:line="240" w:lineRule="auto"/>
              <w:ind w:firstLine="210" w:firstLineChars="1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88588246</w:t>
            </w:r>
          </w:p>
          <w:p w14:paraId="49F2944C">
            <w:pPr>
              <w:keepNext w:val="0"/>
              <w:keepLines w:val="0"/>
              <w:pageBreakBefore w:val="0"/>
              <w:widowControl w:val="0"/>
              <w:kinsoku/>
              <w:wordWrap/>
              <w:overflowPunct/>
              <w:topLinePunct w:val="0"/>
              <w:autoSpaceDE/>
              <w:autoSpaceDN/>
              <w:bidi w:val="0"/>
              <w:adjustRightInd/>
              <w:snapToGrid/>
              <w:spacing w:after="0" w:line="240" w:lineRule="auto"/>
              <w:ind w:firstLine="210" w:firstLineChars="100"/>
              <w:jc w:val="center"/>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rPr>
              <w:t>13867658508</w:t>
            </w:r>
          </w:p>
        </w:tc>
      </w:tr>
      <w:tr w14:paraId="3ABEE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0" w:type="dxa"/>
            <w:vAlign w:val="center"/>
          </w:tcPr>
          <w:p w14:paraId="1C3C06E7">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中国农业银行</w:t>
            </w:r>
          </w:p>
        </w:tc>
        <w:tc>
          <w:tcPr>
            <w:tcW w:w="1873" w:type="dxa"/>
            <w:vAlign w:val="center"/>
          </w:tcPr>
          <w:p w14:paraId="45E1975F">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3.8%起</w:t>
            </w:r>
          </w:p>
        </w:tc>
        <w:tc>
          <w:tcPr>
            <w:tcW w:w="1688" w:type="dxa"/>
            <w:vAlign w:val="center"/>
          </w:tcPr>
          <w:p w14:paraId="7A78EDFA">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龚盛</w:t>
            </w:r>
          </w:p>
        </w:tc>
        <w:tc>
          <w:tcPr>
            <w:tcW w:w="2131" w:type="dxa"/>
            <w:vAlign w:val="center"/>
          </w:tcPr>
          <w:p w14:paraId="0C4E8131">
            <w:pPr>
              <w:keepNext w:val="0"/>
              <w:keepLines w:val="0"/>
              <w:pageBreakBefore w:val="0"/>
              <w:widowControl w:val="0"/>
              <w:kinsoku/>
              <w:wordWrap/>
              <w:overflowPunct/>
              <w:topLinePunct w:val="0"/>
              <w:autoSpaceDE/>
              <w:autoSpaceDN/>
              <w:bidi w:val="0"/>
              <w:adjustRightInd/>
              <w:snapToGrid/>
              <w:spacing w:after="0" w:line="240" w:lineRule="auto"/>
              <w:ind w:firstLine="210" w:firstLineChars="1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15858682216</w:t>
            </w:r>
          </w:p>
        </w:tc>
      </w:tr>
      <w:tr w14:paraId="00C8D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0" w:type="dxa"/>
            <w:vAlign w:val="center"/>
          </w:tcPr>
          <w:p w14:paraId="47DF091B">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中国建设银行</w:t>
            </w:r>
          </w:p>
        </w:tc>
        <w:tc>
          <w:tcPr>
            <w:tcW w:w="1873" w:type="dxa"/>
            <w:vAlign w:val="center"/>
          </w:tcPr>
          <w:p w14:paraId="526D1D76">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3.8%起</w:t>
            </w:r>
          </w:p>
        </w:tc>
        <w:tc>
          <w:tcPr>
            <w:tcW w:w="1688" w:type="dxa"/>
            <w:vAlign w:val="center"/>
          </w:tcPr>
          <w:p w14:paraId="3F100ABD">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梅晶晶</w:t>
            </w:r>
          </w:p>
        </w:tc>
        <w:tc>
          <w:tcPr>
            <w:tcW w:w="2131" w:type="dxa"/>
            <w:vAlign w:val="center"/>
          </w:tcPr>
          <w:p w14:paraId="6578CA73">
            <w:pPr>
              <w:keepNext w:val="0"/>
              <w:keepLines w:val="0"/>
              <w:pageBreakBefore w:val="0"/>
              <w:widowControl w:val="0"/>
              <w:kinsoku/>
              <w:wordWrap/>
              <w:overflowPunct/>
              <w:topLinePunct w:val="0"/>
              <w:autoSpaceDE/>
              <w:autoSpaceDN/>
              <w:bidi w:val="0"/>
              <w:adjustRightInd/>
              <w:snapToGrid/>
              <w:spacing w:after="0" w:line="240" w:lineRule="auto"/>
              <w:ind w:firstLine="210" w:firstLineChars="1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88525339</w:t>
            </w:r>
          </w:p>
          <w:p w14:paraId="65FB9D27">
            <w:pPr>
              <w:keepNext w:val="0"/>
              <w:keepLines w:val="0"/>
              <w:pageBreakBefore w:val="0"/>
              <w:widowControl w:val="0"/>
              <w:kinsoku/>
              <w:wordWrap/>
              <w:overflowPunct/>
              <w:topLinePunct w:val="0"/>
              <w:autoSpaceDE/>
              <w:autoSpaceDN/>
              <w:bidi w:val="0"/>
              <w:adjustRightInd/>
              <w:snapToGrid/>
              <w:spacing w:after="0" w:line="240" w:lineRule="auto"/>
              <w:ind w:firstLine="210" w:firstLineChars="1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13736585303</w:t>
            </w:r>
          </w:p>
        </w:tc>
      </w:tr>
      <w:tr w14:paraId="7E7B3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0" w:type="dxa"/>
            <w:vAlign w:val="center"/>
          </w:tcPr>
          <w:p w14:paraId="34445927">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中国银行</w:t>
            </w:r>
          </w:p>
        </w:tc>
        <w:tc>
          <w:tcPr>
            <w:tcW w:w="1873" w:type="dxa"/>
            <w:vAlign w:val="center"/>
          </w:tcPr>
          <w:p w14:paraId="3D1CF746">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3.75%起</w:t>
            </w:r>
          </w:p>
        </w:tc>
        <w:tc>
          <w:tcPr>
            <w:tcW w:w="1688" w:type="dxa"/>
            <w:vAlign w:val="center"/>
          </w:tcPr>
          <w:p w14:paraId="1B471010">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任茜</w:t>
            </w:r>
          </w:p>
        </w:tc>
        <w:tc>
          <w:tcPr>
            <w:tcW w:w="2131" w:type="dxa"/>
            <w:vAlign w:val="center"/>
          </w:tcPr>
          <w:p w14:paraId="103FE685">
            <w:pPr>
              <w:keepNext w:val="0"/>
              <w:keepLines w:val="0"/>
              <w:pageBreakBefore w:val="0"/>
              <w:widowControl w:val="0"/>
              <w:kinsoku/>
              <w:wordWrap/>
              <w:overflowPunct/>
              <w:topLinePunct w:val="0"/>
              <w:autoSpaceDE/>
              <w:autoSpaceDN/>
              <w:bidi w:val="0"/>
              <w:adjustRightInd/>
              <w:snapToGrid/>
              <w:spacing w:after="0" w:line="240" w:lineRule="auto"/>
              <w:ind w:firstLine="210" w:firstLineChars="1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13857695378</w:t>
            </w:r>
          </w:p>
        </w:tc>
      </w:tr>
      <w:tr w14:paraId="110F2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0" w:type="dxa"/>
            <w:vAlign w:val="center"/>
          </w:tcPr>
          <w:p w14:paraId="57470C05">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浦发银行台州分行</w:t>
            </w:r>
          </w:p>
        </w:tc>
        <w:tc>
          <w:tcPr>
            <w:tcW w:w="1873" w:type="dxa"/>
            <w:vAlign w:val="center"/>
          </w:tcPr>
          <w:p w14:paraId="5BA5028B">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4.05%起</w:t>
            </w:r>
          </w:p>
        </w:tc>
        <w:tc>
          <w:tcPr>
            <w:tcW w:w="1688" w:type="dxa"/>
            <w:vAlign w:val="center"/>
          </w:tcPr>
          <w:p w14:paraId="645F6975">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王渊</w:t>
            </w:r>
          </w:p>
        </w:tc>
        <w:tc>
          <w:tcPr>
            <w:tcW w:w="2131" w:type="dxa"/>
            <w:vAlign w:val="center"/>
          </w:tcPr>
          <w:p w14:paraId="3B5D9AFA">
            <w:pPr>
              <w:keepNext w:val="0"/>
              <w:keepLines w:val="0"/>
              <w:pageBreakBefore w:val="0"/>
              <w:widowControl w:val="0"/>
              <w:kinsoku/>
              <w:wordWrap/>
              <w:overflowPunct/>
              <w:topLinePunct w:val="0"/>
              <w:autoSpaceDE/>
              <w:autoSpaceDN/>
              <w:bidi w:val="0"/>
              <w:adjustRightInd/>
              <w:snapToGrid/>
              <w:spacing w:after="0" w:line="240" w:lineRule="auto"/>
              <w:ind w:firstLine="210" w:firstLineChars="1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13616676319</w:t>
            </w:r>
          </w:p>
        </w:tc>
      </w:tr>
      <w:tr w14:paraId="5DE16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0" w:type="dxa"/>
            <w:vAlign w:val="center"/>
          </w:tcPr>
          <w:p w14:paraId="0DE82853">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浦发银行椒江分行</w:t>
            </w:r>
          </w:p>
        </w:tc>
        <w:tc>
          <w:tcPr>
            <w:tcW w:w="1873" w:type="dxa"/>
            <w:vAlign w:val="center"/>
          </w:tcPr>
          <w:p w14:paraId="1E5FB572">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4.05%起</w:t>
            </w:r>
          </w:p>
        </w:tc>
        <w:tc>
          <w:tcPr>
            <w:tcW w:w="1688" w:type="dxa"/>
            <w:vAlign w:val="center"/>
          </w:tcPr>
          <w:p w14:paraId="58C0A038">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孙瑞华</w:t>
            </w:r>
          </w:p>
        </w:tc>
        <w:tc>
          <w:tcPr>
            <w:tcW w:w="2131" w:type="dxa"/>
            <w:vAlign w:val="center"/>
          </w:tcPr>
          <w:p w14:paraId="70CF5AF5">
            <w:pPr>
              <w:keepNext w:val="0"/>
              <w:keepLines w:val="0"/>
              <w:pageBreakBefore w:val="0"/>
              <w:widowControl w:val="0"/>
              <w:kinsoku/>
              <w:wordWrap/>
              <w:overflowPunct/>
              <w:topLinePunct w:val="0"/>
              <w:autoSpaceDE/>
              <w:autoSpaceDN/>
              <w:bidi w:val="0"/>
              <w:adjustRightInd/>
              <w:snapToGrid/>
              <w:spacing w:after="0" w:line="240" w:lineRule="auto"/>
              <w:ind w:firstLine="210" w:firstLineChars="1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13857688081</w:t>
            </w:r>
          </w:p>
        </w:tc>
      </w:tr>
      <w:tr w14:paraId="6928F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0" w:type="dxa"/>
            <w:vAlign w:val="center"/>
          </w:tcPr>
          <w:p w14:paraId="2B6B698E">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交通银行台州分行</w:t>
            </w:r>
          </w:p>
        </w:tc>
        <w:tc>
          <w:tcPr>
            <w:tcW w:w="1873" w:type="dxa"/>
            <w:vAlign w:val="center"/>
          </w:tcPr>
          <w:p w14:paraId="52BD31AB">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3.75%起</w:t>
            </w:r>
          </w:p>
        </w:tc>
        <w:tc>
          <w:tcPr>
            <w:tcW w:w="1688" w:type="dxa"/>
            <w:vAlign w:val="center"/>
          </w:tcPr>
          <w:p w14:paraId="3F275918">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周翔宇</w:t>
            </w:r>
          </w:p>
        </w:tc>
        <w:tc>
          <w:tcPr>
            <w:tcW w:w="2131" w:type="dxa"/>
            <w:vAlign w:val="center"/>
          </w:tcPr>
          <w:p w14:paraId="6391BDBE">
            <w:pPr>
              <w:keepNext w:val="0"/>
              <w:keepLines w:val="0"/>
              <w:pageBreakBefore w:val="0"/>
              <w:widowControl w:val="0"/>
              <w:kinsoku/>
              <w:wordWrap/>
              <w:overflowPunct/>
              <w:topLinePunct w:val="0"/>
              <w:autoSpaceDE/>
              <w:autoSpaceDN/>
              <w:bidi w:val="0"/>
              <w:adjustRightInd/>
              <w:snapToGrid/>
              <w:spacing w:after="0" w:line="240" w:lineRule="auto"/>
              <w:ind w:firstLine="210" w:firstLineChars="1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13867697018</w:t>
            </w:r>
          </w:p>
        </w:tc>
      </w:tr>
      <w:tr w14:paraId="7CE06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0" w:type="dxa"/>
            <w:vAlign w:val="center"/>
          </w:tcPr>
          <w:p w14:paraId="64479F79">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招商银行台州分行</w:t>
            </w:r>
          </w:p>
        </w:tc>
        <w:tc>
          <w:tcPr>
            <w:tcW w:w="1873" w:type="dxa"/>
            <w:vAlign w:val="center"/>
          </w:tcPr>
          <w:p w14:paraId="2ABDCED5">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4.32%起</w:t>
            </w:r>
          </w:p>
        </w:tc>
        <w:tc>
          <w:tcPr>
            <w:tcW w:w="1688" w:type="dxa"/>
            <w:vAlign w:val="center"/>
          </w:tcPr>
          <w:p w14:paraId="4EB48E1B">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王海玲</w:t>
            </w:r>
          </w:p>
        </w:tc>
        <w:tc>
          <w:tcPr>
            <w:tcW w:w="2131" w:type="dxa"/>
            <w:vAlign w:val="center"/>
          </w:tcPr>
          <w:p w14:paraId="7FBC7BA5">
            <w:pPr>
              <w:keepNext w:val="0"/>
              <w:keepLines w:val="0"/>
              <w:pageBreakBefore w:val="0"/>
              <w:widowControl w:val="0"/>
              <w:kinsoku/>
              <w:wordWrap/>
              <w:overflowPunct/>
              <w:topLinePunct w:val="0"/>
              <w:autoSpaceDE/>
              <w:autoSpaceDN/>
              <w:bidi w:val="0"/>
              <w:adjustRightInd/>
              <w:snapToGrid/>
              <w:spacing w:after="0" w:line="240" w:lineRule="auto"/>
              <w:ind w:firstLine="210" w:firstLineChars="1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13566413827</w:t>
            </w:r>
          </w:p>
        </w:tc>
      </w:tr>
      <w:tr w14:paraId="7EFEC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0" w:type="dxa"/>
            <w:vAlign w:val="center"/>
          </w:tcPr>
          <w:p w14:paraId="46F5305C">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浙商银行台州分行</w:t>
            </w:r>
          </w:p>
        </w:tc>
        <w:tc>
          <w:tcPr>
            <w:tcW w:w="1873" w:type="dxa"/>
            <w:vAlign w:val="center"/>
          </w:tcPr>
          <w:p w14:paraId="474D15A9">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5.01%起</w:t>
            </w:r>
          </w:p>
        </w:tc>
        <w:tc>
          <w:tcPr>
            <w:tcW w:w="1688" w:type="dxa"/>
            <w:vAlign w:val="center"/>
          </w:tcPr>
          <w:p w14:paraId="7344BEDF">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章涉漪</w:t>
            </w:r>
          </w:p>
        </w:tc>
        <w:tc>
          <w:tcPr>
            <w:tcW w:w="2131" w:type="dxa"/>
            <w:vAlign w:val="center"/>
          </w:tcPr>
          <w:p w14:paraId="2F5B5FFB">
            <w:pPr>
              <w:keepNext w:val="0"/>
              <w:keepLines w:val="0"/>
              <w:pageBreakBefore w:val="0"/>
              <w:widowControl w:val="0"/>
              <w:kinsoku/>
              <w:wordWrap/>
              <w:overflowPunct/>
              <w:topLinePunct w:val="0"/>
              <w:autoSpaceDE/>
              <w:autoSpaceDN/>
              <w:bidi w:val="0"/>
              <w:adjustRightInd/>
              <w:snapToGrid/>
              <w:spacing w:after="0" w:line="240" w:lineRule="auto"/>
              <w:ind w:firstLine="210" w:firstLineChars="1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81880185</w:t>
            </w:r>
          </w:p>
          <w:p w14:paraId="5F7DFA78">
            <w:pPr>
              <w:keepNext w:val="0"/>
              <w:keepLines w:val="0"/>
              <w:pageBreakBefore w:val="0"/>
              <w:widowControl w:val="0"/>
              <w:kinsoku/>
              <w:wordWrap/>
              <w:overflowPunct/>
              <w:topLinePunct w:val="0"/>
              <w:autoSpaceDE/>
              <w:autoSpaceDN/>
              <w:bidi w:val="0"/>
              <w:adjustRightInd/>
              <w:snapToGrid/>
              <w:spacing w:after="0" w:line="240" w:lineRule="auto"/>
              <w:ind w:firstLine="210" w:firstLineChars="1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13606681262</w:t>
            </w:r>
          </w:p>
        </w:tc>
      </w:tr>
      <w:tr w14:paraId="6D2C2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0" w:type="dxa"/>
            <w:vAlign w:val="center"/>
          </w:tcPr>
          <w:p w14:paraId="0F74C4EF">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中信银行台州分行</w:t>
            </w:r>
          </w:p>
        </w:tc>
        <w:tc>
          <w:tcPr>
            <w:tcW w:w="1873" w:type="dxa"/>
            <w:vAlign w:val="center"/>
          </w:tcPr>
          <w:p w14:paraId="0DB3AF03">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4.15%起</w:t>
            </w:r>
          </w:p>
        </w:tc>
        <w:tc>
          <w:tcPr>
            <w:tcW w:w="1688" w:type="dxa"/>
            <w:vAlign w:val="center"/>
          </w:tcPr>
          <w:p w14:paraId="414DC3AE">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陈金园</w:t>
            </w:r>
          </w:p>
        </w:tc>
        <w:tc>
          <w:tcPr>
            <w:tcW w:w="2131" w:type="dxa"/>
            <w:vAlign w:val="center"/>
          </w:tcPr>
          <w:p w14:paraId="5F58CFE3">
            <w:pPr>
              <w:keepNext w:val="0"/>
              <w:keepLines w:val="0"/>
              <w:pageBreakBefore w:val="0"/>
              <w:widowControl w:val="0"/>
              <w:kinsoku/>
              <w:wordWrap/>
              <w:overflowPunct/>
              <w:topLinePunct w:val="0"/>
              <w:autoSpaceDE/>
              <w:autoSpaceDN/>
              <w:bidi w:val="0"/>
              <w:adjustRightInd/>
              <w:snapToGrid/>
              <w:spacing w:after="0" w:line="240" w:lineRule="auto"/>
              <w:ind w:firstLine="210" w:firstLineChars="1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13586052161</w:t>
            </w:r>
          </w:p>
        </w:tc>
      </w:tr>
      <w:tr w14:paraId="0685D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0" w:type="dxa"/>
            <w:vAlign w:val="center"/>
          </w:tcPr>
          <w:p w14:paraId="516C6ECE">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华夏银行台州分行</w:t>
            </w:r>
          </w:p>
        </w:tc>
        <w:tc>
          <w:tcPr>
            <w:tcW w:w="1873" w:type="dxa"/>
            <w:vAlign w:val="center"/>
          </w:tcPr>
          <w:p w14:paraId="47E3B7F7">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4.5%起</w:t>
            </w:r>
          </w:p>
        </w:tc>
        <w:tc>
          <w:tcPr>
            <w:tcW w:w="1688" w:type="dxa"/>
            <w:vAlign w:val="center"/>
          </w:tcPr>
          <w:p w14:paraId="0615647D">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邱明达</w:t>
            </w:r>
          </w:p>
        </w:tc>
        <w:tc>
          <w:tcPr>
            <w:tcW w:w="2131" w:type="dxa"/>
            <w:vAlign w:val="center"/>
          </w:tcPr>
          <w:p w14:paraId="7DBCB625">
            <w:pPr>
              <w:keepNext w:val="0"/>
              <w:keepLines w:val="0"/>
              <w:pageBreakBefore w:val="0"/>
              <w:widowControl w:val="0"/>
              <w:kinsoku/>
              <w:wordWrap/>
              <w:overflowPunct/>
              <w:topLinePunct w:val="0"/>
              <w:autoSpaceDE/>
              <w:autoSpaceDN/>
              <w:bidi w:val="0"/>
              <w:adjustRightInd/>
              <w:snapToGrid/>
              <w:spacing w:after="0" w:line="240" w:lineRule="auto"/>
              <w:ind w:firstLine="210" w:firstLineChars="1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81871518</w:t>
            </w:r>
          </w:p>
          <w:p w14:paraId="4BA4A61F">
            <w:pPr>
              <w:keepNext w:val="0"/>
              <w:keepLines w:val="0"/>
              <w:pageBreakBefore w:val="0"/>
              <w:widowControl w:val="0"/>
              <w:kinsoku/>
              <w:wordWrap/>
              <w:overflowPunct/>
              <w:topLinePunct w:val="0"/>
              <w:autoSpaceDE/>
              <w:autoSpaceDN/>
              <w:bidi w:val="0"/>
              <w:adjustRightInd/>
              <w:snapToGrid/>
              <w:spacing w:after="0" w:line="240" w:lineRule="auto"/>
              <w:ind w:firstLine="210" w:firstLineChars="1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13736252233</w:t>
            </w:r>
          </w:p>
        </w:tc>
      </w:tr>
      <w:tr w14:paraId="5EA76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0" w:type="dxa"/>
            <w:vAlign w:val="center"/>
          </w:tcPr>
          <w:p w14:paraId="578A1F90">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泰隆银行开发区支行</w:t>
            </w:r>
          </w:p>
        </w:tc>
        <w:tc>
          <w:tcPr>
            <w:tcW w:w="1873" w:type="dxa"/>
            <w:vAlign w:val="center"/>
          </w:tcPr>
          <w:p w14:paraId="68E9BA4A">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5.6%起</w:t>
            </w:r>
          </w:p>
        </w:tc>
        <w:tc>
          <w:tcPr>
            <w:tcW w:w="1688" w:type="dxa"/>
            <w:vAlign w:val="center"/>
          </w:tcPr>
          <w:p w14:paraId="699CA70F">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梁宛莉</w:t>
            </w:r>
          </w:p>
        </w:tc>
        <w:tc>
          <w:tcPr>
            <w:tcW w:w="2131" w:type="dxa"/>
            <w:vAlign w:val="center"/>
          </w:tcPr>
          <w:p w14:paraId="39C1E628">
            <w:pPr>
              <w:keepNext w:val="0"/>
              <w:keepLines w:val="0"/>
              <w:pageBreakBefore w:val="0"/>
              <w:widowControl w:val="0"/>
              <w:kinsoku/>
              <w:wordWrap/>
              <w:overflowPunct/>
              <w:topLinePunct w:val="0"/>
              <w:autoSpaceDE/>
              <w:autoSpaceDN/>
              <w:bidi w:val="0"/>
              <w:adjustRightInd/>
              <w:snapToGrid/>
              <w:spacing w:after="0" w:line="240" w:lineRule="auto"/>
              <w:ind w:firstLine="210" w:firstLineChars="1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13306869100</w:t>
            </w:r>
          </w:p>
        </w:tc>
      </w:tr>
      <w:tr w14:paraId="02537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0" w:type="dxa"/>
            <w:vAlign w:val="center"/>
          </w:tcPr>
          <w:p w14:paraId="566B438E">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民泰银行椒江支行</w:t>
            </w:r>
          </w:p>
        </w:tc>
        <w:tc>
          <w:tcPr>
            <w:tcW w:w="1873" w:type="dxa"/>
            <w:vAlign w:val="center"/>
          </w:tcPr>
          <w:p w14:paraId="6C0B7CB2">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5.8%起</w:t>
            </w:r>
          </w:p>
        </w:tc>
        <w:tc>
          <w:tcPr>
            <w:tcW w:w="1688" w:type="dxa"/>
            <w:vAlign w:val="center"/>
          </w:tcPr>
          <w:p w14:paraId="0FBB97E7">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陈慧珠</w:t>
            </w:r>
          </w:p>
        </w:tc>
        <w:tc>
          <w:tcPr>
            <w:tcW w:w="2131" w:type="dxa"/>
            <w:vAlign w:val="center"/>
          </w:tcPr>
          <w:p w14:paraId="2ABF274D">
            <w:pPr>
              <w:keepNext w:val="0"/>
              <w:keepLines w:val="0"/>
              <w:pageBreakBefore w:val="0"/>
              <w:widowControl w:val="0"/>
              <w:kinsoku/>
              <w:wordWrap/>
              <w:overflowPunct/>
              <w:topLinePunct w:val="0"/>
              <w:autoSpaceDE/>
              <w:autoSpaceDN/>
              <w:bidi w:val="0"/>
              <w:adjustRightInd/>
              <w:snapToGrid/>
              <w:spacing w:after="0" w:line="240" w:lineRule="auto"/>
              <w:ind w:firstLine="210" w:firstLineChars="1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13857699669</w:t>
            </w:r>
          </w:p>
        </w:tc>
      </w:tr>
      <w:tr w14:paraId="45FD1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0" w:type="dxa"/>
            <w:vAlign w:val="center"/>
          </w:tcPr>
          <w:p w14:paraId="575BD89C">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绍兴银行台州分行</w:t>
            </w:r>
          </w:p>
        </w:tc>
        <w:tc>
          <w:tcPr>
            <w:tcW w:w="1873" w:type="dxa"/>
            <w:vAlign w:val="center"/>
          </w:tcPr>
          <w:p w14:paraId="7991B3C9">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5.1%起</w:t>
            </w:r>
          </w:p>
        </w:tc>
        <w:tc>
          <w:tcPr>
            <w:tcW w:w="1688" w:type="dxa"/>
            <w:vAlign w:val="center"/>
          </w:tcPr>
          <w:p w14:paraId="65AB1210">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郭庭斌</w:t>
            </w:r>
          </w:p>
        </w:tc>
        <w:tc>
          <w:tcPr>
            <w:tcW w:w="2131" w:type="dxa"/>
            <w:vAlign w:val="center"/>
          </w:tcPr>
          <w:p w14:paraId="6EE0ED51">
            <w:pPr>
              <w:keepNext w:val="0"/>
              <w:keepLines w:val="0"/>
              <w:pageBreakBefore w:val="0"/>
              <w:widowControl w:val="0"/>
              <w:kinsoku/>
              <w:wordWrap/>
              <w:overflowPunct/>
              <w:topLinePunct w:val="0"/>
              <w:autoSpaceDE/>
              <w:autoSpaceDN/>
              <w:bidi w:val="0"/>
              <w:adjustRightInd/>
              <w:snapToGrid/>
              <w:spacing w:after="0" w:line="240" w:lineRule="auto"/>
              <w:ind w:firstLine="210" w:firstLineChars="1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15958633119</w:t>
            </w:r>
          </w:p>
        </w:tc>
      </w:tr>
      <w:tr w14:paraId="63386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0" w:type="dxa"/>
            <w:vAlign w:val="center"/>
          </w:tcPr>
          <w:p w14:paraId="1AB9101A">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温州银行台州分行</w:t>
            </w:r>
          </w:p>
        </w:tc>
        <w:tc>
          <w:tcPr>
            <w:tcW w:w="1873" w:type="dxa"/>
            <w:vAlign w:val="center"/>
          </w:tcPr>
          <w:p w14:paraId="48AB841F">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4.55%起</w:t>
            </w:r>
          </w:p>
        </w:tc>
        <w:tc>
          <w:tcPr>
            <w:tcW w:w="1688" w:type="dxa"/>
            <w:vAlign w:val="center"/>
          </w:tcPr>
          <w:p w14:paraId="76F86875">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王晓波</w:t>
            </w:r>
          </w:p>
        </w:tc>
        <w:tc>
          <w:tcPr>
            <w:tcW w:w="2131" w:type="dxa"/>
            <w:vAlign w:val="center"/>
          </w:tcPr>
          <w:p w14:paraId="32CC507C">
            <w:pPr>
              <w:keepNext w:val="0"/>
              <w:keepLines w:val="0"/>
              <w:pageBreakBefore w:val="0"/>
              <w:widowControl w:val="0"/>
              <w:kinsoku/>
              <w:wordWrap/>
              <w:overflowPunct/>
              <w:topLinePunct w:val="0"/>
              <w:autoSpaceDE/>
              <w:autoSpaceDN/>
              <w:bidi w:val="0"/>
              <w:adjustRightInd/>
              <w:snapToGrid/>
              <w:spacing w:after="0" w:line="240" w:lineRule="auto"/>
              <w:ind w:firstLine="210" w:firstLineChars="1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15824005475</w:t>
            </w:r>
          </w:p>
        </w:tc>
      </w:tr>
      <w:tr w14:paraId="5C24B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0" w:type="dxa"/>
            <w:vAlign w:val="center"/>
          </w:tcPr>
          <w:p w14:paraId="050D4E52">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平安银行台州分行</w:t>
            </w:r>
          </w:p>
        </w:tc>
        <w:tc>
          <w:tcPr>
            <w:tcW w:w="1873" w:type="dxa"/>
            <w:vAlign w:val="center"/>
          </w:tcPr>
          <w:p w14:paraId="6A824686">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6.53%起</w:t>
            </w:r>
          </w:p>
        </w:tc>
        <w:tc>
          <w:tcPr>
            <w:tcW w:w="1688" w:type="dxa"/>
            <w:vAlign w:val="center"/>
          </w:tcPr>
          <w:p w14:paraId="22D87F5D">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李俊丽</w:t>
            </w:r>
          </w:p>
        </w:tc>
        <w:tc>
          <w:tcPr>
            <w:tcW w:w="2131" w:type="dxa"/>
            <w:vAlign w:val="center"/>
          </w:tcPr>
          <w:p w14:paraId="669ACFDA">
            <w:pPr>
              <w:keepNext w:val="0"/>
              <w:keepLines w:val="0"/>
              <w:pageBreakBefore w:val="0"/>
              <w:widowControl w:val="0"/>
              <w:kinsoku/>
              <w:wordWrap/>
              <w:overflowPunct/>
              <w:topLinePunct w:val="0"/>
              <w:autoSpaceDE/>
              <w:autoSpaceDN/>
              <w:bidi w:val="0"/>
              <w:adjustRightInd/>
              <w:snapToGrid/>
              <w:spacing w:after="0" w:line="240" w:lineRule="auto"/>
              <w:ind w:firstLine="210" w:firstLineChars="1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15906861025</w:t>
            </w:r>
          </w:p>
        </w:tc>
      </w:tr>
      <w:tr w14:paraId="6138C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0" w:type="dxa"/>
            <w:vAlign w:val="center"/>
          </w:tcPr>
          <w:p w14:paraId="07EBA07D">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宁波银行台州分行</w:t>
            </w:r>
          </w:p>
        </w:tc>
        <w:tc>
          <w:tcPr>
            <w:tcW w:w="1873" w:type="dxa"/>
            <w:vAlign w:val="center"/>
          </w:tcPr>
          <w:p w14:paraId="75788CDC">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4.35%起</w:t>
            </w:r>
          </w:p>
        </w:tc>
        <w:tc>
          <w:tcPr>
            <w:tcW w:w="1688" w:type="dxa"/>
            <w:vAlign w:val="center"/>
          </w:tcPr>
          <w:p w14:paraId="2CC0CFA1">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戴莉丽</w:t>
            </w:r>
          </w:p>
        </w:tc>
        <w:tc>
          <w:tcPr>
            <w:tcW w:w="2131" w:type="dxa"/>
            <w:vAlign w:val="center"/>
          </w:tcPr>
          <w:p w14:paraId="7BEA2921">
            <w:pPr>
              <w:keepNext w:val="0"/>
              <w:keepLines w:val="0"/>
              <w:pageBreakBefore w:val="0"/>
              <w:widowControl w:val="0"/>
              <w:kinsoku/>
              <w:wordWrap/>
              <w:overflowPunct/>
              <w:topLinePunct w:val="0"/>
              <w:autoSpaceDE/>
              <w:autoSpaceDN/>
              <w:bidi w:val="0"/>
              <w:adjustRightInd/>
              <w:snapToGrid/>
              <w:spacing w:after="0" w:line="240" w:lineRule="auto"/>
              <w:ind w:firstLine="210" w:firstLineChars="1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13566627207</w:t>
            </w:r>
          </w:p>
        </w:tc>
      </w:tr>
      <w:tr w14:paraId="0B818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0" w:type="dxa"/>
            <w:vAlign w:val="center"/>
          </w:tcPr>
          <w:p w14:paraId="5A6DFE19">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金华银行台州分行</w:t>
            </w:r>
          </w:p>
        </w:tc>
        <w:tc>
          <w:tcPr>
            <w:tcW w:w="1873" w:type="dxa"/>
            <w:vAlign w:val="center"/>
          </w:tcPr>
          <w:p w14:paraId="48B9F2A1">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4.05%起</w:t>
            </w:r>
          </w:p>
        </w:tc>
        <w:tc>
          <w:tcPr>
            <w:tcW w:w="1688" w:type="dxa"/>
            <w:vAlign w:val="center"/>
          </w:tcPr>
          <w:p w14:paraId="209DD365">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金雪婷</w:t>
            </w:r>
          </w:p>
        </w:tc>
        <w:tc>
          <w:tcPr>
            <w:tcW w:w="2131" w:type="dxa"/>
            <w:vAlign w:val="center"/>
          </w:tcPr>
          <w:p w14:paraId="61C3996A">
            <w:pPr>
              <w:keepNext w:val="0"/>
              <w:keepLines w:val="0"/>
              <w:pageBreakBefore w:val="0"/>
              <w:widowControl w:val="0"/>
              <w:kinsoku/>
              <w:wordWrap/>
              <w:overflowPunct/>
              <w:topLinePunct w:val="0"/>
              <w:autoSpaceDE/>
              <w:autoSpaceDN/>
              <w:bidi w:val="0"/>
              <w:adjustRightInd/>
              <w:snapToGrid/>
              <w:spacing w:after="0" w:line="240" w:lineRule="auto"/>
              <w:ind w:firstLine="210" w:firstLineChars="1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81886670</w:t>
            </w:r>
          </w:p>
          <w:p w14:paraId="27E15B8A">
            <w:pPr>
              <w:keepNext w:val="0"/>
              <w:keepLines w:val="0"/>
              <w:pageBreakBefore w:val="0"/>
              <w:widowControl w:val="0"/>
              <w:kinsoku/>
              <w:wordWrap/>
              <w:overflowPunct/>
              <w:topLinePunct w:val="0"/>
              <w:autoSpaceDE/>
              <w:autoSpaceDN/>
              <w:bidi w:val="0"/>
              <w:adjustRightInd/>
              <w:snapToGrid/>
              <w:spacing w:after="0" w:line="240" w:lineRule="auto"/>
              <w:ind w:firstLine="210" w:firstLineChars="1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15968661569</w:t>
            </w:r>
          </w:p>
        </w:tc>
      </w:tr>
      <w:tr w14:paraId="38A1D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0" w:type="dxa"/>
            <w:vAlign w:val="center"/>
          </w:tcPr>
          <w:p w14:paraId="029B61E3">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台州银行</w:t>
            </w:r>
          </w:p>
        </w:tc>
        <w:tc>
          <w:tcPr>
            <w:tcW w:w="1873" w:type="dxa"/>
            <w:vAlign w:val="center"/>
          </w:tcPr>
          <w:p w14:paraId="1E06F5EB">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5.6%起</w:t>
            </w:r>
          </w:p>
        </w:tc>
        <w:tc>
          <w:tcPr>
            <w:tcW w:w="1688" w:type="dxa"/>
            <w:vAlign w:val="center"/>
          </w:tcPr>
          <w:p w14:paraId="0C14F18C">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洪婷</w:t>
            </w:r>
          </w:p>
        </w:tc>
        <w:tc>
          <w:tcPr>
            <w:tcW w:w="2131" w:type="dxa"/>
            <w:vAlign w:val="center"/>
          </w:tcPr>
          <w:p w14:paraId="1A8342AE">
            <w:pPr>
              <w:keepNext w:val="0"/>
              <w:keepLines w:val="0"/>
              <w:pageBreakBefore w:val="0"/>
              <w:widowControl w:val="0"/>
              <w:kinsoku/>
              <w:wordWrap/>
              <w:overflowPunct/>
              <w:topLinePunct w:val="0"/>
              <w:autoSpaceDE/>
              <w:autoSpaceDN/>
              <w:bidi w:val="0"/>
              <w:adjustRightInd/>
              <w:snapToGrid/>
              <w:spacing w:after="0" w:line="240" w:lineRule="auto"/>
              <w:ind w:firstLine="210" w:firstLineChars="1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15858624999</w:t>
            </w:r>
          </w:p>
        </w:tc>
      </w:tr>
      <w:tr w14:paraId="3303C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30" w:type="dxa"/>
            <w:vAlign w:val="center"/>
          </w:tcPr>
          <w:p w14:paraId="33CB2AAF">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邮储银行台州分行</w:t>
            </w:r>
          </w:p>
        </w:tc>
        <w:tc>
          <w:tcPr>
            <w:tcW w:w="1873" w:type="dxa"/>
            <w:vAlign w:val="center"/>
          </w:tcPr>
          <w:p w14:paraId="14314827">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3.85%起</w:t>
            </w:r>
          </w:p>
        </w:tc>
        <w:tc>
          <w:tcPr>
            <w:tcW w:w="1688" w:type="dxa"/>
            <w:vAlign w:val="center"/>
          </w:tcPr>
          <w:p w14:paraId="41A9CC12">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董庆</w:t>
            </w:r>
          </w:p>
        </w:tc>
        <w:tc>
          <w:tcPr>
            <w:tcW w:w="2131" w:type="dxa"/>
            <w:vAlign w:val="center"/>
          </w:tcPr>
          <w:p w14:paraId="2A06A874">
            <w:pPr>
              <w:keepNext w:val="0"/>
              <w:keepLines w:val="0"/>
              <w:pageBreakBefore w:val="0"/>
              <w:widowControl w:val="0"/>
              <w:kinsoku/>
              <w:wordWrap/>
              <w:overflowPunct/>
              <w:topLinePunct w:val="0"/>
              <w:autoSpaceDE/>
              <w:autoSpaceDN/>
              <w:bidi w:val="0"/>
              <w:adjustRightInd/>
              <w:snapToGrid/>
              <w:spacing w:after="0" w:line="240" w:lineRule="auto"/>
              <w:ind w:firstLine="210" w:firstLineChars="1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81888982</w:t>
            </w:r>
          </w:p>
          <w:p w14:paraId="5C7942C8">
            <w:pPr>
              <w:keepNext w:val="0"/>
              <w:keepLines w:val="0"/>
              <w:pageBreakBefore w:val="0"/>
              <w:widowControl w:val="0"/>
              <w:kinsoku/>
              <w:wordWrap/>
              <w:overflowPunct/>
              <w:topLinePunct w:val="0"/>
              <w:autoSpaceDE/>
              <w:autoSpaceDN/>
              <w:bidi w:val="0"/>
              <w:adjustRightInd/>
              <w:snapToGrid/>
              <w:spacing w:after="0" w:line="240" w:lineRule="auto"/>
              <w:ind w:firstLine="210" w:firstLineChars="100"/>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18957683735</w:t>
            </w:r>
          </w:p>
        </w:tc>
      </w:tr>
    </w:tbl>
    <w:p w14:paraId="33199DB3">
      <w:pPr>
        <w:pStyle w:val="3"/>
        <w:keepNext w:val="0"/>
        <w:keepLines w:val="0"/>
        <w:snapToGrid w:val="0"/>
        <w:spacing w:before="0" w:after="0" w:line="360" w:lineRule="auto"/>
        <w:ind w:firstLine="210" w:firstLineChars="100"/>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rPr>
        <w:t>（四）中标供应商如有需求，可使用附件中合同履约保函、预付款保函。</w:t>
      </w:r>
    </w:p>
    <w:p w14:paraId="78C3A441">
      <w:pPr>
        <w:ind w:firstLine="2625" w:firstLineChars="1250"/>
        <w:rPr>
          <w:rFonts w:hint="eastAsia" w:ascii="宋体" w:hAnsi="宋体" w:eastAsia="宋体" w:cs="宋体"/>
          <w:bCs/>
          <w:color w:val="auto"/>
          <w:sz w:val="21"/>
          <w:szCs w:val="21"/>
        </w:rPr>
      </w:pPr>
      <w:r>
        <w:rPr>
          <w:rFonts w:hint="eastAsia" w:ascii="宋体" w:hAnsi="宋体" w:eastAsia="宋体" w:cs="宋体"/>
          <w:color w:val="auto"/>
          <w:kern w:val="0"/>
          <w:sz w:val="21"/>
          <w:szCs w:val="21"/>
        </w:rPr>
        <w:t>合同履约保函联系方式</w:t>
      </w:r>
    </w:p>
    <w:tbl>
      <w:tblPr>
        <w:tblStyle w:val="25"/>
        <w:tblW w:w="8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7"/>
        <w:gridCol w:w="2264"/>
        <w:gridCol w:w="1003"/>
        <w:gridCol w:w="1536"/>
      </w:tblGrid>
      <w:tr w14:paraId="6C710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57" w:type="dxa"/>
            <w:vAlign w:val="center"/>
          </w:tcPr>
          <w:p w14:paraId="048155B7">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保险公司名称</w:t>
            </w:r>
          </w:p>
        </w:tc>
        <w:tc>
          <w:tcPr>
            <w:tcW w:w="2264" w:type="dxa"/>
            <w:vAlign w:val="center"/>
          </w:tcPr>
          <w:p w14:paraId="70C209F2">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保费率</w:t>
            </w:r>
          </w:p>
        </w:tc>
        <w:tc>
          <w:tcPr>
            <w:tcW w:w="1003" w:type="dxa"/>
            <w:vAlign w:val="center"/>
          </w:tcPr>
          <w:p w14:paraId="5F047928">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1536" w:type="dxa"/>
            <w:vAlign w:val="center"/>
          </w:tcPr>
          <w:p w14:paraId="49A8D144">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联系电话</w:t>
            </w:r>
          </w:p>
        </w:tc>
      </w:tr>
      <w:tr w14:paraId="6E0A9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57" w:type="dxa"/>
            <w:vAlign w:val="center"/>
          </w:tcPr>
          <w:p w14:paraId="462B71C7">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中国人寿财产保险股份有限公司台州中心支公司</w:t>
            </w:r>
          </w:p>
        </w:tc>
        <w:tc>
          <w:tcPr>
            <w:tcW w:w="2264" w:type="dxa"/>
            <w:vAlign w:val="center"/>
          </w:tcPr>
          <w:p w14:paraId="0BB8C114">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年费率1%，最低保费500元</w:t>
            </w:r>
          </w:p>
        </w:tc>
        <w:tc>
          <w:tcPr>
            <w:tcW w:w="1003" w:type="dxa"/>
            <w:vAlign w:val="center"/>
          </w:tcPr>
          <w:p w14:paraId="49D3D151">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徐凌</w:t>
            </w:r>
          </w:p>
        </w:tc>
        <w:tc>
          <w:tcPr>
            <w:tcW w:w="1536" w:type="dxa"/>
            <w:vAlign w:val="center"/>
          </w:tcPr>
          <w:p w14:paraId="5E11DAFA">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13905168070</w:t>
            </w:r>
          </w:p>
        </w:tc>
      </w:tr>
      <w:tr w14:paraId="3E015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57" w:type="dxa"/>
            <w:vAlign w:val="center"/>
          </w:tcPr>
          <w:p w14:paraId="28794E92">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永诚财产保险股份有限公司台州分公司</w:t>
            </w:r>
          </w:p>
        </w:tc>
        <w:tc>
          <w:tcPr>
            <w:tcW w:w="2264" w:type="dxa"/>
            <w:vAlign w:val="center"/>
          </w:tcPr>
          <w:p w14:paraId="50C805A3">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年费率1%，最低保费1000元</w:t>
            </w:r>
          </w:p>
        </w:tc>
        <w:tc>
          <w:tcPr>
            <w:tcW w:w="1003" w:type="dxa"/>
            <w:vAlign w:val="center"/>
          </w:tcPr>
          <w:p w14:paraId="248D2CD0">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尹刚强</w:t>
            </w:r>
          </w:p>
        </w:tc>
        <w:tc>
          <w:tcPr>
            <w:tcW w:w="1536" w:type="dxa"/>
            <w:vAlign w:val="center"/>
          </w:tcPr>
          <w:p w14:paraId="56FCDEEF">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13750668184</w:t>
            </w:r>
          </w:p>
        </w:tc>
      </w:tr>
      <w:tr w14:paraId="60E59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57" w:type="dxa"/>
            <w:vAlign w:val="center"/>
          </w:tcPr>
          <w:p w14:paraId="54D66C0A">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华泰财产保险有限公司台州中心支公司</w:t>
            </w:r>
          </w:p>
        </w:tc>
        <w:tc>
          <w:tcPr>
            <w:tcW w:w="2264" w:type="dxa"/>
            <w:vAlign w:val="center"/>
          </w:tcPr>
          <w:p w14:paraId="40FB9D57">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年费率0.5%，最低保费1000元</w:t>
            </w:r>
          </w:p>
        </w:tc>
        <w:tc>
          <w:tcPr>
            <w:tcW w:w="1003" w:type="dxa"/>
            <w:vAlign w:val="center"/>
          </w:tcPr>
          <w:p w14:paraId="0FCFE70E">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王灵芳</w:t>
            </w:r>
          </w:p>
        </w:tc>
        <w:tc>
          <w:tcPr>
            <w:tcW w:w="1536" w:type="dxa"/>
            <w:vAlign w:val="center"/>
          </w:tcPr>
          <w:p w14:paraId="35DFAC66">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88869818 13586123199</w:t>
            </w:r>
          </w:p>
        </w:tc>
      </w:tr>
      <w:tr w14:paraId="2E8D1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57" w:type="dxa"/>
            <w:vAlign w:val="center"/>
          </w:tcPr>
          <w:p w14:paraId="62755B3A">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中国大地财产保险股份有限公司台州中心支公司</w:t>
            </w:r>
          </w:p>
        </w:tc>
        <w:tc>
          <w:tcPr>
            <w:tcW w:w="2264" w:type="dxa"/>
            <w:vAlign w:val="center"/>
          </w:tcPr>
          <w:p w14:paraId="4B39A333">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年费率1.5%，最低保费1000元</w:t>
            </w:r>
          </w:p>
        </w:tc>
        <w:tc>
          <w:tcPr>
            <w:tcW w:w="1003" w:type="dxa"/>
            <w:vAlign w:val="center"/>
          </w:tcPr>
          <w:p w14:paraId="7D36C147">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徐小明</w:t>
            </w:r>
          </w:p>
        </w:tc>
        <w:tc>
          <w:tcPr>
            <w:tcW w:w="1536" w:type="dxa"/>
            <w:vAlign w:val="center"/>
          </w:tcPr>
          <w:p w14:paraId="38A1B442">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88552788      13968603112</w:t>
            </w:r>
          </w:p>
        </w:tc>
      </w:tr>
      <w:tr w14:paraId="13CE2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57" w:type="dxa"/>
            <w:vAlign w:val="center"/>
          </w:tcPr>
          <w:p w14:paraId="76D2E68B">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阳光保险台州中心支公司</w:t>
            </w:r>
          </w:p>
        </w:tc>
        <w:tc>
          <w:tcPr>
            <w:tcW w:w="2264" w:type="dxa"/>
            <w:vAlign w:val="center"/>
          </w:tcPr>
          <w:p w14:paraId="13E36001">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年费率1%，最低保费500元</w:t>
            </w:r>
          </w:p>
        </w:tc>
        <w:tc>
          <w:tcPr>
            <w:tcW w:w="1003" w:type="dxa"/>
            <w:vAlign w:val="center"/>
          </w:tcPr>
          <w:p w14:paraId="14E6C36F">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林高明</w:t>
            </w:r>
          </w:p>
        </w:tc>
        <w:tc>
          <w:tcPr>
            <w:tcW w:w="1536" w:type="dxa"/>
            <w:vAlign w:val="center"/>
          </w:tcPr>
          <w:p w14:paraId="73E42E39">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15888682693</w:t>
            </w:r>
          </w:p>
        </w:tc>
      </w:tr>
      <w:tr w14:paraId="2D2E1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57" w:type="dxa"/>
            <w:vAlign w:val="center"/>
          </w:tcPr>
          <w:p w14:paraId="663BEED4">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中华联合财产保险股份有限公司台州中心支公司</w:t>
            </w:r>
          </w:p>
        </w:tc>
        <w:tc>
          <w:tcPr>
            <w:tcW w:w="2264" w:type="dxa"/>
            <w:vAlign w:val="center"/>
          </w:tcPr>
          <w:p w14:paraId="24461754">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年费率2%，最低保费500元</w:t>
            </w:r>
          </w:p>
        </w:tc>
        <w:tc>
          <w:tcPr>
            <w:tcW w:w="1003" w:type="dxa"/>
            <w:vAlign w:val="center"/>
          </w:tcPr>
          <w:p w14:paraId="2FF9C2F7">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王仙高</w:t>
            </w:r>
          </w:p>
        </w:tc>
        <w:tc>
          <w:tcPr>
            <w:tcW w:w="1536" w:type="dxa"/>
            <w:vAlign w:val="center"/>
          </w:tcPr>
          <w:p w14:paraId="1BB94238">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13858600221</w:t>
            </w:r>
          </w:p>
        </w:tc>
      </w:tr>
      <w:tr w14:paraId="48D34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57" w:type="dxa"/>
            <w:vAlign w:val="center"/>
          </w:tcPr>
          <w:p w14:paraId="5B8B35AB">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中国人民财产保险股份有限公司台州中心支公司</w:t>
            </w:r>
          </w:p>
        </w:tc>
        <w:tc>
          <w:tcPr>
            <w:tcW w:w="2264" w:type="dxa"/>
            <w:vAlign w:val="center"/>
          </w:tcPr>
          <w:p w14:paraId="0696B7AB">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年费率0.3%，最低保费1000元</w:t>
            </w:r>
          </w:p>
        </w:tc>
        <w:tc>
          <w:tcPr>
            <w:tcW w:w="1003" w:type="dxa"/>
            <w:vAlign w:val="center"/>
          </w:tcPr>
          <w:p w14:paraId="5F10C6BA">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王仙春</w:t>
            </w:r>
          </w:p>
        </w:tc>
        <w:tc>
          <w:tcPr>
            <w:tcW w:w="1536" w:type="dxa"/>
            <w:vAlign w:val="center"/>
          </w:tcPr>
          <w:p w14:paraId="21A4C2D6">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13515769179</w:t>
            </w:r>
          </w:p>
        </w:tc>
      </w:tr>
      <w:tr w14:paraId="36B13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57" w:type="dxa"/>
            <w:vAlign w:val="center"/>
          </w:tcPr>
          <w:p w14:paraId="6CB6E74C">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永安财产保险股份有限公司台州中心支公司</w:t>
            </w:r>
          </w:p>
        </w:tc>
        <w:tc>
          <w:tcPr>
            <w:tcW w:w="2264" w:type="dxa"/>
            <w:vAlign w:val="center"/>
          </w:tcPr>
          <w:p w14:paraId="3FD432DD">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年费率0.3%，最低保费1000</w:t>
            </w:r>
          </w:p>
        </w:tc>
        <w:tc>
          <w:tcPr>
            <w:tcW w:w="1003" w:type="dxa"/>
            <w:vAlign w:val="center"/>
          </w:tcPr>
          <w:p w14:paraId="4AB0239F">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王春宇</w:t>
            </w:r>
          </w:p>
        </w:tc>
        <w:tc>
          <w:tcPr>
            <w:tcW w:w="1536" w:type="dxa"/>
            <w:vAlign w:val="center"/>
          </w:tcPr>
          <w:p w14:paraId="625374B5">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13676675331</w:t>
            </w:r>
          </w:p>
        </w:tc>
      </w:tr>
    </w:tbl>
    <w:p w14:paraId="489D2A48">
      <w:pPr>
        <w:spacing w:after="0" w:line="360" w:lineRule="auto"/>
        <w:rPr>
          <w:rFonts w:hint="eastAsia" w:ascii="宋体" w:hAnsi="宋体" w:eastAsia="宋体" w:cs="宋体"/>
          <w:b/>
          <w:color w:val="auto"/>
          <w:sz w:val="21"/>
          <w:szCs w:val="21"/>
        </w:rPr>
      </w:pPr>
      <w:r>
        <w:rPr>
          <w:rFonts w:hint="eastAsia" w:ascii="宋体" w:hAnsi="宋体" w:eastAsia="宋体" w:cs="宋体"/>
          <w:color w:val="auto"/>
          <w:kern w:val="0"/>
          <w:sz w:val="21"/>
          <w:szCs w:val="21"/>
        </w:rPr>
        <w:t xml:space="preserve">                </w:t>
      </w:r>
      <w:bookmarkEnd w:id="27"/>
      <w:bookmarkEnd w:id="28"/>
      <w:bookmarkEnd w:id="29"/>
      <w:bookmarkEnd w:id="30"/>
    </w:p>
    <w:p w14:paraId="506BDE34">
      <w:pPr>
        <w:pStyle w:val="3"/>
        <w:keepNext w:val="0"/>
        <w:keepLines w:val="0"/>
        <w:pageBreakBefore w:val="0"/>
        <w:widowControl w:val="0"/>
        <w:kinsoku/>
        <w:wordWrap/>
        <w:overflowPunct/>
        <w:topLinePunct w:val="0"/>
        <w:bidi w:val="0"/>
        <w:adjustRightInd/>
        <w:snapToGrid/>
        <w:spacing w:before="0" w:after="0" w:line="240" w:lineRule="auto"/>
        <w:jc w:val="both"/>
        <w:textAlignment w:val="auto"/>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八、凡对本次采购提出询问，请按以下方式联系。</w:t>
      </w:r>
    </w:p>
    <w:p w14:paraId="553846C2">
      <w:pPr>
        <w:pStyle w:val="3"/>
        <w:pageBreakBefore w:val="0"/>
        <w:widowControl w:val="0"/>
        <w:kinsoku/>
        <w:wordWrap/>
        <w:overflowPunct/>
        <w:topLinePunct w:val="0"/>
        <w:bidi w:val="0"/>
        <w:adjustRightInd/>
        <w:snapToGrid/>
        <w:spacing w:before="0" w:after="0" w:line="240" w:lineRule="auto"/>
        <w:ind w:firstLine="422" w:firstLineChars="200"/>
        <w:jc w:val="both"/>
        <w:textAlignment w:val="auto"/>
        <w:rPr>
          <w:rFonts w:hint="eastAsia" w:ascii="宋体" w:hAnsi="宋体" w:eastAsia="宋体" w:cs="宋体"/>
          <w:bCs w:val="0"/>
          <w:color w:val="auto"/>
          <w:sz w:val="21"/>
          <w:szCs w:val="21"/>
        </w:rPr>
      </w:pPr>
      <w:bookmarkStart w:id="31" w:name="_Toc28359019"/>
      <w:bookmarkStart w:id="32" w:name="_Toc28359096"/>
      <w:bookmarkStart w:id="33" w:name="_Toc35393806"/>
      <w:bookmarkStart w:id="34" w:name="_Toc35393637"/>
      <w:r>
        <w:rPr>
          <w:rFonts w:hint="eastAsia" w:ascii="宋体" w:hAnsi="宋体" w:eastAsia="宋体" w:cs="宋体"/>
          <w:bCs w:val="0"/>
          <w:color w:val="auto"/>
          <w:sz w:val="21"/>
          <w:szCs w:val="21"/>
        </w:rPr>
        <w:t>1.</w:t>
      </w:r>
      <w:bookmarkEnd w:id="31"/>
      <w:bookmarkEnd w:id="32"/>
      <w:bookmarkEnd w:id="33"/>
      <w:bookmarkEnd w:id="34"/>
      <w:bookmarkStart w:id="35" w:name="_Toc28359020"/>
      <w:bookmarkStart w:id="36" w:name="_Toc28359097"/>
      <w:bookmarkStart w:id="37" w:name="_Toc35393638"/>
      <w:bookmarkStart w:id="38" w:name="_Toc35393807"/>
      <w:r>
        <w:rPr>
          <w:rFonts w:hint="eastAsia" w:ascii="宋体" w:hAnsi="宋体" w:eastAsia="宋体" w:cs="宋体"/>
          <w:bCs w:val="0"/>
          <w:color w:val="auto"/>
          <w:sz w:val="21"/>
          <w:szCs w:val="21"/>
        </w:rPr>
        <w:t>采购人信息</w:t>
      </w:r>
    </w:p>
    <w:p w14:paraId="6AFF6075">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color w:val="auto"/>
          <w:lang w:eastAsia="zh-CN"/>
        </w:rPr>
      </w:pPr>
      <w:r>
        <w:rPr>
          <w:rFonts w:hint="eastAsia"/>
          <w:color w:val="auto"/>
        </w:rPr>
        <w:t>名    称：</w:t>
      </w:r>
      <w:r>
        <w:rPr>
          <w:rFonts w:hint="eastAsia"/>
          <w:color w:val="auto"/>
          <w:lang w:eastAsia="zh-CN"/>
        </w:rPr>
        <w:t>台州市黄岩区北洋镇人民政府</w:t>
      </w:r>
    </w:p>
    <w:p w14:paraId="62245C7E">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eastAsia="宋体"/>
          <w:color w:val="auto"/>
          <w:lang w:eastAsia="zh-CN"/>
        </w:rPr>
      </w:pPr>
      <w:r>
        <w:rPr>
          <w:rFonts w:hint="eastAsia"/>
          <w:color w:val="auto"/>
        </w:rPr>
        <w:t>地    址：</w:t>
      </w:r>
      <w:r>
        <w:rPr>
          <w:rFonts w:hint="eastAsia"/>
          <w:color w:val="auto"/>
          <w:lang w:eastAsia="zh-CN"/>
        </w:rPr>
        <w:t xml:space="preserve">台州市黄岩区北洋镇长宁路105号 </w:t>
      </w:r>
    </w:p>
    <w:p w14:paraId="27FD2E82">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color w:val="auto"/>
          <w:lang w:val="en-US" w:eastAsia="zh-CN"/>
        </w:rPr>
      </w:pPr>
      <w:r>
        <w:rPr>
          <w:rFonts w:hint="eastAsia"/>
          <w:color w:val="auto"/>
        </w:rPr>
        <w:t>项目联系人：</w:t>
      </w:r>
      <w:r>
        <w:rPr>
          <w:rFonts w:hint="eastAsia"/>
          <w:color w:val="auto"/>
          <w:lang w:val="en-US" w:eastAsia="zh-CN"/>
        </w:rPr>
        <w:t>蔡女士</w:t>
      </w:r>
    </w:p>
    <w:p w14:paraId="36EDF7CF">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color w:val="auto"/>
          <w:lang w:val="en-US" w:eastAsia="zh-CN"/>
        </w:rPr>
      </w:pPr>
      <w:r>
        <w:rPr>
          <w:rFonts w:hint="eastAsia"/>
          <w:color w:val="auto"/>
        </w:rPr>
        <w:t>联系方式：</w:t>
      </w:r>
      <w:r>
        <w:rPr>
          <w:rFonts w:hint="eastAsia"/>
          <w:color w:val="auto"/>
          <w:lang w:val="en-US" w:eastAsia="zh-CN"/>
        </w:rPr>
        <w:t>15957645672</w:t>
      </w:r>
    </w:p>
    <w:p w14:paraId="62489E15">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eastAsia="宋体"/>
          <w:color w:val="auto"/>
          <w:lang w:val="en-US" w:eastAsia="zh-CN"/>
        </w:rPr>
      </w:pPr>
      <w:r>
        <w:rPr>
          <w:rFonts w:hint="eastAsia"/>
          <w:color w:val="auto"/>
        </w:rPr>
        <w:t>质疑联系人：</w:t>
      </w:r>
      <w:r>
        <w:rPr>
          <w:rFonts w:hint="eastAsia"/>
          <w:color w:val="auto"/>
          <w:lang w:val="en-US" w:eastAsia="zh-CN"/>
        </w:rPr>
        <w:t>丁先生</w:t>
      </w:r>
    </w:p>
    <w:p w14:paraId="16E57C53">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color w:val="auto"/>
        </w:rPr>
      </w:pPr>
      <w:r>
        <w:rPr>
          <w:rFonts w:hint="eastAsia"/>
          <w:color w:val="auto"/>
        </w:rPr>
        <w:t xml:space="preserve">联系方式：17826770629 </w:t>
      </w:r>
    </w:p>
    <w:p w14:paraId="7CDF36D1">
      <w:pPr>
        <w:pStyle w:val="3"/>
        <w:pageBreakBefore w:val="0"/>
        <w:widowControl w:val="0"/>
        <w:kinsoku/>
        <w:wordWrap/>
        <w:overflowPunct/>
        <w:topLinePunct w:val="0"/>
        <w:bidi w:val="0"/>
        <w:adjustRightInd/>
        <w:snapToGrid/>
        <w:spacing w:before="0" w:after="0" w:line="240" w:lineRule="auto"/>
        <w:ind w:firstLine="422" w:firstLineChars="200"/>
        <w:jc w:val="both"/>
        <w:textAlignment w:val="auto"/>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2.采购代理机构信息</w:t>
      </w:r>
      <w:bookmarkEnd w:id="35"/>
      <w:bookmarkEnd w:id="36"/>
      <w:bookmarkEnd w:id="37"/>
      <w:bookmarkEnd w:id="38"/>
    </w:p>
    <w:p w14:paraId="1A46F8BF">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imes New Roman" w:hAnsi="Times New Roman" w:eastAsia="宋体" w:cs="Times New Roman"/>
          <w:color w:val="auto"/>
          <w:lang w:eastAsia="zh-CN"/>
        </w:rPr>
      </w:pPr>
      <w:r>
        <w:rPr>
          <w:rFonts w:hint="eastAsia" w:ascii="Times New Roman" w:hAnsi="Times New Roman" w:eastAsia="宋体" w:cs="Times New Roman"/>
          <w:color w:val="auto"/>
        </w:rPr>
        <w:t>名    称：</w:t>
      </w:r>
      <w:r>
        <w:rPr>
          <w:rFonts w:hint="eastAsia" w:ascii="Times New Roman" w:hAnsi="Times New Roman" w:eastAsia="宋体" w:cs="Times New Roman"/>
          <w:color w:val="auto"/>
          <w:lang w:eastAsia="zh-CN"/>
        </w:rPr>
        <w:t>台州市玖诚工程管理有限公司</w:t>
      </w:r>
    </w:p>
    <w:p w14:paraId="2FC184F0">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imes New Roman" w:hAnsi="Times New Roman" w:eastAsia="宋体" w:cs="Times New Roman"/>
          <w:color w:val="auto"/>
          <w:lang w:eastAsia="zh-CN"/>
        </w:rPr>
      </w:pPr>
      <w:r>
        <w:rPr>
          <w:rFonts w:hint="eastAsia" w:ascii="Times New Roman" w:hAnsi="Times New Roman" w:eastAsia="宋体" w:cs="Times New Roman"/>
          <w:color w:val="auto"/>
        </w:rPr>
        <w:t>地　　址：</w:t>
      </w:r>
      <w:r>
        <w:rPr>
          <w:rFonts w:hint="eastAsia" w:ascii="Times New Roman" w:hAnsi="Times New Roman" w:eastAsia="宋体" w:cs="Times New Roman"/>
          <w:color w:val="auto"/>
          <w:lang w:eastAsia="zh-CN"/>
        </w:rPr>
        <w:t>台州市椒江区白云街道解放南路291弄道台里（解放南路291-40号）</w:t>
      </w:r>
    </w:p>
    <w:p w14:paraId="2E15C4F4">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imes New Roman" w:hAnsi="Times New Roman" w:eastAsia="宋体" w:cs="Times New Roman"/>
          <w:color w:val="auto"/>
          <w:lang w:eastAsia="zh-CN"/>
        </w:rPr>
      </w:pPr>
      <w:r>
        <w:rPr>
          <w:rFonts w:hint="eastAsia" w:ascii="Times New Roman" w:hAnsi="Times New Roman" w:eastAsia="宋体" w:cs="Times New Roman"/>
          <w:color w:val="auto"/>
        </w:rPr>
        <w:t>项目联系人：</w:t>
      </w:r>
      <w:r>
        <w:rPr>
          <w:rFonts w:hint="eastAsia" w:ascii="Times New Roman" w:hAnsi="Times New Roman" w:eastAsia="宋体" w:cs="Times New Roman"/>
          <w:color w:val="auto"/>
          <w:lang w:eastAsia="zh-CN"/>
        </w:rPr>
        <w:t>陈先生</w:t>
      </w:r>
    </w:p>
    <w:p w14:paraId="14318F59">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imes New Roman" w:hAnsi="Times New Roman" w:eastAsia="宋体" w:cs="Times New Roman"/>
          <w:color w:val="auto"/>
          <w:lang w:eastAsia="zh-CN"/>
        </w:rPr>
      </w:pPr>
      <w:r>
        <w:rPr>
          <w:rFonts w:hint="eastAsia" w:ascii="Times New Roman" w:hAnsi="Times New Roman" w:eastAsia="宋体" w:cs="Times New Roman"/>
          <w:color w:val="auto"/>
        </w:rPr>
        <w:t>联系方式：</w:t>
      </w:r>
      <w:r>
        <w:rPr>
          <w:rFonts w:hint="eastAsia" w:ascii="Times New Roman" w:hAnsi="Times New Roman" w:eastAsia="宋体" w:cs="Times New Roman"/>
          <w:color w:val="auto"/>
          <w:lang w:eastAsia="zh-CN"/>
        </w:rPr>
        <w:t>13486810088</w:t>
      </w:r>
    </w:p>
    <w:p w14:paraId="4C55007B">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imes New Roman" w:hAnsi="Times New Roman" w:eastAsia="宋体" w:cs="Times New Roman"/>
          <w:color w:val="auto"/>
          <w:lang w:eastAsia="zh-CN"/>
        </w:rPr>
      </w:pPr>
      <w:r>
        <w:rPr>
          <w:rFonts w:hint="eastAsia" w:ascii="Times New Roman" w:hAnsi="Times New Roman" w:eastAsia="宋体" w:cs="Times New Roman"/>
          <w:color w:val="auto"/>
        </w:rPr>
        <w:t>质疑联系人：</w:t>
      </w:r>
      <w:r>
        <w:rPr>
          <w:rFonts w:hint="eastAsia" w:ascii="Times New Roman" w:hAnsi="Times New Roman" w:eastAsia="宋体" w:cs="Times New Roman"/>
          <w:color w:val="auto"/>
          <w:lang w:eastAsia="zh-CN"/>
        </w:rPr>
        <w:t>蔡武正</w:t>
      </w:r>
    </w:p>
    <w:p w14:paraId="74003C88">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imes New Roman" w:hAnsi="Times New Roman" w:eastAsia="宋体" w:cs="Times New Roman"/>
          <w:color w:val="auto"/>
          <w:lang w:eastAsia="zh-CN"/>
        </w:rPr>
      </w:pPr>
      <w:r>
        <w:rPr>
          <w:rFonts w:hint="eastAsia" w:ascii="Times New Roman" w:hAnsi="Times New Roman" w:eastAsia="宋体" w:cs="Times New Roman"/>
          <w:color w:val="auto"/>
        </w:rPr>
        <w:t>联系方式：</w:t>
      </w:r>
      <w:r>
        <w:rPr>
          <w:rFonts w:hint="eastAsia" w:ascii="Times New Roman" w:hAnsi="Times New Roman" w:eastAsia="宋体" w:cs="Times New Roman"/>
          <w:color w:val="auto"/>
          <w:lang w:eastAsia="zh-CN"/>
        </w:rPr>
        <w:t>13957618595</w:t>
      </w:r>
    </w:p>
    <w:p w14:paraId="481F230B">
      <w:pPr>
        <w:pStyle w:val="3"/>
        <w:pageBreakBefore w:val="0"/>
        <w:widowControl w:val="0"/>
        <w:kinsoku/>
        <w:wordWrap/>
        <w:overflowPunct/>
        <w:topLinePunct w:val="0"/>
        <w:bidi w:val="0"/>
        <w:adjustRightInd/>
        <w:snapToGrid/>
        <w:spacing w:before="0" w:after="0" w:line="240" w:lineRule="auto"/>
        <w:ind w:firstLine="422" w:firstLineChars="200"/>
        <w:jc w:val="both"/>
        <w:textAlignment w:val="auto"/>
        <w:rPr>
          <w:rFonts w:hint="eastAsia" w:ascii="宋体" w:hAnsi="宋体" w:eastAsia="宋体" w:cs="宋体"/>
          <w:bCs w:val="0"/>
          <w:color w:val="auto"/>
          <w:sz w:val="21"/>
          <w:szCs w:val="21"/>
        </w:rPr>
      </w:pPr>
      <w:bookmarkStart w:id="39" w:name="_Toc28359021"/>
      <w:bookmarkStart w:id="40" w:name="_Toc35393808"/>
      <w:bookmarkStart w:id="41" w:name="_Toc28359098"/>
      <w:bookmarkStart w:id="42" w:name="_Toc35393639"/>
      <w:r>
        <w:rPr>
          <w:rFonts w:hint="eastAsia" w:ascii="宋体" w:hAnsi="宋体" w:eastAsia="宋体" w:cs="宋体"/>
          <w:bCs w:val="0"/>
          <w:color w:val="auto"/>
          <w:sz w:val="21"/>
          <w:szCs w:val="21"/>
        </w:rPr>
        <w:t>3.</w:t>
      </w:r>
      <w:bookmarkEnd w:id="39"/>
      <w:bookmarkEnd w:id="40"/>
      <w:bookmarkEnd w:id="41"/>
      <w:bookmarkEnd w:id="42"/>
      <w:r>
        <w:rPr>
          <w:rFonts w:hint="eastAsia" w:ascii="宋体" w:hAnsi="宋体" w:eastAsia="宋体" w:cs="宋体"/>
          <w:bCs w:val="0"/>
          <w:color w:val="auto"/>
          <w:sz w:val="21"/>
          <w:szCs w:val="21"/>
        </w:rPr>
        <w:t>同级政府采购监督管理部门</w:t>
      </w:r>
    </w:p>
    <w:p w14:paraId="6D903DBA">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rPr>
        <w:t>名称：黄岩区政府采购监管科</w:t>
      </w:r>
    </w:p>
    <w:p w14:paraId="519CF584">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rPr>
        <w:t>联系人： 宋先生</w:t>
      </w:r>
    </w:p>
    <w:p w14:paraId="0D83A6FE">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rPr>
        <w:t>监督投诉电话：0576-84222959</w:t>
      </w:r>
    </w:p>
    <w:p w14:paraId="0EAA102E">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rPr>
        <w:t>地    址： 台州市黄岩区劳动南路289号</w:t>
      </w:r>
    </w:p>
    <w:p w14:paraId="4AE04DA4">
      <w:pPr>
        <w:spacing w:after="0" w:line="480" w:lineRule="auto"/>
        <w:ind w:firstLine="4410" w:firstLineChars="2100"/>
        <w:rPr>
          <w:rFonts w:hint="eastAsia" w:ascii="宋体" w:hAnsi="宋体" w:eastAsia="宋体" w:cs="宋体"/>
          <w:color w:val="auto"/>
          <w:sz w:val="21"/>
          <w:szCs w:val="21"/>
        </w:rPr>
      </w:pPr>
      <w:bookmarkStart w:id="43" w:name="_Hlk1310091"/>
      <w:bookmarkStart w:id="44" w:name="_Hlk1311737"/>
      <w:bookmarkStart w:id="45" w:name="_Hlk1308360"/>
    </w:p>
    <w:p w14:paraId="2D3B6724">
      <w:pPr>
        <w:spacing w:after="0" w:line="480" w:lineRule="auto"/>
        <w:ind w:firstLine="4410" w:firstLineChars="21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台州市玖诚工程管理有限公司</w:t>
      </w:r>
    </w:p>
    <w:p w14:paraId="5AF08CEB">
      <w:pPr>
        <w:spacing w:after="0" w:line="360" w:lineRule="auto"/>
        <w:ind w:left="6090" w:leftChars="2200" w:hanging="1470" w:hangingChars="700"/>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         </w:t>
      </w:r>
      <w:bookmarkEnd w:id="43"/>
      <w:bookmarkEnd w:id="44"/>
      <w:bookmarkEnd w:id="45"/>
      <w:r>
        <w:rPr>
          <w:rFonts w:hint="eastAsia" w:ascii="宋体" w:hAnsi="宋体" w:eastAsia="宋体" w:cs="宋体"/>
          <w:color w:val="auto"/>
          <w:sz w:val="21"/>
          <w:szCs w:val="21"/>
        </w:rPr>
        <w:t>202</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年</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 xml:space="preserve">月 </w:t>
      </w:r>
    </w:p>
    <w:p w14:paraId="68E700C0">
      <w:pPr>
        <w:rPr>
          <w:color w:val="auto"/>
        </w:rPr>
      </w:pPr>
      <w:r>
        <w:rPr>
          <w:rFonts w:hint="eastAsia"/>
          <w:color w:val="auto"/>
        </w:rPr>
        <w:t xml:space="preserve">   </w:t>
      </w:r>
    </w:p>
    <w:p w14:paraId="5750F496">
      <w:pPr>
        <w:pStyle w:val="2"/>
        <w:rPr>
          <w:color w:val="auto"/>
        </w:rPr>
      </w:pPr>
      <w:r>
        <w:rPr>
          <w:rFonts w:hint="eastAsia"/>
          <w:color w:val="auto"/>
        </w:rPr>
        <w:t>第二章   公开招标需求</w:t>
      </w:r>
    </w:p>
    <w:p w14:paraId="15A2A185">
      <w:pPr>
        <w:pStyle w:val="3"/>
        <w:numPr>
          <w:ilvl w:val="0"/>
          <w:numId w:val="3"/>
        </w:numPr>
        <w:rPr>
          <w:color w:val="auto"/>
        </w:rPr>
      </w:pPr>
      <w:r>
        <w:rPr>
          <w:rFonts w:hint="eastAsia"/>
          <w:color w:val="auto"/>
        </w:rPr>
        <w:t>招标项目一览表</w:t>
      </w:r>
    </w:p>
    <w:p w14:paraId="739B4597">
      <w:pPr>
        <w:tabs>
          <w:tab w:val="left" w:pos="8280"/>
        </w:tabs>
        <w:autoSpaceDE w:val="0"/>
        <w:autoSpaceDN w:val="0"/>
        <w:adjustRightInd w:val="0"/>
        <w:spacing w:after="0" w:line="312" w:lineRule="auto"/>
        <w:ind w:right="25"/>
        <w:rPr>
          <w:rFonts w:hint="eastAsia" w:ascii="宋体" w:hAnsi="宋体" w:cs="宋体"/>
          <w:color w:val="auto"/>
          <w:sz w:val="24"/>
        </w:rPr>
      </w:pPr>
      <w:r>
        <w:rPr>
          <w:rFonts w:hint="eastAsia" w:ascii="宋体" w:hAnsi="宋体" w:cs="宋体"/>
          <w:color w:val="auto"/>
          <w:sz w:val="24"/>
        </w:rPr>
        <w:t>本次招标共</w:t>
      </w:r>
      <w:r>
        <w:rPr>
          <w:rFonts w:hint="eastAsia" w:ascii="宋体" w:hAnsi="宋体" w:cs="宋体"/>
          <w:color w:val="auto"/>
          <w:sz w:val="24"/>
          <w:u w:val="single"/>
        </w:rPr>
        <w:t xml:space="preserve">  1  </w:t>
      </w:r>
      <w:r>
        <w:rPr>
          <w:rFonts w:hint="eastAsia" w:ascii="宋体" w:hAnsi="宋体" w:cs="宋体"/>
          <w:color w:val="auto"/>
          <w:sz w:val="24"/>
        </w:rPr>
        <w:t>个标段，具体内容如下表：</w:t>
      </w:r>
    </w:p>
    <w:tbl>
      <w:tblPr>
        <w:tblStyle w:val="24"/>
        <w:tblW w:w="9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3"/>
        <w:gridCol w:w="1828"/>
        <w:gridCol w:w="2121"/>
        <w:gridCol w:w="700"/>
        <w:gridCol w:w="817"/>
        <w:gridCol w:w="2550"/>
        <w:gridCol w:w="1312"/>
      </w:tblGrid>
      <w:tr w14:paraId="412AD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0" w:type="auto"/>
            <w:vAlign w:val="center"/>
          </w:tcPr>
          <w:p w14:paraId="501BBA96">
            <w:pPr>
              <w:pStyle w:val="13"/>
              <w:spacing w:line="24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标项号</w:t>
            </w:r>
          </w:p>
        </w:tc>
        <w:tc>
          <w:tcPr>
            <w:tcW w:w="1828" w:type="dxa"/>
            <w:vAlign w:val="center"/>
          </w:tcPr>
          <w:p w14:paraId="67D3EA09">
            <w:pPr>
              <w:pStyle w:val="13"/>
              <w:spacing w:line="24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采购内容</w:t>
            </w:r>
          </w:p>
        </w:tc>
        <w:tc>
          <w:tcPr>
            <w:tcW w:w="2121" w:type="dxa"/>
            <w:vAlign w:val="center"/>
          </w:tcPr>
          <w:p w14:paraId="59E982C1">
            <w:pPr>
              <w:pStyle w:val="13"/>
              <w:spacing w:line="24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简要技术要求</w:t>
            </w:r>
          </w:p>
        </w:tc>
        <w:tc>
          <w:tcPr>
            <w:tcW w:w="700" w:type="dxa"/>
            <w:vAlign w:val="center"/>
          </w:tcPr>
          <w:p w14:paraId="14DA26F5">
            <w:pPr>
              <w:pStyle w:val="13"/>
              <w:spacing w:line="24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数量</w:t>
            </w:r>
          </w:p>
        </w:tc>
        <w:tc>
          <w:tcPr>
            <w:tcW w:w="817" w:type="dxa"/>
            <w:vAlign w:val="center"/>
          </w:tcPr>
          <w:p w14:paraId="205CEBF0">
            <w:pPr>
              <w:pStyle w:val="13"/>
              <w:spacing w:line="24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单位</w:t>
            </w:r>
          </w:p>
        </w:tc>
        <w:tc>
          <w:tcPr>
            <w:tcW w:w="2550" w:type="dxa"/>
            <w:vAlign w:val="center"/>
          </w:tcPr>
          <w:p w14:paraId="5B94196F">
            <w:pPr>
              <w:pStyle w:val="13"/>
              <w:spacing w:line="24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交货期</w:t>
            </w:r>
          </w:p>
        </w:tc>
        <w:tc>
          <w:tcPr>
            <w:tcW w:w="1312" w:type="dxa"/>
            <w:vAlign w:val="center"/>
          </w:tcPr>
          <w:p w14:paraId="1F0C5689">
            <w:pPr>
              <w:pStyle w:val="13"/>
              <w:spacing w:line="24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交货地点</w:t>
            </w:r>
          </w:p>
        </w:tc>
      </w:tr>
      <w:tr w14:paraId="6940F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0" w:type="auto"/>
            <w:vAlign w:val="center"/>
          </w:tcPr>
          <w:p w14:paraId="15C58F00">
            <w:pPr>
              <w:pStyle w:val="13"/>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828" w:type="dxa"/>
            <w:vAlign w:val="center"/>
          </w:tcPr>
          <w:p w14:paraId="24FEF41F">
            <w:pPr>
              <w:pStyle w:val="13"/>
              <w:spacing w:line="240" w:lineRule="auto"/>
              <w:jc w:val="center"/>
              <w:rPr>
                <w:rFonts w:hint="eastAsia" w:ascii="宋体" w:hAnsi="宋体" w:eastAsia="宋体" w:cs="宋体"/>
                <w:color w:val="auto"/>
                <w:sz w:val="21"/>
                <w:szCs w:val="21"/>
                <w:lang w:eastAsia="zh-CN"/>
              </w:rPr>
            </w:pPr>
            <w:r>
              <w:rPr>
                <w:rFonts w:hint="eastAsia" w:hAnsi="宋体" w:cs="宋体"/>
                <w:color w:val="auto"/>
                <w:sz w:val="21"/>
                <w:szCs w:val="21"/>
                <w:lang w:eastAsia="zh-CN"/>
              </w:rPr>
              <w:t>北洋镇应急中心改造提升工程（智能化）</w:t>
            </w:r>
          </w:p>
        </w:tc>
        <w:tc>
          <w:tcPr>
            <w:tcW w:w="2121" w:type="dxa"/>
            <w:vAlign w:val="center"/>
          </w:tcPr>
          <w:p w14:paraId="2A1B4C7E">
            <w:pPr>
              <w:pStyle w:val="13"/>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详见第二章 公开招标需求</w:t>
            </w:r>
          </w:p>
        </w:tc>
        <w:tc>
          <w:tcPr>
            <w:tcW w:w="700" w:type="dxa"/>
            <w:vAlign w:val="center"/>
          </w:tcPr>
          <w:p w14:paraId="7544F4DB">
            <w:pPr>
              <w:pStyle w:val="13"/>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817" w:type="dxa"/>
            <w:vAlign w:val="center"/>
          </w:tcPr>
          <w:p w14:paraId="396A90EB">
            <w:pPr>
              <w:pStyle w:val="13"/>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批</w:t>
            </w:r>
          </w:p>
        </w:tc>
        <w:tc>
          <w:tcPr>
            <w:tcW w:w="2550" w:type="dxa"/>
            <w:vAlign w:val="center"/>
          </w:tcPr>
          <w:p w14:paraId="150BE86A">
            <w:pPr>
              <w:pStyle w:val="13"/>
              <w:spacing w:line="240" w:lineRule="auto"/>
              <w:jc w:val="center"/>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eastAsia="zh-CN"/>
              </w:rPr>
              <w:t>合同签订后3个月内完成供货、安装、调试。</w:t>
            </w:r>
          </w:p>
        </w:tc>
        <w:tc>
          <w:tcPr>
            <w:tcW w:w="1312" w:type="dxa"/>
            <w:vAlign w:val="center"/>
          </w:tcPr>
          <w:p w14:paraId="76F69C61">
            <w:pPr>
              <w:pStyle w:val="13"/>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采购人指定地点</w:t>
            </w:r>
          </w:p>
        </w:tc>
      </w:tr>
    </w:tbl>
    <w:p w14:paraId="0A6715AB">
      <w:pPr>
        <w:pStyle w:val="3"/>
        <w:pageBreakBefore w:val="0"/>
        <w:widowControl w:val="0"/>
        <w:numPr>
          <w:ilvl w:val="0"/>
          <w:numId w:val="3"/>
        </w:numPr>
        <w:kinsoku/>
        <w:wordWrap/>
        <w:overflowPunct/>
        <w:topLinePunct w:val="0"/>
        <w:autoSpaceDE/>
        <w:autoSpaceDN/>
        <w:bidi w:val="0"/>
        <w:adjustRightInd/>
        <w:snapToGrid/>
        <w:spacing w:before="0" w:after="0" w:line="360" w:lineRule="auto"/>
        <w:textAlignment w:val="auto"/>
        <w:rPr>
          <w:color w:val="auto"/>
        </w:rPr>
      </w:pPr>
      <w:r>
        <w:rPr>
          <w:rFonts w:hint="eastAsia"/>
          <w:color w:val="auto"/>
          <w:lang w:val="en-US" w:eastAsia="zh-CN"/>
        </w:rPr>
        <w:t>建设需求</w:t>
      </w:r>
    </w:p>
    <w:p w14:paraId="33621912">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color w:val="auto"/>
        </w:rPr>
      </w:pPr>
      <w:r>
        <w:rPr>
          <w:color w:val="auto"/>
        </w:rPr>
        <w:t>本项目主要针对</w:t>
      </w:r>
      <w:r>
        <w:rPr>
          <w:rFonts w:hint="eastAsia"/>
          <w:color w:val="auto"/>
        </w:rPr>
        <w:t>北洋镇应急中心</w:t>
      </w:r>
      <w:r>
        <w:rPr>
          <w:color w:val="auto"/>
        </w:rPr>
        <w:t>进行全面升级改造</w:t>
      </w:r>
      <w:r>
        <w:rPr>
          <w:rFonts w:hint="eastAsia"/>
          <w:color w:val="auto"/>
        </w:rPr>
        <w:t>提升</w:t>
      </w:r>
      <w:r>
        <w:rPr>
          <w:color w:val="auto"/>
        </w:rPr>
        <w:t>，打造一个高效、便捷、智能的数字化办公与会议环境。整体建设内容紧紧围绕“智能化网络升级”与“基础设施完善”两大核心板块展开，具体概述如下：</w:t>
      </w:r>
    </w:p>
    <w:p w14:paraId="258EAB41">
      <w:pPr>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color w:val="auto"/>
        </w:rPr>
      </w:pPr>
      <w:r>
        <w:rPr>
          <w:rFonts w:hint="eastAsia"/>
          <w:b/>
          <w:bCs/>
          <w:color w:val="auto"/>
          <w:lang w:val="en-US" w:eastAsia="zh-CN"/>
        </w:rPr>
        <w:t>1、</w:t>
      </w:r>
      <w:r>
        <w:rPr>
          <w:b/>
          <w:bCs/>
          <w:color w:val="auto"/>
        </w:rPr>
        <w:t xml:space="preserve"> 智能化网络系统全面升级</w:t>
      </w:r>
      <w:r>
        <w:rPr>
          <w:color w:val="auto"/>
        </w:rPr>
        <w:t xml:space="preserve"> 为满足现代办公对高质量网络的依赖，本项目在</w:t>
      </w:r>
      <w:r>
        <w:rPr>
          <w:rFonts w:hint="eastAsia"/>
          <w:color w:val="auto"/>
        </w:rPr>
        <w:t>中心</w:t>
      </w:r>
      <w:r>
        <w:rPr>
          <w:color w:val="auto"/>
        </w:rPr>
        <w:t>规划了全方位、高密度的无线上网环境。首先，项目将在各个关键区域部署多台无线接入点，以确保整个无线信号无死角覆盖。项目还包含了全面、规范的弱电综合布线工程，采用高标准的网络线缆进行底层物理链路的重新铺设，为整个空间的数字化运转提供坚实、可靠的网络基石。</w:t>
      </w:r>
    </w:p>
    <w:p w14:paraId="6D4CA870">
      <w:pPr>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color w:val="auto"/>
        </w:rPr>
      </w:pPr>
      <w:r>
        <w:rPr>
          <w:rFonts w:hint="eastAsia"/>
          <w:b/>
          <w:bCs/>
          <w:color w:val="auto"/>
          <w:lang w:val="en-US" w:eastAsia="zh-CN"/>
        </w:rPr>
        <w:t>2、</w:t>
      </w:r>
      <w:r>
        <w:rPr>
          <w:b/>
          <w:bCs/>
          <w:color w:val="auto"/>
        </w:rPr>
        <w:t xml:space="preserve"> 现代化会议基础设施建设</w:t>
      </w:r>
      <w:r>
        <w:rPr>
          <w:color w:val="auto"/>
        </w:rPr>
        <w:t xml:space="preserve"> 在完善网络底座的同时，本项目同样注重日常办公与</w:t>
      </w:r>
      <w:r>
        <w:rPr>
          <w:rFonts w:hint="eastAsia"/>
          <w:color w:val="auto"/>
        </w:rPr>
        <w:t>应急</w:t>
      </w:r>
      <w:r>
        <w:rPr>
          <w:color w:val="auto"/>
        </w:rPr>
        <w:t>协作体验的提升。在基础设施板块，项目重点针对会议沟通场景进行了数字化改造</w:t>
      </w:r>
      <w:r>
        <w:rPr>
          <w:rFonts w:hint="eastAsia"/>
          <w:color w:val="auto"/>
        </w:rPr>
        <w:t>和关键区域的设备建设。</w:t>
      </w:r>
    </w:p>
    <w:p w14:paraId="6AA882DA">
      <w:pPr>
        <w:pStyle w:val="3"/>
        <w:numPr>
          <w:ilvl w:val="0"/>
          <w:numId w:val="3"/>
        </w:numPr>
        <w:rPr>
          <w:color w:val="auto"/>
        </w:rPr>
      </w:pPr>
      <w:r>
        <w:rPr>
          <w:rFonts w:hint="eastAsia"/>
          <w:color w:val="auto"/>
        </w:rPr>
        <w:t>采购清单及技术需求</w:t>
      </w:r>
    </w:p>
    <w:tbl>
      <w:tblPr>
        <w:tblStyle w:val="24"/>
        <w:tblW w:w="0" w:type="auto"/>
        <w:tblInd w:w="0" w:type="dxa"/>
        <w:tblLayout w:type="autofit"/>
        <w:tblCellMar>
          <w:top w:w="0" w:type="dxa"/>
          <w:left w:w="108" w:type="dxa"/>
          <w:bottom w:w="0" w:type="dxa"/>
          <w:right w:w="108" w:type="dxa"/>
        </w:tblCellMar>
      </w:tblPr>
      <w:tblGrid>
        <w:gridCol w:w="462"/>
        <w:gridCol w:w="1811"/>
        <w:gridCol w:w="5730"/>
        <w:gridCol w:w="656"/>
        <w:gridCol w:w="487"/>
      </w:tblGrid>
      <w:tr w14:paraId="0E4995B5">
        <w:tblPrEx>
          <w:tblCellMar>
            <w:top w:w="0" w:type="dxa"/>
            <w:left w:w="108" w:type="dxa"/>
            <w:bottom w:w="0" w:type="dxa"/>
            <w:right w:w="108" w:type="dxa"/>
          </w:tblCellMar>
        </w:tblPrEx>
        <w:trPr>
          <w:trHeight w:val="567" w:hRule="atLeast"/>
        </w:trPr>
        <w:tc>
          <w:tcPr>
            <w:tcW w:w="0" w:type="auto"/>
            <w:tcBorders>
              <w:top w:val="single" w:color="auto" w:sz="4" w:space="0"/>
              <w:left w:val="single" w:color="auto" w:sz="4" w:space="0"/>
              <w:bottom w:val="single" w:color="auto" w:sz="4" w:space="0"/>
              <w:right w:val="single" w:color="auto" w:sz="4" w:space="0"/>
            </w:tcBorders>
            <w:shd w:val="clear" w:color="000000" w:fill="C9C9C9"/>
            <w:vAlign w:val="center"/>
          </w:tcPr>
          <w:p w14:paraId="513F3387">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ascii="宋体" w:hAnsi="宋体" w:eastAsia="宋体" w:cs="宋体"/>
                <w:b/>
                <w:bCs/>
                <w:color w:val="auto"/>
                <w:kern w:val="0"/>
                <w:sz w:val="22"/>
              </w:rPr>
            </w:pPr>
            <w:r>
              <w:rPr>
                <w:rFonts w:hint="eastAsia" w:ascii="宋体" w:hAnsi="宋体" w:eastAsia="宋体" w:cs="宋体"/>
                <w:b/>
                <w:bCs/>
                <w:color w:val="auto"/>
                <w:kern w:val="0"/>
                <w:sz w:val="22"/>
              </w:rPr>
              <w:t>序号</w:t>
            </w:r>
          </w:p>
        </w:tc>
        <w:tc>
          <w:tcPr>
            <w:tcW w:w="0" w:type="auto"/>
            <w:tcBorders>
              <w:top w:val="single" w:color="auto" w:sz="4" w:space="0"/>
              <w:left w:val="nil"/>
              <w:bottom w:val="single" w:color="auto" w:sz="4" w:space="0"/>
              <w:right w:val="single" w:color="auto" w:sz="4" w:space="0"/>
            </w:tcBorders>
            <w:shd w:val="clear" w:color="000000" w:fill="C9C9C9"/>
            <w:vAlign w:val="center"/>
          </w:tcPr>
          <w:p w14:paraId="00A89E95">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b/>
                <w:bCs/>
                <w:color w:val="auto"/>
                <w:kern w:val="0"/>
                <w:sz w:val="22"/>
              </w:rPr>
            </w:pPr>
            <w:r>
              <w:rPr>
                <w:rFonts w:hint="eastAsia" w:ascii="宋体" w:hAnsi="宋体" w:eastAsia="宋体" w:cs="宋体"/>
                <w:b/>
                <w:bCs/>
                <w:color w:val="auto"/>
                <w:kern w:val="0"/>
                <w:sz w:val="22"/>
              </w:rPr>
              <w:t>设备名称</w:t>
            </w:r>
          </w:p>
        </w:tc>
        <w:tc>
          <w:tcPr>
            <w:tcW w:w="0" w:type="auto"/>
            <w:tcBorders>
              <w:top w:val="single" w:color="auto" w:sz="4" w:space="0"/>
              <w:left w:val="nil"/>
              <w:bottom w:val="single" w:color="auto" w:sz="4" w:space="0"/>
              <w:right w:val="single" w:color="auto" w:sz="4" w:space="0"/>
            </w:tcBorders>
            <w:shd w:val="clear" w:color="000000" w:fill="C9C9C9"/>
            <w:vAlign w:val="center"/>
          </w:tcPr>
          <w:p w14:paraId="5FD87A1E">
            <w:pPr>
              <w:keepNext w:val="0"/>
              <w:keepLines w:val="0"/>
              <w:pageBreakBefore w:val="0"/>
              <w:widowControl/>
              <w:kinsoku/>
              <w:wordWrap/>
              <w:overflowPunct/>
              <w:topLinePunct w:val="0"/>
              <w:autoSpaceDE/>
              <w:autoSpaceDN/>
              <w:bidi w:val="0"/>
              <w:adjustRightInd/>
              <w:snapToGrid/>
              <w:spacing w:after="0" w:line="260" w:lineRule="auto"/>
              <w:jc w:val="left"/>
              <w:textAlignment w:val="auto"/>
              <w:rPr>
                <w:rFonts w:hint="eastAsia" w:ascii="宋体" w:hAnsi="宋体" w:eastAsia="宋体" w:cs="宋体"/>
                <w:b/>
                <w:bCs/>
                <w:color w:val="auto"/>
                <w:kern w:val="0"/>
                <w:sz w:val="22"/>
              </w:rPr>
            </w:pPr>
            <w:r>
              <w:rPr>
                <w:rFonts w:hint="eastAsia" w:ascii="宋体" w:hAnsi="宋体" w:eastAsia="宋体" w:cs="宋体"/>
                <w:b/>
                <w:bCs/>
                <w:color w:val="auto"/>
                <w:kern w:val="0"/>
                <w:sz w:val="22"/>
              </w:rPr>
              <w:t>技术规格</w:t>
            </w:r>
          </w:p>
        </w:tc>
        <w:tc>
          <w:tcPr>
            <w:tcW w:w="0" w:type="auto"/>
            <w:tcBorders>
              <w:top w:val="single" w:color="auto" w:sz="4" w:space="0"/>
              <w:left w:val="nil"/>
              <w:bottom w:val="single" w:color="auto" w:sz="4" w:space="0"/>
              <w:right w:val="single" w:color="auto" w:sz="4" w:space="0"/>
            </w:tcBorders>
            <w:shd w:val="clear" w:color="000000" w:fill="C9C9C9"/>
            <w:vAlign w:val="center"/>
          </w:tcPr>
          <w:p w14:paraId="0ED1AF63">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b/>
                <w:bCs/>
                <w:color w:val="auto"/>
                <w:kern w:val="0"/>
                <w:sz w:val="22"/>
              </w:rPr>
            </w:pPr>
            <w:r>
              <w:rPr>
                <w:rFonts w:hint="eastAsia" w:ascii="宋体" w:hAnsi="宋体" w:eastAsia="宋体" w:cs="宋体"/>
                <w:b/>
                <w:bCs/>
                <w:color w:val="auto"/>
                <w:kern w:val="0"/>
                <w:sz w:val="22"/>
              </w:rPr>
              <w:t>数量</w:t>
            </w:r>
          </w:p>
        </w:tc>
        <w:tc>
          <w:tcPr>
            <w:tcW w:w="0" w:type="auto"/>
            <w:tcBorders>
              <w:top w:val="single" w:color="auto" w:sz="4" w:space="0"/>
              <w:left w:val="nil"/>
              <w:bottom w:val="single" w:color="auto" w:sz="4" w:space="0"/>
              <w:right w:val="single" w:color="auto" w:sz="4" w:space="0"/>
            </w:tcBorders>
            <w:shd w:val="clear" w:color="000000" w:fill="C9C9C9"/>
            <w:vAlign w:val="center"/>
          </w:tcPr>
          <w:p w14:paraId="1D4229C8">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b/>
                <w:bCs/>
                <w:color w:val="auto"/>
                <w:kern w:val="0"/>
                <w:sz w:val="22"/>
              </w:rPr>
            </w:pPr>
            <w:r>
              <w:rPr>
                <w:rFonts w:hint="eastAsia" w:ascii="宋体" w:hAnsi="宋体" w:eastAsia="宋体" w:cs="宋体"/>
                <w:b/>
                <w:bCs/>
                <w:color w:val="auto"/>
                <w:kern w:val="0"/>
                <w:sz w:val="22"/>
              </w:rPr>
              <w:t>单位</w:t>
            </w:r>
          </w:p>
        </w:tc>
      </w:tr>
      <w:tr w14:paraId="16E2D5E7">
        <w:tblPrEx>
          <w:tblCellMar>
            <w:top w:w="0" w:type="dxa"/>
            <w:left w:w="108" w:type="dxa"/>
            <w:bottom w:w="0" w:type="dxa"/>
            <w:right w:w="108" w:type="dxa"/>
          </w:tblCellMar>
        </w:tblPrEx>
        <w:trPr>
          <w:trHeight w:val="567" w:hRule="atLeast"/>
        </w:trPr>
        <w:tc>
          <w:tcPr>
            <w:tcW w:w="0" w:type="auto"/>
            <w:gridSpan w:val="5"/>
            <w:tcBorders>
              <w:top w:val="single" w:color="auto" w:sz="4" w:space="0"/>
              <w:left w:val="single" w:color="auto" w:sz="4" w:space="0"/>
              <w:bottom w:val="single" w:color="auto" w:sz="4" w:space="0"/>
              <w:right w:val="nil"/>
            </w:tcBorders>
            <w:shd w:val="clear" w:color="000000" w:fill="C9C9C9"/>
            <w:vAlign w:val="center"/>
          </w:tcPr>
          <w:p w14:paraId="3800EF23">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b/>
                <w:bCs/>
                <w:color w:val="auto"/>
                <w:kern w:val="0"/>
                <w:sz w:val="22"/>
              </w:rPr>
            </w:pPr>
            <w:r>
              <w:rPr>
                <w:rFonts w:hint="eastAsia" w:ascii="宋体" w:hAnsi="宋体" w:eastAsia="宋体" w:cs="宋体"/>
                <w:b/>
                <w:bCs/>
                <w:color w:val="auto"/>
                <w:kern w:val="0"/>
                <w:sz w:val="22"/>
              </w:rPr>
              <w:t>一层</w:t>
            </w:r>
          </w:p>
        </w:tc>
      </w:tr>
      <w:tr w14:paraId="5D5BCAF7">
        <w:tblPrEx>
          <w:tblCellMar>
            <w:top w:w="0" w:type="dxa"/>
            <w:left w:w="108" w:type="dxa"/>
            <w:bottom w:w="0" w:type="dxa"/>
            <w:right w:w="108" w:type="dxa"/>
          </w:tblCellMar>
        </w:tblPrEx>
        <w:trPr>
          <w:trHeight w:val="567" w:hRule="atLeast"/>
        </w:trPr>
        <w:tc>
          <w:tcPr>
            <w:tcW w:w="0" w:type="auto"/>
            <w:gridSpan w:val="5"/>
            <w:tcBorders>
              <w:top w:val="single" w:color="auto" w:sz="4" w:space="0"/>
              <w:left w:val="single" w:color="auto" w:sz="4" w:space="0"/>
              <w:bottom w:val="single" w:color="auto" w:sz="4" w:space="0"/>
              <w:right w:val="nil"/>
            </w:tcBorders>
            <w:shd w:val="clear" w:color="000000" w:fill="FFD966"/>
            <w:noWrap/>
            <w:vAlign w:val="center"/>
          </w:tcPr>
          <w:p w14:paraId="1734BDA3">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一、网络覆盖</w:t>
            </w:r>
          </w:p>
        </w:tc>
      </w:tr>
      <w:tr w14:paraId="5EFF4D28">
        <w:tblPrEx>
          <w:tblCellMar>
            <w:top w:w="0" w:type="dxa"/>
            <w:left w:w="108" w:type="dxa"/>
            <w:bottom w:w="0" w:type="dxa"/>
            <w:right w:w="108" w:type="dxa"/>
          </w:tblCellMar>
        </w:tblPrEx>
        <w:trPr>
          <w:trHeight w:val="567" w:hRule="atLeast"/>
        </w:trPr>
        <w:tc>
          <w:tcPr>
            <w:tcW w:w="0" w:type="auto"/>
            <w:tcBorders>
              <w:top w:val="nil"/>
              <w:left w:val="single" w:color="auto" w:sz="4" w:space="0"/>
              <w:bottom w:val="single" w:color="auto" w:sz="4" w:space="0"/>
              <w:right w:val="single" w:color="auto" w:sz="4" w:space="0"/>
            </w:tcBorders>
            <w:noWrap/>
            <w:vAlign w:val="center"/>
          </w:tcPr>
          <w:p w14:paraId="25863AC7">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1</w:t>
            </w:r>
          </w:p>
        </w:tc>
        <w:tc>
          <w:tcPr>
            <w:tcW w:w="0" w:type="auto"/>
            <w:tcBorders>
              <w:top w:val="nil"/>
              <w:left w:val="nil"/>
              <w:bottom w:val="single" w:color="auto" w:sz="4" w:space="0"/>
              <w:right w:val="single" w:color="auto" w:sz="4" w:space="0"/>
            </w:tcBorders>
            <w:noWrap/>
            <w:vAlign w:val="center"/>
          </w:tcPr>
          <w:p w14:paraId="29899DFD">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无线高密AP</w:t>
            </w:r>
          </w:p>
        </w:tc>
        <w:tc>
          <w:tcPr>
            <w:tcW w:w="0" w:type="auto"/>
            <w:tcBorders>
              <w:top w:val="nil"/>
              <w:left w:val="nil"/>
              <w:bottom w:val="single" w:color="auto" w:sz="4" w:space="0"/>
              <w:right w:val="single" w:color="auto" w:sz="4" w:space="0"/>
            </w:tcBorders>
            <w:vAlign w:val="center"/>
          </w:tcPr>
          <w:p w14:paraId="1F7EC782">
            <w:pPr>
              <w:keepNext w:val="0"/>
              <w:keepLines w:val="0"/>
              <w:pageBreakBefore w:val="0"/>
              <w:widowControl/>
              <w:kinsoku/>
              <w:wordWrap/>
              <w:overflowPunct/>
              <w:topLinePunct w:val="0"/>
              <w:autoSpaceDE/>
              <w:autoSpaceDN/>
              <w:bidi w:val="0"/>
              <w:adjustRightInd/>
              <w:snapToGrid/>
              <w:spacing w:after="0" w:line="260" w:lineRule="auto"/>
              <w:jc w:val="left"/>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1.采用三射频设计，可工作在802.11a/b/g/n/ac/ac wave2/ax模式，提供官网截图证明</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2.整机协商速率≥5.375Gbps，且所有5G频段单频段速率≥2.4Gbps，提供官网截图证明。</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3.</w:t>
            </w:r>
            <w:r>
              <w:rPr>
                <w:rFonts w:hint="eastAsia" w:ascii="微软雅黑" w:hAnsi="微软雅黑" w:eastAsia="微软雅黑" w:cs="宋体"/>
                <w:color w:val="auto"/>
                <w:kern w:val="0"/>
                <w:sz w:val="22"/>
              </w:rPr>
              <w:t>⽀</w:t>
            </w:r>
            <w:r>
              <w:rPr>
                <w:rFonts w:hint="eastAsia" w:ascii="宋体" w:hAnsi="宋体" w:eastAsia="宋体" w:cs="宋体"/>
                <w:color w:val="auto"/>
                <w:kern w:val="0"/>
                <w:sz w:val="22"/>
              </w:rPr>
              <w:t>持物联网，支持BLE5.1/RFID/Zigbee，要求提供官网截图。</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4.满足壁挂、吸顶和面板安装方式，设备双网口设计可实现链路聚合和内外网隔离，提供官网截图。</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5.≥2个接口，其中1个固化100/1000M/2.5G电口，无需外置扩展，另有1个固化10M/100M/1000M电口，提供官网截图证明</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6.使用WIFI6真实终端接入测试，接入5GHz频段，在80MHz频宽下，单用户极限性能可达到930Mbps以上。</w:t>
            </w:r>
          </w:p>
        </w:tc>
        <w:tc>
          <w:tcPr>
            <w:tcW w:w="0" w:type="auto"/>
            <w:tcBorders>
              <w:top w:val="nil"/>
              <w:left w:val="nil"/>
              <w:bottom w:val="single" w:color="auto" w:sz="4" w:space="0"/>
              <w:right w:val="single" w:color="auto" w:sz="4" w:space="0"/>
            </w:tcBorders>
            <w:noWrap/>
            <w:vAlign w:val="center"/>
          </w:tcPr>
          <w:p w14:paraId="5DB87C79">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6</w:t>
            </w:r>
          </w:p>
        </w:tc>
        <w:tc>
          <w:tcPr>
            <w:tcW w:w="0" w:type="auto"/>
            <w:tcBorders>
              <w:top w:val="nil"/>
              <w:left w:val="nil"/>
              <w:bottom w:val="single" w:color="auto" w:sz="4" w:space="0"/>
              <w:right w:val="single" w:color="auto" w:sz="4" w:space="0"/>
            </w:tcBorders>
            <w:noWrap/>
            <w:vAlign w:val="center"/>
          </w:tcPr>
          <w:p w14:paraId="098C1B48">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台</w:t>
            </w:r>
          </w:p>
        </w:tc>
      </w:tr>
      <w:tr w14:paraId="65344173">
        <w:tblPrEx>
          <w:tblCellMar>
            <w:top w:w="0" w:type="dxa"/>
            <w:left w:w="108" w:type="dxa"/>
            <w:bottom w:w="0" w:type="dxa"/>
            <w:right w:w="108" w:type="dxa"/>
          </w:tblCellMar>
        </w:tblPrEx>
        <w:trPr>
          <w:trHeight w:val="567" w:hRule="atLeast"/>
        </w:trPr>
        <w:tc>
          <w:tcPr>
            <w:tcW w:w="0" w:type="auto"/>
            <w:tcBorders>
              <w:top w:val="nil"/>
              <w:left w:val="single" w:color="auto" w:sz="4" w:space="0"/>
              <w:bottom w:val="single" w:color="auto" w:sz="4" w:space="0"/>
              <w:right w:val="single" w:color="auto" w:sz="4" w:space="0"/>
            </w:tcBorders>
            <w:noWrap/>
            <w:vAlign w:val="center"/>
          </w:tcPr>
          <w:p w14:paraId="033FD39F">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2</w:t>
            </w:r>
          </w:p>
        </w:tc>
        <w:tc>
          <w:tcPr>
            <w:tcW w:w="0" w:type="auto"/>
            <w:tcBorders>
              <w:top w:val="nil"/>
              <w:left w:val="nil"/>
              <w:bottom w:val="single" w:color="auto" w:sz="4" w:space="0"/>
              <w:right w:val="single" w:color="auto" w:sz="4" w:space="0"/>
            </w:tcBorders>
            <w:noWrap/>
            <w:vAlign w:val="center"/>
          </w:tcPr>
          <w:p w14:paraId="42A6374E">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16口交换机</w:t>
            </w:r>
          </w:p>
        </w:tc>
        <w:tc>
          <w:tcPr>
            <w:tcW w:w="0" w:type="auto"/>
            <w:tcBorders>
              <w:top w:val="nil"/>
              <w:left w:val="nil"/>
              <w:bottom w:val="single" w:color="auto" w:sz="4" w:space="0"/>
              <w:right w:val="single" w:color="auto" w:sz="4" w:space="0"/>
            </w:tcBorders>
            <w:vAlign w:val="center"/>
          </w:tcPr>
          <w:p w14:paraId="7DA47C2F">
            <w:pPr>
              <w:keepNext w:val="0"/>
              <w:keepLines w:val="0"/>
              <w:pageBreakBefore w:val="0"/>
              <w:widowControl/>
              <w:kinsoku/>
              <w:wordWrap/>
              <w:overflowPunct/>
              <w:topLinePunct w:val="0"/>
              <w:autoSpaceDE/>
              <w:autoSpaceDN/>
              <w:bidi w:val="0"/>
              <w:adjustRightInd/>
              <w:snapToGrid/>
              <w:spacing w:after="0" w:line="260" w:lineRule="auto"/>
              <w:jc w:val="left"/>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1.交换容量≥672Gbps，包转发率≥102Mpps</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2.接口：8个10/100/1000BASE-T POE电口，4个1000 BASE-X SFP端口；</w:t>
            </w:r>
          </w:p>
        </w:tc>
        <w:tc>
          <w:tcPr>
            <w:tcW w:w="0" w:type="auto"/>
            <w:tcBorders>
              <w:top w:val="nil"/>
              <w:left w:val="nil"/>
              <w:bottom w:val="single" w:color="auto" w:sz="4" w:space="0"/>
              <w:right w:val="single" w:color="auto" w:sz="4" w:space="0"/>
            </w:tcBorders>
            <w:noWrap/>
            <w:vAlign w:val="center"/>
          </w:tcPr>
          <w:p w14:paraId="2A3D078B">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1</w:t>
            </w:r>
          </w:p>
        </w:tc>
        <w:tc>
          <w:tcPr>
            <w:tcW w:w="0" w:type="auto"/>
            <w:tcBorders>
              <w:top w:val="nil"/>
              <w:left w:val="nil"/>
              <w:bottom w:val="single" w:color="auto" w:sz="4" w:space="0"/>
              <w:right w:val="single" w:color="auto" w:sz="4" w:space="0"/>
            </w:tcBorders>
            <w:noWrap/>
            <w:vAlign w:val="center"/>
          </w:tcPr>
          <w:p w14:paraId="02572BB4">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台</w:t>
            </w:r>
          </w:p>
        </w:tc>
      </w:tr>
      <w:tr w14:paraId="7C86C1BC">
        <w:tblPrEx>
          <w:tblCellMar>
            <w:top w:w="0" w:type="dxa"/>
            <w:left w:w="108" w:type="dxa"/>
            <w:bottom w:w="0" w:type="dxa"/>
            <w:right w:w="108" w:type="dxa"/>
          </w:tblCellMar>
        </w:tblPrEx>
        <w:trPr>
          <w:trHeight w:val="567" w:hRule="atLeast"/>
        </w:trPr>
        <w:tc>
          <w:tcPr>
            <w:tcW w:w="0" w:type="auto"/>
            <w:tcBorders>
              <w:top w:val="nil"/>
              <w:left w:val="single" w:color="auto" w:sz="4" w:space="0"/>
              <w:bottom w:val="single" w:color="auto" w:sz="4" w:space="0"/>
              <w:right w:val="single" w:color="auto" w:sz="4" w:space="0"/>
            </w:tcBorders>
            <w:noWrap/>
            <w:vAlign w:val="center"/>
          </w:tcPr>
          <w:p w14:paraId="20BFC74D">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3</w:t>
            </w:r>
          </w:p>
        </w:tc>
        <w:tc>
          <w:tcPr>
            <w:tcW w:w="0" w:type="auto"/>
            <w:tcBorders>
              <w:top w:val="nil"/>
              <w:left w:val="nil"/>
              <w:bottom w:val="single" w:color="auto" w:sz="4" w:space="0"/>
              <w:right w:val="single" w:color="auto" w:sz="4" w:space="0"/>
            </w:tcBorders>
            <w:noWrap/>
            <w:vAlign w:val="center"/>
          </w:tcPr>
          <w:p w14:paraId="784D9C60">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6类网线</w:t>
            </w:r>
          </w:p>
        </w:tc>
        <w:tc>
          <w:tcPr>
            <w:tcW w:w="0" w:type="auto"/>
            <w:tcBorders>
              <w:top w:val="nil"/>
              <w:left w:val="nil"/>
              <w:bottom w:val="single" w:color="auto" w:sz="4" w:space="0"/>
              <w:right w:val="single" w:color="auto" w:sz="4" w:space="0"/>
            </w:tcBorders>
            <w:vAlign w:val="center"/>
          </w:tcPr>
          <w:p w14:paraId="5475130C">
            <w:pPr>
              <w:keepNext w:val="0"/>
              <w:keepLines w:val="0"/>
              <w:pageBreakBefore w:val="0"/>
              <w:widowControl/>
              <w:kinsoku/>
              <w:wordWrap/>
              <w:overflowPunct/>
              <w:topLinePunct w:val="0"/>
              <w:autoSpaceDE/>
              <w:autoSpaceDN/>
              <w:bidi w:val="0"/>
              <w:adjustRightInd/>
              <w:snapToGrid/>
              <w:spacing w:after="0" w:line="260" w:lineRule="auto"/>
              <w:jc w:val="left"/>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6类网线、含综合布线</w:t>
            </w:r>
          </w:p>
        </w:tc>
        <w:tc>
          <w:tcPr>
            <w:tcW w:w="0" w:type="auto"/>
            <w:tcBorders>
              <w:top w:val="nil"/>
              <w:left w:val="nil"/>
              <w:bottom w:val="single" w:color="auto" w:sz="4" w:space="0"/>
              <w:right w:val="single" w:color="auto" w:sz="4" w:space="0"/>
            </w:tcBorders>
            <w:vAlign w:val="center"/>
          </w:tcPr>
          <w:p w14:paraId="2A689D16">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2</w:t>
            </w:r>
          </w:p>
        </w:tc>
        <w:tc>
          <w:tcPr>
            <w:tcW w:w="0" w:type="auto"/>
            <w:tcBorders>
              <w:top w:val="nil"/>
              <w:left w:val="nil"/>
              <w:bottom w:val="single" w:color="auto" w:sz="4" w:space="0"/>
              <w:right w:val="single" w:color="auto" w:sz="4" w:space="0"/>
            </w:tcBorders>
            <w:vAlign w:val="center"/>
          </w:tcPr>
          <w:p w14:paraId="0A5F13C9">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箱</w:t>
            </w:r>
          </w:p>
        </w:tc>
      </w:tr>
      <w:tr w14:paraId="55917490">
        <w:tblPrEx>
          <w:tblCellMar>
            <w:top w:w="0" w:type="dxa"/>
            <w:left w:w="108" w:type="dxa"/>
            <w:bottom w:w="0" w:type="dxa"/>
            <w:right w:w="108" w:type="dxa"/>
          </w:tblCellMar>
        </w:tblPrEx>
        <w:trPr>
          <w:trHeight w:val="567" w:hRule="atLeast"/>
        </w:trPr>
        <w:tc>
          <w:tcPr>
            <w:tcW w:w="0" w:type="auto"/>
            <w:gridSpan w:val="5"/>
            <w:tcBorders>
              <w:top w:val="single" w:color="auto" w:sz="4" w:space="0"/>
              <w:left w:val="single" w:color="auto" w:sz="4" w:space="0"/>
              <w:bottom w:val="single" w:color="auto" w:sz="4" w:space="0"/>
              <w:right w:val="nil"/>
            </w:tcBorders>
            <w:shd w:val="clear" w:color="000000" w:fill="C9C9C9"/>
            <w:vAlign w:val="center"/>
          </w:tcPr>
          <w:p w14:paraId="58C34095">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b/>
                <w:bCs/>
                <w:color w:val="auto"/>
                <w:kern w:val="0"/>
                <w:sz w:val="22"/>
              </w:rPr>
            </w:pPr>
            <w:r>
              <w:rPr>
                <w:rFonts w:hint="eastAsia" w:ascii="宋体" w:hAnsi="宋体" w:eastAsia="宋体" w:cs="宋体"/>
                <w:b/>
                <w:bCs/>
                <w:color w:val="auto"/>
                <w:kern w:val="0"/>
                <w:sz w:val="22"/>
              </w:rPr>
              <w:t>二层</w:t>
            </w:r>
          </w:p>
        </w:tc>
      </w:tr>
      <w:tr w14:paraId="2F7062F9">
        <w:tblPrEx>
          <w:tblCellMar>
            <w:top w:w="0" w:type="dxa"/>
            <w:left w:w="108" w:type="dxa"/>
            <w:bottom w:w="0" w:type="dxa"/>
            <w:right w:w="108" w:type="dxa"/>
          </w:tblCellMar>
        </w:tblPrEx>
        <w:trPr>
          <w:trHeight w:val="567" w:hRule="atLeast"/>
        </w:trPr>
        <w:tc>
          <w:tcPr>
            <w:tcW w:w="0" w:type="auto"/>
            <w:gridSpan w:val="5"/>
            <w:tcBorders>
              <w:top w:val="single" w:color="auto" w:sz="4" w:space="0"/>
              <w:left w:val="single" w:color="auto" w:sz="4" w:space="0"/>
              <w:bottom w:val="single" w:color="auto" w:sz="4" w:space="0"/>
              <w:right w:val="single" w:color="auto" w:sz="4" w:space="0"/>
            </w:tcBorders>
            <w:shd w:val="clear" w:color="000000" w:fill="FFD966"/>
            <w:noWrap/>
            <w:vAlign w:val="center"/>
          </w:tcPr>
          <w:p w14:paraId="48318962">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一、网络覆盖</w:t>
            </w:r>
          </w:p>
        </w:tc>
      </w:tr>
      <w:tr w14:paraId="16740B7A">
        <w:tblPrEx>
          <w:tblCellMar>
            <w:top w:w="0" w:type="dxa"/>
            <w:left w:w="108" w:type="dxa"/>
            <w:bottom w:w="0" w:type="dxa"/>
            <w:right w:w="108" w:type="dxa"/>
          </w:tblCellMar>
        </w:tblPrEx>
        <w:trPr>
          <w:trHeight w:val="567" w:hRule="atLeast"/>
        </w:trPr>
        <w:tc>
          <w:tcPr>
            <w:tcW w:w="0" w:type="auto"/>
            <w:tcBorders>
              <w:top w:val="nil"/>
              <w:left w:val="single" w:color="auto" w:sz="4" w:space="0"/>
              <w:bottom w:val="single" w:color="auto" w:sz="4" w:space="0"/>
              <w:right w:val="single" w:color="auto" w:sz="4" w:space="0"/>
            </w:tcBorders>
            <w:noWrap/>
            <w:vAlign w:val="center"/>
          </w:tcPr>
          <w:p w14:paraId="0591B34B">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1</w:t>
            </w:r>
          </w:p>
        </w:tc>
        <w:tc>
          <w:tcPr>
            <w:tcW w:w="0" w:type="auto"/>
            <w:tcBorders>
              <w:top w:val="nil"/>
              <w:left w:val="nil"/>
              <w:bottom w:val="single" w:color="auto" w:sz="4" w:space="0"/>
              <w:right w:val="single" w:color="auto" w:sz="4" w:space="0"/>
            </w:tcBorders>
            <w:noWrap/>
            <w:vAlign w:val="center"/>
          </w:tcPr>
          <w:p w14:paraId="4197E6A3">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无线高密AP</w:t>
            </w:r>
          </w:p>
        </w:tc>
        <w:tc>
          <w:tcPr>
            <w:tcW w:w="0" w:type="auto"/>
            <w:tcBorders>
              <w:top w:val="nil"/>
              <w:left w:val="nil"/>
              <w:bottom w:val="single" w:color="auto" w:sz="4" w:space="0"/>
              <w:right w:val="single" w:color="auto" w:sz="4" w:space="0"/>
            </w:tcBorders>
            <w:vAlign w:val="center"/>
          </w:tcPr>
          <w:p w14:paraId="7B77E35D">
            <w:pPr>
              <w:keepNext w:val="0"/>
              <w:keepLines w:val="0"/>
              <w:pageBreakBefore w:val="0"/>
              <w:widowControl/>
              <w:kinsoku/>
              <w:wordWrap/>
              <w:overflowPunct/>
              <w:topLinePunct w:val="0"/>
              <w:autoSpaceDE/>
              <w:autoSpaceDN/>
              <w:bidi w:val="0"/>
              <w:adjustRightInd/>
              <w:snapToGrid/>
              <w:spacing w:after="0" w:line="260" w:lineRule="auto"/>
              <w:jc w:val="left"/>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1.采用三射频设计，可工作在802.11a/b/g/n/ac/ac wave2/ax模式，提供官网截图证明</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2.整机协商速率≥5.375Gbps，且所有5G频段单频段速率≥2.4Gbps，提供官网截图证明。</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3.</w:t>
            </w:r>
            <w:r>
              <w:rPr>
                <w:rFonts w:hint="eastAsia" w:ascii="微软雅黑" w:hAnsi="微软雅黑" w:eastAsia="微软雅黑" w:cs="宋体"/>
                <w:color w:val="auto"/>
                <w:kern w:val="0"/>
                <w:sz w:val="22"/>
              </w:rPr>
              <w:t>⽀</w:t>
            </w:r>
            <w:r>
              <w:rPr>
                <w:rFonts w:hint="eastAsia" w:ascii="宋体" w:hAnsi="宋体" w:eastAsia="宋体" w:cs="宋体"/>
                <w:color w:val="auto"/>
                <w:kern w:val="0"/>
                <w:sz w:val="22"/>
              </w:rPr>
              <w:t>持物联网，支持BLE5.1/RFID/Zigbee，要求提供官网截图。</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4.满足壁挂、吸顶和面板安装方式，设备双网口设计可实现链路聚合和内外网隔离，提供官网截图。</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5.≥2个接口，其中1个固化100/1000M/2.5G电口，无需外置扩展，另有1个固化10M/100M/1000M电口，提供官网截图证明</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6.使用WIFI6真实终端接入测试，接入5GHz频段，在80MHz频宽下，单用户极限性能可达到930Mbps以上。</w:t>
            </w:r>
          </w:p>
        </w:tc>
        <w:tc>
          <w:tcPr>
            <w:tcW w:w="0" w:type="auto"/>
            <w:tcBorders>
              <w:top w:val="nil"/>
              <w:left w:val="nil"/>
              <w:bottom w:val="single" w:color="auto" w:sz="4" w:space="0"/>
              <w:right w:val="single" w:color="auto" w:sz="4" w:space="0"/>
            </w:tcBorders>
            <w:noWrap/>
            <w:vAlign w:val="center"/>
          </w:tcPr>
          <w:p w14:paraId="415A530F">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3</w:t>
            </w:r>
          </w:p>
        </w:tc>
        <w:tc>
          <w:tcPr>
            <w:tcW w:w="0" w:type="auto"/>
            <w:tcBorders>
              <w:top w:val="nil"/>
              <w:left w:val="nil"/>
              <w:bottom w:val="single" w:color="auto" w:sz="4" w:space="0"/>
              <w:right w:val="single" w:color="auto" w:sz="4" w:space="0"/>
            </w:tcBorders>
            <w:noWrap/>
            <w:vAlign w:val="center"/>
          </w:tcPr>
          <w:p w14:paraId="41312C0F">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台</w:t>
            </w:r>
          </w:p>
        </w:tc>
      </w:tr>
      <w:tr w14:paraId="40E188A5">
        <w:tblPrEx>
          <w:tblCellMar>
            <w:top w:w="0" w:type="dxa"/>
            <w:left w:w="108" w:type="dxa"/>
            <w:bottom w:w="0" w:type="dxa"/>
            <w:right w:w="108" w:type="dxa"/>
          </w:tblCellMar>
        </w:tblPrEx>
        <w:trPr>
          <w:trHeight w:val="567" w:hRule="atLeast"/>
        </w:trPr>
        <w:tc>
          <w:tcPr>
            <w:tcW w:w="0" w:type="auto"/>
            <w:tcBorders>
              <w:top w:val="nil"/>
              <w:left w:val="single" w:color="auto" w:sz="4" w:space="0"/>
              <w:bottom w:val="single" w:color="auto" w:sz="4" w:space="0"/>
              <w:right w:val="single" w:color="auto" w:sz="4" w:space="0"/>
            </w:tcBorders>
            <w:noWrap/>
            <w:vAlign w:val="center"/>
          </w:tcPr>
          <w:p w14:paraId="7CE8FA7E">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2</w:t>
            </w:r>
          </w:p>
        </w:tc>
        <w:tc>
          <w:tcPr>
            <w:tcW w:w="0" w:type="auto"/>
            <w:tcBorders>
              <w:top w:val="nil"/>
              <w:left w:val="nil"/>
              <w:bottom w:val="single" w:color="auto" w:sz="4" w:space="0"/>
              <w:right w:val="single" w:color="auto" w:sz="4" w:space="0"/>
            </w:tcBorders>
            <w:noWrap/>
            <w:vAlign w:val="center"/>
          </w:tcPr>
          <w:p w14:paraId="10DEB64D">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16口交换机</w:t>
            </w:r>
          </w:p>
        </w:tc>
        <w:tc>
          <w:tcPr>
            <w:tcW w:w="0" w:type="auto"/>
            <w:tcBorders>
              <w:top w:val="nil"/>
              <w:left w:val="nil"/>
              <w:bottom w:val="single" w:color="auto" w:sz="4" w:space="0"/>
              <w:right w:val="single" w:color="auto" w:sz="4" w:space="0"/>
            </w:tcBorders>
            <w:vAlign w:val="center"/>
          </w:tcPr>
          <w:p w14:paraId="4B046BA2">
            <w:pPr>
              <w:keepNext w:val="0"/>
              <w:keepLines w:val="0"/>
              <w:pageBreakBefore w:val="0"/>
              <w:widowControl/>
              <w:kinsoku/>
              <w:wordWrap/>
              <w:overflowPunct/>
              <w:topLinePunct w:val="0"/>
              <w:autoSpaceDE/>
              <w:autoSpaceDN/>
              <w:bidi w:val="0"/>
              <w:adjustRightInd/>
              <w:snapToGrid/>
              <w:spacing w:after="0" w:line="260" w:lineRule="auto"/>
              <w:jc w:val="left"/>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1.交换容量≥672Gbps，包转发率≥102Mpps</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2.接口：8个10/100/1000BASE-T POE电口，4个1000 BASE-X SFP端口；</w:t>
            </w:r>
          </w:p>
        </w:tc>
        <w:tc>
          <w:tcPr>
            <w:tcW w:w="0" w:type="auto"/>
            <w:tcBorders>
              <w:top w:val="nil"/>
              <w:left w:val="nil"/>
              <w:bottom w:val="single" w:color="auto" w:sz="4" w:space="0"/>
              <w:right w:val="single" w:color="auto" w:sz="4" w:space="0"/>
            </w:tcBorders>
            <w:noWrap/>
            <w:vAlign w:val="center"/>
          </w:tcPr>
          <w:p w14:paraId="03A20085">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1</w:t>
            </w:r>
          </w:p>
        </w:tc>
        <w:tc>
          <w:tcPr>
            <w:tcW w:w="0" w:type="auto"/>
            <w:tcBorders>
              <w:top w:val="nil"/>
              <w:left w:val="nil"/>
              <w:bottom w:val="single" w:color="auto" w:sz="4" w:space="0"/>
              <w:right w:val="single" w:color="auto" w:sz="4" w:space="0"/>
            </w:tcBorders>
            <w:noWrap/>
            <w:vAlign w:val="center"/>
          </w:tcPr>
          <w:p w14:paraId="78FA998C">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台</w:t>
            </w:r>
          </w:p>
        </w:tc>
      </w:tr>
      <w:tr w14:paraId="34773469">
        <w:tblPrEx>
          <w:tblCellMar>
            <w:top w:w="0" w:type="dxa"/>
            <w:left w:w="108" w:type="dxa"/>
            <w:bottom w:w="0" w:type="dxa"/>
            <w:right w:w="108" w:type="dxa"/>
          </w:tblCellMar>
        </w:tblPrEx>
        <w:trPr>
          <w:trHeight w:val="567" w:hRule="atLeast"/>
        </w:trPr>
        <w:tc>
          <w:tcPr>
            <w:tcW w:w="0" w:type="auto"/>
            <w:tcBorders>
              <w:top w:val="nil"/>
              <w:left w:val="single" w:color="auto" w:sz="4" w:space="0"/>
              <w:bottom w:val="single" w:color="auto" w:sz="4" w:space="0"/>
              <w:right w:val="single" w:color="auto" w:sz="4" w:space="0"/>
            </w:tcBorders>
            <w:noWrap/>
            <w:vAlign w:val="center"/>
          </w:tcPr>
          <w:p w14:paraId="2743F44A">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3</w:t>
            </w:r>
          </w:p>
        </w:tc>
        <w:tc>
          <w:tcPr>
            <w:tcW w:w="0" w:type="auto"/>
            <w:tcBorders>
              <w:top w:val="nil"/>
              <w:left w:val="nil"/>
              <w:bottom w:val="single" w:color="auto" w:sz="4" w:space="0"/>
              <w:right w:val="single" w:color="auto" w:sz="4" w:space="0"/>
            </w:tcBorders>
            <w:noWrap/>
            <w:vAlign w:val="center"/>
          </w:tcPr>
          <w:p w14:paraId="74FF8642">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6类网线</w:t>
            </w:r>
          </w:p>
        </w:tc>
        <w:tc>
          <w:tcPr>
            <w:tcW w:w="0" w:type="auto"/>
            <w:tcBorders>
              <w:top w:val="nil"/>
              <w:left w:val="nil"/>
              <w:bottom w:val="single" w:color="auto" w:sz="4" w:space="0"/>
              <w:right w:val="single" w:color="auto" w:sz="4" w:space="0"/>
            </w:tcBorders>
            <w:vAlign w:val="center"/>
          </w:tcPr>
          <w:p w14:paraId="09CE87D8">
            <w:pPr>
              <w:keepNext w:val="0"/>
              <w:keepLines w:val="0"/>
              <w:pageBreakBefore w:val="0"/>
              <w:widowControl/>
              <w:kinsoku/>
              <w:wordWrap/>
              <w:overflowPunct/>
              <w:topLinePunct w:val="0"/>
              <w:autoSpaceDE/>
              <w:autoSpaceDN/>
              <w:bidi w:val="0"/>
              <w:adjustRightInd/>
              <w:snapToGrid/>
              <w:spacing w:after="0" w:line="260" w:lineRule="auto"/>
              <w:jc w:val="left"/>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6类网线、含综合布线</w:t>
            </w:r>
          </w:p>
        </w:tc>
        <w:tc>
          <w:tcPr>
            <w:tcW w:w="0" w:type="auto"/>
            <w:tcBorders>
              <w:top w:val="nil"/>
              <w:left w:val="nil"/>
              <w:bottom w:val="single" w:color="auto" w:sz="4" w:space="0"/>
              <w:right w:val="single" w:color="auto" w:sz="4" w:space="0"/>
            </w:tcBorders>
            <w:vAlign w:val="center"/>
          </w:tcPr>
          <w:p w14:paraId="533E124E">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2</w:t>
            </w:r>
          </w:p>
        </w:tc>
        <w:tc>
          <w:tcPr>
            <w:tcW w:w="0" w:type="auto"/>
            <w:tcBorders>
              <w:top w:val="nil"/>
              <w:left w:val="nil"/>
              <w:bottom w:val="single" w:color="auto" w:sz="4" w:space="0"/>
              <w:right w:val="single" w:color="auto" w:sz="4" w:space="0"/>
            </w:tcBorders>
            <w:vAlign w:val="center"/>
          </w:tcPr>
          <w:p w14:paraId="0F5113F4">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箱</w:t>
            </w:r>
          </w:p>
        </w:tc>
      </w:tr>
      <w:tr w14:paraId="2DB7D7DF">
        <w:tblPrEx>
          <w:tblCellMar>
            <w:top w:w="0" w:type="dxa"/>
            <w:left w:w="108" w:type="dxa"/>
            <w:bottom w:w="0" w:type="dxa"/>
            <w:right w:w="108" w:type="dxa"/>
          </w:tblCellMar>
        </w:tblPrEx>
        <w:trPr>
          <w:trHeight w:val="567" w:hRule="atLeast"/>
        </w:trPr>
        <w:tc>
          <w:tcPr>
            <w:tcW w:w="0" w:type="auto"/>
            <w:gridSpan w:val="5"/>
            <w:tcBorders>
              <w:top w:val="single" w:color="auto" w:sz="4" w:space="0"/>
              <w:left w:val="single" w:color="auto" w:sz="4" w:space="0"/>
              <w:bottom w:val="single" w:color="auto" w:sz="4" w:space="0"/>
              <w:right w:val="nil"/>
            </w:tcBorders>
            <w:shd w:val="clear" w:color="000000" w:fill="C9C9C9"/>
            <w:vAlign w:val="center"/>
          </w:tcPr>
          <w:p w14:paraId="5C225F88">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b/>
                <w:bCs/>
                <w:color w:val="auto"/>
                <w:kern w:val="0"/>
                <w:sz w:val="22"/>
              </w:rPr>
            </w:pPr>
            <w:r>
              <w:rPr>
                <w:rFonts w:hint="eastAsia" w:ascii="宋体" w:hAnsi="宋体" w:eastAsia="宋体" w:cs="宋体"/>
                <w:b/>
                <w:bCs/>
                <w:color w:val="auto"/>
                <w:kern w:val="0"/>
                <w:sz w:val="22"/>
              </w:rPr>
              <w:t>三层</w:t>
            </w:r>
          </w:p>
        </w:tc>
      </w:tr>
      <w:tr w14:paraId="609FE5F2">
        <w:tblPrEx>
          <w:tblCellMar>
            <w:top w:w="0" w:type="dxa"/>
            <w:left w:w="108" w:type="dxa"/>
            <w:bottom w:w="0" w:type="dxa"/>
            <w:right w:w="108" w:type="dxa"/>
          </w:tblCellMar>
        </w:tblPrEx>
        <w:trPr>
          <w:trHeight w:val="567" w:hRule="atLeast"/>
        </w:trPr>
        <w:tc>
          <w:tcPr>
            <w:tcW w:w="0" w:type="auto"/>
            <w:gridSpan w:val="5"/>
            <w:tcBorders>
              <w:top w:val="single" w:color="auto" w:sz="4" w:space="0"/>
              <w:left w:val="single" w:color="auto" w:sz="4" w:space="0"/>
              <w:bottom w:val="single" w:color="auto" w:sz="4" w:space="0"/>
              <w:right w:val="single" w:color="auto" w:sz="4" w:space="0"/>
            </w:tcBorders>
            <w:shd w:val="clear" w:color="000000" w:fill="FFD966"/>
            <w:noWrap/>
            <w:vAlign w:val="center"/>
          </w:tcPr>
          <w:p w14:paraId="00E15C55">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一、网络覆盖</w:t>
            </w:r>
          </w:p>
        </w:tc>
      </w:tr>
      <w:tr w14:paraId="04D9E8C5">
        <w:tblPrEx>
          <w:tblCellMar>
            <w:top w:w="0" w:type="dxa"/>
            <w:left w:w="108" w:type="dxa"/>
            <w:bottom w:w="0" w:type="dxa"/>
            <w:right w:w="108" w:type="dxa"/>
          </w:tblCellMar>
        </w:tblPrEx>
        <w:trPr>
          <w:trHeight w:val="567" w:hRule="atLeast"/>
        </w:trPr>
        <w:tc>
          <w:tcPr>
            <w:tcW w:w="0" w:type="auto"/>
            <w:tcBorders>
              <w:top w:val="nil"/>
              <w:left w:val="single" w:color="auto" w:sz="4" w:space="0"/>
              <w:bottom w:val="single" w:color="auto" w:sz="4" w:space="0"/>
              <w:right w:val="single" w:color="auto" w:sz="4" w:space="0"/>
            </w:tcBorders>
            <w:noWrap/>
            <w:vAlign w:val="center"/>
          </w:tcPr>
          <w:p w14:paraId="7145502D">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1</w:t>
            </w:r>
          </w:p>
        </w:tc>
        <w:tc>
          <w:tcPr>
            <w:tcW w:w="0" w:type="auto"/>
            <w:tcBorders>
              <w:top w:val="nil"/>
              <w:left w:val="nil"/>
              <w:bottom w:val="single" w:color="auto" w:sz="4" w:space="0"/>
              <w:right w:val="single" w:color="auto" w:sz="4" w:space="0"/>
            </w:tcBorders>
            <w:noWrap/>
            <w:vAlign w:val="center"/>
          </w:tcPr>
          <w:p w14:paraId="0B21BCCC">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信息发布终端</w:t>
            </w:r>
          </w:p>
        </w:tc>
        <w:tc>
          <w:tcPr>
            <w:tcW w:w="0" w:type="auto"/>
            <w:tcBorders>
              <w:top w:val="nil"/>
              <w:left w:val="nil"/>
              <w:bottom w:val="single" w:color="auto" w:sz="4" w:space="0"/>
              <w:right w:val="single" w:color="auto" w:sz="4" w:space="0"/>
            </w:tcBorders>
            <w:vAlign w:val="center"/>
          </w:tcPr>
          <w:p w14:paraId="285487B2">
            <w:pPr>
              <w:keepNext w:val="0"/>
              <w:keepLines w:val="0"/>
              <w:pageBreakBefore w:val="0"/>
              <w:widowControl/>
              <w:kinsoku/>
              <w:wordWrap/>
              <w:overflowPunct/>
              <w:topLinePunct w:val="0"/>
              <w:autoSpaceDE/>
              <w:autoSpaceDN/>
              <w:bidi w:val="0"/>
              <w:adjustRightInd/>
              <w:snapToGrid/>
              <w:spacing w:after="0" w:line="260" w:lineRule="auto"/>
              <w:jc w:val="left"/>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显示尺寸：43 inch</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 xml:space="preserve">物理分辨率：1920 × 1080 </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 xml:space="preserve">可视区域：940.896 mm (H) × 529.254 mm (V)  </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 xml:space="preserve">像素间距：0.163 mm (H) × 0.490 mm (V)  </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可视角：178°(H)/178°(V)</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亮度：500 cd/m²</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 xml:space="preserve">色深度：16.78M Colours  8Bit </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对比度：5000：1</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响应时间：6.5ms（Typ）</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色域：72% NTSC</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刷新率：60 Hz</w:t>
            </w:r>
          </w:p>
        </w:tc>
        <w:tc>
          <w:tcPr>
            <w:tcW w:w="0" w:type="auto"/>
            <w:tcBorders>
              <w:top w:val="nil"/>
              <w:left w:val="nil"/>
              <w:bottom w:val="single" w:color="auto" w:sz="4" w:space="0"/>
              <w:right w:val="single" w:color="auto" w:sz="4" w:space="0"/>
            </w:tcBorders>
            <w:noWrap/>
            <w:vAlign w:val="center"/>
          </w:tcPr>
          <w:p w14:paraId="4DE68A3C">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1</w:t>
            </w:r>
          </w:p>
        </w:tc>
        <w:tc>
          <w:tcPr>
            <w:tcW w:w="0" w:type="auto"/>
            <w:tcBorders>
              <w:top w:val="nil"/>
              <w:left w:val="nil"/>
              <w:bottom w:val="single" w:color="auto" w:sz="4" w:space="0"/>
              <w:right w:val="single" w:color="auto" w:sz="4" w:space="0"/>
            </w:tcBorders>
            <w:noWrap/>
            <w:vAlign w:val="center"/>
          </w:tcPr>
          <w:p w14:paraId="20520015">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台</w:t>
            </w:r>
          </w:p>
        </w:tc>
      </w:tr>
      <w:tr w14:paraId="70770C29">
        <w:tblPrEx>
          <w:tblCellMar>
            <w:top w:w="0" w:type="dxa"/>
            <w:left w:w="108" w:type="dxa"/>
            <w:bottom w:w="0" w:type="dxa"/>
            <w:right w:w="108" w:type="dxa"/>
          </w:tblCellMar>
        </w:tblPrEx>
        <w:trPr>
          <w:trHeight w:val="567" w:hRule="atLeast"/>
        </w:trPr>
        <w:tc>
          <w:tcPr>
            <w:tcW w:w="0" w:type="auto"/>
            <w:tcBorders>
              <w:top w:val="nil"/>
              <w:left w:val="single" w:color="auto" w:sz="4" w:space="0"/>
              <w:bottom w:val="single" w:color="auto" w:sz="4" w:space="0"/>
              <w:right w:val="single" w:color="auto" w:sz="4" w:space="0"/>
            </w:tcBorders>
            <w:noWrap/>
            <w:vAlign w:val="center"/>
          </w:tcPr>
          <w:p w14:paraId="36C37774">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2</w:t>
            </w:r>
          </w:p>
        </w:tc>
        <w:tc>
          <w:tcPr>
            <w:tcW w:w="0" w:type="auto"/>
            <w:tcBorders>
              <w:top w:val="nil"/>
              <w:left w:val="nil"/>
              <w:bottom w:val="single" w:color="auto" w:sz="4" w:space="0"/>
              <w:right w:val="single" w:color="auto" w:sz="4" w:space="0"/>
            </w:tcBorders>
            <w:noWrap/>
            <w:vAlign w:val="center"/>
          </w:tcPr>
          <w:p w14:paraId="03CA653A">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无线高密AP</w:t>
            </w:r>
          </w:p>
        </w:tc>
        <w:tc>
          <w:tcPr>
            <w:tcW w:w="0" w:type="auto"/>
            <w:tcBorders>
              <w:top w:val="nil"/>
              <w:left w:val="nil"/>
              <w:bottom w:val="single" w:color="auto" w:sz="4" w:space="0"/>
              <w:right w:val="single" w:color="auto" w:sz="4" w:space="0"/>
            </w:tcBorders>
            <w:vAlign w:val="center"/>
          </w:tcPr>
          <w:p w14:paraId="069A0B82">
            <w:pPr>
              <w:keepNext w:val="0"/>
              <w:keepLines w:val="0"/>
              <w:pageBreakBefore w:val="0"/>
              <w:widowControl/>
              <w:kinsoku/>
              <w:wordWrap/>
              <w:overflowPunct/>
              <w:topLinePunct w:val="0"/>
              <w:autoSpaceDE/>
              <w:autoSpaceDN/>
              <w:bidi w:val="0"/>
              <w:adjustRightInd/>
              <w:snapToGrid/>
              <w:spacing w:after="0" w:line="260" w:lineRule="auto"/>
              <w:jc w:val="left"/>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1.采用三射频设计，可工作在802.11a/b/g/n/ac/ac wave2/ax模式，提供官网截图证明</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2.整机协商速率≥5.375Gbps，且所有5G频段单频段速率≥2.4Gbps，提供官网截图证明。</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3.</w:t>
            </w:r>
            <w:r>
              <w:rPr>
                <w:rFonts w:hint="eastAsia" w:ascii="微软雅黑" w:hAnsi="微软雅黑" w:eastAsia="微软雅黑" w:cs="宋体"/>
                <w:color w:val="auto"/>
                <w:kern w:val="0"/>
                <w:sz w:val="22"/>
              </w:rPr>
              <w:t>⽀</w:t>
            </w:r>
            <w:r>
              <w:rPr>
                <w:rFonts w:hint="eastAsia" w:ascii="宋体" w:hAnsi="宋体" w:eastAsia="宋体" w:cs="宋体"/>
                <w:color w:val="auto"/>
                <w:kern w:val="0"/>
                <w:sz w:val="22"/>
              </w:rPr>
              <w:t>持物联网，支持BLE5.1/RFID/Zigbee，要求提供官网截图。</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4.满足壁挂、吸顶和面板安装方式，设备双网口设计可实现链路聚合和内外网隔离，提供官网截图。</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5.≥2个接口，其中1个固化100/1000M/2.5G电口，无需外置扩展，另有1个固化10M/100M/1000M电口，提供官网截图证明</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6.使用WIFI6真实终端接入测试，接入5GHz频段，在80MHz频宽下，单用户极限性能可达到930Mbps以上。</w:t>
            </w:r>
          </w:p>
        </w:tc>
        <w:tc>
          <w:tcPr>
            <w:tcW w:w="0" w:type="auto"/>
            <w:tcBorders>
              <w:top w:val="nil"/>
              <w:left w:val="nil"/>
              <w:bottom w:val="single" w:color="auto" w:sz="4" w:space="0"/>
              <w:right w:val="single" w:color="auto" w:sz="4" w:space="0"/>
            </w:tcBorders>
            <w:noWrap/>
            <w:vAlign w:val="center"/>
          </w:tcPr>
          <w:p w14:paraId="5EB83EDC">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5</w:t>
            </w:r>
          </w:p>
        </w:tc>
        <w:tc>
          <w:tcPr>
            <w:tcW w:w="0" w:type="auto"/>
            <w:tcBorders>
              <w:top w:val="nil"/>
              <w:left w:val="nil"/>
              <w:bottom w:val="single" w:color="auto" w:sz="4" w:space="0"/>
              <w:right w:val="single" w:color="auto" w:sz="4" w:space="0"/>
            </w:tcBorders>
            <w:noWrap/>
            <w:vAlign w:val="center"/>
          </w:tcPr>
          <w:p w14:paraId="5D506672">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台</w:t>
            </w:r>
          </w:p>
        </w:tc>
      </w:tr>
      <w:tr w14:paraId="67BDC9B2">
        <w:tblPrEx>
          <w:tblCellMar>
            <w:top w:w="0" w:type="dxa"/>
            <w:left w:w="108" w:type="dxa"/>
            <w:bottom w:w="0" w:type="dxa"/>
            <w:right w:w="108" w:type="dxa"/>
          </w:tblCellMar>
        </w:tblPrEx>
        <w:trPr>
          <w:trHeight w:val="567" w:hRule="atLeast"/>
        </w:trPr>
        <w:tc>
          <w:tcPr>
            <w:tcW w:w="0" w:type="auto"/>
            <w:tcBorders>
              <w:top w:val="nil"/>
              <w:left w:val="single" w:color="auto" w:sz="4" w:space="0"/>
              <w:bottom w:val="single" w:color="auto" w:sz="4" w:space="0"/>
              <w:right w:val="single" w:color="auto" w:sz="4" w:space="0"/>
            </w:tcBorders>
            <w:noWrap/>
            <w:vAlign w:val="center"/>
          </w:tcPr>
          <w:p w14:paraId="221A7E8D">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3</w:t>
            </w:r>
          </w:p>
        </w:tc>
        <w:tc>
          <w:tcPr>
            <w:tcW w:w="0" w:type="auto"/>
            <w:tcBorders>
              <w:top w:val="nil"/>
              <w:left w:val="nil"/>
              <w:bottom w:val="single" w:color="auto" w:sz="4" w:space="0"/>
              <w:right w:val="single" w:color="auto" w:sz="4" w:space="0"/>
            </w:tcBorders>
            <w:noWrap/>
            <w:vAlign w:val="center"/>
          </w:tcPr>
          <w:p w14:paraId="6D75B239">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16口交换机</w:t>
            </w:r>
          </w:p>
        </w:tc>
        <w:tc>
          <w:tcPr>
            <w:tcW w:w="0" w:type="auto"/>
            <w:tcBorders>
              <w:top w:val="nil"/>
              <w:left w:val="nil"/>
              <w:bottom w:val="single" w:color="auto" w:sz="4" w:space="0"/>
              <w:right w:val="single" w:color="auto" w:sz="4" w:space="0"/>
            </w:tcBorders>
            <w:vAlign w:val="center"/>
          </w:tcPr>
          <w:p w14:paraId="57432E17">
            <w:pPr>
              <w:keepNext w:val="0"/>
              <w:keepLines w:val="0"/>
              <w:pageBreakBefore w:val="0"/>
              <w:widowControl/>
              <w:kinsoku/>
              <w:wordWrap/>
              <w:overflowPunct/>
              <w:topLinePunct w:val="0"/>
              <w:autoSpaceDE/>
              <w:autoSpaceDN/>
              <w:bidi w:val="0"/>
              <w:adjustRightInd/>
              <w:snapToGrid/>
              <w:spacing w:after="0" w:line="260" w:lineRule="auto"/>
              <w:jc w:val="left"/>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1.交换容量≥672Gbps，包转发率≥102Mpps</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2.接口：8个10/100/1000BASE-T POE电口，4个1000 BASE-X SFP端口；</w:t>
            </w:r>
          </w:p>
        </w:tc>
        <w:tc>
          <w:tcPr>
            <w:tcW w:w="0" w:type="auto"/>
            <w:tcBorders>
              <w:top w:val="nil"/>
              <w:left w:val="nil"/>
              <w:bottom w:val="single" w:color="auto" w:sz="4" w:space="0"/>
              <w:right w:val="single" w:color="auto" w:sz="4" w:space="0"/>
            </w:tcBorders>
            <w:noWrap/>
            <w:vAlign w:val="center"/>
          </w:tcPr>
          <w:p w14:paraId="474C0C16">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1</w:t>
            </w:r>
          </w:p>
        </w:tc>
        <w:tc>
          <w:tcPr>
            <w:tcW w:w="0" w:type="auto"/>
            <w:tcBorders>
              <w:top w:val="nil"/>
              <w:left w:val="nil"/>
              <w:bottom w:val="single" w:color="auto" w:sz="4" w:space="0"/>
              <w:right w:val="single" w:color="auto" w:sz="4" w:space="0"/>
            </w:tcBorders>
            <w:noWrap/>
            <w:vAlign w:val="center"/>
          </w:tcPr>
          <w:p w14:paraId="4B7878C4">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台</w:t>
            </w:r>
          </w:p>
        </w:tc>
      </w:tr>
      <w:tr w14:paraId="4B472363">
        <w:tblPrEx>
          <w:tblCellMar>
            <w:top w:w="0" w:type="dxa"/>
            <w:left w:w="108" w:type="dxa"/>
            <w:bottom w:w="0" w:type="dxa"/>
            <w:right w:w="108" w:type="dxa"/>
          </w:tblCellMar>
        </w:tblPrEx>
        <w:trPr>
          <w:trHeight w:val="567" w:hRule="atLeast"/>
        </w:trPr>
        <w:tc>
          <w:tcPr>
            <w:tcW w:w="0" w:type="auto"/>
            <w:tcBorders>
              <w:top w:val="nil"/>
              <w:left w:val="single" w:color="auto" w:sz="4" w:space="0"/>
              <w:bottom w:val="single" w:color="auto" w:sz="4" w:space="0"/>
              <w:right w:val="single" w:color="auto" w:sz="4" w:space="0"/>
            </w:tcBorders>
            <w:noWrap/>
            <w:vAlign w:val="center"/>
          </w:tcPr>
          <w:p w14:paraId="76EFB157">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4</w:t>
            </w:r>
          </w:p>
        </w:tc>
        <w:tc>
          <w:tcPr>
            <w:tcW w:w="0" w:type="auto"/>
            <w:tcBorders>
              <w:top w:val="nil"/>
              <w:left w:val="nil"/>
              <w:bottom w:val="single" w:color="auto" w:sz="4" w:space="0"/>
              <w:right w:val="single" w:color="auto" w:sz="4" w:space="0"/>
            </w:tcBorders>
            <w:noWrap/>
            <w:vAlign w:val="center"/>
          </w:tcPr>
          <w:p w14:paraId="64734439">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6类网线</w:t>
            </w:r>
          </w:p>
        </w:tc>
        <w:tc>
          <w:tcPr>
            <w:tcW w:w="0" w:type="auto"/>
            <w:tcBorders>
              <w:top w:val="nil"/>
              <w:left w:val="nil"/>
              <w:bottom w:val="single" w:color="auto" w:sz="4" w:space="0"/>
              <w:right w:val="single" w:color="auto" w:sz="4" w:space="0"/>
            </w:tcBorders>
            <w:vAlign w:val="center"/>
          </w:tcPr>
          <w:p w14:paraId="350D3505">
            <w:pPr>
              <w:keepNext w:val="0"/>
              <w:keepLines w:val="0"/>
              <w:pageBreakBefore w:val="0"/>
              <w:widowControl/>
              <w:kinsoku/>
              <w:wordWrap/>
              <w:overflowPunct/>
              <w:topLinePunct w:val="0"/>
              <w:autoSpaceDE/>
              <w:autoSpaceDN/>
              <w:bidi w:val="0"/>
              <w:adjustRightInd/>
              <w:snapToGrid/>
              <w:spacing w:after="0" w:line="260" w:lineRule="auto"/>
              <w:jc w:val="left"/>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6类网线、含综合布线</w:t>
            </w:r>
          </w:p>
        </w:tc>
        <w:tc>
          <w:tcPr>
            <w:tcW w:w="0" w:type="auto"/>
            <w:tcBorders>
              <w:top w:val="nil"/>
              <w:left w:val="nil"/>
              <w:bottom w:val="single" w:color="auto" w:sz="4" w:space="0"/>
              <w:right w:val="single" w:color="auto" w:sz="4" w:space="0"/>
            </w:tcBorders>
            <w:vAlign w:val="center"/>
          </w:tcPr>
          <w:p w14:paraId="56B7D363">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2</w:t>
            </w:r>
          </w:p>
        </w:tc>
        <w:tc>
          <w:tcPr>
            <w:tcW w:w="0" w:type="auto"/>
            <w:tcBorders>
              <w:top w:val="nil"/>
              <w:left w:val="nil"/>
              <w:bottom w:val="single" w:color="auto" w:sz="4" w:space="0"/>
              <w:right w:val="single" w:color="auto" w:sz="4" w:space="0"/>
            </w:tcBorders>
            <w:vAlign w:val="center"/>
          </w:tcPr>
          <w:p w14:paraId="65355D3F">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箱</w:t>
            </w:r>
          </w:p>
        </w:tc>
      </w:tr>
      <w:tr w14:paraId="4B75CF10">
        <w:tblPrEx>
          <w:tblCellMar>
            <w:top w:w="0" w:type="dxa"/>
            <w:left w:w="108" w:type="dxa"/>
            <w:bottom w:w="0" w:type="dxa"/>
            <w:right w:w="108" w:type="dxa"/>
          </w:tblCellMar>
        </w:tblPrEx>
        <w:trPr>
          <w:trHeight w:val="567" w:hRule="atLeast"/>
        </w:trPr>
        <w:tc>
          <w:tcPr>
            <w:tcW w:w="0" w:type="auto"/>
            <w:gridSpan w:val="5"/>
            <w:tcBorders>
              <w:top w:val="single" w:color="auto" w:sz="4" w:space="0"/>
              <w:left w:val="single" w:color="auto" w:sz="4" w:space="0"/>
              <w:bottom w:val="single" w:color="auto" w:sz="4" w:space="0"/>
              <w:right w:val="nil"/>
            </w:tcBorders>
            <w:shd w:val="clear" w:color="000000" w:fill="C9C9C9"/>
            <w:vAlign w:val="center"/>
          </w:tcPr>
          <w:p w14:paraId="03255D38">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b/>
                <w:bCs/>
                <w:color w:val="auto"/>
                <w:kern w:val="0"/>
                <w:sz w:val="22"/>
              </w:rPr>
            </w:pPr>
            <w:r>
              <w:rPr>
                <w:rFonts w:hint="eastAsia" w:ascii="宋体" w:hAnsi="宋体" w:eastAsia="宋体" w:cs="宋体"/>
                <w:b/>
                <w:bCs/>
                <w:color w:val="auto"/>
                <w:kern w:val="0"/>
                <w:sz w:val="22"/>
              </w:rPr>
              <w:t>四层</w:t>
            </w:r>
          </w:p>
        </w:tc>
      </w:tr>
      <w:tr w14:paraId="5BDB2AAC">
        <w:tblPrEx>
          <w:tblCellMar>
            <w:top w:w="0" w:type="dxa"/>
            <w:left w:w="108" w:type="dxa"/>
            <w:bottom w:w="0" w:type="dxa"/>
            <w:right w:w="108" w:type="dxa"/>
          </w:tblCellMar>
        </w:tblPrEx>
        <w:trPr>
          <w:trHeight w:val="567" w:hRule="atLeast"/>
        </w:trPr>
        <w:tc>
          <w:tcPr>
            <w:tcW w:w="0" w:type="auto"/>
            <w:gridSpan w:val="5"/>
            <w:tcBorders>
              <w:top w:val="single" w:color="auto" w:sz="4" w:space="0"/>
              <w:left w:val="single" w:color="auto" w:sz="4" w:space="0"/>
              <w:bottom w:val="single" w:color="auto" w:sz="4" w:space="0"/>
              <w:right w:val="single" w:color="auto" w:sz="4" w:space="0"/>
            </w:tcBorders>
            <w:shd w:val="clear" w:color="000000" w:fill="FFD966"/>
            <w:noWrap/>
            <w:vAlign w:val="center"/>
          </w:tcPr>
          <w:p w14:paraId="0195689E">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一、网络覆盖</w:t>
            </w:r>
          </w:p>
        </w:tc>
      </w:tr>
      <w:tr w14:paraId="3053BDB8">
        <w:trPr>
          <w:trHeight w:val="567" w:hRule="atLeast"/>
        </w:trPr>
        <w:tc>
          <w:tcPr>
            <w:tcW w:w="0" w:type="auto"/>
            <w:tcBorders>
              <w:top w:val="nil"/>
              <w:left w:val="single" w:color="auto" w:sz="4" w:space="0"/>
              <w:bottom w:val="single" w:color="auto" w:sz="4" w:space="0"/>
              <w:right w:val="single" w:color="auto" w:sz="4" w:space="0"/>
            </w:tcBorders>
            <w:vAlign w:val="center"/>
          </w:tcPr>
          <w:p w14:paraId="0200E7F3">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1</w:t>
            </w:r>
          </w:p>
        </w:tc>
        <w:tc>
          <w:tcPr>
            <w:tcW w:w="0" w:type="auto"/>
            <w:tcBorders>
              <w:top w:val="nil"/>
              <w:left w:val="nil"/>
              <w:bottom w:val="single" w:color="auto" w:sz="4" w:space="0"/>
              <w:right w:val="single" w:color="auto" w:sz="4" w:space="0"/>
            </w:tcBorders>
            <w:noWrap/>
            <w:vAlign w:val="center"/>
          </w:tcPr>
          <w:p w14:paraId="77CEFD96">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无线高密AP</w:t>
            </w:r>
          </w:p>
        </w:tc>
        <w:tc>
          <w:tcPr>
            <w:tcW w:w="0" w:type="auto"/>
            <w:tcBorders>
              <w:top w:val="nil"/>
              <w:left w:val="nil"/>
              <w:bottom w:val="single" w:color="auto" w:sz="4" w:space="0"/>
              <w:right w:val="single" w:color="auto" w:sz="4" w:space="0"/>
            </w:tcBorders>
            <w:vAlign w:val="center"/>
          </w:tcPr>
          <w:p w14:paraId="5AE3590E">
            <w:pPr>
              <w:keepNext w:val="0"/>
              <w:keepLines w:val="0"/>
              <w:pageBreakBefore w:val="0"/>
              <w:widowControl/>
              <w:kinsoku/>
              <w:wordWrap/>
              <w:overflowPunct/>
              <w:topLinePunct w:val="0"/>
              <w:autoSpaceDE/>
              <w:autoSpaceDN/>
              <w:bidi w:val="0"/>
              <w:adjustRightInd/>
              <w:snapToGrid/>
              <w:spacing w:after="0" w:line="260" w:lineRule="auto"/>
              <w:jc w:val="left"/>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1.采用三射频设计，可工作在802.11a/b/g/n/ac/ac wave2/ax模式，提供官网截图证明</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2.整机协商速率≥5.375Gbps，且所有5G频段单频段速率≥2.4Gbps，提供官网截图证明。</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3.</w:t>
            </w:r>
            <w:r>
              <w:rPr>
                <w:rFonts w:hint="eastAsia" w:ascii="微软雅黑" w:hAnsi="微软雅黑" w:eastAsia="微软雅黑" w:cs="宋体"/>
                <w:color w:val="auto"/>
                <w:kern w:val="0"/>
                <w:sz w:val="22"/>
              </w:rPr>
              <w:t>⽀</w:t>
            </w:r>
            <w:r>
              <w:rPr>
                <w:rFonts w:hint="eastAsia" w:ascii="宋体" w:hAnsi="宋体" w:eastAsia="宋体" w:cs="宋体"/>
                <w:color w:val="auto"/>
                <w:kern w:val="0"/>
                <w:sz w:val="22"/>
              </w:rPr>
              <w:t>持物联网，支持BLE5.1/RFID/Zigbee，要求提供官网截图。</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4.满足壁挂、吸顶和面板安装方式，设备双网口设计可实现链路聚合和内外网隔离，提供官网截图。</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5.≥2个接口，其中1个固化100/1000M/2.5G电口，无需外置扩展，另有1个固化10M/100M/1000M电口，提供官网截图证明</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6.使用WIFI6真实终端接入测试，接入5GHz频段，在80MHz频宽下，单用户极限性能可达到930Mbps以上。</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7.★在AP的每个射频各接入1个WiFi6真实终端，整机无线转发总性能极限可达到2.2Gbps以上，要求提供工信部或下属实验室出具的第三方测试报告。</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8.使用100米的cat6类网线以太网口协商速率为2.5Gbps。</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9.★在网络拥塞情况下，通过对终端发送的报文进行识别，在多业务并行处理时，可以对关键业务（如视频会议、时延敏感类游戏等）优先处理从而实现应用加速，同时双WiFi功能对链路可靠性的提升，保证了用户使用体验。要求提供工信部或下属实验室出具的第三方测试报告。</w:t>
            </w:r>
          </w:p>
        </w:tc>
        <w:tc>
          <w:tcPr>
            <w:tcW w:w="0" w:type="auto"/>
            <w:tcBorders>
              <w:top w:val="nil"/>
              <w:left w:val="nil"/>
              <w:bottom w:val="single" w:color="auto" w:sz="4" w:space="0"/>
              <w:right w:val="single" w:color="auto" w:sz="4" w:space="0"/>
            </w:tcBorders>
            <w:noWrap/>
            <w:vAlign w:val="center"/>
          </w:tcPr>
          <w:p w14:paraId="5EDC5EB4">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4</w:t>
            </w:r>
          </w:p>
        </w:tc>
        <w:tc>
          <w:tcPr>
            <w:tcW w:w="0" w:type="auto"/>
            <w:tcBorders>
              <w:top w:val="nil"/>
              <w:left w:val="nil"/>
              <w:bottom w:val="single" w:color="auto" w:sz="4" w:space="0"/>
              <w:right w:val="single" w:color="auto" w:sz="4" w:space="0"/>
            </w:tcBorders>
            <w:noWrap/>
            <w:vAlign w:val="center"/>
          </w:tcPr>
          <w:p w14:paraId="4729F974">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台</w:t>
            </w:r>
          </w:p>
        </w:tc>
      </w:tr>
      <w:tr w14:paraId="15FCBAE3">
        <w:tblPrEx>
          <w:tblCellMar>
            <w:top w:w="0" w:type="dxa"/>
            <w:left w:w="108" w:type="dxa"/>
            <w:bottom w:w="0" w:type="dxa"/>
            <w:right w:w="108" w:type="dxa"/>
          </w:tblCellMar>
        </w:tblPrEx>
        <w:trPr>
          <w:trHeight w:val="567" w:hRule="atLeast"/>
        </w:trPr>
        <w:tc>
          <w:tcPr>
            <w:tcW w:w="0" w:type="auto"/>
            <w:tcBorders>
              <w:top w:val="nil"/>
              <w:left w:val="single" w:color="auto" w:sz="4" w:space="0"/>
              <w:bottom w:val="single" w:color="auto" w:sz="4" w:space="0"/>
              <w:right w:val="single" w:color="auto" w:sz="4" w:space="0"/>
            </w:tcBorders>
            <w:vAlign w:val="center"/>
          </w:tcPr>
          <w:p w14:paraId="17A208DF">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2</w:t>
            </w:r>
          </w:p>
        </w:tc>
        <w:tc>
          <w:tcPr>
            <w:tcW w:w="0" w:type="auto"/>
            <w:tcBorders>
              <w:top w:val="nil"/>
              <w:left w:val="nil"/>
              <w:bottom w:val="single" w:color="auto" w:sz="4" w:space="0"/>
              <w:right w:val="single" w:color="auto" w:sz="4" w:space="0"/>
            </w:tcBorders>
            <w:noWrap/>
            <w:vAlign w:val="center"/>
          </w:tcPr>
          <w:p w14:paraId="3E3B225C">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16口交换机</w:t>
            </w:r>
          </w:p>
        </w:tc>
        <w:tc>
          <w:tcPr>
            <w:tcW w:w="0" w:type="auto"/>
            <w:tcBorders>
              <w:top w:val="nil"/>
              <w:left w:val="nil"/>
              <w:bottom w:val="single" w:color="auto" w:sz="4" w:space="0"/>
              <w:right w:val="single" w:color="auto" w:sz="4" w:space="0"/>
            </w:tcBorders>
            <w:vAlign w:val="center"/>
          </w:tcPr>
          <w:p w14:paraId="7DA20AF8">
            <w:pPr>
              <w:keepNext w:val="0"/>
              <w:keepLines w:val="0"/>
              <w:pageBreakBefore w:val="0"/>
              <w:widowControl/>
              <w:kinsoku/>
              <w:wordWrap/>
              <w:overflowPunct/>
              <w:topLinePunct w:val="0"/>
              <w:autoSpaceDE/>
              <w:autoSpaceDN/>
              <w:bidi w:val="0"/>
              <w:adjustRightInd/>
              <w:snapToGrid/>
              <w:spacing w:after="0" w:line="260" w:lineRule="auto"/>
              <w:jc w:val="left"/>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1.交换容量≥672Gbps，包转发率≥102Mpps</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2.接口：8个10/100/1000BASE-T POE电口，4个1000 BASE-X SFP端口；</w:t>
            </w:r>
          </w:p>
        </w:tc>
        <w:tc>
          <w:tcPr>
            <w:tcW w:w="0" w:type="auto"/>
            <w:tcBorders>
              <w:top w:val="nil"/>
              <w:left w:val="nil"/>
              <w:bottom w:val="single" w:color="auto" w:sz="4" w:space="0"/>
              <w:right w:val="single" w:color="auto" w:sz="4" w:space="0"/>
            </w:tcBorders>
            <w:noWrap/>
            <w:vAlign w:val="center"/>
          </w:tcPr>
          <w:p w14:paraId="4C8BCD58">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1</w:t>
            </w:r>
          </w:p>
        </w:tc>
        <w:tc>
          <w:tcPr>
            <w:tcW w:w="0" w:type="auto"/>
            <w:tcBorders>
              <w:top w:val="nil"/>
              <w:left w:val="nil"/>
              <w:bottom w:val="single" w:color="auto" w:sz="4" w:space="0"/>
              <w:right w:val="single" w:color="auto" w:sz="4" w:space="0"/>
            </w:tcBorders>
            <w:noWrap/>
            <w:vAlign w:val="center"/>
          </w:tcPr>
          <w:p w14:paraId="2A518F8C">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台</w:t>
            </w:r>
          </w:p>
        </w:tc>
      </w:tr>
      <w:tr w14:paraId="60E69E63">
        <w:tblPrEx>
          <w:tblCellMar>
            <w:top w:w="0" w:type="dxa"/>
            <w:left w:w="108" w:type="dxa"/>
            <w:bottom w:w="0" w:type="dxa"/>
            <w:right w:w="108" w:type="dxa"/>
          </w:tblCellMar>
        </w:tblPrEx>
        <w:trPr>
          <w:trHeight w:val="567" w:hRule="atLeast"/>
        </w:trPr>
        <w:tc>
          <w:tcPr>
            <w:tcW w:w="0" w:type="auto"/>
            <w:tcBorders>
              <w:top w:val="nil"/>
              <w:left w:val="single" w:color="auto" w:sz="4" w:space="0"/>
              <w:bottom w:val="single" w:color="auto" w:sz="4" w:space="0"/>
              <w:right w:val="single" w:color="auto" w:sz="4" w:space="0"/>
            </w:tcBorders>
            <w:vAlign w:val="center"/>
          </w:tcPr>
          <w:p w14:paraId="1B9A65D1">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3</w:t>
            </w:r>
          </w:p>
        </w:tc>
        <w:tc>
          <w:tcPr>
            <w:tcW w:w="0" w:type="auto"/>
            <w:tcBorders>
              <w:top w:val="nil"/>
              <w:left w:val="nil"/>
              <w:bottom w:val="single" w:color="auto" w:sz="4" w:space="0"/>
              <w:right w:val="single" w:color="auto" w:sz="4" w:space="0"/>
            </w:tcBorders>
            <w:noWrap/>
            <w:vAlign w:val="center"/>
          </w:tcPr>
          <w:p w14:paraId="0D40C41E">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6类网线</w:t>
            </w:r>
          </w:p>
        </w:tc>
        <w:tc>
          <w:tcPr>
            <w:tcW w:w="0" w:type="auto"/>
            <w:tcBorders>
              <w:top w:val="nil"/>
              <w:left w:val="nil"/>
              <w:bottom w:val="single" w:color="auto" w:sz="4" w:space="0"/>
              <w:right w:val="single" w:color="auto" w:sz="4" w:space="0"/>
            </w:tcBorders>
            <w:vAlign w:val="center"/>
          </w:tcPr>
          <w:p w14:paraId="08B0676D">
            <w:pPr>
              <w:keepNext w:val="0"/>
              <w:keepLines w:val="0"/>
              <w:pageBreakBefore w:val="0"/>
              <w:widowControl/>
              <w:kinsoku/>
              <w:wordWrap/>
              <w:overflowPunct/>
              <w:topLinePunct w:val="0"/>
              <w:autoSpaceDE/>
              <w:autoSpaceDN/>
              <w:bidi w:val="0"/>
              <w:adjustRightInd/>
              <w:snapToGrid/>
              <w:spacing w:after="0" w:line="260" w:lineRule="auto"/>
              <w:jc w:val="left"/>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6类网线、含综合布线</w:t>
            </w:r>
          </w:p>
        </w:tc>
        <w:tc>
          <w:tcPr>
            <w:tcW w:w="0" w:type="auto"/>
            <w:tcBorders>
              <w:top w:val="nil"/>
              <w:left w:val="nil"/>
              <w:bottom w:val="single" w:color="auto" w:sz="4" w:space="0"/>
              <w:right w:val="single" w:color="auto" w:sz="4" w:space="0"/>
            </w:tcBorders>
            <w:vAlign w:val="center"/>
          </w:tcPr>
          <w:p w14:paraId="727C80BC">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2</w:t>
            </w:r>
          </w:p>
        </w:tc>
        <w:tc>
          <w:tcPr>
            <w:tcW w:w="0" w:type="auto"/>
            <w:tcBorders>
              <w:top w:val="nil"/>
              <w:left w:val="nil"/>
              <w:bottom w:val="single" w:color="auto" w:sz="4" w:space="0"/>
              <w:right w:val="single" w:color="auto" w:sz="4" w:space="0"/>
            </w:tcBorders>
            <w:vAlign w:val="center"/>
          </w:tcPr>
          <w:p w14:paraId="2D6398B8">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箱</w:t>
            </w:r>
          </w:p>
        </w:tc>
      </w:tr>
      <w:tr w14:paraId="2843405D">
        <w:tblPrEx>
          <w:tblCellMar>
            <w:top w:w="0" w:type="dxa"/>
            <w:left w:w="108" w:type="dxa"/>
            <w:bottom w:w="0" w:type="dxa"/>
            <w:right w:w="108" w:type="dxa"/>
          </w:tblCellMar>
        </w:tblPrEx>
        <w:trPr>
          <w:trHeight w:val="567" w:hRule="atLeast"/>
        </w:trPr>
        <w:tc>
          <w:tcPr>
            <w:tcW w:w="0" w:type="auto"/>
            <w:tcBorders>
              <w:top w:val="nil"/>
              <w:left w:val="single" w:color="auto" w:sz="4" w:space="0"/>
              <w:bottom w:val="single" w:color="auto" w:sz="4" w:space="0"/>
              <w:right w:val="single" w:color="auto" w:sz="4" w:space="0"/>
            </w:tcBorders>
            <w:vAlign w:val="center"/>
          </w:tcPr>
          <w:p w14:paraId="0A572A1D">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5</w:t>
            </w:r>
          </w:p>
        </w:tc>
        <w:tc>
          <w:tcPr>
            <w:tcW w:w="0" w:type="auto"/>
            <w:tcBorders>
              <w:top w:val="nil"/>
              <w:left w:val="nil"/>
              <w:bottom w:val="single" w:color="auto" w:sz="4" w:space="0"/>
              <w:right w:val="single" w:color="auto" w:sz="4" w:space="0"/>
            </w:tcBorders>
            <w:vAlign w:val="center"/>
          </w:tcPr>
          <w:p w14:paraId="4CF74E76">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触控信息终端</w:t>
            </w:r>
          </w:p>
        </w:tc>
        <w:tc>
          <w:tcPr>
            <w:tcW w:w="0" w:type="auto"/>
            <w:tcBorders>
              <w:top w:val="nil"/>
              <w:left w:val="nil"/>
              <w:bottom w:val="single" w:color="auto" w:sz="4" w:space="0"/>
              <w:right w:val="single" w:color="auto" w:sz="4" w:space="0"/>
            </w:tcBorders>
            <w:vAlign w:val="center"/>
          </w:tcPr>
          <w:p w14:paraId="4689D9FC">
            <w:pPr>
              <w:keepNext w:val="0"/>
              <w:keepLines w:val="0"/>
              <w:pageBreakBefore w:val="0"/>
              <w:widowControl/>
              <w:kinsoku/>
              <w:wordWrap/>
              <w:overflowPunct/>
              <w:topLinePunct w:val="0"/>
              <w:autoSpaceDE/>
              <w:autoSpaceDN/>
              <w:bidi w:val="0"/>
              <w:adjustRightInd/>
              <w:snapToGrid/>
              <w:spacing w:after="0" w:line="260" w:lineRule="auto"/>
              <w:jc w:val="left"/>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显示模式：标准、用户、动态、亮丽</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像素间距：0.1645 (H) mm × 0.4935 (V) mm，物理分辨率：3840 × 2160</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亮度：350 cd/m²</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对比度：1200 : 1</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响应时间：8 ms</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对角线尺寸：85.6 inch</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色彩饱和度：72% NTSC</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活动域：1895.04 (H) mm × 1065.96 (V) mm</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材质：A规屏</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智能参数：</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镜头：内置1600W摄像头</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触控参数：</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触摸方式：红外触摸</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玻璃：AG钢化玻璃</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触控点：40点触控</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触控响应速度：≤ 5 ms</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玻璃透过率：≥  88%</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输入方式：手指或专用笔</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差值分辨率：32767 × 32767</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 xml:space="preserve">最小触摸物体：2 mm（中间90%区域） </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理论点击次数：无限次</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抗强光干扰：在强光照射下，触控和书写正常</w:t>
            </w:r>
          </w:p>
        </w:tc>
        <w:tc>
          <w:tcPr>
            <w:tcW w:w="0" w:type="auto"/>
            <w:tcBorders>
              <w:top w:val="nil"/>
              <w:left w:val="nil"/>
              <w:bottom w:val="single" w:color="auto" w:sz="4" w:space="0"/>
              <w:right w:val="single" w:color="auto" w:sz="4" w:space="0"/>
            </w:tcBorders>
            <w:vAlign w:val="center"/>
          </w:tcPr>
          <w:p w14:paraId="317C7F93">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3</w:t>
            </w:r>
          </w:p>
        </w:tc>
        <w:tc>
          <w:tcPr>
            <w:tcW w:w="0" w:type="auto"/>
            <w:tcBorders>
              <w:top w:val="nil"/>
              <w:left w:val="nil"/>
              <w:bottom w:val="single" w:color="auto" w:sz="4" w:space="0"/>
              <w:right w:val="single" w:color="auto" w:sz="4" w:space="0"/>
            </w:tcBorders>
            <w:vAlign w:val="center"/>
          </w:tcPr>
          <w:p w14:paraId="1036FAE1">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套</w:t>
            </w:r>
          </w:p>
        </w:tc>
      </w:tr>
      <w:tr w14:paraId="6D679776">
        <w:tblPrEx>
          <w:tblCellMar>
            <w:top w:w="0" w:type="dxa"/>
            <w:left w:w="108" w:type="dxa"/>
            <w:bottom w:w="0" w:type="dxa"/>
            <w:right w:w="108" w:type="dxa"/>
          </w:tblCellMar>
        </w:tblPrEx>
        <w:trPr>
          <w:trHeight w:val="567" w:hRule="atLeast"/>
        </w:trPr>
        <w:tc>
          <w:tcPr>
            <w:tcW w:w="0" w:type="auto"/>
            <w:gridSpan w:val="5"/>
            <w:tcBorders>
              <w:top w:val="single" w:color="auto" w:sz="4" w:space="0"/>
              <w:left w:val="single" w:color="auto" w:sz="4" w:space="0"/>
              <w:bottom w:val="single" w:color="auto" w:sz="4" w:space="0"/>
              <w:right w:val="single" w:color="auto" w:sz="4" w:space="0"/>
            </w:tcBorders>
            <w:shd w:val="clear" w:color="000000" w:fill="FFD966"/>
            <w:noWrap/>
            <w:vAlign w:val="center"/>
          </w:tcPr>
          <w:p w14:paraId="3708F339">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一、智能化设施</w:t>
            </w:r>
          </w:p>
        </w:tc>
      </w:tr>
      <w:tr w14:paraId="799BEE34">
        <w:tblPrEx>
          <w:tblCellMar>
            <w:top w:w="0" w:type="dxa"/>
            <w:left w:w="108" w:type="dxa"/>
            <w:bottom w:w="0" w:type="dxa"/>
            <w:right w:w="108" w:type="dxa"/>
          </w:tblCellMar>
        </w:tblPrEx>
        <w:trPr>
          <w:trHeight w:val="567" w:hRule="atLeast"/>
        </w:trPr>
        <w:tc>
          <w:tcPr>
            <w:tcW w:w="0" w:type="auto"/>
            <w:tcBorders>
              <w:top w:val="nil"/>
              <w:left w:val="single" w:color="auto" w:sz="4" w:space="0"/>
              <w:bottom w:val="single" w:color="auto" w:sz="4" w:space="0"/>
              <w:right w:val="single" w:color="auto" w:sz="4" w:space="0"/>
            </w:tcBorders>
            <w:noWrap/>
            <w:vAlign w:val="center"/>
          </w:tcPr>
          <w:p w14:paraId="3A2A8E31">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1</w:t>
            </w:r>
          </w:p>
        </w:tc>
        <w:tc>
          <w:tcPr>
            <w:tcW w:w="0" w:type="auto"/>
            <w:tcBorders>
              <w:top w:val="nil"/>
              <w:left w:val="nil"/>
              <w:bottom w:val="single" w:color="auto" w:sz="4" w:space="0"/>
              <w:right w:val="single" w:color="auto" w:sz="4" w:space="0"/>
            </w:tcBorders>
            <w:noWrap/>
            <w:vAlign w:val="center"/>
          </w:tcPr>
          <w:p w14:paraId="0D9DBF40">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发布展示终端</w:t>
            </w:r>
          </w:p>
        </w:tc>
        <w:tc>
          <w:tcPr>
            <w:tcW w:w="0" w:type="auto"/>
            <w:tcBorders>
              <w:top w:val="nil"/>
              <w:left w:val="nil"/>
              <w:bottom w:val="single" w:color="auto" w:sz="4" w:space="0"/>
              <w:right w:val="single" w:color="auto" w:sz="4" w:space="0"/>
            </w:tcBorders>
            <w:vAlign w:val="center"/>
          </w:tcPr>
          <w:p w14:paraId="77BEBEBB">
            <w:pPr>
              <w:keepNext w:val="0"/>
              <w:keepLines w:val="0"/>
              <w:pageBreakBefore w:val="0"/>
              <w:widowControl/>
              <w:kinsoku/>
              <w:wordWrap/>
              <w:overflowPunct/>
              <w:topLinePunct w:val="0"/>
              <w:autoSpaceDE/>
              <w:autoSpaceDN/>
              <w:bidi w:val="0"/>
              <w:adjustRightInd/>
              <w:snapToGrid/>
              <w:spacing w:after="0" w:line="260" w:lineRule="auto"/>
              <w:jc w:val="left"/>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像素间距：1.538mm，像素密度：422500点/㎡ ，维护方式：完全前维护 ，灯珠尺寸：1212</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模组尺寸：320（W）× 160（H）× 28.6（D） mm（含磁铁厚度），模组分辨率：208 × 104</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 xml:space="preserve">防护等级：IP30，套件材质：塑壳 </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 xml:space="preserve">封装品牌：国产铜线 </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白平衡亮度：500 cd/㎡，色温：3000-10000 K可调，可视角：160°(H)/160°(V)，对比度：3000：1，色度均匀性：± 0.003Cx，Cy之内，亮度均匀性：≥ 97％</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驱动方式：恒流驱动</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 xml:space="preserve">扫描数：52S，换帧频率：60 Hz，刷新率：3840 Hz   </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★支持信源接入状态显示,可通过物理按键、客户端、遥控器、设备自带Web 浏览器进行信源切换。（提供首页具有CNAS及CMA标识的第三方检测报告复印件并加盖</w:t>
            </w:r>
            <w:r>
              <w:rPr>
                <w:rFonts w:hint="eastAsia" w:ascii="宋体" w:hAnsi="宋体" w:cs="宋体"/>
                <w:color w:val="auto"/>
                <w:kern w:val="0"/>
                <w:sz w:val="22"/>
                <w:lang w:eastAsia="zh-CN"/>
              </w:rPr>
              <w:t>公章</w:t>
            </w:r>
            <w:r>
              <w:rPr>
                <w:rFonts w:hint="eastAsia" w:ascii="宋体" w:hAnsi="宋体" w:eastAsia="宋体" w:cs="宋体"/>
                <w:color w:val="auto"/>
                <w:kern w:val="0"/>
                <w:sz w:val="22"/>
              </w:rPr>
              <w:t>）</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★支持从客户端、设备自带 Web 浏览器查看绑定的接收卡序号、接收卡型号、接收卡软件版本、网口 link 状态、接收卡电压、接收卡温度。（提供首页具有CNAS及CMA标识的第三方检测报告复印件并加盖</w:t>
            </w:r>
            <w:r>
              <w:rPr>
                <w:rFonts w:hint="eastAsia" w:ascii="宋体" w:hAnsi="宋体" w:cs="宋体"/>
                <w:color w:val="auto"/>
                <w:kern w:val="0"/>
                <w:sz w:val="22"/>
                <w:lang w:eastAsia="zh-CN"/>
              </w:rPr>
              <w:t>公章</w:t>
            </w:r>
            <w:r>
              <w:rPr>
                <w:rFonts w:hint="eastAsia" w:ascii="宋体" w:hAnsi="宋体" w:eastAsia="宋体" w:cs="宋体"/>
                <w:color w:val="auto"/>
                <w:kern w:val="0"/>
                <w:sz w:val="22"/>
              </w:rPr>
              <w:t>）</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★视网膜蓝光危害:符合 GB/T 20145-2006 标准要求,对样品发光器件(灯珠)蓝色光的波长进行测试。为保证产品屏幕光看起来柔和不刺眼,产品需要具备蓝光护眼多重过渡保护系统显示屏调到蓝光最亮状态下测试,蓝光危害加权辐亮度值(LB)应优于国标限量值≤100W·m-2·sr-1，并在2.8h内不造成对视网膜蓝光伤害(LB)，蓝光视网膜危害应属无危害类。（提供首页具有CNAS及CMA标识的第三方检测报告复印件并加盖</w:t>
            </w:r>
            <w:r>
              <w:rPr>
                <w:rFonts w:hint="eastAsia" w:ascii="宋体" w:hAnsi="宋体" w:cs="宋体"/>
                <w:color w:val="auto"/>
                <w:kern w:val="0"/>
                <w:sz w:val="22"/>
                <w:lang w:eastAsia="zh-CN"/>
              </w:rPr>
              <w:t>公章</w:t>
            </w:r>
            <w:r>
              <w:rPr>
                <w:rFonts w:hint="eastAsia" w:ascii="宋体" w:hAnsi="宋体" w:eastAsia="宋体" w:cs="宋体"/>
                <w:color w:val="auto"/>
                <w:kern w:val="0"/>
                <w:sz w:val="22"/>
              </w:rPr>
              <w:t>）</w:t>
            </w:r>
          </w:p>
        </w:tc>
        <w:tc>
          <w:tcPr>
            <w:tcW w:w="0" w:type="auto"/>
            <w:tcBorders>
              <w:top w:val="nil"/>
              <w:left w:val="nil"/>
              <w:bottom w:val="single" w:color="auto" w:sz="4" w:space="0"/>
              <w:right w:val="single" w:color="auto" w:sz="4" w:space="0"/>
            </w:tcBorders>
            <w:vAlign w:val="center"/>
          </w:tcPr>
          <w:p w14:paraId="6BA80CE2">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24.3</w:t>
            </w:r>
          </w:p>
        </w:tc>
        <w:tc>
          <w:tcPr>
            <w:tcW w:w="0" w:type="auto"/>
            <w:tcBorders>
              <w:top w:val="nil"/>
              <w:left w:val="nil"/>
              <w:bottom w:val="single" w:color="auto" w:sz="4" w:space="0"/>
              <w:right w:val="single" w:color="auto" w:sz="4" w:space="0"/>
            </w:tcBorders>
            <w:vAlign w:val="center"/>
          </w:tcPr>
          <w:p w14:paraId="29032B2C">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平方</w:t>
            </w:r>
          </w:p>
        </w:tc>
      </w:tr>
      <w:tr w14:paraId="1F3A6570">
        <w:tblPrEx>
          <w:tblCellMar>
            <w:top w:w="0" w:type="dxa"/>
            <w:left w:w="108" w:type="dxa"/>
            <w:bottom w:w="0" w:type="dxa"/>
            <w:right w:w="108" w:type="dxa"/>
          </w:tblCellMar>
        </w:tblPrEx>
        <w:trPr>
          <w:trHeight w:val="567" w:hRule="atLeast"/>
        </w:trPr>
        <w:tc>
          <w:tcPr>
            <w:tcW w:w="0" w:type="auto"/>
            <w:tcBorders>
              <w:top w:val="nil"/>
              <w:left w:val="single" w:color="auto" w:sz="4" w:space="0"/>
              <w:bottom w:val="single" w:color="auto" w:sz="4" w:space="0"/>
              <w:right w:val="single" w:color="auto" w:sz="4" w:space="0"/>
            </w:tcBorders>
            <w:noWrap/>
            <w:vAlign w:val="center"/>
          </w:tcPr>
          <w:p w14:paraId="6E0E3C12">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2</w:t>
            </w:r>
          </w:p>
        </w:tc>
        <w:tc>
          <w:tcPr>
            <w:tcW w:w="0" w:type="auto"/>
            <w:tcBorders>
              <w:top w:val="nil"/>
              <w:left w:val="nil"/>
              <w:bottom w:val="single" w:color="auto" w:sz="4" w:space="0"/>
              <w:right w:val="single" w:color="auto" w:sz="4" w:space="0"/>
            </w:tcBorders>
            <w:noWrap/>
            <w:vAlign w:val="center"/>
          </w:tcPr>
          <w:p w14:paraId="3323700E">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发送卡</w:t>
            </w:r>
          </w:p>
        </w:tc>
        <w:tc>
          <w:tcPr>
            <w:tcW w:w="0" w:type="auto"/>
            <w:tcBorders>
              <w:top w:val="nil"/>
              <w:left w:val="nil"/>
              <w:bottom w:val="single" w:color="auto" w:sz="4" w:space="0"/>
              <w:right w:val="single" w:color="auto" w:sz="4" w:space="0"/>
            </w:tcBorders>
            <w:vAlign w:val="center"/>
          </w:tcPr>
          <w:p w14:paraId="718EAA1E">
            <w:pPr>
              <w:keepNext w:val="0"/>
              <w:keepLines w:val="0"/>
              <w:pageBreakBefore w:val="0"/>
              <w:widowControl/>
              <w:kinsoku/>
              <w:wordWrap/>
              <w:overflowPunct/>
              <w:topLinePunct w:val="0"/>
              <w:autoSpaceDE/>
              <w:autoSpaceDN/>
              <w:bidi w:val="0"/>
              <w:adjustRightInd/>
              <w:snapToGrid/>
              <w:spacing w:after="0" w:line="260" w:lineRule="auto"/>
              <w:jc w:val="left"/>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视频输入接口：HDMI1.4*1</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视频输入分辨率：总分辨率不超过260W@60，可自定义分辨率，最大支持分辨率：2048*1269@60Hz，最小支持分辨率：320*180@60Hz</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视频输入极限宽度：320~4096</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 xml:space="preserve">视频输入极限高度：180~4096 </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带载输出接口：千兆网口*6</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视频输出极限宽度：320~5120</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带载输出分辨率：单网口带载65W，最大带载390万像素，可自定义分辨率</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 xml:space="preserve">视频输出极限高度：180~5120 </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 xml:space="preserve">音频输入接口：HDMI内嵌*1 </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 xml:space="preserve">音频输出接口：LINE OUT 3.5mm*1 </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产品尺寸：210×180×42mm（1U、半宽）</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电源：100～240 VAC，50/60 Hz</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 xml:space="preserve">整机功耗：≤14W </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具有2个控制网口，支持TCP/IP网络协议，双网口均可用于控制设备或设备网络级联，其中一个接口用于控制设备时，另外一个网口就用于设备网络级联。（提供首页具有CNAS或CMA标识的第三方检测报告复印件并加盖</w:t>
            </w:r>
            <w:r>
              <w:rPr>
                <w:rFonts w:hint="eastAsia" w:ascii="宋体" w:hAnsi="宋体" w:cs="宋体"/>
                <w:color w:val="auto"/>
                <w:kern w:val="0"/>
                <w:sz w:val="22"/>
                <w:lang w:eastAsia="zh-CN"/>
              </w:rPr>
              <w:t>公章</w:t>
            </w:r>
            <w:r>
              <w:rPr>
                <w:rFonts w:hint="eastAsia" w:ascii="宋体" w:hAnsi="宋体" w:eastAsia="宋体" w:cs="宋体"/>
                <w:color w:val="auto"/>
                <w:kern w:val="0"/>
                <w:sz w:val="22"/>
              </w:rPr>
              <w:t>）</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★支持射频遥控器和红外两种遥控器。射频遥控器最远距离10m，可穿过建筑物墙壁进行遥控。（提供首页具有CNAS或CMA标识的第三方检测报告复印件并加盖</w:t>
            </w:r>
            <w:r>
              <w:rPr>
                <w:rFonts w:hint="eastAsia" w:ascii="宋体" w:hAnsi="宋体" w:cs="宋体"/>
                <w:color w:val="auto"/>
                <w:kern w:val="0"/>
                <w:sz w:val="22"/>
                <w:lang w:eastAsia="zh-CN"/>
              </w:rPr>
              <w:t>公章</w:t>
            </w:r>
            <w:r>
              <w:rPr>
                <w:rFonts w:hint="eastAsia" w:ascii="宋体" w:hAnsi="宋体" w:eastAsia="宋体" w:cs="宋体"/>
                <w:color w:val="auto"/>
                <w:kern w:val="0"/>
                <w:sz w:val="22"/>
              </w:rPr>
              <w:t>）</w:t>
            </w:r>
          </w:p>
        </w:tc>
        <w:tc>
          <w:tcPr>
            <w:tcW w:w="0" w:type="auto"/>
            <w:tcBorders>
              <w:top w:val="nil"/>
              <w:left w:val="nil"/>
              <w:bottom w:val="single" w:color="auto" w:sz="4" w:space="0"/>
              <w:right w:val="single" w:color="auto" w:sz="4" w:space="0"/>
            </w:tcBorders>
            <w:vAlign w:val="center"/>
          </w:tcPr>
          <w:p w14:paraId="0921235C">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6</w:t>
            </w:r>
          </w:p>
        </w:tc>
        <w:tc>
          <w:tcPr>
            <w:tcW w:w="0" w:type="auto"/>
            <w:tcBorders>
              <w:top w:val="nil"/>
              <w:left w:val="nil"/>
              <w:bottom w:val="single" w:color="auto" w:sz="4" w:space="0"/>
              <w:right w:val="single" w:color="auto" w:sz="4" w:space="0"/>
            </w:tcBorders>
            <w:vAlign w:val="center"/>
          </w:tcPr>
          <w:p w14:paraId="5756279C">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台</w:t>
            </w:r>
          </w:p>
        </w:tc>
      </w:tr>
      <w:tr w14:paraId="50FBA1E2">
        <w:tblPrEx>
          <w:tblCellMar>
            <w:top w:w="0" w:type="dxa"/>
            <w:left w:w="108" w:type="dxa"/>
            <w:bottom w:w="0" w:type="dxa"/>
            <w:right w:w="108" w:type="dxa"/>
          </w:tblCellMar>
        </w:tblPrEx>
        <w:trPr>
          <w:trHeight w:val="567" w:hRule="atLeast"/>
        </w:trPr>
        <w:tc>
          <w:tcPr>
            <w:tcW w:w="0" w:type="auto"/>
            <w:tcBorders>
              <w:top w:val="nil"/>
              <w:left w:val="single" w:color="auto" w:sz="4" w:space="0"/>
              <w:bottom w:val="single" w:color="auto" w:sz="4" w:space="0"/>
              <w:right w:val="single" w:color="auto" w:sz="4" w:space="0"/>
            </w:tcBorders>
            <w:noWrap/>
            <w:vAlign w:val="center"/>
          </w:tcPr>
          <w:p w14:paraId="1E524465">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3</w:t>
            </w:r>
          </w:p>
        </w:tc>
        <w:tc>
          <w:tcPr>
            <w:tcW w:w="0" w:type="auto"/>
            <w:tcBorders>
              <w:top w:val="nil"/>
              <w:left w:val="nil"/>
              <w:bottom w:val="single" w:color="auto" w:sz="4" w:space="0"/>
              <w:right w:val="single" w:color="auto" w:sz="4" w:space="0"/>
            </w:tcBorders>
            <w:noWrap/>
            <w:vAlign w:val="center"/>
          </w:tcPr>
          <w:p w14:paraId="55168DD6">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支架</w:t>
            </w:r>
          </w:p>
        </w:tc>
        <w:tc>
          <w:tcPr>
            <w:tcW w:w="0" w:type="auto"/>
            <w:tcBorders>
              <w:top w:val="nil"/>
              <w:left w:val="nil"/>
              <w:bottom w:val="single" w:color="auto" w:sz="4" w:space="0"/>
              <w:right w:val="single" w:color="auto" w:sz="4" w:space="0"/>
            </w:tcBorders>
            <w:vAlign w:val="center"/>
          </w:tcPr>
          <w:p w14:paraId="5D4C3EF4">
            <w:pPr>
              <w:keepNext w:val="0"/>
              <w:keepLines w:val="0"/>
              <w:pageBreakBefore w:val="0"/>
              <w:widowControl/>
              <w:kinsoku/>
              <w:wordWrap/>
              <w:overflowPunct/>
              <w:topLinePunct w:val="0"/>
              <w:autoSpaceDE/>
              <w:autoSpaceDN/>
              <w:bidi w:val="0"/>
              <w:adjustRightInd/>
              <w:snapToGrid/>
              <w:spacing w:after="0" w:line="260" w:lineRule="auto"/>
              <w:jc w:val="left"/>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钢结构支架以及不锈钢包边</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1、安装结构具有耐盐雾腐蚀性能和抗氧化性。</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2、有防高温，防阻燃，防静电防护措施。</w:t>
            </w:r>
          </w:p>
        </w:tc>
        <w:tc>
          <w:tcPr>
            <w:tcW w:w="0" w:type="auto"/>
            <w:tcBorders>
              <w:top w:val="nil"/>
              <w:left w:val="nil"/>
              <w:bottom w:val="single" w:color="auto" w:sz="4" w:space="0"/>
              <w:right w:val="single" w:color="auto" w:sz="4" w:space="0"/>
            </w:tcBorders>
            <w:vAlign w:val="center"/>
          </w:tcPr>
          <w:p w14:paraId="51180C47">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24.3</w:t>
            </w:r>
          </w:p>
        </w:tc>
        <w:tc>
          <w:tcPr>
            <w:tcW w:w="0" w:type="auto"/>
            <w:tcBorders>
              <w:top w:val="nil"/>
              <w:left w:val="nil"/>
              <w:bottom w:val="single" w:color="auto" w:sz="4" w:space="0"/>
              <w:right w:val="single" w:color="auto" w:sz="4" w:space="0"/>
            </w:tcBorders>
            <w:vAlign w:val="center"/>
          </w:tcPr>
          <w:p w14:paraId="229BE061">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平方米</w:t>
            </w:r>
          </w:p>
        </w:tc>
      </w:tr>
      <w:tr w14:paraId="6F64D0C6">
        <w:tblPrEx>
          <w:tblCellMar>
            <w:top w:w="0" w:type="dxa"/>
            <w:left w:w="108" w:type="dxa"/>
            <w:bottom w:w="0" w:type="dxa"/>
            <w:right w:w="108" w:type="dxa"/>
          </w:tblCellMar>
        </w:tblPrEx>
        <w:trPr>
          <w:trHeight w:val="567" w:hRule="atLeast"/>
        </w:trPr>
        <w:tc>
          <w:tcPr>
            <w:tcW w:w="0" w:type="auto"/>
            <w:tcBorders>
              <w:top w:val="nil"/>
              <w:left w:val="single" w:color="auto" w:sz="4" w:space="0"/>
              <w:bottom w:val="single" w:color="auto" w:sz="4" w:space="0"/>
              <w:right w:val="single" w:color="auto" w:sz="4" w:space="0"/>
            </w:tcBorders>
            <w:noWrap/>
            <w:vAlign w:val="center"/>
          </w:tcPr>
          <w:p w14:paraId="607E413A">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4</w:t>
            </w:r>
          </w:p>
        </w:tc>
        <w:tc>
          <w:tcPr>
            <w:tcW w:w="0" w:type="auto"/>
            <w:tcBorders>
              <w:top w:val="nil"/>
              <w:left w:val="nil"/>
              <w:bottom w:val="single" w:color="auto" w:sz="4" w:space="0"/>
              <w:right w:val="single" w:color="auto" w:sz="4" w:space="0"/>
            </w:tcBorders>
            <w:noWrap/>
            <w:vAlign w:val="center"/>
          </w:tcPr>
          <w:p w14:paraId="66993E03">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视频综合处理器</w:t>
            </w:r>
          </w:p>
        </w:tc>
        <w:tc>
          <w:tcPr>
            <w:tcW w:w="0" w:type="auto"/>
            <w:tcBorders>
              <w:top w:val="nil"/>
              <w:left w:val="nil"/>
              <w:bottom w:val="single" w:color="auto" w:sz="4" w:space="0"/>
              <w:right w:val="single" w:color="auto" w:sz="4" w:space="0"/>
            </w:tcBorders>
            <w:vAlign w:val="center"/>
          </w:tcPr>
          <w:p w14:paraId="1FECE12B">
            <w:pPr>
              <w:keepNext w:val="0"/>
              <w:keepLines w:val="0"/>
              <w:pageBreakBefore w:val="0"/>
              <w:widowControl/>
              <w:kinsoku/>
              <w:wordWrap/>
              <w:overflowPunct/>
              <w:topLinePunct w:val="0"/>
              <w:autoSpaceDE/>
              <w:autoSpaceDN/>
              <w:bidi w:val="0"/>
              <w:adjustRightInd/>
              <w:snapToGrid/>
              <w:spacing w:after="0" w:line="260" w:lineRule="auto"/>
              <w:jc w:val="left"/>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 xml:space="preserve">全彩液晶可触控面板，尺寸： 4.5英寸，分辨率： 480 × 854 </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光口：1个SFP+，万兆光口</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 xml:space="preserve">USB接口：2 × USB 2.0 + 1 × Type-C (预留) </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电源接口：1个，100 VAC~ 240 VAC，50/60 Hz</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 xml:space="preserve">整机功耗：200 W </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网络传输协议：1、视频流协议支持SDK、RTSP、ONVIF、GB28181协议；</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 xml:space="preserve">2、传输协议：TCP、UDP </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电视墙数量：8</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电视墙规模：16 × 20</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输入源复制能力：一拖多32路</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图层数：2K子板：单输出口最多6个1080P图层</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4K子板：单输出口最多12个1080P或6个4K图层</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二合一子板：单板12个1080P图层或3个4K图层</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场景数量：128个</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场景切换延时：300 ms</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预案数量：单墙支持8个预案</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超高清融合规模：支持（最大12路）</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 xml:space="preserve">底图：支持（数量：4，最大分辨率：8192 × 4320，最小分辨率：1280 × 720格式：jpeg/jpg） </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字幕数量：单墙最多4条字幕，其中最多一个时钟字幕</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输入图像裁剪：支持（上下左右各200个像素)</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本地源上墙延时：70 ms</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窗口画面分割数：支持1/2/4/6/8/9/12/16分屏</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 xml:space="preserve">电视墙回显：单墙回显分辨率4K30，单电视墙最多支持8路同时回显 </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工作温度：0℃～50℃</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整机拼接能力：24路</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整机编码能力：24路1080P60或12路4K60</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 xml:space="preserve">整机解码能力：12路1080P30 </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产品具有触摸显示屏，显示屏为4.5英寸，可通过显示屏查看设备状态信息，可查看温度/风扇/网络带宽/网络状态/子板在线情况/CPU、内存等运行图标信息，及异常报警；（提供首页具有CNAS或CMA标识的第三方检测报告复印件并加盖</w:t>
            </w:r>
            <w:r>
              <w:rPr>
                <w:rFonts w:hint="eastAsia" w:ascii="宋体" w:hAnsi="宋体" w:cs="宋体"/>
                <w:color w:val="auto"/>
                <w:kern w:val="0"/>
                <w:sz w:val="22"/>
                <w:lang w:eastAsia="zh-CN"/>
              </w:rPr>
              <w:t>公章</w:t>
            </w:r>
            <w:r>
              <w:rPr>
                <w:rFonts w:hint="eastAsia" w:ascii="宋体" w:hAnsi="宋体" w:eastAsia="宋体" w:cs="宋体"/>
                <w:color w:val="auto"/>
                <w:kern w:val="0"/>
                <w:sz w:val="22"/>
              </w:rPr>
              <w:t>）</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可通过显示屏进行不少于4个预设的场景切换；可通过显示屏进行设备整机升级；（提供首页具有CNAS或CMA标识的第三方检测报告复印件并加盖</w:t>
            </w:r>
            <w:r>
              <w:rPr>
                <w:rFonts w:hint="eastAsia" w:ascii="宋体" w:hAnsi="宋体" w:cs="宋体"/>
                <w:color w:val="auto"/>
                <w:kern w:val="0"/>
                <w:sz w:val="22"/>
                <w:lang w:eastAsia="zh-CN"/>
              </w:rPr>
              <w:t>公章</w:t>
            </w:r>
            <w:r>
              <w:rPr>
                <w:rFonts w:hint="eastAsia" w:ascii="宋体" w:hAnsi="宋体" w:eastAsia="宋体" w:cs="宋体"/>
                <w:color w:val="auto"/>
                <w:kern w:val="0"/>
                <w:sz w:val="22"/>
              </w:rPr>
              <w:t>）</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★产品具有双主控设计，支持双主控板热备功能，支持热插拔更换；双主控自动切换过程，解码显示视频无缝切换，编码预览视频无卡顿现象；（提供首页具有CNAS或CMA标识的第三方检测报告复印件并加盖</w:t>
            </w:r>
            <w:r>
              <w:rPr>
                <w:rFonts w:hint="eastAsia" w:ascii="宋体" w:hAnsi="宋体" w:cs="宋体"/>
                <w:color w:val="auto"/>
                <w:kern w:val="0"/>
                <w:sz w:val="22"/>
                <w:lang w:eastAsia="zh-CN"/>
              </w:rPr>
              <w:t>公章</w:t>
            </w:r>
            <w:r>
              <w:rPr>
                <w:rFonts w:hint="eastAsia" w:ascii="宋体" w:hAnsi="宋体" w:eastAsia="宋体" w:cs="宋体"/>
                <w:color w:val="auto"/>
                <w:kern w:val="0"/>
                <w:sz w:val="22"/>
              </w:rPr>
              <w:t>）</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具有8个RJ45口，其中4个是千兆自适应网口，两个调试网口、两个232/485网口；具有两个万兆SFP光口、3个USB接口；每个子板均有3.5mm音频输入/输出接口，整个设备最多26个3.5mm音频输入接口或最多26个3.5mm音频输出接口。（提供首页具有CNAS或CMA标识的第三方检测报告复印件并加盖</w:t>
            </w:r>
            <w:r>
              <w:rPr>
                <w:rFonts w:hint="eastAsia" w:ascii="宋体" w:hAnsi="宋体" w:cs="宋体"/>
                <w:color w:val="auto"/>
                <w:kern w:val="0"/>
                <w:sz w:val="22"/>
                <w:lang w:eastAsia="zh-CN"/>
              </w:rPr>
              <w:t>公章</w:t>
            </w:r>
            <w:r>
              <w:rPr>
                <w:rFonts w:hint="eastAsia" w:ascii="宋体" w:hAnsi="宋体" w:eastAsia="宋体" w:cs="宋体"/>
                <w:color w:val="auto"/>
                <w:kern w:val="0"/>
                <w:sz w:val="22"/>
              </w:rPr>
              <w:t>）</w:t>
            </w:r>
          </w:p>
        </w:tc>
        <w:tc>
          <w:tcPr>
            <w:tcW w:w="0" w:type="auto"/>
            <w:tcBorders>
              <w:top w:val="nil"/>
              <w:left w:val="nil"/>
              <w:bottom w:val="single" w:color="auto" w:sz="4" w:space="0"/>
              <w:right w:val="single" w:color="auto" w:sz="4" w:space="0"/>
            </w:tcBorders>
            <w:vAlign w:val="center"/>
          </w:tcPr>
          <w:p w14:paraId="5D86ED8F">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1</w:t>
            </w:r>
          </w:p>
        </w:tc>
        <w:tc>
          <w:tcPr>
            <w:tcW w:w="0" w:type="auto"/>
            <w:tcBorders>
              <w:top w:val="nil"/>
              <w:left w:val="nil"/>
              <w:bottom w:val="single" w:color="auto" w:sz="4" w:space="0"/>
              <w:right w:val="single" w:color="auto" w:sz="4" w:space="0"/>
            </w:tcBorders>
            <w:vAlign w:val="center"/>
          </w:tcPr>
          <w:p w14:paraId="1C5476F8">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台</w:t>
            </w:r>
          </w:p>
        </w:tc>
      </w:tr>
      <w:tr w14:paraId="467B3C95">
        <w:tblPrEx>
          <w:tblCellMar>
            <w:top w:w="0" w:type="dxa"/>
            <w:left w:w="108" w:type="dxa"/>
            <w:bottom w:w="0" w:type="dxa"/>
            <w:right w:w="108" w:type="dxa"/>
          </w:tblCellMar>
        </w:tblPrEx>
        <w:trPr>
          <w:trHeight w:val="567" w:hRule="atLeast"/>
        </w:trPr>
        <w:tc>
          <w:tcPr>
            <w:tcW w:w="0" w:type="auto"/>
            <w:tcBorders>
              <w:top w:val="nil"/>
              <w:left w:val="single" w:color="auto" w:sz="4" w:space="0"/>
              <w:bottom w:val="single" w:color="auto" w:sz="4" w:space="0"/>
              <w:right w:val="single" w:color="auto" w:sz="4" w:space="0"/>
            </w:tcBorders>
            <w:noWrap/>
            <w:vAlign w:val="center"/>
          </w:tcPr>
          <w:p w14:paraId="09AA1D1E">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5</w:t>
            </w:r>
          </w:p>
        </w:tc>
        <w:tc>
          <w:tcPr>
            <w:tcW w:w="0" w:type="auto"/>
            <w:tcBorders>
              <w:top w:val="nil"/>
              <w:left w:val="nil"/>
              <w:bottom w:val="single" w:color="auto" w:sz="4" w:space="0"/>
              <w:right w:val="single" w:color="auto" w:sz="4" w:space="0"/>
            </w:tcBorders>
            <w:noWrap/>
            <w:vAlign w:val="center"/>
          </w:tcPr>
          <w:p w14:paraId="5E2BABA3">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板卡</w:t>
            </w:r>
          </w:p>
        </w:tc>
        <w:tc>
          <w:tcPr>
            <w:tcW w:w="0" w:type="auto"/>
            <w:tcBorders>
              <w:top w:val="nil"/>
              <w:left w:val="nil"/>
              <w:bottom w:val="single" w:color="auto" w:sz="4" w:space="0"/>
              <w:right w:val="single" w:color="auto" w:sz="4" w:space="0"/>
            </w:tcBorders>
            <w:vAlign w:val="center"/>
          </w:tcPr>
          <w:p w14:paraId="4C647EB4">
            <w:pPr>
              <w:keepNext w:val="0"/>
              <w:keepLines w:val="0"/>
              <w:pageBreakBefore w:val="0"/>
              <w:widowControl/>
              <w:kinsoku/>
              <w:wordWrap/>
              <w:overflowPunct/>
              <w:topLinePunct w:val="0"/>
              <w:autoSpaceDE/>
              <w:autoSpaceDN/>
              <w:bidi w:val="0"/>
              <w:adjustRightInd/>
              <w:snapToGrid/>
              <w:spacing w:after="0" w:line="260" w:lineRule="auto"/>
              <w:jc w:val="left"/>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4路HDMI输入板（2K）</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HDMI输入板：单板4路HDMI接口，单路分辨率最大支持1920*1200@60Hz</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支持本地源编码，每一路本地信号源最大可编码输出6路编码码流，编码分辨率可配置D1、720P、1080P、4K等多种分辨率</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支持H.264/H.265编码，默认采用H.265</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支持两种音频输入方式：HDMI内嵌音频和外置音频输入</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音频输入支持16bit，48K Hz采样，支持双声道，立体声</w:t>
            </w:r>
          </w:p>
        </w:tc>
        <w:tc>
          <w:tcPr>
            <w:tcW w:w="0" w:type="auto"/>
            <w:tcBorders>
              <w:top w:val="nil"/>
              <w:left w:val="nil"/>
              <w:bottom w:val="single" w:color="auto" w:sz="4" w:space="0"/>
              <w:right w:val="single" w:color="auto" w:sz="4" w:space="0"/>
            </w:tcBorders>
            <w:vAlign w:val="center"/>
          </w:tcPr>
          <w:p w14:paraId="465DAE36">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5</w:t>
            </w:r>
          </w:p>
        </w:tc>
        <w:tc>
          <w:tcPr>
            <w:tcW w:w="0" w:type="auto"/>
            <w:tcBorders>
              <w:top w:val="nil"/>
              <w:left w:val="nil"/>
              <w:bottom w:val="single" w:color="auto" w:sz="4" w:space="0"/>
              <w:right w:val="single" w:color="auto" w:sz="4" w:space="0"/>
            </w:tcBorders>
            <w:vAlign w:val="center"/>
          </w:tcPr>
          <w:p w14:paraId="12F119E6">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台</w:t>
            </w:r>
          </w:p>
        </w:tc>
      </w:tr>
      <w:tr w14:paraId="20658B32">
        <w:tblPrEx>
          <w:tblCellMar>
            <w:top w:w="0" w:type="dxa"/>
            <w:left w:w="108" w:type="dxa"/>
            <w:bottom w:w="0" w:type="dxa"/>
            <w:right w:w="108" w:type="dxa"/>
          </w:tblCellMar>
        </w:tblPrEx>
        <w:trPr>
          <w:trHeight w:val="567" w:hRule="atLeast"/>
        </w:trPr>
        <w:tc>
          <w:tcPr>
            <w:tcW w:w="0" w:type="auto"/>
            <w:tcBorders>
              <w:top w:val="nil"/>
              <w:left w:val="single" w:color="auto" w:sz="4" w:space="0"/>
              <w:bottom w:val="single" w:color="auto" w:sz="4" w:space="0"/>
              <w:right w:val="single" w:color="auto" w:sz="4" w:space="0"/>
            </w:tcBorders>
            <w:noWrap/>
            <w:vAlign w:val="center"/>
          </w:tcPr>
          <w:p w14:paraId="00D00A88">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6</w:t>
            </w:r>
          </w:p>
        </w:tc>
        <w:tc>
          <w:tcPr>
            <w:tcW w:w="0" w:type="auto"/>
            <w:tcBorders>
              <w:top w:val="nil"/>
              <w:left w:val="nil"/>
              <w:bottom w:val="single" w:color="auto" w:sz="4" w:space="0"/>
              <w:right w:val="single" w:color="auto" w:sz="4" w:space="0"/>
            </w:tcBorders>
            <w:noWrap/>
            <w:vAlign w:val="center"/>
          </w:tcPr>
          <w:p w14:paraId="4830B42F">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板卡</w:t>
            </w:r>
          </w:p>
        </w:tc>
        <w:tc>
          <w:tcPr>
            <w:tcW w:w="0" w:type="auto"/>
            <w:tcBorders>
              <w:top w:val="nil"/>
              <w:left w:val="nil"/>
              <w:bottom w:val="single" w:color="auto" w:sz="4" w:space="0"/>
              <w:right w:val="single" w:color="auto" w:sz="4" w:space="0"/>
            </w:tcBorders>
            <w:vAlign w:val="center"/>
          </w:tcPr>
          <w:p w14:paraId="0F7D526F">
            <w:pPr>
              <w:keepNext w:val="0"/>
              <w:keepLines w:val="0"/>
              <w:pageBreakBefore w:val="0"/>
              <w:widowControl/>
              <w:kinsoku/>
              <w:wordWrap/>
              <w:overflowPunct/>
              <w:topLinePunct w:val="0"/>
              <w:autoSpaceDE/>
              <w:autoSpaceDN/>
              <w:bidi w:val="0"/>
              <w:adjustRightInd/>
              <w:snapToGrid/>
              <w:spacing w:after="0" w:line="260" w:lineRule="auto"/>
              <w:jc w:val="left"/>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4路HDMI输出板（2K）</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支持4路HDMI信号输出，单路分辨率≤1920 × 1200@60Hz</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可自定义输出分辨率，单口带载能力260W</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具有2路视频解码通道，解码能力支持2路1080P</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支持H.265、H.264、MPEG等主流格式</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支持两种音频输出方式：HDMI内嵌音频和3.5mm外置音频输出</w:t>
            </w:r>
          </w:p>
        </w:tc>
        <w:tc>
          <w:tcPr>
            <w:tcW w:w="0" w:type="auto"/>
            <w:tcBorders>
              <w:top w:val="nil"/>
              <w:left w:val="nil"/>
              <w:bottom w:val="single" w:color="auto" w:sz="4" w:space="0"/>
              <w:right w:val="single" w:color="auto" w:sz="4" w:space="0"/>
            </w:tcBorders>
            <w:vAlign w:val="center"/>
          </w:tcPr>
          <w:p w14:paraId="55D025B8">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1</w:t>
            </w:r>
          </w:p>
        </w:tc>
        <w:tc>
          <w:tcPr>
            <w:tcW w:w="0" w:type="auto"/>
            <w:tcBorders>
              <w:top w:val="nil"/>
              <w:left w:val="nil"/>
              <w:bottom w:val="single" w:color="auto" w:sz="4" w:space="0"/>
              <w:right w:val="single" w:color="auto" w:sz="4" w:space="0"/>
            </w:tcBorders>
            <w:vAlign w:val="center"/>
          </w:tcPr>
          <w:p w14:paraId="2D43E2EE">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台</w:t>
            </w:r>
          </w:p>
        </w:tc>
      </w:tr>
      <w:tr w14:paraId="6D4C46C8">
        <w:tblPrEx>
          <w:tblCellMar>
            <w:top w:w="0" w:type="dxa"/>
            <w:left w:w="108" w:type="dxa"/>
            <w:bottom w:w="0" w:type="dxa"/>
            <w:right w:w="108" w:type="dxa"/>
          </w:tblCellMar>
        </w:tblPrEx>
        <w:trPr>
          <w:trHeight w:val="567" w:hRule="atLeast"/>
        </w:trPr>
        <w:tc>
          <w:tcPr>
            <w:tcW w:w="0" w:type="auto"/>
            <w:tcBorders>
              <w:top w:val="nil"/>
              <w:left w:val="single" w:color="auto" w:sz="4" w:space="0"/>
              <w:bottom w:val="single" w:color="auto" w:sz="4" w:space="0"/>
              <w:right w:val="single" w:color="auto" w:sz="4" w:space="0"/>
            </w:tcBorders>
            <w:noWrap/>
            <w:vAlign w:val="center"/>
          </w:tcPr>
          <w:p w14:paraId="7299C29F">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7</w:t>
            </w:r>
          </w:p>
        </w:tc>
        <w:tc>
          <w:tcPr>
            <w:tcW w:w="0" w:type="auto"/>
            <w:tcBorders>
              <w:top w:val="nil"/>
              <w:left w:val="nil"/>
              <w:bottom w:val="single" w:color="auto" w:sz="4" w:space="0"/>
              <w:right w:val="single" w:color="auto" w:sz="4" w:space="0"/>
            </w:tcBorders>
            <w:noWrap/>
            <w:vAlign w:val="center"/>
          </w:tcPr>
          <w:p w14:paraId="0FCC3637">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控制平台</w:t>
            </w:r>
          </w:p>
        </w:tc>
        <w:tc>
          <w:tcPr>
            <w:tcW w:w="0" w:type="auto"/>
            <w:tcBorders>
              <w:top w:val="nil"/>
              <w:left w:val="nil"/>
              <w:bottom w:val="single" w:color="auto" w:sz="4" w:space="0"/>
              <w:right w:val="single" w:color="auto" w:sz="4" w:space="0"/>
            </w:tcBorders>
            <w:vAlign w:val="center"/>
          </w:tcPr>
          <w:p w14:paraId="2848978D">
            <w:pPr>
              <w:keepNext w:val="0"/>
              <w:keepLines w:val="0"/>
              <w:pageBreakBefore w:val="0"/>
              <w:widowControl/>
              <w:kinsoku/>
              <w:wordWrap/>
              <w:overflowPunct/>
              <w:topLinePunct w:val="0"/>
              <w:autoSpaceDE/>
              <w:autoSpaceDN/>
              <w:bidi w:val="0"/>
              <w:adjustRightInd/>
              <w:snapToGrid/>
              <w:spacing w:after="0" w:line="260" w:lineRule="auto"/>
              <w:jc w:val="left"/>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64位多核高性能处理器，DDR4高频内存，1个RJ45 10/100/1000Mbps自适应以太网口，1个HDMI端口(支持4K显示输出)，1个VGA端口，</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支持平台、播控终端、配电柜、发送卡和坐席分布式接入；</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前置：2*USB2.0接口，后置：4*USB3.0接口</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播控和门户：播控主机的管理、播控管理、内容管理、播控控制等功能；</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远程控制：远程控制播控的画面同步到网页端/PC客户端/平板端，实现播控画面回显；远程控制播控上的内容，实现反向控制；</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环境中控：接入中控主机，实现灯光、空调、音箱、投影等设备的控制，支持在中控管理中设置控制模式，可联动拼控场景/播控图层，实现切换时联动灯光等环境变化，也可以控制行业PLC配电柜，实现开关控制；</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平板操控：支持通过平板来操作、中控设备，根据授权模块，实现解码拼控、内容播控的、环境中控的平板操作</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实现对显示屏、拼控设备、播控主机、KVM坐席、PC主机、中控主机、控制卡、PLC配电柜的统一管控；</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支持WEB端、平板端、客户端均可以所见即所得的查看在线场景、离线场景的画面布局、场景的实时画面，以及信号的实时画面；</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★支持多用户登录，用户数量无限制，多用户操作同步实现多人协同办公，操作同步显示；（提供首页具有CNAS或CMA标识的第三方检测报告复印件并加盖</w:t>
            </w:r>
            <w:r>
              <w:rPr>
                <w:rFonts w:hint="eastAsia" w:ascii="宋体" w:hAnsi="宋体" w:cs="宋体"/>
                <w:color w:val="auto"/>
                <w:kern w:val="0"/>
                <w:sz w:val="22"/>
                <w:lang w:eastAsia="zh-CN"/>
              </w:rPr>
              <w:t>公章</w:t>
            </w:r>
            <w:r>
              <w:rPr>
                <w:rFonts w:hint="eastAsia" w:ascii="宋体" w:hAnsi="宋体" w:eastAsia="宋体" w:cs="宋体"/>
                <w:color w:val="auto"/>
                <w:kern w:val="0"/>
                <w:sz w:val="22"/>
              </w:rPr>
              <w:t>）</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支持权限管理设置，可以创建多种用户角色，针对不同的用户角色可分配不同的组织权限、功能应用权限、信号源权限、屏幕墙操控管理权限，支持角色分组；（提供首页具有CNAS或CMA标识的第三方检测报告复印件并加盖</w:t>
            </w:r>
            <w:r>
              <w:rPr>
                <w:rFonts w:hint="eastAsia" w:ascii="宋体" w:hAnsi="宋体" w:cs="宋体"/>
                <w:color w:val="auto"/>
                <w:kern w:val="0"/>
                <w:sz w:val="22"/>
                <w:lang w:eastAsia="zh-CN"/>
              </w:rPr>
              <w:t>公章</w:t>
            </w:r>
            <w:r>
              <w:rPr>
                <w:rFonts w:hint="eastAsia" w:ascii="宋体" w:hAnsi="宋体" w:eastAsia="宋体" w:cs="宋体"/>
                <w:color w:val="auto"/>
                <w:kern w:val="0"/>
                <w:sz w:val="22"/>
              </w:rPr>
              <w:t>）</w:t>
            </w:r>
          </w:p>
        </w:tc>
        <w:tc>
          <w:tcPr>
            <w:tcW w:w="0" w:type="auto"/>
            <w:tcBorders>
              <w:top w:val="nil"/>
              <w:left w:val="nil"/>
              <w:bottom w:val="single" w:color="auto" w:sz="4" w:space="0"/>
              <w:right w:val="single" w:color="auto" w:sz="4" w:space="0"/>
            </w:tcBorders>
            <w:vAlign w:val="center"/>
          </w:tcPr>
          <w:p w14:paraId="03EABF36">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1</w:t>
            </w:r>
          </w:p>
        </w:tc>
        <w:tc>
          <w:tcPr>
            <w:tcW w:w="0" w:type="auto"/>
            <w:tcBorders>
              <w:top w:val="nil"/>
              <w:left w:val="nil"/>
              <w:bottom w:val="single" w:color="auto" w:sz="4" w:space="0"/>
              <w:right w:val="single" w:color="auto" w:sz="4" w:space="0"/>
            </w:tcBorders>
            <w:vAlign w:val="center"/>
          </w:tcPr>
          <w:p w14:paraId="5FB63CED">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套</w:t>
            </w:r>
          </w:p>
        </w:tc>
      </w:tr>
      <w:tr w14:paraId="64DBF384">
        <w:tblPrEx>
          <w:tblCellMar>
            <w:top w:w="0" w:type="dxa"/>
            <w:left w:w="108" w:type="dxa"/>
            <w:bottom w:w="0" w:type="dxa"/>
            <w:right w:w="108" w:type="dxa"/>
          </w:tblCellMar>
        </w:tblPrEx>
        <w:trPr>
          <w:trHeight w:val="567" w:hRule="atLeast"/>
        </w:trPr>
        <w:tc>
          <w:tcPr>
            <w:tcW w:w="0" w:type="auto"/>
            <w:tcBorders>
              <w:top w:val="nil"/>
              <w:left w:val="single" w:color="auto" w:sz="4" w:space="0"/>
              <w:bottom w:val="single" w:color="auto" w:sz="4" w:space="0"/>
              <w:right w:val="single" w:color="auto" w:sz="4" w:space="0"/>
            </w:tcBorders>
            <w:noWrap/>
            <w:vAlign w:val="center"/>
          </w:tcPr>
          <w:p w14:paraId="22445C12">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8</w:t>
            </w:r>
          </w:p>
        </w:tc>
        <w:tc>
          <w:tcPr>
            <w:tcW w:w="0" w:type="auto"/>
            <w:tcBorders>
              <w:top w:val="nil"/>
              <w:left w:val="nil"/>
              <w:bottom w:val="single" w:color="auto" w:sz="4" w:space="0"/>
              <w:right w:val="single" w:color="auto" w:sz="4" w:space="0"/>
            </w:tcBorders>
            <w:noWrap/>
            <w:vAlign w:val="center"/>
          </w:tcPr>
          <w:p w14:paraId="338CEA4B">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电柜</w:t>
            </w:r>
          </w:p>
        </w:tc>
        <w:tc>
          <w:tcPr>
            <w:tcW w:w="0" w:type="auto"/>
            <w:tcBorders>
              <w:top w:val="nil"/>
              <w:left w:val="nil"/>
              <w:bottom w:val="single" w:color="auto" w:sz="4" w:space="0"/>
              <w:right w:val="single" w:color="auto" w:sz="4" w:space="0"/>
            </w:tcBorders>
            <w:vAlign w:val="center"/>
          </w:tcPr>
          <w:p w14:paraId="40050B39">
            <w:pPr>
              <w:keepNext w:val="0"/>
              <w:keepLines w:val="0"/>
              <w:pageBreakBefore w:val="0"/>
              <w:widowControl/>
              <w:kinsoku/>
              <w:wordWrap/>
              <w:overflowPunct/>
              <w:topLinePunct w:val="0"/>
              <w:autoSpaceDE/>
              <w:autoSpaceDN/>
              <w:bidi w:val="0"/>
              <w:adjustRightInd/>
              <w:snapToGrid/>
              <w:spacing w:after="0" w:line="260" w:lineRule="auto"/>
              <w:jc w:val="left"/>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配电柜额定功率≥20KW，具备6个单相回路；</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可通过RS485接口读取配电柜内部温度。</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输入输出均有断路器保护措施，在发生过流或短路后可以自动断电。</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支持手动一键启动、停止；支持单路启动停止；支持分时段控制；支持电脑远程控制。</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网络接口：支持MODBUS-TCP协议；</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串口通讯端口：支持RS485、MODBUS-RTU协议。</w:t>
            </w:r>
          </w:p>
        </w:tc>
        <w:tc>
          <w:tcPr>
            <w:tcW w:w="0" w:type="auto"/>
            <w:tcBorders>
              <w:top w:val="nil"/>
              <w:left w:val="nil"/>
              <w:bottom w:val="single" w:color="auto" w:sz="4" w:space="0"/>
              <w:right w:val="single" w:color="auto" w:sz="4" w:space="0"/>
            </w:tcBorders>
            <w:vAlign w:val="center"/>
          </w:tcPr>
          <w:p w14:paraId="1C8C6A98">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1</w:t>
            </w:r>
          </w:p>
        </w:tc>
        <w:tc>
          <w:tcPr>
            <w:tcW w:w="0" w:type="auto"/>
            <w:tcBorders>
              <w:top w:val="nil"/>
              <w:left w:val="nil"/>
              <w:bottom w:val="single" w:color="auto" w:sz="4" w:space="0"/>
              <w:right w:val="single" w:color="auto" w:sz="4" w:space="0"/>
            </w:tcBorders>
            <w:vAlign w:val="center"/>
          </w:tcPr>
          <w:p w14:paraId="51E1F760">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台</w:t>
            </w:r>
          </w:p>
        </w:tc>
      </w:tr>
      <w:tr w14:paraId="581BE09E">
        <w:tblPrEx>
          <w:tblCellMar>
            <w:top w:w="0" w:type="dxa"/>
            <w:left w:w="108" w:type="dxa"/>
            <w:bottom w:w="0" w:type="dxa"/>
            <w:right w:w="108" w:type="dxa"/>
          </w:tblCellMar>
        </w:tblPrEx>
        <w:trPr>
          <w:trHeight w:val="567" w:hRule="atLeast"/>
        </w:trPr>
        <w:tc>
          <w:tcPr>
            <w:tcW w:w="0" w:type="auto"/>
            <w:tcBorders>
              <w:top w:val="nil"/>
              <w:left w:val="single" w:color="auto" w:sz="4" w:space="0"/>
              <w:bottom w:val="single" w:color="auto" w:sz="4" w:space="0"/>
              <w:right w:val="single" w:color="auto" w:sz="4" w:space="0"/>
            </w:tcBorders>
            <w:noWrap/>
            <w:vAlign w:val="center"/>
          </w:tcPr>
          <w:p w14:paraId="651A0065">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9</w:t>
            </w:r>
          </w:p>
        </w:tc>
        <w:tc>
          <w:tcPr>
            <w:tcW w:w="0" w:type="auto"/>
            <w:tcBorders>
              <w:top w:val="nil"/>
              <w:left w:val="nil"/>
              <w:bottom w:val="single" w:color="auto" w:sz="4" w:space="0"/>
              <w:right w:val="single" w:color="auto" w:sz="4" w:space="0"/>
            </w:tcBorders>
            <w:noWrap/>
            <w:vAlign w:val="center"/>
          </w:tcPr>
          <w:p w14:paraId="318DFCAE">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包边</w:t>
            </w:r>
          </w:p>
        </w:tc>
        <w:tc>
          <w:tcPr>
            <w:tcW w:w="0" w:type="auto"/>
            <w:tcBorders>
              <w:top w:val="nil"/>
              <w:left w:val="nil"/>
              <w:bottom w:val="single" w:color="auto" w:sz="4" w:space="0"/>
              <w:right w:val="single" w:color="auto" w:sz="4" w:space="0"/>
            </w:tcBorders>
            <w:vAlign w:val="center"/>
          </w:tcPr>
          <w:p w14:paraId="2F237ED2">
            <w:pPr>
              <w:keepNext w:val="0"/>
              <w:keepLines w:val="0"/>
              <w:pageBreakBefore w:val="0"/>
              <w:widowControl/>
              <w:kinsoku/>
              <w:wordWrap/>
              <w:overflowPunct/>
              <w:topLinePunct w:val="0"/>
              <w:autoSpaceDE/>
              <w:autoSpaceDN/>
              <w:bidi w:val="0"/>
              <w:adjustRightInd/>
              <w:snapToGrid/>
              <w:spacing w:after="0" w:line="260" w:lineRule="auto"/>
              <w:jc w:val="left"/>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可靠性高，负载能力强。100%满负载老化试验。保护功能具有：短路/过载</w:t>
            </w:r>
          </w:p>
        </w:tc>
        <w:tc>
          <w:tcPr>
            <w:tcW w:w="0" w:type="auto"/>
            <w:tcBorders>
              <w:top w:val="nil"/>
              <w:left w:val="nil"/>
              <w:bottom w:val="single" w:color="auto" w:sz="4" w:space="0"/>
              <w:right w:val="single" w:color="auto" w:sz="4" w:space="0"/>
            </w:tcBorders>
            <w:vAlign w:val="center"/>
          </w:tcPr>
          <w:p w14:paraId="7FC50F6F">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24.3</w:t>
            </w:r>
          </w:p>
        </w:tc>
        <w:tc>
          <w:tcPr>
            <w:tcW w:w="0" w:type="auto"/>
            <w:tcBorders>
              <w:top w:val="nil"/>
              <w:left w:val="nil"/>
              <w:bottom w:val="single" w:color="auto" w:sz="4" w:space="0"/>
              <w:right w:val="single" w:color="auto" w:sz="4" w:space="0"/>
            </w:tcBorders>
            <w:vAlign w:val="center"/>
          </w:tcPr>
          <w:p w14:paraId="45EE0AA9">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平方米</w:t>
            </w:r>
          </w:p>
        </w:tc>
      </w:tr>
      <w:tr w14:paraId="63E528F0">
        <w:tblPrEx>
          <w:tblCellMar>
            <w:top w:w="0" w:type="dxa"/>
            <w:left w:w="108" w:type="dxa"/>
            <w:bottom w:w="0" w:type="dxa"/>
            <w:right w:w="108" w:type="dxa"/>
          </w:tblCellMar>
        </w:tblPrEx>
        <w:trPr>
          <w:trHeight w:val="567" w:hRule="atLeast"/>
        </w:trPr>
        <w:tc>
          <w:tcPr>
            <w:tcW w:w="0" w:type="auto"/>
            <w:tcBorders>
              <w:top w:val="nil"/>
              <w:left w:val="single" w:color="auto" w:sz="4" w:space="0"/>
              <w:bottom w:val="single" w:color="auto" w:sz="4" w:space="0"/>
              <w:right w:val="single" w:color="auto" w:sz="4" w:space="0"/>
            </w:tcBorders>
            <w:noWrap/>
            <w:vAlign w:val="center"/>
          </w:tcPr>
          <w:p w14:paraId="4084E477">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12</w:t>
            </w:r>
          </w:p>
        </w:tc>
        <w:tc>
          <w:tcPr>
            <w:tcW w:w="0" w:type="auto"/>
            <w:tcBorders>
              <w:top w:val="nil"/>
              <w:left w:val="nil"/>
              <w:bottom w:val="single" w:color="auto" w:sz="4" w:space="0"/>
              <w:right w:val="single" w:color="auto" w:sz="4" w:space="0"/>
            </w:tcBorders>
            <w:vAlign w:val="center"/>
          </w:tcPr>
          <w:p w14:paraId="453D859E">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新宋体" w:hAnsi="新宋体" w:eastAsia="新宋体" w:cs="宋体"/>
                <w:color w:val="auto"/>
                <w:kern w:val="0"/>
                <w:sz w:val="22"/>
              </w:rPr>
            </w:pPr>
            <w:r>
              <w:rPr>
                <w:rFonts w:hint="eastAsia" w:ascii="新宋体" w:hAnsi="新宋体" w:eastAsia="新宋体" w:cs="宋体"/>
                <w:color w:val="auto"/>
                <w:kern w:val="0"/>
                <w:sz w:val="22"/>
              </w:rPr>
              <w:t>会议主机</w:t>
            </w:r>
          </w:p>
        </w:tc>
        <w:tc>
          <w:tcPr>
            <w:tcW w:w="0" w:type="auto"/>
            <w:tcBorders>
              <w:top w:val="nil"/>
              <w:left w:val="nil"/>
              <w:bottom w:val="single" w:color="auto" w:sz="4" w:space="0"/>
              <w:right w:val="single" w:color="auto" w:sz="4" w:space="0"/>
            </w:tcBorders>
            <w:vAlign w:val="center"/>
          </w:tcPr>
          <w:p w14:paraId="643BD6D0">
            <w:pPr>
              <w:keepNext w:val="0"/>
              <w:keepLines w:val="0"/>
              <w:pageBreakBefore w:val="0"/>
              <w:widowControl/>
              <w:kinsoku/>
              <w:wordWrap/>
              <w:overflowPunct/>
              <w:topLinePunct w:val="0"/>
              <w:autoSpaceDE/>
              <w:autoSpaceDN/>
              <w:bidi w:val="0"/>
              <w:adjustRightInd/>
              <w:snapToGrid/>
              <w:spacing w:after="0" w:line="260" w:lineRule="auto"/>
              <w:jc w:val="left"/>
              <w:textAlignment w:val="auto"/>
              <w:rPr>
                <w:rFonts w:hint="eastAsia" w:ascii="新宋体" w:hAnsi="新宋体" w:eastAsia="新宋体" w:cs="宋体"/>
                <w:color w:val="auto"/>
                <w:kern w:val="0"/>
                <w:sz w:val="22"/>
              </w:rPr>
            </w:pPr>
            <w:r>
              <w:rPr>
                <w:rFonts w:hint="eastAsia" w:ascii="新宋体" w:hAnsi="新宋体" w:eastAsia="新宋体" w:cs="宋体"/>
                <w:color w:val="auto"/>
                <w:kern w:val="0"/>
                <w:sz w:val="22"/>
              </w:rPr>
              <w:t>1.支持≥4096台有线会议单元和≥300台无线会议单元同时接入管理使用；支持≥4396台会议单元同时参与会议议程（签到、表决、服务）以及发言控制。</w:t>
            </w:r>
            <w:r>
              <w:rPr>
                <w:rFonts w:hint="eastAsia" w:ascii="新宋体" w:hAnsi="新宋体" w:eastAsia="新宋体" w:cs="宋体"/>
                <w:color w:val="auto"/>
                <w:kern w:val="0"/>
                <w:sz w:val="22"/>
              </w:rPr>
              <w:br w:type="textWrapping"/>
            </w:r>
            <w:r>
              <w:rPr>
                <w:rFonts w:hint="eastAsia" w:ascii="新宋体" w:hAnsi="新宋体" w:eastAsia="新宋体" w:cs="宋体"/>
                <w:color w:val="auto"/>
                <w:kern w:val="0"/>
                <w:sz w:val="22"/>
              </w:rPr>
              <w:t>2.主机兼容同时连接有线与无线会议单元，二者可并行使用；采用跨域音频同步技术，有线与无线会议单元音频的音频无缝混音输出。</w:t>
            </w:r>
            <w:r>
              <w:rPr>
                <w:rFonts w:hint="eastAsia" w:ascii="新宋体" w:hAnsi="新宋体" w:eastAsia="新宋体" w:cs="宋体"/>
                <w:color w:val="auto"/>
                <w:kern w:val="0"/>
                <w:sz w:val="22"/>
              </w:rPr>
              <w:br w:type="textWrapping"/>
            </w:r>
            <w:r>
              <w:rPr>
                <w:rFonts w:hint="eastAsia" w:ascii="新宋体" w:hAnsi="新宋体" w:eastAsia="新宋体" w:cs="宋体"/>
                <w:color w:val="auto"/>
                <w:kern w:val="0"/>
                <w:sz w:val="22"/>
              </w:rPr>
              <w:t>3.设备采用分段压缩混音处理技术和时钟同步传输技术，会议单元拾音到主机输出延时≤5ms。</w:t>
            </w:r>
            <w:r>
              <w:rPr>
                <w:rFonts w:hint="eastAsia" w:ascii="新宋体" w:hAnsi="新宋体" w:eastAsia="新宋体" w:cs="宋体"/>
                <w:color w:val="auto"/>
                <w:kern w:val="0"/>
                <w:sz w:val="22"/>
              </w:rPr>
              <w:br w:type="textWrapping"/>
            </w:r>
            <w:r>
              <w:rPr>
                <w:rFonts w:hint="eastAsia" w:ascii="新宋体" w:hAnsi="新宋体" w:eastAsia="新宋体" w:cs="宋体"/>
                <w:color w:val="auto"/>
                <w:kern w:val="0"/>
                <w:sz w:val="22"/>
              </w:rPr>
              <w:t>4.设备具有≥1个USB接口；后面板具有≥2路RS-232接口、≥1路RS-485接口、≥4路RJ45通讯接口；具有≥1路RCA输入、≥1路卡侬输入、≥2路凤凰端子输入接口；≥1路RCA输出、≥1路卡侬输出、≥16路凤凰端子输出接口；≥1个拨码开关、≥1个接地柱。</w:t>
            </w:r>
            <w:r>
              <w:rPr>
                <w:rFonts w:hint="eastAsia" w:ascii="新宋体" w:hAnsi="新宋体" w:eastAsia="新宋体" w:cs="宋体"/>
                <w:color w:val="auto"/>
                <w:kern w:val="0"/>
                <w:sz w:val="22"/>
              </w:rPr>
              <w:br w:type="textWrapping"/>
            </w:r>
            <w:r>
              <w:rPr>
                <w:rFonts w:hint="eastAsia" w:ascii="新宋体" w:hAnsi="新宋体" w:eastAsia="新宋体" w:cs="宋体"/>
                <w:color w:val="auto"/>
                <w:kern w:val="0"/>
                <w:sz w:val="22"/>
              </w:rPr>
              <w:t>5.前面板具有≥5个状态指示灯，可显示有线无线会议单元使用状态；其中≥4个有线会议发言单元通讯指示灯，有线会议单元正常通讯使用为闪烁状态；其中≥1个为无线会议发言单元通讯指示灯，接上无线收发器正常使用进入闪烁状态；未接入设备时不亮，可快速检测链路使用状态。</w:t>
            </w:r>
            <w:r>
              <w:rPr>
                <w:rFonts w:hint="eastAsia" w:ascii="新宋体" w:hAnsi="新宋体" w:eastAsia="新宋体" w:cs="宋体"/>
                <w:color w:val="auto"/>
                <w:kern w:val="0"/>
                <w:sz w:val="22"/>
              </w:rPr>
              <w:br w:type="textWrapping"/>
            </w:r>
            <w:r>
              <w:rPr>
                <w:rFonts w:hint="eastAsia" w:ascii="新宋体" w:hAnsi="新宋体" w:eastAsia="新宋体" w:cs="宋体"/>
                <w:color w:val="auto"/>
                <w:kern w:val="0"/>
                <w:sz w:val="22"/>
              </w:rPr>
              <w:t>6.具有≥16路音频输出通道，通过扩展可实现≥272个音频输出通道，音频输出通道可配置为有线角色分离输出模式、无线角色分离输出模式、同传输出模式；每个音频输出通道都能独立调节音频参数，包括≥30级音量调节、≥10段均衡器调节、≥100级延时器调节功能。</w:t>
            </w:r>
            <w:r>
              <w:rPr>
                <w:rFonts w:hint="eastAsia" w:ascii="新宋体" w:hAnsi="新宋体" w:eastAsia="新宋体" w:cs="宋体"/>
                <w:color w:val="auto"/>
                <w:kern w:val="0"/>
                <w:sz w:val="22"/>
              </w:rPr>
              <w:br w:type="textWrapping"/>
            </w:r>
            <w:r>
              <w:rPr>
                <w:rFonts w:hint="eastAsia" w:ascii="新宋体" w:hAnsi="新宋体" w:eastAsia="新宋体" w:cs="宋体"/>
                <w:color w:val="auto"/>
                <w:kern w:val="0"/>
                <w:sz w:val="22"/>
              </w:rPr>
              <w:t>7.主机具有≥16通道音频分组输出接口；采用会议分区相控技术，可拆分≥16个独立的会议系统使用，也可以组成一个大型的会议系统使用，实现多种方式的会议室合并/拆分。</w:t>
            </w:r>
            <w:r>
              <w:rPr>
                <w:rFonts w:hint="eastAsia" w:ascii="新宋体" w:hAnsi="新宋体" w:eastAsia="新宋体" w:cs="宋体"/>
                <w:color w:val="auto"/>
                <w:kern w:val="0"/>
                <w:sz w:val="22"/>
              </w:rPr>
              <w:br w:type="textWrapping"/>
            </w:r>
            <w:r>
              <w:rPr>
                <w:rFonts w:hint="eastAsia" w:ascii="新宋体" w:hAnsi="新宋体" w:eastAsia="新宋体" w:cs="宋体"/>
                <w:color w:val="auto"/>
                <w:kern w:val="0"/>
                <w:sz w:val="22"/>
              </w:rPr>
              <w:t>8.支持主机U盘和客户端软件两种录音方式；搭配会议话筒和录音盒可以录制单个会议单元发言音频和录制所有会议单元混音发言音频。</w:t>
            </w:r>
            <w:r>
              <w:rPr>
                <w:rFonts w:hint="eastAsia" w:ascii="新宋体" w:hAnsi="新宋体" w:eastAsia="新宋体" w:cs="宋体"/>
                <w:color w:val="auto"/>
                <w:kern w:val="0"/>
                <w:sz w:val="22"/>
              </w:rPr>
              <w:br w:type="textWrapping"/>
            </w:r>
            <w:r>
              <w:rPr>
                <w:rFonts w:hint="eastAsia" w:ascii="新宋体" w:hAnsi="新宋体" w:eastAsia="新宋体" w:cs="宋体"/>
                <w:color w:val="auto"/>
                <w:kern w:val="0"/>
                <w:sz w:val="22"/>
              </w:rPr>
              <w:t>★9.具有C/S、B/S管控架构，包括客户端、WEB端、本机全彩触摸屏、安卓手机/平板控制方式；通过客户端、WEB端可调节音频矩阵参数（包括EQ、音量、延时器、会议单元灵敏度）、≥16通道输出模式切换、开关会议单元、中英俄法四种语言切换、控制角色分离主机功能；使用本机全彩触摸屏可调节会议模式、有线/无线会议单元开麦数量、编ID、主机/从机设置、中英俄法四种语言切换、显示亮度/输出音量调节、显示剩余使用天数、输入注册码进行主机注册功能；使用安卓手机/平板可控制会议单元开关、开启签到、投票、表决、接收会议服务信息、一键关闭无线会议单元功能，免PC操作。（提供第三方检测机构出具的具有CMA或CNAS标识的检测报告扫描件或复印件）</w:t>
            </w:r>
            <w:r>
              <w:rPr>
                <w:rFonts w:hint="eastAsia" w:ascii="新宋体" w:hAnsi="新宋体" w:eastAsia="新宋体" w:cs="宋体"/>
                <w:color w:val="auto"/>
                <w:kern w:val="0"/>
                <w:sz w:val="22"/>
              </w:rPr>
              <w:br w:type="textWrapping"/>
            </w:r>
            <w:r>
              <w:rPr>
                <w:rFonts w:hint="eastAsia" w:ascii="新宋体" w:hAnsi="新宋体" w:eastAsia="新宋体" w:cs="宋体"/>
                <w:color w:val="auto"/>
                <w:kern w:val="0"/>
                <w:sz w:val="22"/>
              </w:rPr>
              <w:t>10.WEB管理端具有切换个性化主题风格功能，可切换≥4种风格，可选简约主题、政务主题、时尚主题、活力主题，不同主题提供不同UI界面背景颜色。</w:t>
            </w:r>
            <w:r>
              <w:rPr>
                <w:rFonts w:hint="eastAsia" w:ascii="新宋体" w:hAnsi="新宋体" w:eastAsia="新宋体" w:cs="宋体"/>
                <w:color w:val="auto"/>
                <w:kern w:val="0"/>
                <w:sz w:val="22"/>
              </w:rPr>
              <w:br w:type="textWrapping"/>
            </w:r>
            <w:r>
              <w:rPr>
                <w:rFonts w:hint="eastAsia" w:ascii="新宋体" w:hAnsi="新宋体" w:eastAsia="新宋体" w:cs="宋体"/>
                <w:color w:val="auto"/>
                <w:kern w:val="0"/>
                <w:sz w:val="22"/>
              </w:rPr>
              <w:t>11.超大数据处理能力：系统支持≥24台会议单元同时发言，其中支持≥16台有线会议单元和≥8台无线会议单元同时发言；具有自定义会议单元发言人数功能，有线会议单元发言人数范围可设置为等同或优于1至16之间的任意数量；无线会议单元发言人数范围可设置为等同或优于1至8之间的任意数量。</w:t>
            </w:r>
            <w:r>
              <w:rPr>
                <w:rFonts w:hint="eastAsia" w:ascii="新宋体" w:hAnsi="新宋体" w:eastAsia="新宋体" w:cs="宋体"/>
                <w:color w:val="auto"/>
                <w:kern w:val="0"/>
                <w:sz w:val="22"/>
              </w:rPr>
              <w:br w:type="textWrapping"/>
            </w:r>
            <w:r>
              <w:rPr>
                <w:rFonts w:hint="eastAsia" w:ascii="新宋体" w:hAnsi="新宋体" w:eastAsia="新宋体" w:cs="宋体"/>
                <w:color w:val="auto"/>
                <w:kern w:val="0"/>
                <w:sz w:val="22"/>
              </w:rPr>
              <w:t>12.具有≥3种备份机制；支持主机双机热备功能，可设置一台设备为主机，另一台设置为从机，当主机出现故障时，可自动切换至从机运行，实现双备份功能；支持环形双链路功能，确保在其中的一条网线断开或者单元出问题时，会议能继续正常进行；支持T型链路备份功能，链路中即使多台会议单元出现故障，其他会议单元不受影响，保障会议正常进行。</w:t>
            </w:r>
            <w:r>
              <w:rPr>
                <w:rFonts w:hint="eastAsia" w:ascii="新宋体" w:hAnsi="新宋体" w:eastAsia="新宋体" w:cs="宋体"/>
                <w:color w:val="auto"/>
                <w:kern w:val="0"/>
                <w:sz w:val="22"/>
              </w:rPr>
              <w:br w:type="textWrapping"/>
            </w:r>
            <w:r>
              <w:rPr>
                <w:rFonts w:hint="eastAsia" w:ascii="新宋体" w:hAnsi="新宋体" w:eastAsia="新宋体" w:cs="宋体"/>
                <w:color w:val="auto"/>
                <w:kern w:val="0"/>
                <w:sz w:val="22"/>
              </w:rPr>
              <w:t>13.采用会议系统多环路检测及网络补给技术，实现会议单元手拉手链路出现故障时快速恢复，环路恢复时间≤5ms。</w:t>
            </w:r>
            <w:r>
              <w:rPr>
                <w:rFonts w:hint="eastAsia" w:ascii="新宋体" w:hAnsi="新宋体" w:eastAsia="新宋体" w:cs="宋体"/>
                <w:color w:val="auto"/>
                <w:kern w:val="0"/>
                <w:sz w:val="22"/>
              </w:rPr>
              <w:br w:type="textWrapping"/>
            </w:r>
            <w:r>
              <w:rPr>
                <w:rFonts w:hint="eastAsia" w:ascii="新宋体" w:hAnsi="新宋体" w:eastAsia="新宋体" w:cs="宋体"/>
                <w:color w:val="auto"/>
                <w:kern w:val="0"/>
                <w:sz w:val="22"/>
              </w:rPr>
              <w:t>★14.客户端、WEB端软件可运行于windows操作系统或国产操作系统或macOS系统或Ubuntu桌面版操作系统。（需提供得到CMA或CNAS认可的检测机构出具的检测报告和软件界面截图作为该技术参数证明材料）</w:t>
            </w:r>
            <w:r>
              <w:rPr>
                <w:rFonts w:hint="eastAsia" w:ascii="新宋体" w:hAnsi="新宋体" w:eastAsia="新宋体" w:cs="宋体"/>
                <w:color w:val="auto"/>
                <w:kern w:val="0"/>
                <w:sz w:val="22"/>
              </w:rPr>
              <w:br w:type="textWrapping"/>
            </w:r>
            <w:r>
              <w:rPr>
                <w:rFonts w:hint="eastAsia" w:ascii="新宋体" w:hAnsi="新宋体" w:eastAsia="新宋体" w:cs="宋体"/>
                <w:color w:val="auto"/>
                <w:kern w:val="0"/>
                <w:sz w:val="22"/>
              </w:rPr>
              <w:t>15.支持搭配会议话筒处理器使用，主机与话筒处理器之间通过网线连接方式传输音频，可以同时传输≥16路有线会议单元和≥8路无线会议单元发言的音频信号，并提供反馈抑制、智能混音以及自动增益音频调节处理功能。</w:t>
            </w:r>
            <w:r>
              <w:rPr>
                <w:rFonts w:hint="eastAsia" w:ascii="新宋体" w:hAnsi="新宋体" w:eastAsia="新宋体" w:cs="宋体"/>
                <w:color w:val="auto"/>
                <w:kern w:val="0"/>
                <w:sz w:val="22"/>
              </w:rPr>
              <w:br w:type="textWrapping"/>
            </w:r>
            <w:r>
              <w:rPr>
                <w:rFonts w:hint="eastAsia" w:ascii="新宋体" w:hAnsi="新宋体" w:eastAsia="新宋体" w:cs="宋体"/>
                <w:color w:val="auto"/>
                <w:kern w:val="0"/>
                <w:sz w:val="22"/>
              </w:rPr>
              <w:t>★16.会议主机软件融入音频综合管理平台实现音频设备统一管理，平台可扫描数字会议主机、音频处理器、混音器、抑制器、功放类产品在线情况，同款产品多台在线设备也可扫描，并显示设备硬件名称、硬件IP地址、在线、离线状态信息；具备一键上传配置信息至云端或保存本地进行备份功能和一键还原配置信息功能。（提供第三方检测机构出具的具有CMA或CNAS标识的检测报告扫描件或复印件）</w:t>
            </w:r>
          </w:p>
        </w:tc>
        <w:tc>
          <w:tcPr>
            <w:tcW w:w="0" w:type="auto"/>
            <w:tcBorders>
              <w:top w:val="nil"/>
              <w:left w:val="nil"/>
              <w:bottom w:val="single" w:color="auto" w:sz="4" w:space="0"/>
              <w:right w:val="single" w:color="auto" w:sz="4" w:space="0"/>
            </w:tcBorders>
            <w:vAlign w:val="center"/>
          </w:tcPr>
          <w:p w14:paraId="66ACD04A">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新宋体" w:hAnsi="新宋体" w:eastAsia="新宋体" w:cs="宋体"/>
                <w:color w:val="auto"/>
                <w:kern w:val="0"/>
                <w:sz w:val="22"/>
              </w:rPr>
            </w:pPr>
            <w:r>
              <w:rPr>
                <w:rFonts w:hint="eastAsia" w:ascii="新宋体" w:hAnsi="新宋体" w:eastAsia="新宋体" w:cs="宋体"/>
                <w:color w:val="auto"/>
                <w:kern w:val="0"/>
                <w:sz w:val="22"/>
              </w:rPr>
              <w:t>1</w:t>
            </w:r>
          </w:p>
        </w:tc>
        <w:tc>
          <w:tcPr>
            <w:tcW w:w="0" w:type="auto"/>
            <w:tcBorders>
              <w:top w:val="nil"/>
              <w:left w:val="nil"/>
              <w:bottom w:val="single" w:color="auto" w:sz="4" w:space="0"/>
              <w:right w:val="single" w:color="auto" w:sz="4" w:space="0"/>
            </w:tcBorders>
            <w:vAlign w:val="center"/>
          </w:tcPr>
          <w:p w14:paraId="0EBF81D9">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新宋体" w:hAnsi="新宋体" w:eastAsia="新宋体" w:cs="宋体"/>
                <w:color w:val="auto"/>
                <w:kern w:val="0"/>
                <w:sz w:val="22"/>
              </w:rPr>
            </w:pPr>
            <w:r>
              <w:rPr>
                <w:rFonts w:hint="eastAsia" w:ascii="新宋体" w:hAnsi="新宋体" w:eastAsia="新宋体" w:cs="宋体"/>
                <w:color w:val="auto"/>
                <w:kern w:val="0"/>
                <w:sz w:val="22"/>
              </w:rPr>
              <w:t>台</w:t>
            </w:r>
          </w:p>
        </w:tc>
      </w:tr>
      <w:tr w14:paraId="0BC9F56F">
        <w:tblPrEx>
          <w:tblCellMar>
            <w:top w:w="0" w:type="dxa"/>
            <w:left w:w="108" w:type="dxa"/>
            <w:bottom w:w="0" w:type="dxa"/>
            <w:right w:w="108" w:type="dxa"/>
          </w:tblCellMar>
        </w:tblPrEx>
        <w:trPr>
          <w:trHeight w:val="567" w:hRule="atLeast"/>
        </w:trPr>
        <w:tc>
          <w:tcPr>
            <w:tcW w:w="0" w:type="auto"/>
            <w:tcBorders>
              <w:top w:val="nil"/>
              <w:left w:val="single" w:color="auto" w:sz="4" w:space="0"/>
              <w:bottom w:val="single" w:color="auto" w:sz="4" w:space="0"/>
              <w:right w:val="single" w:color="auto" w:sz="4" w:space="0"/>
            </w:tcBorders>
            <w:noWrap/>
            <w:vAlign w:val="center"/>
          </w:tcPr>
          <w:p w14:paraId="6960677C">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13</w:t>
            </w:r>
          </w:p>
        </w:tc>
        <w:tc>
          <w:tcPr>
            <w:tcW w:w="0" w:type="auto"/>
            <w:tcBorders>
              <w:top w:val="nil"/>
              <w:left w:val="nil"/>
              <w:bottom w:val="single" w:color="auto" w:sz="4" w:space="0"/>
              <w:right w:val="single" w:color="auto" w:sz="4" w:space="0"/>
            </w:tcBorders>
            <w:vAlign w:val="center"/>
          </w:tcPr>
          <w:p w14:paraId="326EFA42">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新宋体" w:hAnsi="新宋体" w:eastAsia="新宋体" w:cs="宋体"/>
                <w:color w:val="auto"/>
                <w:kern w:val="0"/>
                <w:sz w:val="22"/>
              </w:rPr>
            </w:pPr>
            <w:r>
              <w:rPr>
                <w:rFonts w:hint="eastAsia" w:ascii="新宋体" w:hAnsi="新宋体" w:eastAsia="新宋体" w:cs="宋体"/>
                <w:color w:val="auto"/>
                <w:kern w:val="0"/>
                <w:sz w:val="22"/>
              </w:rPr>
              <w:t>话筒处理器</w:t>
            </w:r>
          </w:p>
        </w:tc>
        <w:tc>
          <w:tcPr>
            <w:tcW w:w="0" w:type="auto"/>
            <w:tcBorders>
              <w:top w:val="nil"/>
              <w:left w:val="nil"/>
              <w:bottom w:val="single" w:color="auto" w:sz="4" w:space="0"/>
              <w:right w:val="single" w:color="auto" w:sz="4" w:space="0"/>
            </w:tcBorders>
            <w:vAlign w:val="center"/>
          </w:tcPr>
          <w:p w14:paraId="66837344">
            <w:pPr>
              <w:keepNext w:val="0"/>
              <w:keepLines w:val="0"/>
              <w:pageBreakBefore w:val="0"/>
              <w:widowControl/>
              <w:kinsoku/>
              <w:wordWrap/>
              <w:overflowPunct/>
              <w:topLinePunct w:val="0"/>
              <w:autoSpaceDE/>
              <w:autoSpaceDN/>
              <w:bidi w:val="0"/>
              <w:adjustRightInd/>
              <w:snapToGrid/>
              <w:spacing w:after="0" w:line="260" w:lineRule="auto"/>
              <w:jc w:val="left"/>
              <w:textAlignment w:val="auto"/>
              <w:rPr>
                <w:rFonts w:hint="eastAsia" w:ascii="新宋体" w:hAnsi="新宋体" w:eastAsia="新宋体" w:cs="宋体"/>
                <w:color w:val="auto"/>
                <w:kern w:val="0"/>
                <w:sz w:val="22"/>
              </w:rPr>
            </w:pPr>
            <w:r>
              <w:rPr>
                <w:rFonts w:hint="eastAsia" w:ascii="新宋体" w:hAnsi="新宋体" w:eastAsia="新宋体" w:cs="宋体"/>
                <w:color w:val="auto"/>
                <w:kern w:val="0"/>
                <w:sz w:val="22"/>
              </w:rPr>
              <w:t>1.具有智能混音、语音检测功能，可以实现≥16个有线会议单元+≥8个无线会议单元同时开启并实时检测会议单元dB值；当发言人讲话时，会议单元自动调整为发言状态，并联动摄像机自动跟踪发言人；当发言人停止讲话时，会议单元自动调整为静音状态，并联动摄像机自动切换到全景画面。</w:t>
            </w:r>
            <w:r>
              <w:rPr>
                <w:rFonts w:hint="eastAsia" w:ascii="新宋体" w:hAnsi="新宋体" w:eastAsia="新宋体" w:cs="宋体"/>
                <w:color w:val="auto"/>
                <w:kern w:val="0"/>
                <w:sz w:val="22"/>
              </w:rPr>
              <w:br w:type="textWrapping"/>
            </w:r>
            <w:r>
              <w:rPr>
                <w:rFonts w:hint="eastAsia" w:ascii="新宋体" w:hAnsi="新宋体" w:eastAsia="新宋体" w:cs="宋体"/>
                <w:color w:val="auto"/>
                <w:kern w:val="0"/>
                <w:sz w:val="22"/>
              </w:rPr>
              <w:t>2.可对接摄像机实现摄像跟踪功能；内置≥64个话筒预置位，满足大型会议室摄像跟踪需求。</w:t>
            </w:r>
            <w:r>
              <w:rPr>
                <w:rFonts w:hint="eastAsia" w:ascii="新宋体" w:hAnsi="新宋体" w:eastAsia="新宋体" w:cs="宋体"/>
                <w:color w:val="auto"/>
                <w:kern w:val="0"/>
                <w:sz w:val="22"/>
              </w:rPr>
              <w:br w:type="textWrapping"/>
            </w:r>
            <w:r>
              <w:rPr>
                <w:rFonts w:hint="eastAsia" w:ascii="新宋体" w:hAnsi="新宋体" w:eastAsia="新宋体" w:cs="宋体"/>
                <w:color w:val="auto"/>
                <w:kern w:val="0"/>
                <w:sz w:val="22"/>
              </w:rPr>
              <w:t>3.处理器与数字会议主机通过网络传输链路传输会议单元音频信号，只需要通过网线即可以接收数字会议单元音频信号，并提供自动增益、自动混音、AFC反馈抑制（≥24个可编程陷波点）、EQ调节（≥31段图示均衡器调节）音频处理功能。（提供第三方检测机构出具的具有CMA或CNAS标识的检测报告扫描件或复印件）</w:t>
            </w:r>
            <w:r>
              <w:rPr>
                <w:rFonts w:hint="eastAsia" w:ascii="新宋体" w:hAnsi="新宋体" w:eastAsia="新宋体" w:cs="宋体"/>
                <w:color w:val="auto"/>
                <w:kern w:val="0"/>
                <w:sz w:val="22"/>
              </w:rPr>
              <w:br w:type="textWrapping"/>
            </w:r>
            <w:r>
              <w:rPr>
                <w:rFonts w:hint="eastAsia" w:ascii="新宋体" w:hAnsi="新宋体" w:eastAsia="新宋体" w:cs="宋体"/>
                <w:color w:val="auto"/>
                <w:kern w:val="0"/>
                <w:sz w:val="22"/>
              </w:rPr>
              <w:t>4.采用啸叫检测门限更新法，移频+陷波组合反馈抑制方式，具有≥24个可编程陷波点，可自由分配动态/静态点，自动/手动切换。</w:t>
            </w:r>
            <w:r>
              <w:rPr>
                <w:rFonts w:hint="eastAsia" w:ascii="新宋体" w:hAnsi="新宋体" w:eastAsia="新宋体" w:cs="宋体"/>
                <w:color w:val="auto"/>
                <w:kern w:val="0"/>
                <w:sz w:val="22"/>
              </w:rPr>
              <w:br w:type="textWrapping"/>
            </w:r>
            <w:r>
              <w:rPr>
                <w:rFonts w:hint="eastAsia" w:ascii="新宋体" w:hAnsi="新宋体" w:eastAsia="新宋体" w:cs="宋体"/>
                <w:color w:val="auto"/>
                <w:kern w:val="0"/>
                <w:sz w:val="22"/>
              </w:rPr>
              <w:t>★5.产品软件与数字会议主机软件集成，可以实现使用同一软件配置数字会议主机和会议话筒处理器；支持搭配音频综合管理平台集中管控各种音频设备，包含数字会议系统软件模块、电子桌牌软件模块、反馈抑制器软件模块、智能混音器软件模块、数字音频处理器软件模块、智控数字专业功放软件模块，各模块打开呈现在状态栏窗口，可快速管理和调用。（提供第三方检测机构出具的具有CMA或CNAS标识的检测报告扫描件或复印件）</w:t>
            </w:r>
          </w:p>
        </w:tc>
        <w:tc>
          <w:tcPr>
            <w:tcW w:w="0" w:type="auto"/>
            <w:tcBorders>
              <w:top w:val="nil"/>
              <w:left w:val="nil"/>
              <w:bottom w:val="single" w:color="auto" w:sz="4" w:space="0"/>
              <w:right w:val="single" w:color="auto" w:sz="4" w:space="0"/>
            </w:tcBorders>
            <w:vAlign w:val="center"/>
          </w:tcPr>
          <w:p w14:paraId="5BE9E7DF">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新宋体" w:hAnsi="新宋体" w:eastAsia="新宋体" w:cs="宋体"/>
                <w:color w:val="auto"/>
                <w:kern w:val="0"/>
                <w:sz w:val="22"/>
              </w:rPr>
            </w:pPr>
            <w:r>
              <w:rPr>
                <w:rFonts w:hint="eastAsia" w:ascii="新宋体" w:hAnsi="新宋体" w:eastAsia="新宋体" w:cs="宋体"/>
                <w:color w:val="auto"/>
                <w:kern w:val="0"/>
                <w:sz w:val="22"/>
              </w:rPr>
              <w:t>1</w:t>
            </w:r>
          </w:p>
        </w:tc>
        <w:tc>
          <w:tcPr>
            <w:tcW w:w="0" w:type="auto"/>
            <w:tcBorders>
              <w:top w:val="nil"/>
              <w:left w:val="nil"/>
              <w:bottom w:val="single" w:color="auto" w:sz="4" w:space="0"/>
              <w:right w:val="single" w:color="auto" w:sz="4" w:space="0"/>
            </w:tcBorders>
            <w:vAlign w:val="center"/>
          </w:tcPr>
          <w:p w14:paraId="37712CA1">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新宋体" w:hAnsi="新宋体" w:eastAsia="新宋体" w:cs="宋体"/>
                <w:color w:val="auto"/>
                <w:kern w:val="0"/>
                <w:sz w:val="22"/>
              </w:rPr>
            </w:pPr>
            <w:r>
              <w:rPr>
                <w:rFonts w:hint="eastAsia" w:ascii="新宋体" w:hAnsi="新宋体" w:eastAsia="新宋体" w:cs="宋体"/>
                <w:color w:val="auto"/>
                <w:kern w:val="0"/>
                <w:sz w:val="22"/>
              </w:rPr>
              <w:t>台</w:t>
            </w:r>
          </w:p>
        </w:tc>
      </w:tr>
      <w:tr w14:paraId="0F5B5499">
        <w:tblPrEx>
          <w:tblCellMar>
            <w:top w:w="0" w:type="dxa"/>
            <w:left w:w="108" w:type="dxa"/>
            <w:bottom w:w="0" w:type="dxa"/>
            <w:right w:w="108" w:type="dxa"/>
          </w:tblCellMar>
        </w:tblPrEx>
        <w:trPr>
          <w:trHeight w:val="567" w:hRule="atLeast"/>
        </w:trPr>
        <w:tc>
          <w:tcPr>
            <w:tcW w:w="0" w:type="auto"/>
            <w:tcBorders>
              <w:top w:val="nil"/>
              <w:left w:val="single" w:color="auto" w:sz="4" w:space="0"/>
              <w:bottom w:val="single" w:color="auto" w:sz="4" w:space="0"/>
              <w:right w:val="single" w:color="auto" w:sz="4" w:space="0"/>
            </w:tcBorders>
            <w:noWrap/>
            <w:vAlign w:val="center"/>
          </w:tcPr>
          <w:p w14:paraId="5DD947BD">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14</w:t>
            </w:r>
          </w:p>
        </w:tc>
        <w:tc>
          <w:tcPr>
            <w:tcW w:w="0" w:type="auto"/>
            <w:tcBorders>
              <w:top w:val="nil"/>
              <w:left w:val="nil"/>
              <w:bottom w:val="single" w:color="auto" w:sz="4" w:space="0"/>
              <w:right w:val="single" w:color="auto" w:sz="4" w:space="0"/>
            </w:tcBorders>
            <w:vAlign w:val="center"/>
          </w:tcPr>
          <w:p w14:paraId="73A20223">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新宋体" w:hAnsi="新宋体" w:eastAsia="新宋体" w:cs="宋体"/>
                <w:color w:val="auto"/>
                <w:kern w:val="0"/>
                <w:sz w:val="22"/>
              </w:rPr>
            </w:pPr>
            <w:r>
              <w:rPr>
                <w:rFonts w:hint="eastAsia" w:ascii="新宋体" w:hAnsi="新宋体" w:eastAsia="新宋体" w:cs="宋体"/>
                <w:color w:val="auto"/>
                <w:kern w:val="0"/>
                <w:sz w:val="22"/>
              </w:rPr>
              <w:t>主席单元</w:t>
            </w:r>
          </w:p>
        </w:tc>
        <w:tc>
          <w:tcPr>
            <w:tcW w:w="0" w:type="auto"/>
            <w:tcBorders>
              <w:top w:val="nil"/>
              <w:left w:val="nil"/>
              <w:bottom w:val="single" w:color="auto" w:sz="4" w:space="0"/>
              <w:right w:val="single" w:color="auto" w:sz="4" w:space="0"/>
            </w:tcBorders>
            <w:vAlign w:val="center"/>
          </w:tcPr>
          <w:p w14:paraId="2938E8CF">
            <w:pPr>
              <w:keepNext w:val="0"/>
              <w:keepLines w:val="0"/>
              <w:pageBreakBefore w:val="0"/>
              <w:widowControl/>
              <w:kinsoku/>
              <w:wordWrap/>
              <w:overflowPunct/>
              <w:topLinePunct w:val="0"/>
              <w:autoSpaceDE/>
              <w:autoSpaceDN/>
              <w:bidi w:val="0"/>
              <w:adjustRightInd/>
              <w:snapToGrid/>
              <w:spacing w:after="0" w:line="260" w:lineRule="auto"/>
              <w:jc w:val="left"/>
              <w:textAlignment w:val="auto"/>
              <w:rPr>
                <w:rFonts w:hint="eastAsia" w:ascii="新宋体" w:hAnsi="新宋体" w:eastAsia="新宋体" w:cs="宋体"/>
                <w:color w:val="auto"/>
                <w:kern w:val="0"/>
                <w:sz w:val="22"/>
              </w:rPr>
            </w:pPr>
            <w:r>
              <w:rPr>
                <w:rFonts w:hint="eastAsia" w:ascii="新宋体" w:hAnsi="新宋体" w:eastAsia="新宋体" w:cs="宋体"/>
                <w:color w:val="auto"/>
                <w:kern w:val="0"/>
                <w:sz w:val="22"/>
              </w:rPr>
              <w:t>1.话筒核心器件全部采用国产化芯片。</w:t>
            </w:r>
            <w:r>
              <w:rPr>
                <w:rFonts w:hint="eastAsia" w:ascii="新宋体" w:hAnsi="新宋体" w:eastAsia="新宋体" w:cs="宋体"/>
                <w:color w:val="auto"/>
                <w:kern w:val="0"/>
                <w:sz w:val="22"/>
              </w:rPr>
              <w:br w:type="textWrapping"/>
            </w:r>
            <w:r>
              <w:rPr>
                <w:rFonts w:hint="eastAsia" w:ascii="新宋体" w:hAnsi="新宋体" w:eastAsia="新宋体" w:cs="宋体"/>
                <w:color w:val="auto"/>
                <w:kern w:val="0"/>
                <w:sz w:val="22"/>
              </w:rPr>
              <w:t>2.话筒采用数字传输链路；具有≥2个网口，可用于手拉手级联。</w:t>
            </w:r>
            <w:r>
              <w:rPr>
                <w:rFonts w:hint="eastAsia" w:ascii="新宋体" w:hAnsi="新宋体" w:eastAsia="新宋体" w:cs="宋体"/>
                <w:color w:val="auto"/>
                <w:kern w:val="0"/>
                <w:sz w:val="22"/>
              </w:rPr>
              <w:br w:type="textWrapping"/>
            </w:r>
            <w:r>
              <w:rPr>
                <w:rFonts w:hint="eastAsia" w:ascii="新宋体" w:hAnsi="新宋体" w:eastAsia="新宋体" w:cs="宋体"/>
                <w:color w:val="auto"/>
                <w:kern w:val="0"/>
                <w:sz w:val="22"/>
              </w:rPr>
              <w:t>3.内置高保真扬声器，并具有音量调节旋钮，可调节扬声器输出音量大小；具有抑制啸叫功能，当话筒打开时，内置的扬声器会自动关闭。</w:t>
            </w:r>
            <w:r>
              <w:rPr>
                <w:rFonts w:hint="eastAsia" w:ascii="新宋体" w:hAnsi="新宋体" w:eastAsia="新宋体" w:cs="宋体"/>
                <w:color w:val="auto"/>
                <w:kern w:val="0"/>
                <w:sz w:val="22"/>
              </w:rPr>
              <w:br w:type="textWrapping"/>
            </w:r>
            <w:r>
              <w:rPr>
                <w:rFonts w:hint="eastAsia" w:ascii="新宋体" w:hAnsi="新宋体" w:eastAsia="新宋体" w:cs="宋体"/>
                <w:color w:val="auto"/>
                <w:kern w:val="0"/>
                <w:sz w:val="22"/>
              </w:rPr>
              <w:t>4.主席话筒具备关闭代表话筒发言的优先权限。</w:t>
            </w:r>
            <w:r>
              <w:rPr>
                <w:rFonts w:hint="eastAsia" w:ascii="新宋体" w:hAnsi="新宋体" w:eastAsia="新宋体" w:cs="宋体"/>
                <w:color w:val="auto"/>
                <w:kern w:val="0"/>
                <w:sz w:val="22"/>
              </w:rPr>
              <w:br w:type="textWrapping"/>
            </w:r>
            <w:r>
              <w:rPr>
                <w:rFonts w:hint="eastAsia" w:ascii="新宋体" w:hAnsi="新宋体" w:eastAsia="新宋体" w:cs="宋体"/>
                <w:color w:val="auto"/>
                <w:kern w:val="0"/>
                <w:sz w:val="22"/>
              </w:rPr>
              <w:t>5.具有≥3.5mm立体声输出插座，可做录音及连接耳机用。</w:t>
            </w:r>
            <w:r>
              <w:rPr>
                <w:rFonts w:hint="eastAsia" w:ascii="新宋体" w:hAnsi="新宋体" w:eastAsia="新宋体" w:cs="宋体"/>
                <w:color w:val="auto"/>
                <w:kern w:val="0"/>
                <w:sz w:val="22"/>
              </w:rPr>
              <w:br w:type="textWrapping"/>
            </w:r>
            <w:r>
              <w:rPr>
                <w:rFonts w:hint="eastAsia" w:ascii="新宋体" w:hAnsi="新宋体" w:eastAsia="新宋体" w:cs="宋体"/>
                <w:color w:val="auto"/>
                <w:kern w:val="0"/>
                <w:sz w:val="22"/>
              </w:rPr>
              <w:t>6.具有独立的 web 控制页面，支持调节话筒ID号、话筒灵敏度、话筒EQ参数。</w:t>
            </w:r>
            <w:r>
              <w:rPr>
                <w:rFonts w:hint="eastAsia" w:ascii="新宋体" w:hAnsi="新宋体" w:eastAsia="新宋体" w:cs="宋体"/>
                <w:color w:val="auto"/>
                <w:kern w:val="0"/>
                <w:sz w:val="22"/>
              </w:rPr>
              <w:br w:type="textWrapping"/>
            </w:r>
            <w:r>
              <w:rPr>
                <w:rFonts w:hint="eastAsia" w:ascii="新宋体" w:hAnsi="新宋体" w:eastAsia="新宋体" w:cs="宋体"/>
                <w:color w:val="auto"/>
                <w:kern w:val="0"/>
                <w:sz w:val="22"/>
              </w:rPr>
              <w:t>7.支持WEB页面固件升级功能。</w:t>
            </w:r>
            <w:r>
              <w:rPr>
                <w:rFonts w:hint="eastAsia" w:ascii="新宋体" w:hAnsi="新宋体" w:eastAsia="新宋体" w:cs="宋体"/>
                <w:color w:val="auto"/>
                <w:kern w:val="0"/>
                <w:sz w:val="22"/>
              </w:rPr>
              <w:br w:type="textWrapping"/>
            </w:r>
            <w:r>
              <w:rPr>
                <w:rFonts w:hint="eastAsia" w:ascii="新宋体" w:hAnsi="新宋体" w:eastAsia="新宋体" w:cs="宋体"/>
                <w:color w:val="auto"/>
                <w:kern w:val="0"/>
                <w:sz w:val="22"/>
              </w:rPr>
              <w:t>8.话筒内置数字功放芯片；芯片具备自动增益AGC和压限功能，能够通过数字功放芯片处理数字音频信号。</w:t>
            </w:r>
            <w:r>
              <w:rPr>
                <w:rFonts w:hint="eastAsia" w:ascii="新宋体" w:hAnsi="新宋体" w:eastAsia="新宋体" w:cs="宋体"/>
                <w:color w:val="auto"/>
                <w:kern w:val="0"/>
                <w:sz w:val="22"/>
              </w:rPr>
              <w:br w:type="textWrapping"/>
            </w:r>
            <w:r>
              <w:rPr>
                <w:rFonts w:hint="eastAsia" w:ascii="新宋体" w:hAnsi="新宋体" w:eastAsia="新宋体" w:cs="宋体"/>
                <w:color w:val="auto"/>
                <w:kern w:val="0"/>
                <w:sz w:val="22"/>
              </w:rPr>
              <w:t>★9.话筒内置≥1个4</w:t>
            </w:r>
            <w:r>
              <w:rPr>
                <w:rFonts w:ascii="Calibri" w:hAnsi="Calibri" w:eastAsia="新宋体" w:cs="Calibri"/>
                <w:color w:val="auto"/>
                <w:kern w:val="0"/>
                <w:sz w:val="22"/>
              </w:rPr>
              <w:t>Ω</w:t>
            </w:r>
            <w:r>
              <w:rPr>
                <w:rFonts w:hint="eastAsia" w:ascii="新宋体" w:hAnsi="新宋体" w:eastAsia="新宋体" w:cs="宋体"/>
                <w:color w:val="auto"/>
                <w:kern w:val="0"/>
                <w:sz w:val="22"/>
              </w:rPr>
              <w:t xml:space="preserve"> 2W喇叭，可通过内置喇叭输出其他话筒发言的音频，实现本地扩声。（提供第三方检测机构出具的具有CMA或CNAS标识的检测报告扫描件或复印件）</w:t>
            </w:r>
          </w:p>
        </w:tc>
        <w:tc>
          <w:tcPr>
            <w:tcW w:w="0" w:type="auto"/>
            <w:tcBorders>
              <w:top w:val="nil"/>
              <w:left w:val="nil"/>
              <w:bottom w:val="single" w:color="auto" w:sz="4" w:space="0"/>
              <w:right w:val="single" w:color="auto" w:sz="4" w:space="0"/>
            </w:tcBorders>
            <w:vAlign w:val="center"/>
          </w:tcPr>
          <w:p w14:paraId="07481CDA">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新宋体" w:hAnsi="新宋体" w:eastAsia="新宋体" w:cs="宋体"/>
                <w:color w:val="auto"/>
                <w:kern w:val="0"/>
                <w:sz w:val="22"/>
              </w:rPr>
            </w:pPr>
            <w:r>
              <w:rPr>
                <w:rFonts w:hint="eastAsia" w:ascii="新宋体" w:hAnsi="新宋体" w:eastAsia="新宋体" w:cs="宋体"/>
                <w:color w:val="auto"/>
                <w:kern w:val="0"/>
                <w:sz w:val="22"/>
              </w:rPr>
              <w:t>1</w:t>
            </w:r>
          </w:p>
        </w:tc>
        <w:tc>
          <w:tcPr>
            <w:tcW w:w="0" w:type="auto"/>
            <w:tcBorders>
              <w:top w:val="nil"/>
              <w:left w:val="nil"/>
              <w:bottom w:val="single" w:color="auto" w:sz="4" w:space="0"/>
              <w:right w:val="single" w:color="auto" w:sz="4" w:space="0"/>
            </w:tcBorders>
            <w:vAlign w:val="center"/>
          </w:tcPr>
          <w:p w14:paraId="74878DE4">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新宋体" w:hAnsi="新宋体" w:eastAsia="新宋体" w:cs="宋体"/>
                <w:color w:val="auto"/>
                <w:kern w:val="0"/>
                <w:sz w:val="22"/>
              </w:rPr>
            </w:pPr>
            <w:r>
              <w:rPr>
                <w:rFonts w:hint="eastAsia" w:ascii="新宋体" w:hAnsi="新宋体" w:eastAsia="新宋体" w:cs="宋体"/>
                <w:color w:val="auto"/>
                <w:kern w:val="0"/>
                <w:sz w:val="22"/>
              </w:rPr>
              <w:t>台</w:t>
            </w:r>
          </w:p>
        </w:tc>
      </w:tr>
      <w:tr w14:paraId="02E1F01F">
        <w:tblPrEx>
          <w:tblCellMar>
            <w:top w:w="0" w:type="dxa"/>
            <w:left w:w="108" w:type="dxa"/>
            <w:bottom w:w="0" w:type="dxa"/>
            <w:right w:w="108" w:type="dxa"/>
          </w:tblCellMar>
        </w:tblPrEx>
        <w:trPr>
          <w:trHeight w:val="567" w:hRule="atLeast"/>
        </w:trPr>
        <w:tc>
          <w:tcPr>
            <w:tcW w:w="0" w:type="auto"/>
            <w:tcBorders>
              <w:top w:val="nil"/>
              <w:left w:val="single" w:color="auto" w:sz="4" w:space="0"/>
              <w:bottom w:val="single" w:color="auto" w:sz="4" w:space="0"/>
              <w:right w:val="single" w:color="auto" w:sz="4" w:space="0"/>
            </w:tcBorders>
            <w:noWrap/>
            <w:vAlign w:val="center"/>
          </w:tcPr>
          <w:p w14:paraId="3DC9334B">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15</w:t>
            </w:r>
          </w:p>
        </w:tc>
        <w:tc>
          <w:tcPr>
            <w:tcW w:w="0" w:type="auto"/>
            <w:tcBorders>
              <w:top w:val="nil"/>
              <w:left w:val="nil"/>
              <w:bottom w:val="single" w:color="auto" w:sz="4" w:space="0"/>
              <w:right w:val="single" w:color="auto" w:sz="4" w:space="0"/>
            </w:tcBorders>
            <w:vAlign w:val="center"/>
          </w:tcPr>
          <w:p w14:paraId="6AC1A98C">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新宋体" w:hAnsi="新宋体" w:eastAsia="新宋体" w:cs="宋体"/>
                <w:color w:val="auto"/>
                <w:kern w:val="0"/>
                <w:sz w:val="22"/>
              </w:rPr>
            </w:pPr>
            <w:r>
              <w:rPr>
                <w:rFonts w:hint="eastAsia" w:ascii="新宋体" w:hAnsi="新宋体" w:eastAsia="新宋体" w:cs="宋体"/>
                <w:color w:val="auto"/>
                <w:kern w:val="0"/>
                <w:sz w:val="22"/>
              </w:rPr>
              <w:t>客席单元</w:t>
            </w:r>
          </w:p>
        </w:tc>
        <w:tc>
          <w:tcPr>
            <w:tcW w:w="0" w:type="auto"/>
            <w:tcBorders>
              <w:top w:val="nil"/>
              <w:left w:val="nil"/>
              <w:bottom w:val="single" w:color="auto" w:sz="4" w:space="0"/>
              <w:right w:val="single" w:color="auto" w:sz="4" w:space="0"/>
            </w:tcBorders>
            <w:vAlign w:val="center"/>
          </w:tcPr>
          <w:p w14:paraId="22924FE1">
            <w:pPr>
              <w:keepNext w:val="0"/>
              <w:keepLines w:val="0"/>
              <w:pageBreakBefore w:val="0"/>
              <w:widowControl/>
              <w:kinsoku/>
              <w:wordWrap/>
              <w:overflowPunct/>
              <w:topLinePunct w:val="0"/>
              <w:autoSpaceDE/>
              <w:autoSpaceDN/>
              <w:bidi w:val="0"/>
              <w:adjustRightInd/>
              <w:snapToGrid/>
              <w:spacing w:after="0" w:line="260" w:lineRule="auto"/>
              <w:jc w:val="left"/>
              <w:textAlignment w:val="auto"/>
              <w:rPr>
                <w:rFonts w:hint="eastAsia" w:ascii="新宋体" w:hAnsi="新宋体" w:eastAsia="新宋体" w:cs="宋体"/>
                <w:color w:val="auto"/>
                <w:kern w:val="0"/>
                <w:sz w:val="22"/>
              </w:rPr>
            </w:pPr>
            <w:r>
              <w:rPr>
                <w:rFonts w:hint="eastAsia" w:ascii="新宋体" w:hAnsi="新宋体" w:eastAsia="新宋体" w:cs="宋体"/>
                <w:color w:val="auto"/>
                <w:kern w:val="0"/>
                <w:sz w:val="22"/>
              </w:rPr>
              <w:t>1.话筒核心器件全部采用国产化芯片。</w:t>
            </w:r>
            <w:r>
              <w:rPr>
                <w:rFonts w:hint="eastAsia" w:ascii="新宋体" w:hAnsi="新宋体" w:eastAsia="新宋体" w:cs="宋体"/>
                <w:color w:val="auto"/>
                <w:kern w:val="0"/>
                <w:sz w:val="22"/>
              </w:rPr>
              <w:br w:type="textWrapping"/>
            </w:r>
            <w:r>
              <w:rPr>
                <w:rFonts w:hint="eastAsia" w:ascii="新宋体" w:hAnsi="新宋体" w:eastAsia="新宋体" w:cs="宋体"/>
                <w:color w:val="auto"/>
                <w:kern w:val="0"/>
                <w:sz w:val="22"/>
              </w:rPr>
              <w:t>2.话筒采用数字传输链路；具有≥2个网口，可用于手拉手级联。</w:t>
            </w:r>
            <w:r>
              <w:rPr>
                <w:rFonts w:hint="eastAsia" w:ascii="新宋体" w:hAnsi="新宋体" w:eastAsia="新宋体" w:cs="宋体"/>
                <w:color w:val="auto"/>
                <w:kern w:val="0"/>
                <w:sz w:val="22"/>
              </w:rPr>
              <w:br w:type="textWrapping"/>
            </w:r>
            <w:r>
              <w:rPr>
                <w:rFonts w:hint="eastAsia" w:ascii="新宋体" w:hAnsi="新宋体" w:eastAsia="新宋体" w:cs="宋体"/>
                <w:color w:val="auto"/>
                <w:kern w:val="0"/>
                <w:sz w:val="22"/>
              </w:rPr>
              <w:t>3.内置高保真扬声器，并具有音量调节旋钮，可调节扬声器输出音量大小；具有抑制啸叫功能，当话筒打开时，内置的扬声器会自动关闭。</w:t>
            </w:r>
            <w:r>
              <w:rPr>
                <w:rFonts w:hint="eastAsia" w:ascii="新宋体" w:hAnsi="新宋体" w:eastAsia="新宋体" w:cs="宋体"/>
                <w:color w:val="auto"/>
                <w:kern w:val="0"/>
                <w:sz w:val="22"/>
              </w:rPr>
              <w:br w:type="textWrapping"/>
            </w:r>
            <w:r>
              <w:rPr>
                <w:rFonts w:hint="eastAsia" w:ascii="新宋体" w:hAnsi="新宋体" w:eastAsia="新宋体" w:cs="宋体"/>
                <w:color w:val="auto"/>
                <w:kern w:val="0"/>
                <w:sz w:val="22"/>
              </w:rPr>
              <w:t>4.具有≥3.5mm立体声输出插座，可做录音及连接耳机用。</w:t>
            </w:r>
            <w:r>
              <w:rPr>
                <w:rFonts w:hint="eastAsia" w:ascii="新宋体" w:hAnsi="新宋体" w:eastAsia="新宋体" w:cs="宋体"/>
                <w:color w:val="auto"/>
                <w:kern w:val="0"/>
                <w:sz w:val="22"/>
              </w:rPr>
              <w:br w:type="textWrapping"/>
            </w:r>
            <w:r>
              <w:rPr>
                <w:rFonts w:hint="eastAsia" w:ascii="新宋体" w:hAnsi="新宋体" w:eastAsia="新宋体" w:cs="宋体"/>
                <w:color w:val="auto"/>
                <w:kern w:val="0"/>
                <w:sz w:val="22"/>
              </w:rPr>
              <w:t>5.具有独立的 web 控制页面，支持调节话筒ID号、话筒灵敏度、话筒EQ参数。</w:t>
            </w:r>
            <w:r>
              <w:rPr>
                <w:rFonts w:hint="eastAsia" w:ascii="新宋体" w:hAnsi="新宋体" w:eastAsia="新宋体" w:cs="宋体"/>
                <w:color w:val="auto"/>
                <w:kern w:val="0"/>
                <w:sz w:val="22"/>
              </w:rPr>
              <w:br w:type="textWrapping"/>
            </w:r>
            <w:r>
              <w:rPr>
                <w:rFonts w:hint="eastAsia" w:ascii="新宋体" w:hAnsi="新宋体" w:eastAsia="新宋体" w:cs="宋体"/>
                <w:color w:val="auto"/>
                <w:kern w:val="0"/>
                <w:sz w:val="22"/>
              </w:rPr>
              <w:t>6.支持WEB页面固件升级功能。</w:t>
            </w:r>
            <w:r>
              <w:rPr>
                <w:rFonts w:hint="eastAsia" w:ascii="新宋体" w:hAnsi="新宋体" w:eastAsia="新宋体" w:cs="宋体"/>
                <w:color w:val="auto"/>
                <w:kern w:val="0"/>
                <w:sz w:val="22"/>
              </w:rPr>
              <w:br w:type="textWrapping"/>
            </w:r>
            <w:r>
              <w:rPr>
                <w:rFonts w:hint="eastAsia" w:ascii="新宋体" w:hAnsi="新宋体" w:eastAsia="新宋体" w:cs="宋体"/>
                <w:color w:val="auto"/>
                <w:kern w:val="0"/>
                <w:sz w:val="22"/>
              </w:rPr>
              <w:t>7.话筒内置数字功放芯片；芯片具备自动增益AGC和压限功能，能够通过数字功放芯片处理数字音频信号。</w:t>
            </w:r>
            <w:r>
              <w:rPr>
                <w:rFonts w:hint="eastAsia" w:ascii="新宋体" w:hAnsi="新宋体" w:eastAsia="新宋体" w:cs="宋体"/>
                <w:color w:val="auto"/>
                <w:kern w:val="0"/>
                <w:sz w:val="22"/>
              </w:rPr>
              <w:br w:type="textWrapping"/>
            </w:r>
            <w:r>
              <w:rPr>
                <w:rFonts w:hint="eastAsia" w:ascii="新宋体" w:hAnsi="新宋体" w:eastAsia="新宋体" w:cs="宋体"/>
                <w:color w:val="auto"/>
                <w:kern w:val="0"/>
                <w:sz w:val="22"/>
              </w:rPr>
              <w:t>★8.话筒内置≥1个4</w:t>
            </w:r>
            <w:r>
              <w:rPr>
                <w:rFonts w:ascii="Calibri" w:hAnsi="Calibri" w:eastAsia="新宋体" w:cs="Calibri"/>
                <w:color w:val="auto"/>
                <w:kern w:val="0"/>
                <w:sz w:val="22"/>
              </w:rPr>
              <w:t>Ω</w:t>
            </w:r>
            <w:r>
              <w:rPr>
                <w:rFonts w:hint="eastAsia" w:ascii="新宋体" w:hAnsi="新宋体" w:eastAsia="新宋体" w:cs="宋体"/>
                <w:color w:val="auto"/>
                <w:kern w:val="0"/>
                <w:sz w:val="22"/>
              </w:rPr>
              <w:t xml:space="preserve"> 2W喇叭，可通过内置喇叭输出其他话筒发言的音频，实现本地扩声。（提供第三方检测机构出具的具有CMA或CNAS标识的检测报告扫描件或复印件）</w:t>
            </w:r>
          </w:p>
        </w:tc>
        <w:tc>
          <w:tcPr>
            <w:tcW w:w="0" w:type="auto"/>
            <w:tcBorders>
              <w:top w:val="nil"/>
              <w:left w:val="nil"/>
              <w:bottom w:val="single" w:color="auto" w:sz="4" w:space="0"/>
              <w:right w:val="single" w:color="auto" w:sz="4" w:space="0"/>
            </w:tcBorders>
            <w:vAlign w:val="center"/>
          </w:tcPr>
          <w:p w14:paraId="620F336B">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新宋体" w:hAnsi="新宋体" w:eastAsia="新宋体" w:cs="宋体"/>
                <w:color w:val="auto"/>
                <w:kern w:val="0"/>
                <w:sz w:val="22"/>
              </w:rPr>
            </w:pPr>
            <w:r>
              <w:rPr>
                <w:rFonts w:hint="eastAsia" w:ascii="新宋体" w:hAnsi="新宋体" w:eastAsia="新宋体" w:cs="宋体"/>
                <w:color w:val="auto"/>
                <w:kern w:val="0"/>
                <w:sz w:val="22"/>
              </w:rPr>
              <w:t>15</w:t>
            </w:r>
          </w:p>
        </w:tc>
        <w:tc>
          <w:tcPr>
            <w:tcW w:w="0" w:type="auto"/>
            <w:tcBorders>
              <w:top w:val="nil"/>
              <w:left w:val="nil"/>
              <w:bottom w:val="single" w:color="auto" w:sz="4" w:space="0"/>
              <w:right w:val="single" w:color="auto" w:sz="4" w:space="0"/>
            </w:tcBorders>
            <w:vAlign w:val="center"/>
          </w:tcPr>
          <w:p w14:paraId="7C34710D">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新宋体" w:hAnsi="新宋体" w:eastAsia="新宋体" w:cs="宋体"/>
                <w:color w:val="auto"/>
                <w:kern w:val="0"/>
                <w:sz w:val="22"/>
              </w:rPr>
            </w:pPr>
            <w:r>
              <w:rPr>
                <w:rFonts w:hint="eastAsia" w:ascii="新宋体" w:hAnsi="新宋体" w:eastAsia="新宋体" w:cs="宋体"/>
                <w:color w:val="auto"/>
                <w:kern w:val="0"/>
                <w:sz w:val="22"/>
              </w:rPr>
              <w:t>台</w:t>
            </w:r>
          </w:p>
        </w:tc>
      </w:tr>
      <w:tr w14:paraId="6860640C">
        <w:tblPrEx>
          <w:tblCellMar>
            <w:top w:w="0" w:type="dxa"/>
            <w:left w:w="108" w:type="dxa"/>
            <w:bottom w:w="0" w:type="dxa"/>
            <w:right w:w="108" w:type="dxa"/>
          </w:tblCellMar>
        </w:tblPrEx>
        <w:trPr>
          <w:trHeight w:val="567" w:hRule="atLeast"/>
        </w:trPr>
        <w:tc>
          <w:tcPr>
            <w:tcW w:w="0" w:type="auto"/>
            <w:tcBorders>
              <w:top w:val="nil"/>
              <w:left w:val="single" w:color="auto" w:sz="4" w:space="0"/>
              <w:bottom w:val="single" w:color="auto" w:sz="4" w:space="0"/>
              <w:right w:val="single" w:color="auto" w:sz="4" w:space="0"/>
            </w:tcBorders>
            <w:noWrap/>
            <w:vAlign w:val="center"/>
          </w:tcPr>
          <w:p w14:paraId="30C5740F">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16</w:t>
            </w:r>
          </w:p>
        </w:tc>
        <w:tc>
          <w:tcPr>
            <w:tcW w:w="0" w:type="auto"/>
            <w:tcBorders>
              <w:top w:val="nil"/>
              <w:left w:val="nil"/>
              <w:bottom w:val="single" w:color="auto" w:sz="4" w:space="0"/>
              <w:right w:val="single" w:color="auto" w:sz="4" w:space="0"/>
            </w:tcBorders>
            <w:vAlign w:val="center"/>
          </w:tcPr>
          <w:p w14:paraId="22023008">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新宋体" w:hAnsi="新宋体" w:eastAsia="新宋体" w:cs="宋体"/>
                <w:color w:val="auto"/>
                <w:kern w:val="0"/>
                <w:sz w:val="22"/>
              </w:rPr>
            </w:pPr>
            <w:r>
              <w:rPr>
                <w:rFonts w:hint="eastAsia" w:ascii="新宋体" w:hAnsi="新宋体" w:eastAsia="新宋体" w:cs="宋体"/>
                <w:color w:val="auto"/>
                <w:kern w:val="0"/>
                <w:sz w:val="22"/>
              </w:rPr>
              <w:t>一拖四单元</w:t>
            </w:r>
          </w:p>
        </w:tc>
        <w:tc>
          <w:tcPr>
            <w:tcW w:w="0" w:type="auto"/>
            <w:tcBorders>
              <w:top w:val="nil"/>
              <w:left w:val="nil"/>
              <w:bottom w:val="single" w:color="auto" w:sz="4" w:space="0"/>
              <w:right w:val="single" w:color="auto" w:sz="4" w:space="0"/>
            </w:tcBorders>
            <w:vAlign w:val="center"/>
          </w:tcPr>
          <w:p w14:paraId="48F95F73">
            <w:pPr>
              <w:keepNext w:val="0"/>
              <w:keepLines w:val="0"/>
              <w:pageBreakBefore w:val="0"/>
              <w:widowControl/>
              <w:kinsoku/>
              <w:wordWrap/>
              <w:overflowPunct/>
              <w:topLinePunct w:val="0"/>
              <w:autoSpaceDE/>
              <w:autoSpaceDN/>
              <w:bidi w:val="0"/>
              <w:adjustRightInd/>
              <w:snapToGrid/>
              <w:spacing w:after="0" w:line="260" w:lineRule="auto"/>
              <w:jc w:val="left"/>
              <w:textAlignment w:val="auto"/>
              <w:rPr>
                <w:rFonts w:hint="eastAsia" w:ascii="新宋体" w:hAnsi="新宋体" w:eastAsia="新宋体" w:cs="宋体"/>
                <w:color w:val="auto"/>
                <w:kern w:val="0"/>
                <w:sz w:val="22"/>
              </w:rPr>
            </w:pPr>
            <w:r>
              <w:rPr>
                <w:rFonts w:hint="eastAsia" w:ascii="新宋体" w:hAnsi="新宋体" w:eastAsia="新宋体" w:cs="宋体"/>
                <w:color w:val="auto"/>
                <w:kern w:val="0"/>
                <w:sz w:val="22"/>
              </w:rPr>
              <w:t>1.基于数字U段的传输技术，pi/4-DQPSK调制方式；传输距离≥80米，接收机具有≥4路平衡输出、≥1路非平衡混音输出；具有混响、均衡、智能静音、音频加密、功率调节功能。</w:t>
            </w:r>
            <w:r>
              <w:rPr>
                <w:rFonts w:hint="eastAsia" w:ascii="新宋体" w:hAnsi="新宋体" w:eastAsia="新宋体" w:cs="宋体"/>
                <w:color w:val="auto"/>
                <w:kern w:val="0"/>
                <w:sz w:val="22"/>
              </w:rPr>
              <w:br w:type="textWrapping"/>
            </w:r>
            <w:r>
              <w:rPr>
                <w:rFonts w:hint="eastAsia" w:ascii="新宋体" w:hAnsi="新宋体" w:eastAsia="新宋体" w:cs="宋体"/>
                <w:color w:val="auto"/>
                <w:kern w:val="0"/>
                <w:sz w:val="22"/>
              </w:rPr>
              <w:t>2.具有≥1台接收主机、≥4只手持发射机；频率范围等同或宽于540MHz-590MHz、640MHz-690MHz两个频段使用。</w:t>
            </w:r>
            <w:r>
              <w:rPr>
                <w:rFonts w:hint="eastAsia" w:ascii="新宋体" w:hAnsi="新宋体" w:eastAsia="新宋体" w:cs="宋体"/>
                <w:color w:val="auto"/>
                <w:kern w:val="0"/>
                <w:sz w:val="22"/>
              </w:rPr>
              <w:br w:type="textWrapping"/>
            </w:r>
            <w:r>
              <w:rPr>
                <w:rFonts w:hint="eastAsia" w:ascii="新宋体" w:hAnsi="新宋体" w:eastAsia="新宋体" w:cs="宋体"/>
                <w:color w:val="auto"/>
                <w:kern w:val="0"/>
                <w:sz w:val="22"/>
              </w:rPr>
              <w:t>3.接收机前面板具有≥4个显示屏、≥4个编码旋钮、≥4个频率扫描实体按键、≥4个红外对频实体按键、≥1个电源开关按键、≥1个二合一指示灯（红外发射管+对频指示灯）；后面板具有≥1个LINE-OUT接口、≥4个XLR-OUT接口、≥4个BNC接口、≥1个DC接口。发射机具有≥1个 显示屏、≥1个开关机/静音按键、≥1个工作状态指示灯、≥1×Type-C充电接口。</w:t>
            </w:r>
            <w:r>
              <w:rPr>
                <w:rFonts w:hint="eastAsia" w:ascii="新宋体" w:hAnsi="新宋体" w:eastAsia="新宋体" w:cs="宋体"/>
                <w:color w:val="auto"/>
                <w:kern w:val="0"/>
                <w:sz w:val="22"/>
              </w:rPr>
              <w:br w:type="textWrapping"/>
            </w:r>
            <w:r>
              <w:rPr>
                <w:rFonts w:hint="eastAsia" w:ascii="新宋体" w:hAnsi="新宋体" w:eastAsia="新宋体" w:cs="宋体"/>
                <w:color w:val="auto"/>
                <w:kern w:val="0"/>
                <w:sz w:val="22"/>
              </w:rPr>
              <w:t>★4.具有自动静音功能，麦克风跌落、抛掷时，毫秒级自动静音，避免冲击声；实时监测设备姿态，静置≥5秒静音，≥8分钟关机，无需手动干预。（提供第三方检测机构出具的具有CMA或CNAS标识的检测报告扫描件或复印件）</w:t>
            </w:r>
            <w:r>
              <w:rPr>
                <w:rFonts w:hint="eastAsia" w:ascii="新宋体" w:hAnsi="新宋体" w:eastAsia="新宋体" w:cs="宋体"/>
                <w:color w:val="auto"/>
                <w:kern w:val="0"/>
                <w:sz w:val="22"/>
              </w:rPr>
              <w:br w:type="textWrapping"/>
            </w:r>
            <w:r>
              <w:rPr>
                <w:rFonts w:hint="eastAsia" w:ascii="新宋体" w:hAnsi="新宋体" w:eastAsia="新宋体" w:cs="宋体"/>
                <w:color w:val="auto"/>
                <w:kern w:val="0"/>
                <w:sz w:val="22"/>
              </w:rPr>
              <w:t>5.具有多档位混响调节功能，混响效果≥15625个，效果占比、回响延时、混响幅度调节，三种音效各具有≥25档调节方式。</w:t>
            </w:r>
            <w:r>
              <w:rPr>
                <w:rFonts w:hint="eastAsia" w:ascii="新宋体" w:hAnsi="新宋体" w:eastAsia="新宋体" w:cs="宋体"/>
                <w:color w:val="auto"/>
                <w:kern w:val="0"/>
                <w:sz w:val="22"/>
              </w:rPr>
              <w:br w:type="textWrapping"/>
            </w:r>
            <w:r>
              <w:rPr>
                <w:rFonts w:hint="eastAsia" w:ascii="新宋体" w:hAnsi="新宋体" w:eastAsia="新宋体" w:cs="宋体"/>
                <w:color w:val="auto"/>
                <w:kern w:val="0"/>
                <w:sz w:val="22"/>
              </w:rPr>
              <w:t>6.具有多频段均衡调节功能，均衡调节≥2197种，麦克风均衡器调节功能，具有高、中、低音三种调节档位，每种效果支持≥13档调节。</w:t>
            </w:r>
            <w:r>
              <w:rPr>
                <w:rFonts w:hint="eastAsia" w:ascii="新宋体" w:hAnsi="新宋体" w:eastAsia="新宋体" w:cs="宋体"/>
                <w:color w:val="auto"/>
                <w:kern w:val="0"/>
                <w:sz w:val="22"/>
              </w:rPr>
              <w:br w:type="textWrapping"/>
            </w:r>
            <w:r>
              <w:rPr>
                <w:rFonts w:hint="eastAsia" w:ascii="新宋体" w:hAnsi="新宋体" w:eastAsia="新宋体" w:cs="宋体"/>
                <w:color w:val="auto"/>
                <w:kern w:val="0"/>
                <w:sz w:val="22"/>
              </w:rPr>
              <w:t>7.具有长时间续航，发射机使用时长≥10小时。</w:t>
            </w:r>
            <w:r>
              <w:rPr>
                <w:rFonts w:hint="eastAsia" w:ascii="新宋体" w:hAnsi="新宋体" w:eastAsia="新宋体" w:cs="宋体"/>
                <w:color w:val="auto"/>
                <w:kern w:val="0"/>
                <w:sz w:val="22"/>
              </w:rPr>
              <w:br w:type="textWrapping"/>
            </w:r>
            <w:r>
              <w:rPr>
                <w:rFonts w:hint="eastAsia" w:ascii="新宋体" w:hAnsi="新宋体" w:eastAsia="新宋体" w:cs="宋体"/>
                <w:color w:val="auto"/>
                <w:kern w:val="0"/>
                <w:sz w:val="22"/>
              </w:rPr>
              <w:t>8.具有ID码防串扰功能，采用32位唯一ID码，用于接收和发射配对，收发ID码必须相同才能对码，能够有效防止相同频率的信号相互串台。</w:t>
            </w:r>
          </w:p>
        </w:tc>
        <w:tc>
          <w:tcPr>
            <w:tcW w:w="0" w:type="auto"/>
            <w:tcBorders>
              <w:top w:val="nil"/>
              <w:left w:val="nil"/>
              <w:bottom w:val="single" w:color="auto" w:sz="4" w:space="0"/>
              <w:right w:val="single" w:color="auto" w:sz="4" w:space="0"/>
            </w:tcBorders>
            <w:vAlign w:val="center"/>
          </w:tcPr>
          <w:p w14:paraId="21CF8FA1">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新宋体" w:hAnsi="新宋体" w:eastAsia="新宋体" w:cs="宋体"/>
                <w:color w:val="auto"/>
                <w:kern w:val="0"/>
                <w:sz w:val="22"/>
              </w:rPr>
            </w:pPr>
            <w:r>
              <w:rPr>
                <w:rFonts w:hint="eastAsia" w:ascii="新宋体" w:hAnsi="新宋体" w:eastAsia="新宋体" w:cs="宋体"/>
                <w:color w:val="auto"/>
                <w:kern w:val="0"/>
                <w:sz w:val="22"/>
              </w:rPr>
              <w:t>1</w:t>
            </w:r>
          </w:p>
        </w:tc>
        <w:tc>
          <w:tcPr>
            <w:tcW w:w="0" w:type="auto"/>
            <w:tcBorders>
              <w:top w:val="nil"/>
              <w:left w:val="nil"/>
              <w:bottom w:val="single" w:color="auto" w:sz="4" w:space="0"/>
              <w:right w:val="single" w:color="auto" w:sz="4" w:space="0"/>
            </w:tcBorders>
            <w:vAlign w:val="center"/>
          </w:tcPr>
          <w:p w14:paraId="32C5C697">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新宋体" w:hAnsi="新宋体" w:eastAsia="新宋体" w:cs="宋体"/>
                <w:color w:val="auto"/>
                <w:kern w:val="0"/>
                <w:sz w:val="22"/>
              </w:rPr>
            </w:pPr>
            <w:r>
              <w:rPr>
                <w:rFonts w:hint="eastAsia" w:ascii="新宋体" w:hAnsi="新宋体" w:eastAsia="新宋体" w:cs="宋体"/>
                <w:color w:val="auto"/>
                <w:kern w:val="0"/>
                <w:sz w:val="22"/>
              </w:rPr>
              <w:t>台</w:t>
            </w:r>
          </w:p>
        </w:tc>
      </w:tr>
      <w:tr w14:paraId="1FC1580E">
        <w:tblPrEx>
          <w:tblCellMar>
            <w:top w:w="0" w:type="dxa"/>
            <w:left w:w="108" w:type="dxa"/>
            <w:bottom w:w="0" w:type="dxa"/>
            <w:right w:w="108" w:type="dxa"/>
          </w:tblCellMar>
        </w:tblPrEx>
        <w:trPr>
          <w:trHeight w:val="567" w:hRule="atLeast"/>
        </w:trPr>
        <w:tc>
          <w:tcPr>
            <w:tcW w:w="0" w:type="auto"/>
            <w:tcBorders>
              <w:top w:val="nil"/>
              <w:left w:val="single" w:color="auto" w:sz="4" w:space="0"/>
              <w:bottom w:val="single" w:color="auto" w:sz="4" w:space="0"/>
              <w:right w:val="single" w:color="auto" w:sz="4" w:space="0"/>
            </w:tcBorders>
            <w:noWrap/>
            <w:vAlign w:val="center"/>
          </w:tcPr>
          <w:p w14:paraId="54EB0E5A">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17</w:t>
            </w:r>
          </w:p>
        </w:tc>
        <w:tc>
          <w:tcPr>
            <w:tcW w:w="0" w:type="auto"/>
            <w:tcBorders>
              <w:top w:val="nil"/>
              <w:left w:val="nil"/>
              <w:bottom w:val="single" w:color="auto" w:sz="4" w:space="0"/>
              <w:right w:val="single" w:color="auto" w:sz="4" w:space="0"/>
            </w:tcBorders>
            <w:vAlign w:val="center"/>
          </w:tcPr>
          <w:p w14:paraId="58928569">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新宋体" w:hAnsi="新宋体" w:eastAsia="新宋体" w:cs="宋体"/>
                <w:color w:val="auto"/>
                <w:kern w:val="0"/>
                <w:sz w:val="22"/>
              </w:rPr>
            </w:pPr>
            <w:r>
              <w:rPr>
                <w:rFonts w:hint="eastAsia" w:ascii="新宋体" w:hAnsi="新宋体" w:eastAsia="新宋体" w:cs="宋体"/>
                <w:color w:val="auto"/>
                <w:kern w:val="0"/>
                <w:sz w:val="22"/>
              </w:rPr>
              <w:t>音频处理器</w:t>
            </w:r>
          </w:p>
        </w:tc>
        <w:tc>
          <w:tcPr>
            <w:tcW w:w="0" w:type="auto"/>
            <w:tcBorders>
              <w:top w:val="nil"/>
              <w:left w:val="nil"/>
              <w:bottom w:val="single" w:color="auto" w:sz="4" w:space="0"/>
              <w:right w:val="single" w:color="auto" w:sz="4" w:space="0"/>
            </w:tcBorders>
            <w:vAlign w:val="center"/>
          </w:tcPr>
          <w:p w14:paraId="0814EA82">
            <w:pPr>
              <w:keepNext w:val="0"/>
              <w:keepLines w:val="0"/>
              <w:pageBreakBefore w:val="0"/>
              <w:widowControl/>
              <w:kinsoku/>
              <w:wordWrap/>
              <w:overflowPunct/>
              <w:topLinePunct w:val="0"/>
              <w:autoSpaceDE/>
              <w:autoSpaceDN/>
              <w:bidi w:val="0"/>
              <w:adjustRightInd/>
              <w:snapToGrid/>
              <w:spacing w:after="0" w:line="260" w:lineRule="auto"/>
              <w:jc w:val="left"/>
              <w:textAlignment w:val="auto"/>
              <w:rPr>
                <w:rFonts w:hint="eastAsia" w:ascii="新宋体" w:hAnsi="新宋体" w:eastAsia="新宋体" w:cs="宋体"/>
                <w:color w:val="auto"/>
                <w:kern w:val="0"/>
                <w:sz w:val="22"/>
              </w:rPr>
            </w:pPr>
            <w:r>
              <w:rPr>
                <w:rFonts w:hint="eastAsia" w:ascii="新宋体" w:hAnsi="新宋体" w:eastAsia="新宋体" w:cs="宋体"/>
                <w:color w:val="auto"/>
                <w:kern w:val="0"/>
                <w:sz w:val="22"/>
              </w:rPr>
              <w:t>1.处理器≥4核，主频≥2.0GHz。</w:t>
            </w:r>
            <w:r>
              <w:rPr>
                <w:rFonts w:hint="eastAsia" w:ascii="新宋体" w:hAnsi="新宋体" w:eastAsia="新宋体" w:cs="宋体"/>
                <w:color w:val="auto"/>
                <w:kern w:val="0"/>
                <w:sz w:val="22"/>
              </w:rPr>
              <w:br w:type="textWrapping"/>
            </w:r>
            <w:r>
              <w:rPr>
                <w:rFonts w:hint="eastAsia" w:ascii="新宋体" w:hAnsi="新宋体" w:eastAsia="新宋体" w:cs="宋体"/>
                <w:color w:val="auto"/>
                <w:kern w:val="0"/>
                <w:sz w:val="22"/>
              </w:rPr>
              <w:t>2.后面板具有≥4路线路音频凤凰端子平衡输入接口（具有48V幻象供电）、≥4路线路音频凤凰端子平衡输出接口、≥1个拨码开关、≥1个RJ45接口、≥1个RS232接口、≥1个RS485接口、≥8个可编程GPIO控制接口、≥1个接地柱；前面板具有≥2.0英寸 IPS 真彩显示屏、≥1个编码旋钮、≥1个USB存储设备接口。</w:t>
            </w:r>
            <w:r>
              <w:rPr>
                <w:rFonts w:hint="eastAsia" w:ascii="新宋体" w:hAnsi="新宋体" w:eastAsia="新宋体" w:cs="宋体"/>
                <w:color w:val="auto"/>
                <w:kern w:val="0"/>
                <w:sz w:val="22"/>
              </w:rPr>
              <w:br w:type="textWrapping"/>
            </w:r>
            <w:r>
              <w:rPr>
                <w:rFonts w:hint="eastAsia" w:ascii="新宋体" w:hAnsi="新宋体" w:eastAsia="新宋体" w:cs="宋体"/>
                <w:color w:val="auto"/>
                <w:kern w:val="0"/>
                <w:sz w:val="22"/>
              </w:rPr>
              <w:t>3.输入通道支持前级放大、信号发生器、扩展器、压缩器、均衡器（≥12段参量均衡、可选10/15/31段图示均衡器可调，图示均衡器可用于单独调节带宽）、闪避器、AGC自动增益、AM自动混音功能（门限式、增益共享式）、AFC自适应反馈消除、AEC回声消除、ANC噪声消除、音频矩阵；输出通道支持均衡器（≥16段参量均衡、可选10/15/31段图示均衡器可调，图示均衡器可用于单独调节带宽）、延时器、分频器、高低通滤波器、限幅器；基于啸叫检测门限更新法，具有移频+陷波组合反馈抑制，可以使用≥24个可编程陷波点，可自由分配动态/静态点，自动/手动切换。（提供功能截图佐证）</w:t>
            </w:r>
            <w:r>
              <w:rPr>
                <w:rFonts w:hint="eastAsia" w:ascii="新宋体" w:hAnsi="新宋体" w:eastAsia="新宋体" w:cs="宋体"/>
                <w:color w:val="auto"/>
                <w:kern w:val="0"/>
                <w:sz w:val="22"/>
              </w:rPr>
              <w:br w:type="textWrapping"/>
            </w:r>
            <w:r>
              <w:rPr>
                <w:rFonts w:hint="eastAsia" w:ascii="新宋体" w:hAnsi="新宋体" w:eastAsia="新宋体" w:cs="宋体"/>
                <w:color w:val="auto"/>
                <w:kern w:val="0"/>
                <w:sz w:val="22"/>
              </w:rPr>
              <w:t>4.具有矩阵增益调节功能，每个输入通道参与混音的增益可调，增益调节范围等同或优于-72dB到12dB。</w:t>
            </w:r>
            <w:r>
              <w:rPr>
                <w:rFonts w:hint="eastAsia" w:ascii="新宋体" w:hAnsi="新宋体" w:eastAsia="新宋体" w:cs="宋体"/>
                <w:color w:val="auto"/>
                <w:kern w:val="0"/>
                <w:sz w:val="22"/>
              </w:rPr>
              <w:br w:type="textWrapping"/>
            </w:r>
            <w:r>
              <w:rPr>
                <w:rFonts w:hint="eastAsia" w:ascii="新宋体" w:hAnsi="新宋体" w:eastAsia="新宋体" w:cs="宋体"/>
                <w:color w:val="auto"/>
                <w:kern w:val="0"/>
                <w:sz w:val="22"/>
              </w:rPr>
              <w:t>5.音频处理器具有跨平台软件，可运行于windows操作系统或国产操作系统或macOS系统或Ubuntu桌面版操作系统。</w:t>
            </w:r>
            <w:r>
              <w:rPr>
                <w:rFonts w:hint="eastAsia" w:ascii="新宋体" w:hAnsi="新宋体" w:eastAsia="新宋体" w:cs="宋体"/>
                <w:color w:val="auto"/>
                <w:kern w:val="0"/>
                <w:sz w:val="22"/>
              </w:rPr>
              <w:br w:type="textWrapping"/>
            </w:r>
            <w:r>
              <w:rPr>
                <w:rFonts w:hint="eastAsia" w:ascii="新宋体" w:hAnsi="新宋体" w:eastAsia="新宋体" w:cs="宋体"/>
                <w:color w:val="auto"/>
                <w:kern w:val="0"/>
                <w:sz w:val="22"/>
              </w:rPr>
              <w:t>6.产品具有PC客户端、手机移动端、安卓平板端、IOS手机移动端、IOS平板端不同控制方式，可以通同时登入APP软件、PC客户端同时连接设备，并实现多端数据的同步。</w:t>
            </w:r>
            <w:r>
              <w:rPr>
                <w:rFonts w:hint="eastAsia" w:ascii="新宋体" w:hAnsi="新宋体" w:eastAsia="新宋体" w:cs="宋体"/>
                <w:color w:val="auto"/>
                <w:kern w:val="0"/>
                <w:sz w:val="22"/>
              </w:rPr>
              <w:br w:type="textWrapping"/>
            </w:r>
            <w:r>
              <w:rPr>
                <w:rFonts w:hint="eastAsia" w:ascii="新宋体" w:hAnsi="新宋体" w:eastAsia="新宋体" w:cs="宋体"/>
                <w:color w:val="auto"/>
                <w:kern w:val="0"/>
                <w:sz w:val="22"/>
              </w:rPr>
              <w:t>7.设备具有编码旋钮和IPS，可用于控制和配置设备静音，增益，场景；IPS能够显示IP地址，输入和输出通道的实时电平。</w:t>
            </w:r>
            <w:r>
              <w:rPr>
                <w:rFonts w:hint="eastAsia" w:ascii="新宋体" w:hAnsi="新宋体" w:eastAsia="新宋体" w:cs="宋体"/>
                <w:color w:val="auto"/>
                <w:kern w:val="0"/>
                <w:sz w:val="22"/>
              </w:rPr>
              <w:br w:type="textWrapping"/>
            </w:r>
            <w:r>
              <w:rPr>
                <w:rFonts w:hint="eastAsia" w:ascii="新宋体" w:hAnsi="新宋体" w:eastAsia="新宋体" w:cs="宋体"/>
                <w:color w:val="auto"/>
                <w:kern w:val="0"/>
                <w:sz w:val="22"/>
              </w:rPr>
              <w:t>8.具有设备定位功能，客户端一键定位局域网内同类设备，被定位的设备会显示定位信息。</w:t>
            </w:r>
            <w:r>
              <w:rPr>
                <w:rFonts w:hint="eastAsia" w:ascii="新宋体" w:hAnsi="新宋体" w:eastAsia="新宋体" w:cs="宋体"/>
                <w:color w:val="auto"/>
                <w:kern w:val="0"/>
                <w:sz w:val="22"/>
              </w:rPr>
              <w:br w:type="textWrapping"/>
            </w:r>
            <w:r>
              <w:rPr>
                <w:rFonts w:hint="eastAsia" w:ascii="新宋体" w:hAnsi="新宋体" w:eastAsia="新宋体" w:cs="宋体"/>
                <w:color w:val="auto"/>
                <w:kern w:val="0"/>
                <w:sz w:val="22"/>
              </w:rPr>
              <w:t>9.设备具有统一集中控制功能，支持≥65535台设备通过软件集中控制。</w:t>
            </w:r>
            <w:r>
              <w:rPr>
                <w:rFonts w:hint="eastAsia" w:ascii="新宋体" w:hAnsi="新宋体" w:eastAsia="新宋体" w:cs="宋体"/>
                <w:color w:val="auto"/>
                <w:kern w:val="0"/>
                <w:sz w:val="22"/>
              </w:rPr>
              <w:br w:type="textWrapping"/>
            </w:r>
            <w:r>
              <w:rPr>
                <w:rFonts w:hint="eastAsia" w:ascii="新宋体" w:hAnsi="新宋体" w:eastAsia="新宋体" w:cs="宋体"/>
                <w:color w:val="auto"/>
                <w:kern w:val="0"/>
                <w:sz w:val="22"/>
              </w:rPr>
              <w:t>★10.音频处理器软件可融入会议音频综合管理平台实现音频设备统一管理，平台可扫描数字会议主机、音频处理器、混音器、抑制器、功放类产品在线情况，同款产品多台在线设备也可扫描，并显示设备硬件名称、硬件IP地址、在线、离线状态信息；具备一键上传配置信息至云端或保存本地进行备份和一键还原配置信息功能。（提供功能截图佐证）（需提供得到CMA或CNAS认可的检测机构出具的检测报告作为该技术参数证明材料）</w:t>
            </w:r>
            <w:r>
              <w:rPr>
                <w:rFonts w:hint="eastAsia" w:ascii="新宋体" w:hAnsi="新宋体" w:eastAsia="新宋体" w:cs="宋体"/>
                <w:color w:val="auto"/>
                <w:kern w:val="0"/>
                <w:sz w:val="22"/>
              </w:rPr>
              <w:br w:type="textWrapping"/>
            </w:r>
            <w:r>
              <w:rPr>
                <w:rFonts w:hint="eastAsia" w:ascii="新宋体" w:hAnsi="新宋体" w:eastAsia="新宋体" w:cs="宋体"/>
                <w:color w:val="auto"/>
                <w:kern w:val="0"/>
                <w:sz w:val="22"/>
              </w:rPr>
              <w:t>11.支持双机热备份；当主机出现故障时，备用主机自动承担服务，切换时间≤2s。</w:t>
            </w:r>
          </w:p>
        </w:tc>
        <w:tc>
          <w:tcPr>
            <w:tcW w:w="0" w:type="auto"/>
            <w:tcBorders>
              <w:top w:val="nil"/>
              <w:left w:val="nil"/>
              <w:bottom w:val="single" w:color="auto" w:sz="4" w:space="0"/>
              <w:right w:val="single" w:color="auto" w:sz="4" w:space="0"/>
            </w:tcBorders>
            <w:vAlign w:val="center"/>
          </w:tcPr>
          <w:p w14:paraId="25753D24">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新宋体" w:hAnsi="新宋体" w:eastAsia="新宋体" w:cs="宋体"/>
                <w:color w:val="auto"/>
                <w:kern w:val="0"/>
                <w:sz w:val="22"/>
              </w:rPr>
            </w:pPr>
            <w:r>
              <w:rPr>
                <w:rFonts w:hint="eastAsia" w:ascii="新宋体" w:hAnsi="新宋体" w:eastAsia="新宋体" w:cs="宋体"/>
                <w:color w:val="auto"/>
                <w:kern w:val="0"/>
                <w:sz w:val="22"/>
              </w:rPr>
              <w:t>1</w:t>
            </w:r>
          </w:p>
        </w:tc>
        <w:tc>
          <w:tcPr>
            <w:tcW w:w="0" w:type="auto"/>
            <w:tcBorders>
              <w:top w:val="nil"/>
              <w:left w:val="nil"/>
              <w:bottom w:val="single" w:color="auto" w:sz="4" w:space="0"/>
              <w:right w:val="single" w:color="auto" w:sz="4" w:space="0"/>
            </w:tcBorders>
            <w:vAlign w:val="center"/>
          </w:tcPr>
          <w:p w14:paraId="1DB76599">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新宋体" w:hAnsi="新宋体" w:eastAsia="新宋体" w:cs="宋体"/>
                <w:color w:val="auto"/>
                <w:kern w:val="0"/>
                <w:sz w:val="22"/>
              </w:rPr>
            </w:pPr>
            <w:r>
              <w:rPr>
                <w:rFonts w:hint="eastAsia" w:ascii="新宋体" w:hAnsi="新宋体" w:eastAsia="新宋体" w:cs="宋体"/>
                <w:color w:val="auto"/>
                <w:kern w:val="0"/>
                <w:sz w:val="22"/>
              </w:rPr>
              <w:t>台</w:t>
            </w:r>
          </w:p>
        </w:tc>
      </w:tr>
      <w:tr w14:paraId="64A74811">
        <w:tblPrEx>
          <w:tblCellMar>
            <w:top w:w="0" w:type="dxa"/>
            <w:left w:w="108" w:type="dxa"/>
            <w:bottom w:w="0" w:type="dxa"/>
            <w:right w:w="108" w:type="dxa"/>
          </w:tblCellMar>
        </w:tblPrEx>
        <w:trPr>
          <w:trHeight w:val="567" w:hRule="atLeast"/>
        </w:trPr>
        <w:tc>
          <w:tcPr>
            <w:tcW w:w="0" w:type="auto"/>
            <w:tcBorders>
              <w:top w:val="nil"/>
              <w:left w:val="single" w:color="auto" w:sz="4" w:space="0"/>
              <w:bottom w:val="single" w:color="auto" w:sz="4" w:space="0"/>
              <w:right w:val="single" w:color="auto" w:sz="4" w:space="0"/>
            </w:tcBorders>
            <w:noWrap/>
            <w:vAlign w:val="center"/>
          </w:tcPr>
          <w:p w14:paraId="575BD0C6">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18</w:t>
            </w:r>
          </w:p>
        </w:tc>
        <w:tc>
          <w:tcPr>
            <w:tcW w:w="0" w:type="auto"/>
            <w:tcBorders>
              <w:top w:val="nil"/>
              <w:left w:val="nil"/>
              <w:bottom w:val="single" w:color="auto" w:sz="4" w:space="0"/>
              <w:right w:val="single" w:color="auto" w:sz="4" w:space="0"/>
            </w:tcBorders>
            <w:vAlign w:val="center"/>
          </w:tcPr>
          <w:p w14:paraId="786524E7">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新宋体" w:hAnsi="新宋体" w:eastAsia="新宋体" w:cs="宋体"/>
                <w:color w:val="auto"/>
                <w:kern w:val="0"/>
                <w:sz w:val="22"/>
              </w:rPr>
            </w:pPr>
            <w:r>
              <w:rPr>
                <w:rFonts w:hint="eastAsia" w:ascii="新宋体" w:hAnsi="新宋体" w:eastAsia="新宋体" w:cs="宋体"/>
                <w:color w:val="auto"/>
                <w:kern w:val="0"/>
                <w:sz w:val="22"/>
              </w:rPr>
              <w:t>调音台</w:t>
            </w:r>
          </w:p>
        </w:tc>
        <w:tc>
          <w:tcPr>
            <w:tcW w:w="0" w:type="auto"/>
            <w:tcBorders>
              <w:top w:val="nil"/>
              <w:left w:val="nil"/>
              <w:bottom w:val="single" w:color="auto" w:sz="4" w:space="0"/>
              <w:right w:val="single" w:color="auto" w:sz="4" w:space="0"/>
            </w:tcBorders>
            <w:vAlign w:val="center"/>
          </w:tcPr>
          <w:p w14:paraId="5B459E1D">
            <w:pPr>
              <w:keepNext w:val="0"/>
              <w:keepLines w:val="0"/>
              <w:pageBreakBefore w:val="0"/>
              <w:widowControl/>
              <w:kinsoku/>
              <w:wordWrap/>
              <w:overflowPunct/>
              <w:topLinePunct w:val="0"/>
              <w:autoSpaceDE/>
              <w:autoSpaceDN/>
              <w:bidi w:val="0"/>
              <w:adjustRightInd/>
              <w:snapToGrid/>
              <w:spacing w:after="0" w:line="260" w:lineRule="auto"/>
              <w:jc w:val="left"/>
              <w:textAlignment w:val="auto"/>
              <w:rPr>
                <w:rFonts w:hint="eastAsia" w:ascii="新宋体" w:hAnsi="新宋体" w:eastAsia="新宋体" w:cs="宋体"/>
                <w:color w:val="auto"/>
                <w:kern w:val="0"/>
                <w:sz w:val="22"/>
              </w:rPr>
            </w:pPr>
            <w:r>
              <w:rPr>
                <w:rFonts w:hint="eastAsia" w:ascii="新宋体" w:hAnsi="新宋体" w:eastAsia="新宋体" w:cs="宋体"/>
                <w:color w:val="auto"/>
                <w:kern w:val="0"/>
                <w:sz w:val="22"/>
              </w:rPr>
              <w:t>★1.机架式调音台≤3U，便于现场安装；前面板具有≥7英寸电容多点触控屏，触控屏具有调节各输入输出通道音量、均衡器、压缩器、噪声门参数功能；可存储≥99个自定义场景模式功能，便于不同场景快速调用。（提供第三方检测机构出具的具有CMA或CNAS标识的检测报告扫描件或复印件）</w:t>
            </w:r>
            <w:r>
              <w:rPr>
                <w:rFonts w:hint="eastAsia" w:ascii="新宋体" w:hAnsi="新宋体" w:eastAsia="新宋体" w:cs="宋体"/>
                <w:color w:val="auto"/>
                <w:kern w:val="0"/>
                <w:sz w:val="22"/>
              </w:rPr>
              <w:br w:type="textWrapping"/>
            </w:r>
            <w:r>
              <w:rPr>
                <w:rFonts w:hint="eastAsia" w:ascii="新宋体" w:hAnsi="新宋体" w:eastAsia="新宋体" w:cs="宋体"/>
                <w:color w:val="auto"/>
                <w:kern w:val="0"/>
                <w:sz w:val="22"/>
              </w:rPr>
              <w:t>2.触控屏具有系统设置功能，可查看设备名称、DSP版本、MCU版本、软件版本、系统版本、CPU温度、运行时间、USB连接状态，可自定义蓝牙名称，可设置RS485的波特率，设置软件界面显示中文或英文，选择固件升级程序，开启面板锁屏，恢复出厂设置功能。</w:t>
            </w:r>
            <w:r>
              <w:rPr>
                <w:rFonts w:hint="eastAsia" w:ascii="新宋体" w:hAnsi="新宋体" w:eastAsia="新宋体" w:cs="宋体"/>
                <w:color w:val="auto"/>
                <w:kern w:val="0"/>
                <w:sz w:val="22"/>
              </w:rPr>
              <w:br w:type="textWrapping"/>
            </w:r>
            <w:r>
              <w:rPr>
                <w:rFonts w:hint="eastAsia" w:ascii="新宋体" w:hAnsi="新宋体" w:eastAsia="新宋体" w:cs="宋体"/>
                <w:color w:val="auto"/>
                <w:kern w:val="0"/>
                <w:sz w:val="22"/>
              </w:rPr>
              <w:t>3.输入通道具有：≥12路平衡XLR输入通道、≥2路线路立体声输入通道（≥4个输入）、≥1路USB立体声输入通道（≥2个输入）、≥1路同轴输入通道、≥1路数字光纤输入通道、≥1路蓝牙音频输入通道；输出通道具有：≥8路AUX输出（XLR接口）、≥1路Main L/R 主输出 (XLR接口)、≥1路监听输出、≥1路AES数字信号输出（XLR接口）、≥1路同轴信号输出。</w:t>
            </w:r>
            <w:r>
              <w:rPr>
                <w:rFonts w:hint="eastAsia" w:ascii="新宋体" w:hAnsi="新宋体" w:eastAsia="新宋体" w:cs="宋体"/>
                <w:color w:val="auto"/>
                <w:kern w:val="0"/>
                <w:sz w:val="22"/>
              </w:rPr>
              <w:br w:type="textWrapping"/>
            </w:r>
            <w:r>
              <w:rPr>
                <w:rFonts w:hint="eastAsia" w:ascii="新宋体" w:hAnsi="新宋体" w:eastAsia="新宋体" w:cs="宋体"/>
                <w:color w:val="auto"/>
                <w:kern w:val="0"/>
                <w:sz w:val="22"/>
              </w:rPr>
              <w:t>4.具有≥12路平衡XLR麦克风输入通道和≥2路线路立体声输入通道，平衡XLR麦克风输入通道支持独立控制48V幻象功能。</w:t>
            </w:r>
            <w:r>
              <w:rPr>
                <w:rFonts w:hint="eastAsia" w:ascii="新宋体" w:hAnsi="新宋体" w:eastAsia="新宋体" w:cs="宋体"/>
                <w:color w:val="auto"/>
                <w:kern w:val="0"/>
                <w:sz w:val="22"/>
              </w:rPr>
              <w:br w:type="textWrapping"/>
            </w:r>
            <w:r>
              <w:rPr>
                <w:rFonts w:hint="eastAsia" w:ascii="新宋体" w:hAnsi="新宋体" w:eastAsia="新宋体" w:cs="宋体"/>
                <w:color w:val="auto"/>
                <w:kern w:val="0"/>
                <w:sz w:val="22"/>
              </w:rPr>
              <w:t>5.设备配备≥1路USB录音和播放接口，支持多种音频格式播放，包括MP3、M4A、M4R、MP2、AMR、AAC、WMA，以及WAV和FLAC无损音乐格式，并支持无损WAV格式的录制。用户可通过设备软件界面自定义USB播放和录制功能设置，支持上一曲、下一曲、循环播放、单曲循环、随机播放模式，且播放、录制音量控制在软件界面采用仿真调音台推杆控制技术，并可设置播放的音量值在-72dB~﹢12dB可调。</w:t>
            </w:r>
            <w:r>
              <w:rPr>
                <w:rFonts w:hint="eastAsia" w:ascii="新宋体" w:hAnsi="新宋体" w:eastAsia="新宋体" w:cs="宋体"/>
                <w:color w:val="auto"/>
                <w:kern w:val="0"/>
                <w:sz w:val="22"/>
              </w:rPr>
              <w:br w:type="textWrapping"/>
            </w:r>
            <w:r>
              <w:rPr>
                <w:rFonts w:hint="eastAsia" w:ascii="新宋体" w:hAnsi="新宋体" w:eastAsia="新宋体" w:cs="宋体"/>
                <w:color w:val="auto"/>
                <w:kern w:val="0"/>
                <w:sz w:val="22"/>
              </w:rPr>
              <w:t>6.具有≥1个RJ45网络接口和≥1个WIFI/蓝牙音频输入接口，支持通过有线网络接口或无线WiFi与PC电脑、安卓平板建立连接；用户可以通过Windows客户端软件或安卓平板客户端软件来控制设备；设备内置蓝牙模块还允许与手机通过蓝牙方式建立连接，实现音频传输。</w:t>
            </w:r>
            <w:r>
              <w:rPr>
                <w:rFonts w:hint="eastAsia" w:ascii="新宋体" w:hAnsi="新宋体" w:eastAsia="新宋体" w:cs="宋体"/>
                <w:color w:val="auto"/>
                <w:kern w:val="0"/>
                <w:sz w:val="22"/>
              </w:rPr>
              <w:br w:type="textWrapping"/>
            </w:r>
            <w:r>
              <w:rPr>
                <w:rFonts w:hint="eastAsia" w:ascii="新宋体" w:hAnsi="新宋体" w:eastAsia="新宋体" w:cs="宋体"/>
                <w:color w:val="auto"/>
                <w:kern w:val="0"/>
                <w:sz w:val="22"/>
              </w:rPr>
              <w:t>7.具有≥1路RS485接口控制，用户可通过此接口发送串口指令进行远程的中控控制。</w:t>
            </w:r>
            <w:r>
              <w:rPr>
                <w:rFonts w:hint="eastAsia" w:ascii="新宋体" w:hAnsi="新宋体" w:eastAsia="新宋体" w:cs="宋体"/>
                <w:color w:val="auto"/>
                <w:kern w:val="0"/>
                <w:sz w:val="22"/>
              </w:rPr>
              <w:br w:type="textWrapping"/>
            </w:r>
            <w:r>
              <w:rPr>
                <w:rFonts w:hint="eastAsia" w:ascii="新宋体" w:hAnsi="新宋体" w:eastAsia="新宋体" w:cs="宋体"/>
                <w:color w:val="auto"/>
                <w:kern w:val="0"/>
                <w:sz w:val="22"/>
              </w:rPr>
              <w:t>★8.每路输入通道具有≥12段参量均衡器、高低通滤波器、压缩器、噪声门、极性、延时器音频处理功能；每路输出通道具有≥12段参量均衡器/31段图示均衡器、高低通滤波器、限幅器、延时器、反馈抑制器音频处理功能。（提供第三方检测机构出具的具有CMA或CNAS标识的检测报告扫描件或复印件）</w:t>
            </w:r>
            <w:r>
              <w:rPr>
                <w:rFonts w:hint="eastAsia" w:ascii="新宋体" w:hAnsi="新宋体" w:eastAsia="新宋体" w:cs="宋体"/>
                <w:color w:val="auto"/>
                <w:kern w:val="0"/>
                <w:sz w:val="22"/>
              </w:rPr>
              <w:br w:type="textWrapping"/>
            </w:r>
            <w:r>
              <w:rPr>
                <w:rFonts w:hint="eastAsia" w:ascii="新宋体" w:hAnsi="新宋体" w:eastAsia="新宋体" w:cs="宋体"/>
                <w:color w:val="auto"/>
                <w:kern w:val="0"/>
                <w:sz w:val="22"/>
              </w:rPr>
              <w:t>9.内置有≥4个DCA编组和≥6个SUB编组，通过将多个音源通道组合在一起，提供了方便高效的方式来管理和调整通道的音量，且面板配备了≥四个DCA编组旋钮，无需切换到DCA编组界面即可调节DCA编组的音量。</w:t>
            </w:r>
            <w:r>
              <w:rPr>
                <w:rFonts w:hint="eastAsia" w:ascii="新宋体" w:hAnsi="新宋体" w:eastAsia="新宋体" w:cs="宋体"/>
                <w:color w:val="auto"/>
                <w:kern w:val="0"/>
                <w:sz w:val="22"/>
              </w:rPr>
              <w:br w:type="textWrapping"/>
            </w:r>
            <w:r>
              <w:rPr>
                <w:rFonts w:hint="eastAsia" w:ascii="新宋体" w:hAnsi="新宋体" w:eastAsia="新宋体" w:cs="宋体"/>
                <w:color w:val="auto"/>
                <w:kern w:val="0"/>
                <w:sz w:val="22"/>
              </w:rPr>
              <w:t>10.IN1-12、ST1、ST2输入通道内置有压缩器功能，压缩信号的动态范围，常用于压缩输出信号的大小。还内置有噪声门功能，可以有效消除设备白噪声。</w:t>
            </w:r>
            <w:r>
              <w:rPr>
                <w:rFonts w:hint="eastAsia" w:ascii="新宋体" w:hAnsi="新宋体" w:eastAsia="新宋体" w:cs="宋体"/>
                <w:color w:val="auto"/>
                <w:kern w:val="0"/>
                <w:sz w:val="22"/>
              </w:rPr>
              <w:br w:type="textWrapping"/>
            </w:r>
            <w:r>
              <w:rPr>
                <w:rFonts w:hint="eastAsia" w:ascii="新宋体" w:hAnsi="新宋体" w:eastAsia="新宋体" w:cs="宋体"/>
                <w:color w:val="auto"/>
                <w:kern w:val="0"/>
                <w:sz w:val="22"/>
              </w:rPr>
              <w:t>11.IN1-12支持通道联调和通道复制功能，可调节多个相同通道参数，减少重复操作</w:t>
            </w:r>
            <w:r>
              <w:rPr>
                <w:rFonts w:hint="eastAsia" w:ascii="新宋体" w:hAnsi="新宋体" w:eastAsia="新宋体" w:cs="宋体"/>
                <w:color w:val="auto"/>
                <w:kern w:val="0"/>
                <w:sz w:val="22"/>
              </w:rPr>
              <w:br w:type="textWrapping"/>
            </w:r>
            <w:r>
              <w:rPr>
                <w:rFonts w:hint="eastAsia" w:ascii="新宋体" w:hAnsi="新宋体" w:eastAsia="新宋体" w:cs="宋体"/>
                <w:color w:val="auto"/>
                <w:kern w:val="0"/>
                <w:sz w:val="22"/>
              </w:rPr>
              <w:t>12.每个输出通道具有延时功能，支持≥2000ms延时调整，用于调整各路输出信号延时，保证各路音频信号音频的同步性。</w:t>
            </w:r>
            <w:r>
              <w:rPr>
                <w:rFonts w:hint="eastAsia" w:ascii="新宋体" w:hAnsi="新宋体" w:eastAsia="新宋体" w:cs="宋体"/>
                <w:color w:val="auto"/>
                <w:kern w:val="0"/>
                <w:sz w:val="22"/>
              </w:rPr>
              <w:br w:type="textWrapping"/>
            </w:r>
            <w:r>
              <w:rPr>
                <w:rFonts w:hint="eastAsia" w:ascii="新宋体" w:hAnsi="新宋体" w:eastAsia="新宋体" w:cs="宋体"/>
                <w:color w:val="auto"/>
                <w:kern w:val="0"/>
                <w:sz w:val="22"/>
              </w:rPr>
              <w:t>13.每个输出通道具有限幅器功能，限制输出信号的大小，防止信号过大损坏扩声设备。</w:t>
            </w:r>
            <w:r>
              <w:rPr>
                <w:rFonts w:hint="eastAsia" w:ascii="新宋体" w:hAnsi="新宋体" w:eastAsia="新宋体" w:cs="宋体"/>
                <w:color w:val="auto"/>
                <w:kern w:val="0"/>
                <w:sz w:val="22"/>
              </w:rPr>
              <w:br w:type="textWrapping"/>
            </w:r>
            <w:r>
              <w:rPr>
                <w:rFonts w:hint="eastAsia" w:ascii="新宋体" w:hAnsi="新宋体" w:eastAsia="新宋体" w:cs="宋体"/>
                <w:color w:val="auto"/>
                <w:kern w:val="0"/>
                <w:sz w:val="22"/>
              </w:rPr>
              <w:t>14.每个输出通道具有反馈抑制功能，有陷波、移频、动态/固定（24个点）模式设定。</w:t>
            </w:r>
          </w:p>
        </w:tc>
        <w:tc>
          <w:tcPr>
            <w:tcW w:w="0" w:type="auto"/>
            <w:tcBorders>
              <w:top w:val="nil"/>
              <w:left w:val="nil"/>
              <w:bottom w:val="single" w:color="auto" w:sz="4" w:space="0"/>
              <w:right w:val="single" w:color="auto" w:sz="4" w:space="0"/>
            </w:tcBorders>
            <w:vAlign w:val="center"/>
          </w:tcPr>
          <w:p w14:paraId="18CFA377">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新宋体" w:hAnsi="新宋体" w:eastAsia="新宋体" w:cs="宋体"/>
                <w:color w:val="auto"/>
                <w:kern w:val="0"/>
                <w:sz w:val="22"/>
              </w:rPr>
            </w:pPr>
            <w:r>
              <w:rPr>
                <w:rFonts w:hint="eastAsia" w:ascii="新宋体" w:hAnsi="新宋体" w:eastAsia="新宋体" w:cs="宋体"/>
                <w:color w:val="auto"/>
                <w:kern w:val="0"/>
                <w:sz w:val="22"/>
              </w:rPr>
              <w:t>1</w:t>
            </w:r>
          </w:p>
        </w:tc>
        <w:tc>
          <w:tcPr>
            <w:tcW w:w="0" w:type="auto"/>
            <w:tcBorders>
              <w:top w:val="nil"/>
              <w:left w:val="nil"/>
              <w:bottom w:val="single" w:color="auto" w:sz="4" w:space="0"/>
              <w:right w:val="single" w:color="auto" w:sz="4" w:space="0"/>
            </w:tcBorders>
            <w:vAlign w:val="center"/>
          </w:tcPr>
          <w:p w14:paraId="70BED967">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新宋体" w:hAnsi="新宋体" w:eastAsia="新宋体" w:cs="宋体"/>
                <w:color w:val="auto"/>
                <w:kern w:val="0"/>
                <w:sz w:val="22"/>
              </w:rPr>
            </w:pPr>
            <w:r>
              <w:rPr>
                <w:rFonts w:hint="eastAsia" w:ascii="新宋体" w:hAnsi="新宋体" w:eastAsia="新宋体" w:cs="宋体"/>
                <w:color w:val="auto"/>
                <w:kern w:val="0"/>
                <w:sz w:val="22"/>
              </w:rPr>
              <w:t>台</w:t>
            </w:r>
          </w:p>
        </w:tc>
      </w:tr>
      <w:tr w14:paraId="6D47D2D6">
        <w:tblPrEx>
          <w:tblCellMar>
            <w:top w:w="0" w:type="dxa"/>
            <w:left w:w="108" w:type="dxa"/>
            <w:bottom w:w="0" w:type="dxa"/>
            <w:right w:w="108" w:type="dxa"/>
          </w:tblCellMar>
        </w:tblPrEx>
        <w:trPr>
          <w:trHeight w:val="567" w:hRule="atLeast"/>
        </w:trPr>
        <w:tc>
          <w:tcPr>
            <w:tcW w:w="0" w:type="auto"/>
            <w:tcBorders>
              <w:top w:val="nil"/>
              <w:left w:val="single" w:color="auto" w:sz="4" w:space="0"/>
              <w:bottom w:val="single" w:color="auto" w:sz="4" w:space="0"/>
              <w:right w:val="single" w:color="auto" w:sz="4" w:space="0"/>
            </w:tcBorders>
            <w:noWrap/>
            <w:vAlign w:val="center"/>
          </w:tcPr>
          <w:p w14:paraId="00849390">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19</w:t>
            </w:r>
          </w:p>
        </w:tc>
        <w:tc>
          <w:tcPr>
            <w:tcW w:w="0" w:type="auto"/>
            <w:tcBorders>
              <w:top w:val="nil"/>
              <w:left w:val="nil"/>
              <w:bottom w:val="single" w:color="auto" w:sz="4" w:space="0"/>
              <w:right w:val="single" w:color="auto" w:sz="4" w:space="0"/>
            </w:tcBorders>
            <w:vAlign w:val="center"/>
          </w:tcPr>
          <w:p w14:paraId="791DB78D">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新宋体" w:hAnsi="新宋体" w:eastAsia="新宋体" w:cs="宋体"/>
                <w:color w:val="auto"/>
                <w:kern w:val="0"/>
                <w:sz w:val="22"/>
              </w:rPr>
            </w:pPr>
            <w:r>
              <w:rPr>
                <w:rFonts w:hint="eastAsia" w:ascii="新宋体" w:hAnsi="新宋体" w:eastAsia="新宋体" w:cs="宋体"/>
                <w:color w:val="auto"/>
                <w:kern w:val="0"/>
                <w:sz w:val="22"/>
              </w:rPr>
              <w:t>电源时序器</w:t>
            </w:r>
          </w:p>
        </w:tc>
        <w:tc>
          <w:tcPr>
            <w:tcW w:w="0" w:type="auto"/>
            <w:tcBorders>
              <w:top w:val="nil"/>
              <w:left w:val="nil"/>
              <w:bottom w:val="single" w:color="auto" w:sz="4" w:space="0"/>
              <w:right w:val="single" w:color="auto" w:sz="4" w:space="0"/>
            </w:tcBorders>
            <w:vAlign w:val="center"/>
          </w:tcPr>
          <w:p w14:paraId="04179DEE">
            <w:pPr>
              <w:keepNext w:val="0"/>
              <w:keepLines w:val="0"/>
              <w:pageBreakBefore w:val="0"/>
              <w:widowControl/>
              <w:kinsoku/>
              <w:wordWrap/>
              <w:overflowPunct/>
              <w:topLinePunct w:val="0"/>
              <w:autoSpaceDE/>
              <w:autoSpaceDN/>
              <w:bidi w:val="0"/>
              <w:adjustRightInd/>
              <w:snapToGrid/>
              <w:spacing w:after="0" w:line="260" w:lineRule="auto"/>
              <w:jc w:val="left"/>
              <w:textAlignment w:val="auto"/>
              <w:rPr>
                <w:rFonts w:hint="eastAsia" w:ascii="新宋体" w:hAnsi="新宋体" w:eastAsia="新宋体" w:cs="宋体"/>
                <w:color w:val="auto"/>
                <w:kern w:val="0"/>
                <w:sz w:val="22"/>
              </w:rPr>
            </w:pPr>
            <w:r>
              <w:rPr>
                <w:rFonts w:hint="eastAsia" w:ascii="新宋体" w:hAnsi="新宋体" w:eastAsia="新宋体" w:cs="宋体"/>
                <w:color w:val="auto"/>
                <w:kern w:val="0"/>
                <w:sz w:val="22"/>
              </w:rPr>
              <w:t>1.支持≥8通道电源时序打开/关闭，每路动作延时时间：≤1秒，支持远程控制（上电+24V直流信号）8通道电源时序打开/关闭—当电源开关处于off位置时有效。支持配置CH1和CH2通道为受控或不受控状态。</w:t>
            </w:r>
            <w:r>
              <w:rPr>
                <w:rFonts w:hint="eastAsia" w:ascii="新宋体" w:hAnsi="新宋体" w:eastAsia="新宋体" w:cs="宋体"/>
                <w:color w:val="auto"/>
                <w:kern w:val="0"/>
                <w:sz w:val="22"/>
              </w:rPr>
              <w:br w:type="textWrapping"/>
            </w:r>
            <w:r>
              <w:rPr>
                <w:rFonts w:hint="eastAsia" w:ascii="新宋体" w:hAnsi="新宋体" w:eastAsia="新宋体" w:cs="宋体"/>
                <w:color w:val="auto"/>
                <w:kern w:val="0"/>
                <w:sz w:val="22"/>
              </w:rPr>
              <w:t>2.当远程控制有效时同时控制后板ALARM（报警）端口导通以起到级联控制ALARM（报警）功能。</w:t>
            </w:r>
            <w:r>
              <w:rPr>
                <w:rFonts w:hint="eastAsia" w:ascii="新宋体" w:hAnsi="新宋体" w:eastAsia="新宋体" w:cs="宋体"/>
                <w:color w:val="auto"/>
                <w:kern w:val="0"/>
                <w:sz w:val="22"/>
              </w:rPr>
              <w:br w:type="textWrapping"/>
            </w:r>
            <w:r>
              <w:rPr>
                <w:rFonts w:hint="eastAsia" w:ascii="新宋体" w:hAnsi="新宋体" w:eastAsia="新宋体" w:cs="宋体"/>
                <w:color w:val="auto"/>
                <w:kern w:val="0"/>
                <w:sz w:val="22"/>
              </w:rPr>
              <w:t>3.单个通道最大负载功率≥2200W，所有通道负载总功率≥6000W。输出连接器：多用途电源插座。</w:t>
            </w:r>
            <w:r>
              <w:rPr>
                <w:rFonts w:hint="eastAsia" w:ascii="新宋体" w:hAnsi="新宋体" w:eastAsia="新宋体" w:cs="宋体"/>
                <w:color w:val="auto"/>
                <w:kern w:val="0"/>
                <w:sz w:val="22"/>
              </w:rPr>
              <w:br w:type="textWrapping"/>
            </w:r>
            <w:r>
              <w:rPr>
                <w:rFonts w:hint="eastAsia" w:ascii="新宋体" w:hAnsi="新宋体" w:eastAsia="新宋体" w:cs="宋体"/>
                <w:color w:val="auto"/>
                <w:kern w:val="0"/>
                <w:sz w:val="22"/>
              </w:rPr>
              <w:t>4.具有≥1路USB接口。</w:t>
            </w:r>
          </w:p>
        </w:tc>
        <w:tc>
          <w:tcPr>
            <w:tcW w:w="0" w:type="auto"/>
            <w:tcBorders>
              <w:top w:val="nil"/>
              <w:left w:val="nil"/>
              <w:bottom w:val="single" w:color="auto" w:sz="4" w:space="0"/>
              <w:right w:val="single" w:color="auto" w:sz="4" w:space="0"/>
            </w:tcBorders>
            <w:vAlign w:val="center"/>
          </w:tcPr>
          <w:p w14:paraId="19125C4D">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新宋体" w:hAnsi="新宋体" w:eastAsia="新宋体" w:cs="宋体"/>
                <w:color w:val="auto"/>
                <w:kern w:val="0"/>
                <w:sz w:val="22"/>
              </w:rPr>
            </w:pPr>
            <w:r>
              <w:rPr>
                <w:rFonts w:hint="eastAsia" w:ascii="新宋体" w:hAnsi="新宋体" w:eastAsia="新宋体" w:cs="宋体"/>
                <w:color w:val="auto"/>
                <w:kern w:val="0"/>
                <w:sz w:val="22"/>
              </w:rPr>
              <w:t>1</w:t>
            </w:r>
          </w:p>
        </w:tc>
        <w:tc>
          <w:tcPr>
            <w:tcW w:w="0" w:type="auto"/>
            <w:tcBorders>
              <w:top w:val="nil"/>
              <w:left w:val="nil"/>
              <w:bottom w:val="single" w:color="auto" w:sz="4" w:space="0"/>
              <w:right w:val="single" w:color="auto" w:sz="4" w:space="0"/>
            </w:tcBorders>
            <w:vAlign w:val="center"/>
          </w:tcPr>
          <w:p w14:paraId="706BA939">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新宋体" w:hAnsi="新宋体" w:eastAsia="新宋体" w:cs="宋体"/>
                <w:color w:val="auto"/>
                <w:kern w:val="0"/>
                <w:sz w:val="22"/>
              </w:rPr>
            </w:pPr>
            <w:r>
              <w:rPr>
                <w:rFonts w:hint="eastAsia" w:ascii="新宋体" w:hAnsi="新宋体" w:eastAsia="新宋体" w:cs="宋体"/>
                <w:color w:val="auto"/>
                <w:kern w:val="0"/>
                <w:sz w:val="22"/>
              </w:rPr>
              <w:t>台</w:t>
            </w:r>
          </w:p>
        </w:tc>
      </w:tr>
      <w:tr w14:paraId="61B3F49F">
        <w:tblPrEx>
          <w:tblCellMar>
            <w:top w:w="0" w:type="dxa"/>
            <w:left w:w="108" w:type="dxa"/>
            <w:bottom w:w="0" w:type="dxa"/>
            <w:right w:w="108" w:type="dxa"/>
          </w:tblCellMar>
        </w:tblPrEx>
        <w:trPr>
          <w:trHeight w:val="567" w:hRule="atLeast"/>
        </w:trPr>
        <w:tc>
          <w:tcPr>
            <w:tcW w:w="0" w:type="auto"/>
            <w:tcBorders>
              <w:top w:val="nil"/>
              <w:left w:val="single" w:color="auto" w:sz="4" w:space="0"/>
              <w:bottom w:val="single" w:color="auto" w:sz="4" w:space="0"/>
              <w:right w:val="single" w:color="auto" w:sz="4" w:space="0"/>
            </w:tcBorders>
            <w:noWrap/>
            <w:vAlign w:val="center"/>
          </w:tcPr>
          <w:p w14:paraId="77704191">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20</w:t>
            </w:r>
          </w:p>
        </w:tc>
        <w:tc>
          <w:tcPr>
            <w:tcW w:w="0" w:type="auto"/>
            <w:tcBorders>
              <w:top w:val="nil"/>
              <w:left w:val="nil"/>
              <w:bottom w:val="single" w:color="auto" w:sz="4" w:space="0"/>
              <w:right w:val="single" w:color="auto" w:sz="4" w:space="0"/>
            </w:tcBorders>
            <w:vAlign w:val="center"/>
          </w:tcPr>
          <w:p w14:paraId="2890522F">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新宋体" w:hAnsi="新宋体" w:eastAsia="新宋体" w:cs="宋体"/>
                <w:color w:val="auto"/>
                <w:kern w:val="0"/>
                <w:sz w:val="22"/>
              </w:rPr>
            </w:pPr>
            <w:r>
              <w:rPr>
                <w:rFonts w:hint="eastAsia" w:ascii="新宋体" w:hAnsi="新宋体" w:eastAsia="新宋体" w:cs="宋体"/>
                <w:color w:val="auto"/>
                <w:kern w:val="0"/>
                <w:sz w:val="22"/>
              </w:rPr>
              <w:t>音柱</w:t>
            </w:r>
          </w:p>
        </w:tc>
        <w:tc>
          <w:tcPr>
            <w:tcW w:w="0" w:type="auto"/>
            <w:tcBorders>
              <w:top w:val="nil"/>
              <w:left w:val="nil"/>
              <w:bottom w:val="single" w:color="auto" w:sz="4" w:space="0"/>
              <w:right w:val="single" w:color="auto" w:sz="4" w:space="0"/>
            </w:tcBorders>
            <w:vAlign w:val="center"/>
          </w:tcPr>
          <w:p w14:paraId="43ADAE50">
            <w:pPr>
              <w:keepNext w:val="0"/>
              <w:keepLines w:val="0"/>
              <w:pageBreakBefore w:val="0"/>
              <w:widowControl/>
              <w:kinsoku/>
              <w:wordWrap/>
              <w:overflowPunct/>
              <w:topLinePunct w:val="0"/>
              <w:autoSpaceDE/>
              <w:autoSpaceDN/>
              <w:bidi w:val="0"/>
              <w:adjustRightInd/>
              <w:snapToGrid/>
              <w:spacing w:after="0" w:line="260" w:lineRule="auto"/>
              <w:jc w:val="left"/>
              <w:textAlignment w:val="auto"/>
              <w:rPr>
                <w:rFonts w:hint="eastAsia" w:ascii="新宋体" w:hAnsi="新宋体" w:eastAsia="新宋体" w:cs="宋体"/>
                <w:color w:val="auto"/>
                <w:kern w:val="0"/>
                <w:sz w:val="22"/>
              </w:rPr>
            </w:pPr>
            <w:r>
              <w:rPr>
                <w:rFonts w:hint="eastAsia" w:ascii="新宋体" w:hAnsi="新宋体" w:eastAsia="新宋体" w:cs="宋体"/>
                <w:color w:val="auto"/>
                <w:kern w:val="0"/>
                <w:sz w:val="22"/>
              </w:rPr>
              <w:t>1.音箱类型为音柱，阻抗≤6</w:t>
            </w:r>
            <w:r>
              <w:rPr>
                <w:rFonts w:ascii="Calibri" w:hAnsi="Calibri" w:eastAsia="新宋体" w:cs="Calibri"/>
                <w:color w:val="auto"/>
                <w:kern w:val="0"/>
                <w:sz w:val="22"/>
              </w:rPr>
              <w:t>Ω</w:t>
            </w:r>
            <w:r>
              <w:rPr>
                <w:rFonts w:hint="eastAsia" w:ascii="新宋体" w:hAnsi="新宋体" w:eastAsia="新宋体" w:cs="宋体"/>
                <w:color w:val="auto"/>
                <w:kern w:val="0"/>
                <w:sz w:val="22"/>
              </w:rPr>
              <w:t>，额定功率≥200W，≥6×3"全频喇叭单元；覆盖角度：等同或宽于100°(H)×90°(V)。</w:t>
            </w:r>
            <w:r>
              <w:rPr>
                <w:rFonts w:hint="eastAsia" w:ascii="新宋体" w:hAnsi="新宋体" w:eastAsia="新宋体" w:cs="宋体"/>
                <w:color w:val="auto"/>
                <w:kern w:val="0"/>
                <w:sz w:val="22"/>
              </w:rPr>
              <w:br w:type="textWrapping"/>
            </w:r>
            <w:r>
              <w:rPr>
                <w:rFonts w:hint="eastAsia" w:ascii="新宋体" w:hAnsi="新宋体" w:eastAsia="新宋体" w:cs="宋体"/>
                <w:color w:val="auto"/>
                <w:kern w:val="0"/>
                <w:sz w:val="22"/>
              </w:rPr>
              <w:t>2.频率响应（测试电压：0.2V，测试距离：1m）：等同或宽于80Hz-20kHz。</w:t>
            </w:r>
            <w:r>
              <w:rPr>
                <w:rFonts w:hint="eastAsia" w:ascii="新宋体" w:hAnsi="新宋体" w:eastAsia="新宋体" w:cs="宋体"/>
                <w:color w:val="auto"/>
                <w:kern w:val="0"/>
                <w:sz w:val="22"/>
              </w:rPr>
              <w:br w:type="textWrapping"/>
            </w:r>
            <w:r>
              <w:rPr>
                <w:rFonts w:hint="eastAsia" w:ascii="新宋体" w:hAnsi="新宋体" w:eastAsia="新宋体" w:cs="宋体"/>
                <w:color w:val="auto"/>
                <w:kern w:val="0"/>
                <w:sz w:val="22"/>
              </w:rPr>
              <w:t>3.指定频带内的声压级（测试电压：34.6V，频率范围67Hz-16kHz，测试距离1m）：≥115dB±2dB。</w:t>
            </w:r>
          </w:p>
        </w:tc>
        <w:tc>
          <w:tcPr>
            <w:tcW w:w="0" w:type="auto"/>
            <w:tcBorders>
              <w:top w:val="nil"/>
              <w:left w:val="nil"/>
              <w:bottom w:val="single" w:color="auto" w:sz="4" w:space="0"/>
              <w:right w:val="single" w:color="auto" w:sz="4" w:space="0"/>
            </w:tcBorders>
            <w:vAlign w:val="center"/>
          </w:tcPr>
          <w:p w14:paraId="790519B6">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新宋体" w:hAnsi="新宋体" w:eastAsia="新宋体" w:cs="宋体"/>
                <w:color w:val="auto"/>
                <w:kern w:val="0"/>
                <w:sz w:val="22"/>
              </w:rPr>
            </w:pPr>
            <w:r>
              <w:rPr>
                <w:rFonts w:hint="eastAsia" w:ascii="新宋体" w:hAnsi="新宋体" w:eastAsia="新宋体" w:cs="宋体"/>
                <w:color w:val="auto"/>
                <w:kern w:val="0"/>
                <w:sz w:val="22"/>
              </w:rPr>
              <w:t>2</w:t>
            </w:r>
          </w:p>
        </w:tc>
        <w:tc>
          <w:tcPr>
            <w:tcW w:w="0" w:type="auto"/>
            <w:tcBorders>
              <w:top w:val="nil"/>
              <w:left w:val="nil"/>
              <w:bottom w:val="single" w:color="auto" w:sz="4" w:space="0"/>
              <w:right w:val="single" w:color="auto" w:sz="4" w:space="0"/>
            </w:tcBorders>
            <w:vAlign w:val="center"/>
          </w:tcPr>
          <w:p w14:paraId="53B85579">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新宋体" w:hAnsi="新宋体" w:eastAsia="新宋体" w:cs="宋体"/>
                <w:color w:val="auto"/>
                <w:kern w:val="0"/>
                <w:sz w:val="22"/>
              </w:rPr>
            </w:pPr>
            <w:r>
              <w:rPr>
                <w:rFonts w:hint="eastAsia" w:ascii="新宋体" w:hAnsi="新宋体" w:eastAsia="新宋体" w:cs="宋体"/>
                <w:color w:val="auto"/>
                <w:kern w:val="0"/>
                <w:sz w:val="22"/>
              </w:rPr>
              <w:t>台</w:t>
            </w:r>
          </w:p>
        </w:tc>
      </w:tr>
      <w:tr w14:paraId="038C094A">
        <w:tblPrEx>
          <w:tblCellMar>
            <w:top w:w="0" w:type="dxa"/>
            <w:left w:w="108" w:type="dxa"/>
            <w:bottom w:w="0" w:type="dxa"/>
            <w:right w:w="108" w:type="dxa"/>
          </w:tblCellMar>
        </w:tblPrEx>
        <w:trPr>
          <w:trHeight w:val="567" w:hRule="atLeast"/>
        </w:trPr>
        <w:tc>
          <w:tcPr>
            <w:tcW w:w="0" w:type="auto"/>
            <w:tcBorders>
              <w:top w:val="nil"/>
              <w:left w:val="single" w:color="auto" w:sz="4" w:space="0"/>
              <w:bottom w:val="single" w:color="auto" w:sz="4" w:space="0"/>
              <w:right w:val="single" w:color="auto" w:sz="4" w:space="0"/>
            </w:tcBorders>
            <w:noWrap/>
            <w:vAlign w:val="center"/>
          </w:tcPr>
          <w:p w14:paraId="4FBC66A8">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21</w:t>
            </w:r>
          </w:p>
        </w:tc>
        <w:tc>
          <w:tcPr>
            <w:tcW w:w="0" w:type="auto"/>
            <w:tcBorders>
              <w:top w:val="nil"/>
              <w:left w:val="nil"/>
              <w:bottom w:val="single" w:color="auto" w:sz="4" w:space="0"/>
              <w:right w:val="single" w:color="auto" w:sz="4" w:space="0"/>
            </w:tcBorders>
            <w:vAlign w:val="center"/>
          </w:tcPr>
          <w:p w14:paraId="09BB0E48">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功放</w:t>
            </w:r>
          </w:p>
        </w:tc>
        <w:tc>
          <w:tcPr>
            <w:tcW w:w="0" w:type="auto"/>
            <w:tcBorders>
              <w:top w:val="nil"/>
              <w:left w:val="nil"/>
              <w:bottom w:val="single" w:color="auto" w:sz="4" w:space="0"/>
              <w:right w:val="single" w:color="auto" w:sz="4" w:space="0"/>
            </w:tcBorders>
            <w:vAlign w:val="center"/>
          </w:tcPr>
          <w:p w14:paraId="681F8C10">
            <w:pPr>
              <w:keepNext w:val="0"/>
              <w:keepLines w:val="0"/>
              <w:pageBreakBefore w:val="0"/>
              <w:widowControl/>
              <w:kinsoku/>
              <w:wordWrap/>
              <w:overflowPunct/>
              <w:topLinePunct w:val="0"/>
              <w:autoSpaceDE/>
              <w:autoSpaceDN/>
              <w:bidi w:val="0"/>
              <w:adjustRightInd/>
              <w:snapToGrid/>
              <w:spacing w:after="0" w:line="260" w:lineRule="auto"/>
              <w:jc w:val="left"/>
              <w:textAlignment w:val="auto"/>
              <w:rPr>
                <w:rFonts w:hint="eastAsia" w:ascii="新宋体" w:hAnsi="新宋体" w:eastAsia="新宋体" w:cs="宋体"/>
                <w:color w:val="auto"/>
                <w:kern w:val="0"/>
                <w:sz w:val="22"/>
              </w:rPr>
            </w:pPr>
            <w:r>
              <w:rPr>
                <w:rFonts w:hint="eastAsia" w:ascii="新宋体" w:hAnsi="新宋体" w:eastAsia="新宋体" w:cs="宋体"/>
                <w:color w:val="auto"/>
                <w:kern w:val="0"/>
                <w:sz w:val="22"/>
              </w:rPr>
              <w:t>1.标准≤1U机箱设计，采用D类数字功放设计方案。</w:t>
            </w:r>
            <w:r>
              <w:rPr>
                <w:rFonts w:hint="eastAsia" w:ascii="新宋体" w:hAnsi="新宋体" w:eastAsia="新宋体" w:cs="宋体"/>
                <w:color w:val="auto"/>
                <w:kern w:val="0"/>
                <w:sz w:val="22"/>
              </w:rPr>
              <w:br w:type="textWrapping"/>
            </w:r>
            <w:r>
              <w:rPr>
                <w:rFonts w:hint="eastAsia" w:ascii="新宋体" w:hAnsi="新宋体" w:eastAsia="新宋体" w:cs="宋体"/>
                <w:color w:val="auto"/>
                <w:kern w:val="0"/>
                <w:sz w:val="22"/>
              </w:rPr>
              <w:t>2.标准XLR输入接口，和LINK输出口。</w:t>
            </w:r>
            <w:r>
              <w:rPr>
                <w:rFonts w:hint="eastAsia" w:ascii="新宋体" w:hAnsi="新宋体" w:eastAsia="新宋体" w:cs="宋体"/>
                <w:color w:val="auto"/>
                <w:kern w:val="0"/>
                <w:sz w:val="22"/>
              </w:rPr>
              <w:br w:type="textWrapping"/>
            </w:r>
            <w:r>
              <w:rPr>
                <w:rFonts w:hint="eastAsia" w:ascii="新宋体" w:hAnsi="新宋体" w:eastAsia="新宋体" w:cs="宋体"/>
                <w:color w:val="auto"/>
                <w:kern w:val="0"/>
                <w:sz w:val="22"/>
              </w:rPr>
              <w:t>3.电源采用开关电源技术，效率高，有效的抑制电源谐波。</w:t>
            </w:r>
            <w:r>
              <w:rPr>
                <w:rFonts w:hint="eastAsia" w:ascii="新宋体" w:hAnsi="新宋体" w:eastAsia="新宋体" w:cs="宋体"/>
                <w:color w:val="auto"/>
                <w:kern w:val="0"/>
                <w:sz w:val="22"/>
              </w:rPr>
              <w:br w:type="textWrapping"/>
            </w:r>
            <w:r>
              <w:rPr>
                <w:rFonts w:hint="eastAsia" w:ascii="新宋体" w:hAnsi="新宋体" w:eastAsia="新宋体" w:cs="宋体"/>
                <w:color w:val="auto"/>
                <w:kern w:val="0"/>
                <w:sz w:val="22"/>
              </w:rPr>
              <w:t xml:space="preserve">4.内置智能削峰限幅器，支持开机软启动，防止开机时向电网吸收大电流，干扰其它用电设备。 </w:t>
            </w:r>
            <w:r>
              <w:rPr>
                <w:rFonts w:hint="eastAsia" w:ascii="新宋体" w:hAnsi="新宋体" w:eastAsia="新宋体" w:cs="宋体"/>
                <w:color w:val="auto"/>
                <w:kern w:val="0"/>
                <w:sz w:val="22"/>
              </w:rPr>
              <w:br w:type="textWrapping"/>
            </w:r>
            <w:r>
              <w:rPr>
                <w:rFonts w:hint="eastAsia" w:ascii="新宋体" w:hAnsi="新宋体" w:eastAsia="新宋体" w:cs="宋体"/>
                <w:color w:val="auto"/>
                <w:kern w:val="0"/>
                <w:sz w:val="22"/>
              </w:rPr>
              <w:t>5.具有：过压保护，欠压保护，过流保护，直流保护，输出短路保护，温控风扇等功能。</w:t>
            </w:r>
            <w:r>
              <w:rPr>
                <w:rFonts w:hint="eastAsia" w:ascii="新宋体" w:hAnsi="新宋体" w:eastAsia="新宋体" w:cs="宋体"/>
                <w:color w:val="auto"/>
                <w:kern w:val="0"/>
                <w:sz w:val="22"/>
              </w:rPr>
              <w:br w:type="textWrapping"/>
            </w:r>
            <w:r>
              <w:rPr>
                <w:rFonts w:hint="eastAsia" w:ascii="新宋体" w:hAnsi="新宋体" w:eastAsia="新宋体" w:cs="宋体"/>
                <w:color w:val="auto"/>
                <w:kern w:val="0"/>
                <w:sz w:val="22"/>
              </w:rPr>
              <w:t>6.输出功率：立体声8</w:t>
            </w:r>
            <w:r>
              <w:rPr>
                <w:rFonts w:ascii="Calibri" w:hAnsi="Calibri" w:eastAsia="新宋体" w:cs="Calibri"/>
                <w:color w:val="auto"/>
                <w:kern w:val="0"/>
                <w:sz w:val="22"/>
              </w:rPr>
              <w:t>Ω</w:t>
            </w:r>
            <w:r>
              <w:rPr>
                <w:rFonts w:hint="eastAsia" w:ascii="新宋体" w:hAnsi="新宋体" w:eastAsia="新宋体" w:cs="宋体"/>
                <w:color w:val="auto"/>
                <w:kern w:val="0"/>
                <w:sz w:val="22"/>
              </w:rPr>
              <w:t> ：350W×2；立体声4</w:t>
            </w:r>
            <w:r>
              <w:rPr>
                <w:rFonts w:ascii="Calibri" w:hAnsi="Calibri" w:eastAsia="新宋体" w:cs="Calibri"/>
                <w:color w:val="auto"/>
                <w:kern w:val="0"/>
                <w:sz w:val="22"/>
              </w:rPr>
              <w:t>Ω</w:t>
            </w:r>
            <w:r>
              <w:rPr>
                <w:rFonts w:hint="eastAsia" w:ascii="新宋体" w:hAnsi="新宋体" w:eastAsia="新宋体" w:cs="宋体"/>
                <w:color w:val="auto"/>
                <w:kern w:val="0"/>
                <w:sz w:val="22"/>
              </w:rPr>
              <w:t>：600W×2；桥接16</w:t>
            </w:r>
            <w:r>
              <w:rPr>
                <w:rFonts w:ascii="Calibri" w:hAnsi="Calibri" w:eastAsia="新宋体" w:cs="Calibri"/>
                <w:color w:val="auto"/>
                <w:kern w:val="0"/>
                <w:sz w:val="22"/>
              </w:rPr>
              <w:t>Ω</w:t>
            </w:r>
            <w:r>
              <w:rPr>
                <w:rFonts w:hint="eastAsia" w:ascii="新宋体" w:hAnsi="新宋体" w:eastAsia="新宋体" w:cs="宋体"/>
                <w:color w:val="auto"/>
                <w:kern w:val="0"/>
                <w:sz w:val="22"/>
              </w:rPr>
              <w:t>：700W ；桥接8</w:t>
            </w:r>
            <w:r>
              <w:rPr>
                <w:rFonts w:ascii="Calibri" w:hAnsi="Calibri" w:eastAsia="新宋体" w:cs="Calibri"/>
                <w:color w:val="auto"/>
                <w:kern w:val="0"/>
                <w:sz w:val="22"/>
              </w:rPr>
              <w:t>Ω</w:t>
            </w:r>
            <w:r>
              <w:rPr>
                <w:rFonts w:hint="eastAsia" w:ascii="新宋体" w:hAnsi="新宋体" w:eastAsia="新宋体" w:cs="宋体"/>
                <w:color w:val="auto"/>
                <w:kern w:val="0"/>
                <w:sz w:val="22"/>
              </w:rPr>
              <w:t>：1200W。</w:t>
            </w:r>
          </w:p>
        </w:tc>
        <w:tc>
          <w:tcPr>
            <w:tcW w:w="0" w:type="auto"/>
            <w:tcBorders>
              <w:top w:val="nil"/>
              <w:left w:val="nil"/>
              <w:bottom w:val="single" w:color="auto" w:sz="4" w:space="0"/>
              <w:right w:val="single" w:color="auto" w:sz="4" w:space="0"/>
            </w:tcBorders>
            <w:vAlign w:val="center"/>
          </w:tcPr>
          <w:p w14:paraId="1D4D2C96">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1</w:t>
            </w:r>
          </w:p>
        </w:tc>
        <w:tc>
          <w:tcPr>
            <w:tcW w:w="0" w:type="auto"/>
            <w:tcBorders>
              <w:top w:val="nil"/>
              <w:left w:val="nil"/>
              <w:bottom w:val="single" w:color="auto" w:sz="4" w:space="0"/>
              <w:right w:val="single" w:color="auto" w:sz="4" w:space="0"/>
            </w:tcBorders>
            <w:vAlign w:val="center"/>
          </w:tcPr>
          <w:p w14:paraId="34B44A1D">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新宋体" w:hAnsi="新宋体" w:eastAsia="新宋体" w:cs="宋体"/>
                <w:color w:val="auto"/>
                <w:kern w:val="0"/>
                <w:sz w:val="22"/>
              </w:rPr>
            </w:pPr>
            <w:r>
              <w:rPr>
                <w:rFonts w:hint="eastAsia" w:ascii="新宋体" w:hAnsi="新宋体" w:eastAsia="新宋体" w:cs="宋体"/>
                <w:color w:val="auto"/>
                <w:kern w:val="0"/>
                <w:sz w:val="22"/>
              </w:rPr>
              <w:t>台</w:t>
            </w:r>
          </w:p>
        </w:tc>
      </w:tr>
      <w:tr w14:paraId="42EFEEC3">
        <w:tblPrEx>
          <w:tblCellMar>
            <w:top w:w="0" w:type="dxa"/>
            <w:left w:w="108" w:type="dxa"/>
            <w:bottom w:w="0" w:type="dxa"/>
            <w:right w:w="108" w:type="dxa"/>
          </w:tblCellMar>
        </w:tblPrEx>
        <w:trPr>
          <w:trHeight w:val="567" w:hRule="atLeast"/>
        </w:trPr>
        <w:tc>
          <w:tcPr>
            <w:tcW w:w="0" w:type="auto"/>
            <w:tcBorders>
              <w:top w:val="nil"/>
              <w:left w:val="single" w:color="auto" w:sz="4" w:space="0"/>
              <w:bottom w:val="single" w:color="auto" w:sz="4" w:space="0"/>
              <w:right w:val="single" w:color="auto" w:sz="4" w:space="0"/>
            </w:tcBorders>
            <w:noWrap/>
            <w:vAlign w:val="center"/>
          </w:tcPr>
          <w:p w14:paraId="2E4D0BB0">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22</w:t>
            </w:r>
          </w:p>
        </w:tc>
        <w:tc>
          <w:tcPr>
            <w:tcW w:w="0" w:type="auto"/>
            <w:tcBorders>
              <w:top w:val="nil"/>
              <w:left w:val="nil"/>
              <w:bottom w:val="single" w:color="auto" w:sz="4" w:space="0"/>
              <w:right w:val="single" w:color="auto" w:sz="4" w:space="0"/>
            </w:tcBorders>
            <w:noWrap/>
            <w:vAlign w:val="center"/>
          </w:tcPr>
          <w:p w14:paraId="5CC6346E">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上网行为管理</w:t>
            </w:r>
          </w:p>
        </w:tc>
        <w:tc>
          <w:tcPr>
            <w:tcW w:w="0" w:type="auto"/>
            <w:tcBorders>
              <w:top w:val="nil"/>
              <w:left w:val="nil"/>
              <w:bottom w:val="single" w:color="auto" w:sz="4" w:space="0"/>
              <w:right w:val="nil"/>
            </w:tcBorders>
            <w:vAlign w:val="center"/>
          </w:tcPr>
          <w:p w14:paraId="3AD64377">
            <w:pPr>
              <w:keepNext w:val="0"/>
              <w:keepLines w:val="0"/>
              <w:pageBreakBefore w:val="0"/>
              <w:widowControl/>
              <w:kinsoku/>
              <w:wordWrap/>
              <w:overflowPunct/>
              <w:topLinePunct w:val="0"/>
              <w:autoSpaceDE/>
              <w:autoSpaceDN/>
              <w:bidi w:val="0"/>
              <w:adjustRightInd/>
              <w:snapToGrid/>
              <w:spacing w:after="0" w:line="260" w:lineRule="auto"/>
              <w:jc w:val="left"/>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1.多核架构设计，不允许采用X86架构，功能采用模块化结构设计；</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2.接口默认属于root，创建VRF后可把接口添加到VRF内，一个接口只能属于一个VRF，并提供web配置界面截图</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3.1U高机架式硬件架构，1个扩展插槽，双电源，4G内存，业务接口不少于2个千兆光接口，8个电口，2个万兆光口；</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4.实配3年应用特征升级库升级服务；</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5.性能要求：吞吐量不低于5Gbps；并发连接数至少120万；新建连接数至少6万；</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6.支持首页展示网络状态、包括在线用户、审计日志类别及数量、流量分析、违规用户信息（策略违规、共享违规、限额违规）等，支持显示系统信息、实时流量、系统资源、接口状态、用户TOP流量、应用TOP流量统计、系统日志信息、审计日志信息等，提供web配置界面</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7.支持主动扫描发现内网资产，获取资产基本信息。</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8.支持会话的统计与分析，支持统计会话源Top20、会话目的Top20，以趋势图方式展示并发会话、新建、TCP、UDP、其他协议等趋势信息；针对会话支持正向排名，支持数据下钻跳转至详细列表，深入钻取会话中用户、用户组、源目IP、源目端口、协议、连接类型、应用、流量、时间等信息；支持多条件组合形成筛选条件。提供功能截图</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9.支持基于防护策略的精准访问控制匹配次数、防盗链、SCRF、CC攻击防护统计等。提供功能截图</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10.支持客户端方式的SSL VPN功能，免费赠送10个并发在线用户授权；</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11.支持对内网资产的IP、用户、部门、操作系统、重要程度、可用服务、是否可信进行统一梳理，发现问题资产支持阻断IP，提供产品截图；</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12.支持本地web认证，针对本地web认证的认证服务器可以是本地AAA，也支持外部radius、ldap、POP3、数据库、CAS等认证服务器，提供web配置截图</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13.支持一个公网IP映射到内网多台服务器，服务器间支持连接和源地址hash，支持服务器健康检查，提供web配置界面截图。</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★14.具备单独安全事件展示能力，以世界地图形式展示攻击源地域分布，支持攻击源地域按照国家进行排名；</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可详细展示攻击源、归属地、攻击级别、攻击次数、开始结束时间，并支持将攻击IP加入黑名单，提供产品截图</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★15.支持针对设备健康状态，业务信息等维度告警；告警事件入库支持展示，查询，导出；告警事件支持弹窗，邮件；弹窗默认展示最近10条告警记录，提供web配置界面截图。</w:t>
            </w:r>
          </w:p>
        </w:tc>
        <w:tc>
          <w:tcPr>
            <w:tcW w:w="0" w:type="auto"/>
            <w:tcBorders>
              <w:top w:val="nil"/>
              <w:left w:val="single" w:color="auto" w:sz="4" w:space="0"/>
              <w:bottom w:val="single" w:color="auto" w:sz="4" w:space="0"/>
              <w:right w:val="single" w:color="auto" w:sz="4" w:space="0"/>
            </w:tcBorders>
            <w:vAlign w:val="center"/>
          </w:tcPr>
          <w:p w14:paraId="48E70E76">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1</w:t>
            </w:r>
          </w:p>
        </w:tc>
        <w:tc>
          <w:tcPr>
            <w:tcW w:w="0" w:type="auto"/>
            <w:tcBorders>
              <w:top w:val="nil"/>
              <w:left w:val="nil"/>
              <w:bottom w:val="single" w:color="auto" w:sz="4" w:space="0"/>
              <w:right w:val="single" w:color="auto" w:sz="4" w:space="0"/>
            </w:tcBorders>
            <w:vAlign w:val="center"/>
          </w:tcPr>
          <w:p w14:paraId="6322A3B9">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台</w:t>
            </w:r>
          </w:p>
        </w:tc>
      </w:tr>
      <w:tr w14:paraId="03E822E3">
        <w:tblPrEx>
          <w:tblCellMar>
            <w:top w:w="0" w:type="dxa"/>
            <w:left w:w="108" w:type="dxa"/>
            <w:bottom w:w="0" w:type="dxa"/>
            <w:right w:w="108" w:type="dxa"/>
          </w:tblCellMar>
        </w:tblPrEx>
        <w:trPr>
          <w:trHeight w:val="567" w:hRule="atLeast"/>
        </w:trPr>
        <w:tc>
          <w:tcPr>
            <w:tcW w:w="0" w:type="auto"/>
            <w:tcBorders>
              <w:top w:val="nil"/>
              <w:left w:val="single" w:color="auto" w:sz="4" w:space="0"/>
              <w:bottom w:val="single" w:color="auto" w:sz="4" w:space="0"/>
              <w:right w:val="single" w:color="auto" w:sz="4" w:space="0"/>
            </w:tcBorders>
            <w:noWrap/>
            <w:vAlign w:val="center"/>
          </w:tcPr>
          <w:p w14:paraId="09A780AA">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23</w:t>
            </w:r>
          </w:p>
        </w:tc>
        <w:tc>
          <w:tcPr>
            <w:tcW w:w="0" w:type="auto"/>
            <w:tcBorders>
              <w:top w:val="nil"/>
              <w:left w:val="nil"/>
              <w:bottom w:val="single" w:color="auto" w:sz="4" w:space="0"/>
              <w:right w:val="single" w:color="auto" w:sz="4" w:space="0"/>
            </w:tcBorders>
            <w:noWrap/>
            <w:vAlign w:val="center"/>
          </w:tcPr>
          <w:p w14:paraId="79FFBAB8">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防火墙</w:t>
            </w:r>
          </w:p>
        </w:tc>
        <w:tc>
          <w:tcPr>
            <w:tcW w:w="0" w:type="auto"/>
            <w:tcBorders>
              <w:top w:val="nil"/>
              <w:left w:val="nil"/>
              <w:bottom w:val="single" w:color="auto" w:sz="4" w:space="0"/>
              <w:right w:val="nil"/>
            </w:tcBorders>
            <w:vAlign w:val="center"/>
          </w:tcPr>
          <w:p w14:paraId="62AB1130">
            <w:pPr>
              <w:keepNext w:val="0"/>
              <w:keepLines w:val="0"/>
              <w:pageBreakBefore w:val="0"/>
              <w:widowControl/>
              <w:kinsoku/>
              <w:wordWrap/>
              <w:overflowPunct/>
              <w:topLinePunct w:val="0"/>
              <w:autoSpaceDE/>
              <w:autoSpaceDN/>
              <w:bidi w:val="0"/>
              <w:adjustRightInd/>
              <w:snapToGrid/>
              <w:spacing w:after="0" w:line="260" w:lineRule="auto"/>
              <w:jc w:val="left"/>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1.采用非X86多核架构，具备可插拔冗余电源模块，可插拔冗余风扇模块（多核架构需提供证明材料）；</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2.MGMT≥1，千兆电口≥14，千兆光口≥8，万兆光口≥8，扩展插槽≥4；</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3.支持双硬盘，双硬盘支持Raid0和Raid1，实现硬盘数据存储的高可靠（提供功能截图）</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4.所投产品防火墙吞吐量≥4Gbps，每秒新建连接数≥5万，并发连接数≥250万；</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5.支持BFD和NQA网络协议，支持基于接口状态和路由状态等多种类型的探测机制来及时触发链路切换或主备切换，保障业务连续性（提供功能截图）</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6.整机同时具备防火墙、链路负载均衡、入侵防御、防病毒、带宽控制、应用识别和web应用防护等功能；提供三年入侵防御及防病毒特征库升级授权。</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7.可基于每个SSL VPN用户的会话连接数、连接时间和流量阀值进行细颗粒度的管控。</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8.支持IPsec VPN智能选路，根据隧道质量调度流量；</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9.支持至少4000种独立Web特征的攻击检测和防御特征库。</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10.支持对检测到的攻击行为的前后报文进行自动化抓包功能，方便用户对攻击行为进行取证（提供功能截图）</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11.支持沙箱（云沙箱或本地沙箱）联动（提供功能截图）</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12.支持HTTPS加密流量的安全检测，支持TCP代理和SSL代理，且代理策略中可同时配置多类过滤条件，具体包括：源安全域、目的安全域、源地址、目的地址、用户和服务。一类过滤条件可以配置多个匹配项（提供截图）；</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13.★支持报文示踪功能，支持真实流量、导入报文、构造报文等方式，用于分析和追踪设备中各个安全业务模块（如：攻击防范、uRPF、会话管理和连接数限制等）对报文的处理过程，通过查看报文示踪记录的详细信息，有利于管理员对网络故障的快速排查和定位。（提供功能截图）</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15.支持2台设备堆叠成一台设备使用，实现统一管理，统一配置，所投设备支持高可靠性（包含主备/主主模式）部署，上述功能要求须提国家相关部委认可的第三方实验室测试报告证明，</w:t>
            </w:r>
          </w:p>
        </w:tc>
        <w:tc>
          <w:tcPr>
            <w:tcW w:w="0" w:type="auto"/>
            <w:tcBorders>
              <w:top w:val="nil"/>
              <w:left w:val="single" w:color="auto" w:sz="4" w:space="0"/>
              <w:bottom w:val="single" w:color="auto" w:sz="4" w:space="0"/>
              <w:right w:val="single" w:color="auto" w:sz="4" w:space="0"/>
            </w:tcBorders>
            <w:vAlign w:val="center"/>
          </w:tcPr>
          <w:p w14:paraId="57BF5174">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1</w:t>
            </w:r>
          </w:p>
        </w:tc>
        <w:tc>
          <w:tcPr>
            <w:tcW w:w="0" w:type="auto"/>
            <w:tcBorders>
              <w:top w:val="nil"/>
              <w:left w:val="nil"/>
              <w:bottom w:val="single" w:color="auto" w:sz="4" w:space="0"/>
              <w:right w:val="single" w:color="auto" w:sz="4" w:space="0"/>
            </w:tcBorders>
            <w:vAlign w:val="center"/>
          </w:tcPr>
          <w:p w14:paraId="61A4A202">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台</w:t>
            </w:r>
          </w:p>
        </w:tc>
      </w:tr>
      <w:tr w14:paraId="1BB1FD6D">
        <w:tblPrEx>
          <w:tblCellMar>
            <w:top w:w="0" w:type="dxa"/>
            <w:left w:w="108" w:type="dxa"/>
            <w:bottom w:w="0" w:type="dxa"/>
            <w:right w:w="108" w:type="dxa"/>
          </w:tblCellMar>
        </w:tblPrEx>
        <w:trPr>
          <w:trHeight w:val="567" w:hRule="atLeast"/>
        </w:trPr>
        <w:tc>
          <w:tcPr>
            <w:tcW w:w="0" w:type="auto"/>
            <w:tcBorders>
              <w:top w:val="nil"/>
              <w:left w:val="single" w:color="auto" w:sz="4" w:space="0"/>
              <w:bottom w:val="single" w:color="auto" w:sz="4" w:space="0"/>
              <w:right w:val="single" w:color="auto" w:sz="4" w:space="0"/>
            </w:tcBorders>
            <w:noWrap/>
            <w:vAlign w:val="center"/>
          </w:tcPr>
          <w:p w14:paraId="7B8F111D">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24</w:t>
            </w:r>
          </w:p>
        </w:tc>
        <w:tc>
          <w:tcPr>
            <w:tcW w:w="0" w:type="auto"/>
            <w:tcBorders>
              <w:top w:val="nil"/>
              <w:left w:val="nil"/>
              <w:bottom w:val="single" w:color="auto" w:sz="4" w:space="0"/>
              <w:right w:val="single" w:color="auto" w:sz="4" w:space="0"/>
            </w:tcBorders>
            <w:noWrap/>
            <w:vAlign w:val="center"/>
          </w:tcPr>
          <w:p w14:paraId="3A907DA5">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AC控制器</w:t>
            </w:r>
          </w:p>
        </w:tc>
        <w:tc>
          <w:tcPr>
            <w:tcW w:w="0" w:type="auto"/>
            <w:tcBorders>
              <w:top w:val="nil"/>
              <w:left w:val="nil"/>
              <w:bottom w:val="single" w:color="auto" w:sz="4" w:space="0"/>
              <w:right w:val="single" w:color="auto" w:sz="4" w:space="0"/>
            </w:tcBorders>
            <w:vAlign w:val="center"/>
          </w:tcPr>
          <w:p w14:paraId="54310360">
            <w:pPr>
              <w:keepNext w:val="0"/>
              <w:keepLines w:val="0"/>
              <w:pageBreakBefore w:val="0"/>
              <w:widowControl/>
              <w:kinsoku/>
              <w:wordWrap/>
              <w:overflowPunct/>
              <w:topLinePunct w:val="0"/>
              <w:autoSpaceDE/>
              <w:autoSpaceDN/>
              <w:bidi w:val="0"/>
              <w:adjustRightInd/>
              <w:snapToGrid/>
              <w:spacing w:after="0" w:line="260" w:lineRule="auto"/>
              <w:jc w:val="left"/>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1.要求所投产品支持常规AP最大数量≥144（配置20个授权）</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2.要求所投产品集中转发性能≥10Gbps，要求提供官网截图；</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3.要求所投产品提供≥8个千兆SFP端口，≥2个万兆光端口；</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4.为了满足设备的稳定性，要求所投产品满足双电源冗余供电，要求提供官网截图；</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5. CAPWAP 隧道同时支持 IPv4 和 IPv6 双栈，支持用户地址和隧道地址任意选择使用IPv4或IPv6 ，灵活组合使用。要求提供工信部或下属实验室出具的第三方测试报告</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6.★支持在集群热备组网下，通过AC ISSU升级，可以实现AC在升级时业务不中断，AP和终端不掉线，终端可持续ping通网关。要求提供工信部或下属实验室出具的第三方测试报告</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7.满足802.1X用户分类计费功能：AC、AP满足精细化管理认证用户，无线控制器对接入用户（比如：802.1X认证）进行IPV4、IPv6分类分网段计费。要求提供工信部或下属实验室出具的第三方测试报告</w:t>
            </w:r>
          </w:p>
        </w:tc>
        <w:tc>
          <w:tcPr>
            <w:tcW w:w="0" w:type="auto"/>
            <w:tcBorders>
              <w:top w:val="nil"/>
              <w:left w:val="nil"/>
              <w:bottom w:val="single" w:color="auto" w:sz="4" w:space="0"/>
              <w:right w:val="single" w:color="auto" w:sz="4" w:space="0"/>
            </w:tcBorders>
            <w:vAlign w:val="center"/>
          </w:tcPr>
          <w:p w14:paraId="775B4AF2">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1</w:t>
            </w:r>
          </w:p>
        </w:tc>
        <w:tc>
          <w:tcPr>
            <w:tcW w:w="0" w:type="auto"/>
            <w:tcBorders>
              <w:top w:val="nil"/>
              <w:left w:val="nil"/>
              <w:bottom w:val="single" w:color="auto" w:sz="4" w:space="0"/>
              <w:right w:val="single" w:color="auto" w:sz="4" w:space="0"/>
            </w:tcBorders>
            <w:vAlign w:val="center"/>
          </w:tcPr>
          <w:p w14:paraId="0457144A">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台</w:t>
            </w:r>
          </w:p>
        </w:tc>
      </w:tr>
      <w:tr w14:paraId="295B8C53">
        <w:tblPrEx>
          <w:tblCellMar>
            <w:top w:w="0" w:type="dxa"/>
            <w:left w:w="108" w:type="dxa"/>
            <w:bottom w:w="0" w:type="dxa"/>
            <w:right w:w="108" w:type="dxa"/>
          </w:tblCellMar>
        </w:tblPrEx>
        <w:trPr>
          <w:trHeight w:val="567" w:hRule="atLeast"/>
        </w:trPr>
        <w:tc>
          <w:tcPr>
            <w:tcW w:w="0" w:type="auto"/>
            <w:tcBorders>
              <w:top w:val="nil"/>
              <w:left w:val="single" w:color="auto" w:sz="4" w:space="0"/>
              <w:bottom w:val="single" w:color="auto" w:sz="4" w:space="0"/>
              <w:right w:val="single" w:color="auto" w:sz="4" w:space="0"/>
            </w:tcBorders>
            <w:noWrap/>
            <w:vAlign w:val="center"/>
          </w:tcPr>
          <w:p w14:paraId="16540E53">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25</w:t>
            </w:r>
          </w:p>
        </w:tc>
        <w:tc>
          <w:tcPr>
            <w:tcW w:w="0" w:type="auto"/>
            <w:tcBorders>
              <w:top w:val="nil"/>
              <w:left w:val="nil"/>
              <w:bottom w:val="single" w:color="auto" w:sz="4" w:space="0"/>
              <w:right w:val="single" w:color="auto" w:sz="4" w:space="0"/>
            </w:tcBorders>
            <w:noWrap/>
            <w:vAlign w:val="center"/>
          </w:tcPr>
          <w:p w14:paraId="31B643D2">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路由器</w:t>
            </w:r>
          </w:p>
        </w:tc>
        <w:tc>
          <w:tcPr>
            <w:tcW w:w="0" w:type="auto"/>
            <w:tcBorders>
              <w:top w:val="nil"/>
              <w:left w:val="nil"/>
              <w:bottom w:val="single" w:color="auto" w:sz="4" w:space="0"/>
              <w:right w:val="single" w:color="auto" w:sz="4" w:space="0"/>
            </w:tcBorders>
            <w:vAlign w:val="center"/>
          </w:tcPr>
          <w:p w14:paraId="38549593">
            <w:pPr>
              <w:keepNext w:val="0"/>
              <w:keepLines w:val="0"/>
              <w:pageBreakBefore w:val="0"/>
              <w:widowControl/>
              <w:kinsoku/>
              <w:wordWrap/>
              <w:overflowPunct/>
              <w:topLinePunct w:val="0"/>
              <w:autoSpaceDE/>
              <w:autoSpaceDN/>
              <w:bidi w:val="0"/>
              <w:adjustRightInd/>
              <w:snapToGrid/>
              <w:spacing w:after="0" w:line="260" w:lineRule="auto"/>
              <w:jc w:val="left"/>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1.WAN:≥2*GE(光)+5*GE(电)，LAN:≥8*GE(电)；</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2.包转发率≥3Mpps</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3.内存≥1GB，Flash≥512MB；</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4.支持4G/国密合一板卡；</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5.支持记录终端用户访问互联网的日志，包括：用户名、源/目的IP地址、时间、访问的域名、URL等，权威第三方机构的测试报告</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6.支持划分安全域，用于管理防火墙设备上安全需求相同的多个接口，权威第三方机构的测试报告</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7.支持无线控制器功能，对下挂瘦AP设备进行注册、配置管理、版本管理、流量转发等统一控制，权威第三方机构的测试报告</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8.支持智能管理功能，可对网络边缘大量分散的网络设备进行集中管理和维护</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9.支持ssl vpn，并提供设备满足此功能的权威第三方机构的测试报告</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10.支持对HTTP/FTP等TCP业务流量进行优化传输技术，提高广域网带宽利用率；</w:t>
            </w:r>
          </w:p>
        </w:tc>
        <w:tc>
          <w:tcPr>
            <w:tcW w:w="0" w:type="auto"/>
            <w:tcBorders>
              <w:top w:val="nil"/>
              <w:left w:val="nil"/>
              <w:bottom w:val="single" w:color="auto" w:sz="4" w:space="0"/>
              <w:right w:val="single" w:color="auto" w:sz="4" w:space="0"/>
            </w:tcBorders>
            <w:vAlign w:val="center"/>
          </w:tcPr>
          <w:p w14:paraId="1FFAEA6B">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1</w:t>
            </w:r>
          </w:p>
        </w:tc>
        <w:tc>
          <w:tcPr>
            <w:tcW w:w="0" w:type="auto"/>
            <w:tcBorders>
              <w:top w:val="nil"/>
              <w:left w:val="nil"/>
              <w:bottom w:val="single" w:color="auto" w:sz="4" w:space="0"/>
              <w:right w:val="single" w:color="auto" w:sz="4" w:space="0"/>
            </w:tcBorders>
            <w:vAlign w:val="center"/>
          </w:tcPr>
          <w:p w14:paraId="77FFBF51">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台</w:t>
            </w:r>
          </w:p>
        </w:tc>
      </w:tr>
      <w:tr w14:paraId="235A4CB1">
        <w:tblPrEx>
          <w:tblCellMar>
            <w:top w:w="0" w:type="dxa"/>
            <w:left w:w="108" w:type="dxa"/>
            <w:bottom w:w="0" w:type="dxa"/>
            <w:right w:w="108" w:type="dxa"/>
          </w:tblCellMar>
        </w:tblPrEx>
        <w:trPr>
          <w:trHeight w:val="567" w:hRule="atLeast"/>
        </w:trPr>
        <w:tc>
          <w:tcPr>
            <w:tcW w:w="0" w:type="auto"/>
            <w:tcBorders>
              <w:top w:val="nil"/>
              <w:left w:val="single" w:color="auto" w:sz="4" w:space="0"/>
              <w:bottom w:val="single" w:color="auto" w:sz="4" w:space="0"/>
              <w:right w:val="single" w:color="auto" w:sz="4" w:space="0"/>
            </w:tcBorders>
            <w:noWrap/>
            <w:vAlign w:val="center"/>
          </w:tcPr>
          <w:p w14:paraId="38231668">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26</w:t>
            </w:r>
          </w:p>
        </w:tc>
        <w:tc>
          <w:tcPr>
            <w:tcW w:w="0" w:type="auto"/>
            <w:tcBorders>
              <w:top w:val="nil"/>
              <w:left w:val="nil"/>
              <w:bottom w:val="single" w:color="auto" w:sz="4" w:space="0"/>
              <w:right w:val="single" w:color="auto" w:sz="4" w:space="0"/>
            </w:tcBorders>
            <w:noWrap/>
            <w:vAlign w:val="center"/>
          </w:tcPr>
          <w:p w14:paraId="351F6DD9">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核心交换机</w:t>
            </w:r>
          </w:p>
        </w:tc>
        <w:tc>
          <w:tcPr>
            <w:tcW w:w="0" w:type="auto"/>
            <w:tcBorders>
              <w:top w:val="nil"/>
              <w:left w:val="nil"/>
              <w:bottom w:val="single" w:color="auto" w:sz="4" w:space="0"/>
              <w:right w:val="single" w:color="auto" w:sz="4" w:space="0"/>
            </w:tcBorders>
            <w:vAlign w:val="center"/>
          </w:tcPr>
          <w:p w14:paraId="11C5DE0C">
            <w:pPr>
              <w:keepNext w:val="0"/>
              <w:keepLines w:val="0"/>
              <w:pageBreakBefore w:val="0"/>
              <w:widowControl/>
              <w:kinsoku/>
              <w:wordWrap/>
              <w:overflowPunct/>
              <w:topLinePunct w:val="0"/>
              <w:autoSpaceDE/>
              <w:autoSpaceDN/>
              <w:bidi w:val="0"/>
              <w:adjustRightInd/>
              <w:snapToGrid/>
              <w:spacing w:after="0" w:line="260" w:lineRule="auto"/>
              <w:jc w:val="left"/>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1.交换容量≥2.4Tbps，转发性能≥660Mpps；</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2.支持双电源，2风扇模块；</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3.支持前后、后前风道；</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4.实配100/1000 BASE-X SFP端口≥24个，10/100/1000BASE-T Combo端口≥4个，1/10 GE 光接口≥8个，扩展插槽≥1个；</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5.支持融合AC功能，无需额外配置AC，有线无线一体化管理；</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6.★设备支持防火墙插卡，集成多种安全模块，保障网络信息安全；</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7.支持SAVI功能，提供官网功能截图</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8.支持VxLAN二层互通，支持VxLAN集中式网关互通功能</w:t>
            </w:r>
          </w:p>
        </w:tc>
        <w:tc>
          <w:tcPr>
            <w:tcW w:w="0" w:type="auto"/>
            <w:tcBorders>
              <w:top w:val="nil"/>
              <w:left w:val="nil"/>
              <w:bottom w:val="single" w:color="auto" w:sz="4" w:space="0"/>
              <w:right w:val="single" w:color="auto" w:sz="4" w:space="0"/>
            </w:tcBorders>
            <w:vAlign w:val="center"/>
          </w:tcPr>
          <w:p w14:paraId="6EE43F62">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1</w:t>
            </w:r>
          </w:p>
        </w:tc>
        <w:tc>
          <w:tcPr>
            <w:tcW w:w="0" w:type="auto"/>
            <w:tcBorders>
              <w:top w:val="nil"/>
              <w:left w:val="nil"/>
              <w:bottom w:val="single" w:color="auto" w:sz="4" w:space="0"/>
              <w:right w:val="single" w:color="auto" w:sz="4" w:space="0"/>
            </w:tcBorders>
            <w:vAlign w:val="center"/>
          </w:tcPr>
          <w:p w14:paraId="45608850">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台</w:t>
            </w:r>
          </w:p>
        </w:tc>
      </w:tr>
      <w:tr w14:paraId="2BABF93A">
        <w:tblPrEx>
          <w:tblCellMar>
            <w:top w:w="0" w:type="dxa"/>
            <w:left w:w="108" w:type="dxa"/>
            <w:bottom w:w="0" w:type="dxa"/>
            <w:right w:w="108" w:type="dxa"/>
          </w:tblCellMar>
        </w:tblPrEx>
        <w:trPr>
          <w:trHeight w:val="567" w:hRule="atLeast"/>
        </w:trPr>
        <w:tc>
          <w:tcPr>
            <w:tcW w:w="0" w:type="auto"/>
            <w:tcBorders>
              <w:top w:val="nil"/>
              <w:left w:val="single" w:color="auto" w:sz="4" w:space="0"/>
              <w:bottom w:val="single" w:color="auto" w:sz="4" w:space="0"/>
              <w:right w:val="single" w:color="auto" w:sz="4" w:space="0"/>
            </w:tcBorders>
            <w:noWrap/>
            <w:vAlign w:val="center"/>
          </w:tcPr>
          <w:p w14:paraId="5A3CDDCB">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27</w:t>
            </w:r>
          </w:p>
        </w:tc>
        <w:tc>
          <w:tcPr>
            <w:tcW w:w="0" w:type="auto"/>
            <w:tcBorders>
              <w:top w:val="nil"/>
              <w:left w:val="nil"/>
              <w:bottom w:val="single" w:color="auto" w:sz="4" w:space="0"/>
              <w:right w:val="single" w:color="auto" w:sz="4" w:space="0"/>
            </w:tcBorders>
            <w:noWrap/>
            <w:vAlign w:val="center"/>
          </w:tcPr>
          <w:p w14:paraId="6C159720">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24口有线交换机</w:t>
            </w:r>
          </w:p>
        </w:tc>
        <w:tc>
          <w:tcPr>
            <w:tcW w:w="0" w:type="auto"/>
            <w:tcBorders>
              <w:top w:val="nil"/>
              <w:left w:val="nil"/>
              <w:bottom w:val="single" w:color="auto" w:sz="4" w:space="0"/>
              <w:right w:val="single" w:color="auto" w:sz="4" w:space="0"/>
            </w:tcBorders>
            <w:vAlign w:val="center"/>
          </w:tcPr>
          <w:p w14:paraId="1353936D">
            <w:pPr>
              <w:keepNext w:val="0"/>
              <w:keepLines w:val="0"/>
              <w:pageBreakBefore w:val="0"/>
              <w:widowControl/>
              <w:kinsoku/>
              <w:wordWrap/>
              <w:overflowPunct/>
              <w:topLinePunct w:val="0"/>
              <w:autoSpaceDE/>
              <w:autoSpaceDN/>
              <w:bidi w:val="0"/>
              <w:adjustRightInd/>
              <w:snapToGrid/>
              <w:spacing w:after="0" w:line="260" w:lineRule="auto"/>
              <w:jc w:val="left"/>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1.交换容量≥672Gbps，包转发率≥171Mpps（若存在双指标以官网最小值为准提供官网截图及链接）</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2.接口：24个10/100/1000BASE-T 电口，4个GE SFP端口</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3.支持最大9台设备虚拟化成一台逻辑设备；支持完善的堆叠分裂检测机制，堆叠分裂后能自动完成MAC和IP地址的重配置。</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4.★支持终端准入控制功能，配合后台系统可以将终端防病毒、补丁修复等终端安全措施与网络接入控制、访问权限控制等网络安全措施整合为一个联动的安全体系，通过对网络接入终端的检查、隔离、修复、管理和监控，使整个网络变被动防御为主动防御、变单点防御为全面防御、变分散管理为集中策略管理，提升了网络对病毒、蠕虫等新兴安全威胁的整体防御能力，提供官网截图证明。</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5.采用专业防雷（防浪涌）技术，支持业界领先的10KV防雷能力。</w:t>
            </w:r>
          </w:p>
        </w:tc>
        <w:tc>
          <w:tcPr>
            <w:tcW w:w="0" w:type="auto"/>
            <w:tcBorders>
              <w:top w:val="nil"/>
              <w:left w:val="nil"/>
              <w:bottom w:val="single" w:color="auto" w:sz="4" w:space="0"/>
              <w:right w:val="single" w:color="auto" w:sz="4" w:space="0"/>
            </w:tcBorders>
            <w:vAlign w:val="center"/>
          </w:tcPr>
          <w:p w14:paraId="084B6630">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3</w:t>
            </w:r>
          </w:p>
        </w:tc>
        <w:tc>
          <w:tcPr>
            <w:tcW w:w="0" w:type="auto"/>
            <w:tcBorders>
              <w:top w:val="nil"/>
              <w:left w:val="nil"/>
              <w:bottom w:val="single" w:color="auto" w:sz="4" w:space="0"/>
              <w:right w:val="single" w:color="auto" w:sz="4" w:space="0"/>
            </w:tcBorders>
            <w:vAlign w:val="center"/>
          </w:tcPr>
          <w:p w14:paraId="4F9BEBA5">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台</w:t>
            </w:r>
          </w:p>
        </w:tc>
      </w:tr>
      <w:tr w14:paraId="030D1B44">
        <w:tblPrEx>
          <w:tblCellMar>
            <w:top w:w="0" w:type="dxa"/>
            <w:left w:w="108" w:type="dxa"/>
            <w:bottom w:w="0" w:type="dxa"/>
            <w:right w:w="108" w:type="dxa"/>
          </w:tblCellMar>
        </w:tblPrEx>
        <w:trPr>
          <w:trHeight w:val="567" w:hRule="atLeast"/>
        </w:trPr>
        <w:tc>
          <w:tcPr>
            <w:tcW w:w="0" w:type="auto"/>
            <w:tcBorders>
              <w:top w:val="nil"/>
              <w:left w:val="single" w:color="auto" w:sz="4" w:space="0"/>
              <w:bottom w:val="single" w:color="auto" w:sz="4" w:space="0"/>
              <w:right w:val="single" w:color="auto" w:sz="4" w:space="0"/>
            </w:tcBorders>
            <w:noWrap/>
            <w:vAlign w:val="center"/>
          </w:tcPr>
          <w:p w14:paraId="7F84E934">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28</w:t>
            </w:r>
          </w:p>
        </w:tc>
        <w:tc>
          <w:tcPr>
            <w:tcW w:w="0" w:type="auto"/>
            <w:tcBorders>
              <w:top w:val="nil"/>
              <w:left w:val="nil"/>
              <w:bottom w:val="single" w:color="auto" w:sz="4" w:space="0"/>
              <w:right w:val="single" w:color="auto" w:sz="4" w:space="0"/>
            </w:tcBorders>
            <w:noWrap/>
            <w:vAlign w:val="center"/>
          </w:tcPr>
          <w:p w14:paraId="28F36681">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48口有线交换机</w:t>
            </w:r>
          </w:p>
        </w:tc>
        <w:tc>
          <w:tcPr>
            <w:tcW w:w="0" w:type="auto"/>
            <w:tcBorders>
              <w:top w:val="nil"/>
              <w:left w:val="nil"/>
              <w:bottom w:val="single" w:color="auto" w:sz="4" w:space="0"/>
              <w:right w:val="single" w:color="auto" w:sz="4" w:space="0"/>
            </w:tcBorders>
            <w:vAlign w:val="center"/>
          </w:tcPr>
          <w:p w14:paraId="1CB02B06">
            <w:pPr>
              <w:keepNext w:val="0"/>
              <w:keepLines w:val="0"/>
              <w:pageBreakBefore w:val="0"/>
              <w:widowControl/>
              <w:kinsoku/>
              <w:wordWrap/>
              <w:overflowPunct/>
              <w:topLinePunct w:val="0"/>
              <w:autoSpaceDE/>
              <w:autoSpaceDN/>
              <w:bidi w:val="0"/>
              <w:adjustRightInd/>
              <w:snapToGrid/>
              <w:spacing w:after="0" w:line="260" w:lineRule="auto"/>
              <w:jc w:val="left"/>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1.交换容量≥672Gbps，包转发率≥207Mpps（若存在双指标以官网最小值为准提供官网截图及链接）</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2.接口：48个10/100/1000BASE-T 电口，4个GE SFP端口</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3.提供一站式智能运维界面，通过智能运维门户可以提供向导式的网络运维，设备管理、故障排查、维护大全、开局助手、控制台、云图、工具宝箱等功能</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4.支持最大9台设备虚拟化成一台逻辑设备；支持完善的堆叠分裂检测机制，堆叠分裂后能自动完成MAC和IP地址的重配置。</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5.★支持终端准入控制功能，配合后台系统可以将终端防病毒、补丁修复等终端安全措施与网络接入控制、访问权限控制等网络安全措施整合为一个联动的安全体系，通过对网络接入终端的检查、隔离、修复、管理和监控，使整个网络变被动防御为主动防御、变单点防御为全面防御、变分散管理为集中策略管理，提升了网络对病毒、蠕虫等新兴安全威胁的整体防御能力，提供官网截图证明。</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6.采用专业防雷（防浪涌）技术，支持业界领先的10KV防雷能力。</w:t>
            </w:r>
          </w:p>
        </w:tc>
        <w:tc>
          <w:tcPr>
            <w:tcW w:w="0" w:type="auto"/>
            <w:tcBorders>
              <w:top w:val="nil"/>
              <w:left w:val="nil"/>
              <w:bottom w:val="single" w:color="auto" w:sz="4" w:space="0"/>
              <w:right w:val="single" w:color="auto" w:sz="4" w:space="0"/>
            </w:tcBorders>
            <w:vAlign w:val="center"/>
          </w:tcPr>
          <w:p w14:paraId="2D6F3596">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1</w:t>
            </w:r>
          </w:p>
        </w:tc>
        <w:tc>
          <w:tcPr>
            <w:tcW w:w="0" w:type="auto"/>
            <w:tcBorders>
              <w:top w:val="nil"/>
              <w:left w:val="nil"/>
              <w:bottom w:val="single" w:color="auto" w:sz="4" w:space="0"/>
              <w:right w:val="single" w:color="auto" w:sz="4" w:space="0"/>
            </w:tcBorders>
            <w:vAlign w:val="center"/>
          </w:tcPr>
          <w:p w14:paraId="1E677C02">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台</w:t>
            </w:r>
          </w:p>
        </w:tc>
      </w:tr>
      <w:tr w14:paraId="70D6869E">
        <w:tblPrEx>
          <w:tblCellMar>
            <w:top w:w="0" w:type="dxa"/>
            <w:left w:w="108" w:type="dxa"/>
            <w:bottom w:w="0" w:type="dxa"/>
            <w:right w:w="108" w:type="dxa"/>
          </w:tblCellMar>
        </w:tblPrEx>
        <w:trPr>
          <w:trHeight w:val="567" w:hRule="atLeast"/>
        </w:trPr>
        <w:tc>
          <w:tcPr>
            <w:tcW w:w="0" w:type="auto"/>
            <w:tcBorders>
              <w:top w:val="nil"/>
              <w:left w:val="single" w:color="auto" w:sz="4" w:space="0"/>
              <w:bottom w:val="single" w:color="auto" w:sz="4" w:space="0"/>
              <w:right w:val="single" w:color="auto" w:sz="4" w:space="0"/>
            </w:tcBorders>
            <w:noWrap/>
            <w:vAlign w:val="center"/>
          </w:tcPr>
          <w:p w14:paraId="28DBBE92">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29</w:t>
            </w:r>
          </w:p>
        </w:tc>
        <w:tc>
          <w:tcPr>
            <w:tcW w:w="0" w:type="auto"/>
            <w:tcBorders>
              <w:top w:val="nil"/>
              <w:left w:val="nil"/>
              <w:bottom w:val="single" w:color="auto" w:sz="4" w:space="0"/>
              <w:right w:val="single" w:color="auto" w:sz="4" w:space="0"/>
            </w:tcBorders>
            <w:noWrap/>
            <w:vAlign w:val="center"/>
          </w:tcPr>
          <w:p w14:paraId="112AA9BB">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千兆光模块</w:t>
            </w:r>
          </w:p>
        </w:tc>
        <w:tc>
          <w:tcPr>
            <w:tcW w:w="0" w:type="auto"/>
            <w:tcBorders>
              <w:top w:val="nil"/>
              <w:left w:val="nil"/>
              <w:bottom w:val="single" w:color="auto" w:sz="4" w:space="0"/>
              <w:right w:val="single" w:color="auto" w:sz="4" w:space="0"/>
            </w:tcBorders>
            <w:vAlign w:val="center"/>
          </w:tcPr>
          <w:p w14:paraId="2CBE2860">
            <w:pPr>
              <w:keepNext w:val="0"/>
              <w:keepLines w:val="0"/>
              <w:pageBreakBefore w:val="0"/>
              <w:widowControl/>
              <w:kinsoku/>
              <w:wordWrap/>
              <w:overflowPunct/>
              <w:topLinePunct w:val="0"/>
              <w:autoSpaceDE/>
              <w:autoSpaceDN/>
              <w:bidi w:val="0"/>
              <w:adjustRightInd/>
              <w:snapToGrid/>
              <w:spacing w:after="0" w:line="260" w:lineRule="auto"/>
              <w:jc w:val="left"/>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光模块-SFP千兆BIDI光模块，10km,LC</w:t>
            </w:r>
          </w:p>
        </w:tc>
        <w:tc>
          <w:tcPr>
            <w:tcW w:w="0" w:type="auto"/>
            <w:tcBorders>
              <w:top w:val="nil"/>
              <w:left w:val="nil"/>
              <w:bottom w:val="single" w:color="auto" w:sz="4" w:space="0"/>
              <w:right w:val="single" w:color="auto" w:sz="4" w:space="0"/>
            </w:tcBorders>
            <w:vAlign w:val="center"/>
          </w:tcPr>
          <w:p w14:paraId="161FC29E">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10</w:t>
            </w:r>
          </w:p>
        </w:tc>
        <w:tc>
          <w:tcPr>
            <w:tcW w:w="0" w:type="auto"/>
            <w:tcBorders>
              <w:top w:val="nil"/>
              <w:left w:val="nil"/>
              <w:bottom w:val="single" w:color="auto" w:sz="4" w:space="0"/>
              <w:right w:val="single" w:color="auto" w:sz="4" w:space="0"/>
            </w:tcBorders>
            <w:vAlign w:val="center"/>
          </w:tcPr>
          <w:p w14:paraId="5B79F5C6">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对</w:t>
            </w:r>
          </w:p>
        </w:tc>
      </w:tr>
      <w:tr w14:paraId="0BC7D11F">
        <w:tblPrEx>
          <w:tblCellMar>
            <w:top w:w="0" w:type="dxa"/>
            <w:left w:w="108" w:type="dxa"/>
            <w:bottom w:w="0" w:type="dxa"/>
            <w:right w:w="108" w:type="dxa"/>
          </w:tblCellMar>
        </w:tblPrEx>
        <w:trPr>
          <w:trHeight w:val="567" w:hRule="atLeast"/>
        </w:trPr>
        <w:tc>
          <w:tcPr>
            <w:tcW w:w="0" w:type="auto"/>
            <w:tcBorders>
              <w:top w:val="nil"/>
              <w:left w:val="single" w:color="auto" w:sz="4" w:space="0"/>
              <w:bottom w:val="single" w:color="auto" w:sz="4" w:space="0"/>
              <w:right w:val="single" w:color="auto" w:sz="4" w:space="0"/>
            </w:tcBorders>
            <w:noWrap/>
            <w:vAlign w:val="center"/>
          </w:tcPr>
          <w:p w14:paraId="70F7457F">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30</w:t>
            </w:r>
          </w:p>
        </w:tc>
        <w:tc>
          <w:tcPr>
            <w:tcW w:w="0" w:type="auto"/>
            <w:tcBorders>
              <w:top w:val="nil"/>
              <w:left w:val="nil"/>
              <w:bottom w:val="single" w:color="auto" w:sz="4" w:space="0"/>
              <w:right w:val="single" w:color="auto" w:sz="4" w:space="0"/>
            </w:tcBorders>
            <w:noWrap/>
            <w:vAlign w:val="center"/>
          </w:tcPr>
          <w:p w14:paraId="5931FAC4">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42U机柜</w:t>
            </w:r>
          </w:p>
        </w:tc>
        <w:tc>
          <w:tcPr>
            <w:tcW w:w="0" w:type="auto"/>
            <w:tcBorders>
              <w:top w:val="nil"/>
              <w:left w:val="nil"/>
              <w:bottom w:val="single" w:color="auto" w:sz="4" w:space="0"/>
              <w:right w:val="single" w:color="auto" w:sz="4" w:space="0"/>
            </w:tcBorders>
            <w:vAlign w:val="center"/>
          </w:tcPr>
          <w:p w14:paraId="6D6E251D">
            <w:pPr>
              <w:keepNext w:val="0"/>
              <w:keepLines w:val="0"/>
              <w:pageBreakBefore w:val="0"/>
              <w:widowControl/>
              <w:kinsoku/>
              <w:wordWrap/>
              <w:overflowPunct/>
              <w:topLinePunct w:val="0"/>
              <w:autoSpaceDE/>
              <w:autoSpaceDN/>
              <w:bidi w:val="0"/>
              <w:adjustRightInd/>
              <w:snapToGrid/>
              <w:spacing w:after="0" w:line="260" w:lineRule="auto"/>
              <w:jc w:val="left"/>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42U标准机柜</w:t>
            </w:r>
          </w:p>
        </w:tc>
        <w:tc>
          <w:tcPr>
            <w:tcW w:w="0" w:type="auto"/>
            <w:tcBorders>
              <w:top w:val="nil"/>
              <w:left w:val="nil"/>
              <w:bottom w:val="single" w:color="auto" w:sz="4" w:space="0"/>
              <w:right w:val="single" w:color="auto" w:sz="4" w:space="0"/>
            </w:tcBorders>
            <w:vAlign w:val="center"/>
          </w:tcPr>
          <w:p w14:paraId="3592C9AA">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1</w:t>
            </w:r>
          </w:p>
        </w:tc>
        <w:tc>
          <w:tcPr>
            <w:tcW w:w="0" w:type="auto"/>
            <w:tcBorders>
              <w:top w:val="nil"/>
              <w:left w:val="nil"/>
              <w:bottom w:val="single" w:color="auto" w:sz="4" w:space="0"/>
              <w:right w:val="single" w:color="auto" w:sz="4" w:space="0"/>
            </w:tcBorders>
            <w:vAlign w:val="center"/>
          </w:tcPr>
          <w:p w14:paraId="5B4F499C">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台</w:t>
            </w:r>
          </w:p>
        </w:tc>
      </w:tr>
      <w:tr w14:paraId="7D0A9055">
        <w:tblPrEx>
          <w:tblCellMar>
            <w:top w:w="0" w:type="dxa"/>
            <w:left w:w="108" w:type="dxa"/>
            <w:bottom w:w="0" w:type="dxa"/>
            <w:right w:w="108" w:type="dxa"/>
          </w:tblCellMar>
        </w:tblPrEx>
        <w:trPr>
          <w:trHeight w:val="567" w:hRule="atLeast"/>
        </w:trPr>
        <w:tc>
          <w:tcPr>
            <w:tcW w:w="0" w:type="auto"/>
            <w:tcBorders>
              <w:top w:val="nil"/>
              <w:left w:val="single" w:color="auto" w:sz="4" w:space="0"/>
              <w:bottom w:val="single" w:color="auto" w:sz="4" w:space="0"/>
              <w:right w:val="single" w:color="auto" w:sz="4" w:space="0"/>
            </w:tcBorders>
            <w:noWrap/>
            <w:vAlign w:val="center"/>
          </w:tcPr>
          <w:p w14:paraId="0BAE57E0">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31</w:t>
            </w:r>
          </w:p>
        </w:tc>
        <w:tc>
          <w:tcPr>
            <w:tcW w:w="0" w:type="auto"/>
            <w:tcBorders>
              <w:top w:val="nil"/>
              <w:left w:val="nil"/>
              <w:bottom w:val="single" w:color="auto" w:sz="4" w:space="0"/>
              <w:right w:val="single" w:color="auto" w:sz="4" w:space="0"/>
            </w:tcBorders>
            <w:noWrap/>
            <w:vAlign w:val="center"/>
          </w:tcPr>
          <w:p w14:paraId="3A6DD609">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6类网线</w:t>
            </w:r>
          </w:p>
        </w:tc>
        <w:tc>
          <w:tcPr>
            <w:tcW w:w="0" w:type="auto"/>
            <w:tcBorders>
              <w:top w:val="nil"/>
              <w:left w:val="nil"/>
              <w:bottom w:val="single" w:color="auto" w:sz="4" w:space="0"/>
              <w:right w:val="single" w:color="auto" w:sz="4" w:space="0"/>
            </w:tcBorders>
            <w:vAlign w:val="center"/>
          </w:tcPr>
          <w:p w14:paraId="22B8F0D0">
            <w:pPr>
              <w:keepNext w:val="0"/>
              <w:keepLines w:val="0"/>
              <w:pageBreakBefore w:val="0"/>
              <w:widowControl/>
              <w:kinsoku/>
              <w:wordWrap/>
              <w:overflowPunct/>
              <w:topLinePunct w:val="0"/>
              <w:autoSpaceDE/>
              <w:autoSpaceDN/>
              <w:bidi w:val="0"/>
              <w:adjustRightInd/>
              <w:snapToGrid/>
              <w:spacing w:after="0" w:line="260" w:lineRule="auto"/>
              <w:jc w:val="left"/>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6类网线、含综合布线</w:t>
            </w:r>
          </w:p>
        </w:tc>
        <w:tc>
          <w:tcPr>
            <w:tcW w:w="0" w:type="auto"/>
            <w:tcBorders>
              <w:top w:val="nil"/>
              <w:left w:val="nil"/>
              <w:bottom w:val="single" w:color="auto" w:sz="4" w:space="0"/>
              <w:right w:val="single" w:color="auto" w:sz="4" w:space="0"/>
            </w:tcBorders>
            <w:vAlign w:val="center"/>
          </w:tcPr>
          <w:p w14:paraId="2BFB115D">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3</w:t>
            </w:r>
          </w:p>
        </w:tc>
        <w:tc>
          <w:tcPr>
            <w:tcW w:w="0" w:type="auto"/>
            <w:tcBorders>
              <w:top w:val="nil"/>
              <w:left w:val="nil"/>
              <w:bottom w:val="single" w:color="auto" w:sz="4" w:space="0"/>
              <w:right w:val="single" w:color="auto" w:sz="4" w:space="0"/>
            </w:tcBorders>
            <w:vAlign w:val="center"/>
          </w:tcPr>
          <w:p w14:paraId="59D5E04B">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2"/>
              </w:rPr>
            </w:pPr>
            <w:r>
              <w:rPr>
                <w:rFonts w:hint="eastAsia" w:ascii="宋体" w:hAnsi="宋体" w:eastAsia="宋体" w:cs="宋体"/>
                <w:color w:val="auto"/>
                <w:kern w:val="0"/>
                <w:sz w:val="22"/>
              </w:rPr>
              <w:t>箱</w:t>
            </w:r>
          </w:p>
        </w:tc>
      </w:tr>
    </w:tbl>
    <w:p w14:paraId="765B5F55">
      <w:pPr>
        <w:pStyle w:val="3"/>
        <w:pageBreakBefore w:val="0"/>
        <w:widowControl w:val="0"/>
        <w:numPr>
          <w:ilvl w:val="0"/>
          <w:numId w:val="3"/>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商务需求</w:t>
      </w:r>
    </w:p>
    <w:p w14:paraId="58F79DC1">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（一）</w:t>
      </w:r>
      <w:r>
        <w:rPr>
          <w:rFonts w:hint="eastAsia" w:ascii="宋体" w:hAnsi="宋体" w:eastAsia="宋体" w:cs="宋体"/>
          <w:color w:val="auto"/>
          <w:sz w:val="21"/>
          <w:szCs w:val="21"/>
        </w:rPr>
        <w:t>供货与安装</w:t>
      </w:r>
    </w:p>
    <w:p w14:paraId="4A098335">
      <w:pPr>
        <w:spacing w:line="360" w:lineRule="auto"/>
        <w:ind w:firstLine="420" w:firstLineChars="0"/>
        <w:rPr>
          <w:rFonts w:hint="eastAsia" w:eastAsia="宋体"/>
          <w:lang w:eastAsia="zh-CN"/>
        </w:rPr>
      </w:pPr>
      <w:r>
        <w:rPr>
          <w:rFonts w:hint="eastAsia"/>
        </w:rPr>
        <w:t>1. </w:t>
      </w:r>
      <w:r>
        <w:rPr>
          <w:rFonts w:hint="eastAsia"/>
          <w:lang w:eastAsia="zh-CN"/>
        </w:rPr>
        <w:t>合同签订后3个月内完成供货、安装、调试。</w:t>
      </w:r>
    </w:p>
    <w:p w14:paraId="009B8603">
      <w:pPr>
        <w:spacing w:line="360" w:lineRule="auto"/>
        <w:ind w:firstLine="420" w:firstLineChars="0"/>
        <w:rPr>
          <w:rFonts w:hint="eastAsia"/>
        </w:rPr>
      </w:pPr>
      <w:r>
        <w:rPr>
          <w:rFonts w:hint="eastAsia"/>
        </w:rPr>
        <w:t>2. 供应商负责所有货物的安装、调试，组建专业的施工团队，施工人员具备相应资质，严格按国家规范、设计要求及产品说明书施工，确保施工安全及工程质量。</w:t>
      </w:r>
    </w:p>
    <w:p w14:paraId="5EA4D570">
      <w:pPr>
        <w:spacing w:line="360" w:lineRule="auto"/>
        <w:ind w:firstLine="420" w:firstLineChars="0"/>
        <w:rPr>
          <w:rFonts w:hint="eastAsia"/>
        </w:rPr>
      </w:pPr>
      <w:r>
        <w:rPr>
          <w:rFonts w:hint="eastAsia"/>
        </w:rPr>
        <w:t>3. 安装调试完成后，供应商需向采购人提供完整的技术资料，包括产品说明书、合格证书、检测报告、安装图纸、操作手册、维保手册等。</w:t>
      </w:r>
    </w:p>
    <w:p w14:paraId="1DF39975">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（二）验收</w:t>
      </w:r>
    </w:p>
    <w:p w14:paraId="7D098814">
      <w:pPr>
        <w:spacing w:line="360" w:lineRule="auto"/>
        <w:ind w:firstLine="420" w:firstLineChars="0"/>
        <w:rPr>
          <w:rFonts w:hint="eastAsia"/>
        </w:rPr>
      </w:pPr>
      <w:r>
        <w:rPr>
          <w:rFonts w:hint="eastAsia"/>
        </w:rPr>
        <w:t>1. 验收分初验和终验：初验由供应商提出申请，采购人对货物的数量、规格、外观、安装工艺进行检查，符合要求的签署初验意见；初验合格后进行试运行，试运行期不少于30天，所有设备运行正常、性能满足技术要求的，进行终验。</w:t>
      </w:r>
    </w:p>
    <w:p w14:paraId="4E819B06">
      <w:pPr>
        <w:spacing w:line="360" w:lineRule="auto"/>
        <w:ind w:firstLine="420" w:firstLineChars="0"/>
        <w:rPr>
          <w:rFonts w:hint="eastAsia"/>
        </w:rPr>
      </w:pPr>
      <w:r>
        <w:rPr>
          <w:rFonts w:hint="eastAsia"/>
        </w:rPr>
        <w:t>2. 终验时，供应商需提供所有技术参数的证明材料，采购人组织专业人员按本采购需求及国家相关标准进行验收，验收合格的签署《工程验收合格报告》；验收不合格的，供应商需在采购人指定时间内整改，整改费用由供应商承担，整改后仍不合格的，采购人有权解除合同并要求供应商赔偿损失。</w:t>
      </w:r>
    </w:p>
    <w:p w14:paraId="36824763">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（三）质保与售后</w:t>
      </w:r>
    </w:p>
    <w:p w14:paraId="4298D3AC">
      <w:pPr>
        <w:spacing w:line="360" w:lineRule="auto"/>
        <w:ind w:firstLine="420" w:firstLineChars="0"/>
        <w:rPr>
          <w:rFonts w:hint="eastAsia"/>
        </w:rPr>
      </w:pPr>
      <w:r>
        <w:rPr>
          <w:rFonts w:hint="eastAsia"/>
        </w:rPr>
        <w:t>1. 所有货物质保期自终验合格之日起计算，质保期不少于3年，质保期内供应商提供免费维修、更换服务，所有更换的配件为原厂全新配件。</w:t>
      </w:r>
    </w:p>
    <w:p w14:paraId="2B4780A5">
      <w:pPr>
        <w:spacing w:line="360" w:lineRule="auto"/>
        <w:ind w:firstLine="420" w:firstLineChars="0"/>
        <w:rPr>
          <w:rFonts w:hint="eastAsia"/>
        </w:rPr>
      </w:pPr>
      <w:r>
        <w:rPr>
          <w:rFonts w:hint="eastAsia"/>
        </w:rPr>
        <w:t>2. 供应商建立7×24小时售后服务体系，设立专属服务热线，接到故障报修后，30分钟内响应，2小时内给出解决方案，如需现场处理，市区内4小时内到达现场，市外按双方约定时间到达，故障处理原则上24小时内解决，重大故障48小时内解决。</w:t>
      </w:r>
    </w:p>
    <w:p w14:paraId="7ADB1ACB">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（四）付款方式</w:t>
      </w:r>
    </w:p>
    <w:p w14:paraId="04B45014">
      <w:pPr>
        <w:spacing w:line="360" w:lineRule="auto"/>
        <w:ind w:firstLine="420" w:firstLineChars="0"/>
        <w:rPr>
          <w:rFonts w:hint="eastAsia"/>
        </w:rPr>
      </w:pPr>
      <w:r>
        <w:rPr>
          <w:rFonts w:hint="eastAsia"/>
        </w:rPr>
        <w:t>1. 预付款：合同签订后7个工作日内，采购人支付合同总金额的40%作为预付款。</w:t>
      </w:r>
    </w:p>
    <w:p w14:paraId="6B7678DD">
      <w:pPr>
        <w:spacing w:line="360" w:lineRule="auto"/>
        <w:ind w:firstLine="420" w:firstLineChars="0"/>
        <w:rPr>
          <w:rFonts w:hint="eastAsia"/>
        </w:rPr>
      </w:pPr>
      <w:r>
        <w:rPr>
          <w:rFonts w:hint="eastAsia"/>
        </w:rPr>
        <w:t>2. 进度款：所有货物安装调试完成，初验合格后7个工作日内，采购人支付合同总金额的40%。</w:t>
      </w:r>
    </w:p>
    <w:p w14:paraId="2660CEAE">
      <w:pPr>
        <w:spacing w:line="360" w:lineRule="auto"/>
        <w:ind w:firstLine="420" w:firstLineChars="0"/>
        <w:rPr>
          <w:rFonts w:hint="eastAsia"/>
        </w:rPr>
      </w:pPr>
      <w:r>
        <w:rPr>
          <w:rFonts w:hint="eastAsia"/>
        </w:rPr>
        <w:t>3. 尾款：试运行期满，终验合格后7个工作日内，采购人支付合同总金额的20%。</w:t>
      </w:r>
    </w:p>
    <w:p w14:paraId="19A8C27A">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（五）培训</w:t>
      </w:r>
    </w:p>
    <w:p w14:paraId="41B0AD27">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供应商需为采购人提供免费的操作培训，培训内容包括设备操作、日常维护、故障排查等，培训方式分现场培训和线上培训，确保采购人工作人员能独立操作、维护设备，培训合格后签署培训确认书。</w:t>
      </w:r>
    </w:p>
    <w:p w14:paraId="43E23ADE">
      <w:pPr>
        <w:numPr>
          <w:ilvl w:val="0"/>
          <w:numId w:val="0"/>
        </w:numPr>
        <w:rPr>
          <w:rFonts w:hint="default"/>
          <w:color w:val="auto"/>
          <w:lang w:val="en-US" w:eastAsia="zh-CN"/>
        </w:rPr>
      </w:pPr>
    </w:p>
    <w:p w14:paraId="4E9377B5">
      <w:pPr>
        <w:pStyle w:val="7"/>
        <w:spacing w:line="360" w:lineRule="auto"/>
        <w:rPr>
          <w:rFonts w:hint="eastAsia" w:ascii="宋体" w:hAnsi="宋体" w:cs="宋体"/>
          <w:snapToGrid w:val="0"/>
          <w:color w:val="auto"/>
          <w:kern w:val="0"/>
          <w:sz w:val="24"/>
          <w:szCs w:val="24"/>
        </w:rPr>
      </w:pPr>
    </w:p>
    <w:p w14:paraId="277F8328">
      <w:pPr>
        <w:widowControl/>
        <w:spacing w:after="0" w:line="240" w:lineRule="auto"/>
        <w:jc w:val="left"/>
        <w:rPr>
          <w:rFonts w:asciiTheme="majorHAnsi" w:hAnsiTheme="majorHAnsi" w:eastAsiaTheme="majorEastAsia" w:cstheme="majorBidi"/>
          <w:b/>
          <w:color w:val="auto"/>
          <w:sz w:val="36"/>
          <w:szCs w:val="32"/>
        </w:rPr>
      </w:pPr>
      <w:r>
        <w:rPr>
          <w:color w:val="auto"/>
        </w:rPr>
        <w:br w:type="page"/>
      </w:r>
    </w:p>
    <w:p w14:paraId="1C8B9CC9">
      <w:pPr>
        <w:pStyle w:val="2"/>
        <w:rPr>
          <w:color w:val="auto"/>
        </w:rPr>
      </w:pPr>
      <w:r>
        <w:rPr>
          <w:rFonts w:hint="eastAsia"/>
          <w:color w:val="auto"/>
        </w:rPr>
        <w:t xml:space="preserve">第三章 </w:t>
      </w:r>
      <w:r>
        <w:rPr>
          <w:rFonts w:hint="eastAsia"/>
          <w:bCs/>
          <w:color w:val="auto"/>
          <w:sz w:val="24"/>
        </w:rPr>
        <w:t xml:space="preserve"> </w:t>
      </w:r>
      <w:r>
        <w:rPr>
          <w:rFonts w:hint="eastAsia"/>
          <w:color w:val="auto"/>
        </w:rPr>
        <w:t>投标人须知</w:t>
      </w:r>
    </w:p>
    <w:p w14:paraId="330A9593">
      <w:pPr>
        <w:spacing w:after="0" w:line="312" w:lineRule="auto"/>
        <w:jc w:val="center"/>
        <w:rPr>
          <w:rFonts w:hint="eastAsia" w:ascii="宋体" w:hAnsi="宋体" w:cs="宋体"/>
          <w:b/>
          <w:color w:val="auto"/>
          <w:sz w:val="24"/>
        </w:rPr>
      </w:pPr>
      <w:r>
        <w:rPr>
          <w:rFonts w:hint="eastAsia" w:ascii="宋体" w:hAnsi="宋体" w:cs="宋体"/>
          <w:b/>
          <w:color w:val="auto"/>
          <w:sz w:val="24"/>
        </w:rPr>
        <w:t>前附表</w:t>
      </w:r>
    </w:p>
    <w:tbl>
      <w:tblPr>
        <w:tblStyle w:val="24"/>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556"/>
        <w:gridCol w:w="6798"/>
      </w:tblGrid>
      <w:tr w14:paraId="75ADC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3818F7FA">
            <w:pPr>
              <w:keepNext w:val="0"/>
              <w:keepLines w:val="0"/>
              <w:pageBreakBefore w:val="0"/>
              <w:widowControl w:val="0"/>
              <w:kinsoku/>
              <w:wordWrap/>
              <w:overflowPunct/>
              <w:topLinePunct w:val="0"/>
              <w:bidi w:val="0"/>
              <w:adjustRightInd w:val="0"/>
              <w:snapToGrid w:val="0"/>
              <w:spacing w:after="0" w:line="288" w:lineRule="auto"/>
              <w:jc w:val="center"/>
              <w:textAlignment w:val="auto"/>
              <w:rPr>
                <w:rFonts w:hint="eastAsia" w:ascii="宋体" w:hAnsi="宋体" w:eastAsia="宋体" w:cs="宋体"/>
                <w:color w:val="auto"/>
                <w:sz w:val="21"/>
                <w:szCs w:val="21"/>
              </w:rPr>
            </w:pPr>
            <w:bookmarkStart w:id="46" w:name="_Hlk61252961"/>
            <w:r>
              <w:rPr>
                <w:rFonts w:hint="eastAsia" w:ascii="宋体" w:hAnsi="宋体" w:eastAsia="宋体" w:cs="宋体"/>
                <w:color w:val="auto"/>
                <w:sz w:val="21"/>
                <w:szCs w:val="21"/>
              </w:rPr>
              <w:t>序号</w:t>
            </w:r>
          </w:p>
        </w:tc>
        <w:tc>
          <w:tcPr>
            <w:tcW w:w="1556"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30EE07EA">
            <w:pPr>
              <w:keepNext w:val="0"/>
              <w:keepLines w:val="0"/>
              <w:pageBreakBefore w:val="0"/>
              <w:widowControl w:val="0"/>
              <w:kinsoku/>
              <w:wordWrap/>
              <w:overflowPunct/>
              <w:topLinePunct w:val="0"/>
              <w:bidi w:val="0"/>
              <w:adjustRightInd w:val="0"/>
              <w:snapToGrid w:val="0"/>
              <w:spacing w:after="0" w:line="288"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    目</w:t>
            </w:r>
          </w:p>
        </w:tc>
        <w:tc>
          <w:tcPr>
            <w:tcW w:w="6798"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36B26A89">
            <w:pPr>
              <w:keepNext w:val="0"/>
              <w:keepLines w:val="0"/>
              <w:pageBreakBefore w:val="0"/>
              <w:widowControl w:val="0"/>
              <w:kinsoku/>
              <w:wordWrap/>
              <w:overflowPunct/>
              <w:topLinePunct w:val="0"/>
              <w:bidi w:val="0"/>
              <w:adjustRightInd w:val="0"/>
              <w:snapToGrid w:val="0"/>
              <w:spacing w:after="0" w:line="288"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内                 容</w:t>
            </w:r>
          </w:p>
        </w:tc>
      </w:tr>
      <w:tr w14:paraId="69D7C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2752D3C4">
            <w:pPr>
              <w:keepNext w:val="0"/>
              <w:keepLines w:val="0"/>
              <w:pageBreakBefore w:val="0"/>
              <w:widowControl w:val="0"/>
              <w:kinsoku/>
              <w:wordWrap/>
              <w:overflowPunct/>
              <w:topLinePunct w:val="0"/>
              <w:bidi w:val="0"/>
              <w:adjustRightInd w:val="0"/>
              <w:snapToGrid w:val="0"/>
              <w:spacing w:after="0" w:line="288"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556" w:type="dxa"/>
            <w:tcBorders>
              <w:top w:val="single" w:color="auto" w:sz="4" w:space="0"/>
              <w:left w:val="single" w:color="auto" w:sz="4" w:space="0"/>
              <w:bottom w:val="single" w:color="auto" w:sz="4" w:space="0"/>
              <w:right w:val="single" w:color="auto" w:sz="4" w:space="0"/>
            </w:tcBorders>
            <w:vAlign w:val="center"/>
          </w:tcPr>
          <w:p w14:paraId="2F92C25F">
            <w:pPr>
              <w:keepNext w:val="0"/>
              <w:keepLines w:val="0"/>
              <w:pageBreakBefore w:val="0"/>
              <w:widowControl w:val="0"/>
              <w:kinsoku/>
              <w:wordWrap/>
              <w:overflowPunct/>
              <w:topLinePunct w:val="0"/>
              <w:bidi w:val="0"/>
              <w:adjustRightInd w:val="0"/>
              <w:snapToGrid w:val="0"/>
              <w:spacing w:after="0" w:line="288"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投标人特定资格要求</w:t>
            </w:r>
          </w:p>
        </w:tc>
        <w:tc>
          <w:tcPr>
            <w:tcW w:w="6798" w:type="dxa"/>
            <w:tcBorders>
              <w:top w:val="single" w:color="auto" w:sz="4" w:space="0"/>
              <w:left w:val="single" w:color="auto" w:sz="4" w:space="0"/>
              <w:bottom w:val="single" w:color="auto" w:sz="4" w:space="0"/>
              <w:right w:val="single" w:color="auto" w:sz="4" w:space="0"/>
            </w:tcBorders>
            <w:vAlign w:val="center"/>
          </w:tcPr>
          <w:p w14:paraId="2C378AE2">
            <w:pPr>
              <w:keepNext w:val="0"/>
              <w:keepLines w:val="0"/>
              <w:pageBreakBefore w:val="0"/>
              <w:widowControl w:val="0"/>
              <w:kinsoku/>
              <w:wordWrap/>
              <w:overflowPunct/>
              <w:topLinePunct w:val="0"/>
              <w:bidi w:val="0"/>
              <w:adjustRightInd w:val="0"/>
              <w:snapToGrid w:val="0"/>
              <w:spacing w:after="0"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符合招标公告资格要求的投标人。</w:t>
            </w:r>
          </w:p>
        </w:tc>
      </w:tr>
      <w:tr w14:paraId="6CD19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16192386">
            <w:pPr>
              <w:keepNext w:val="0"/>
              <w:keepLines w:val="0"/>
              <w:pageBreakBefore w:val="0"/>
              <w:widowControl w:val="0"/>
              <w:kinsoku/>
              <w:wordWrap/>
              <w:overflowPunct/>
              <w:topLinePunct w:val="0"/>
              <w:bidi w:val="0"/>
              <w:adjustRightInd w:val="0"/>
              <w:snapToGrid w:val="0"/>
              <w:spacing w:after="0" w:line="288"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556" w:type="dxa"/>
            <w:tcBorders>
              <w:top w:val="single" w:color="auto" w:sz="4" w:space="0"/>
              <w:left w:val="single" w:color="auto" w:sz="4" w:space="0"/>
              <w:bottom w:val="single" w:color="auto" w:sz="4" w:space="0"/>
              <w:right w:val="single" w:color="auto" w:sz="4" w:space="0"/>
            </w:tcBorders>
            <w:vAlign w:val="center"/>
          </w:tcPr>
          <w:p w14:paraId="5D747E8E">
            <w:pPr>
              <w:keepNext w:val="0"/>
              <w:keepLines w:val="0"/>
              <w:pageBreakBefore w:val="0"/>
              <w:widowControl w:val="0"/>
              <w:kinsoku/>
              <w:wordWrap/>
              <w:overflowPunct/>
              <w:topLinePunct w:val="0"/>
              <w:bidi w:val="0"/>
              <w:adjustRightInd w:val="0"/>
              <w:snapToGrid w:val="0"/>
              <w:spacing w:after="0" w:line="288"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答疑会或</w:t>
            </w:r>
            <w:r>
              <w:rPr>
                <w:rFonts w:hint="eastAsia" w:ascii="宋体" w:hAnsi="宋体" w:eastAsia="宋体" w:cs="宋体"/>
                <w:color w:val="auto"/>
                <w:sz w:val="21"/>
                <w:szCs w:val="21"/>
              </w:rPr>
              <w:t>现场踏勘</w:t>
            </w:r>
          </w:p>
        </w:tc>
        <w:tc>
          <w:tcPr>
            <w:tcW w:w="6798" w:type="dxa"/>
            <w:tcBorders>
              <w:top w:val="single" w:color="auto" w:sz="4" w:space="0"/>
              <w:left w:val="single" w:color="auto" w:sz="4" w:space="0"/>
              <w:bottom w:val="single" w:color="auto" w:sz="4" w:space="0"/>
              <w:right w:val="single" w:color="auto" w:sz="4" w:space="0"/>
            </w:tcBorders>
            <w:vAlign w:val="center"/>
          </w:tcPr>
          <w:p w14:paraId="5927F43D">
            <w:pPr>
              <w:keepNext w:val="0"/>
              <w:keepLines w:val="0"/>
              <w:pageBreakBefore w:val="0"/>
              <w:widowControl w:val="0"/>
              <w:kinsoku/>
              <w:wordWrap/>
              <w:overflowPunct/>
              <w:topLinePunct w:val="0"/>
              <w:bidi w:val="0"/>
              <w:adjustRightInd w:val="0"/>
              <w:snapToGrid w:val="0"/>
              <w:spacing w:after="0"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不组织，如投标人认为有必要可自行前往现场踏勘。投标人自行承担踏勘现场发生的责任、风险和自身费用。</w:t>
            </w:r>
          </w:p>
        </w:tc>
      </w:tr>
      <w:tr w14:paraId="49994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406075C2">
            <w:pPr>
              <w:keepNext w:val="0"/>
              <w:keepLines w:val="0"/>
              <w:pageBreakBefore w:val="0"/>
              <w:widowControl w:val="0"/>
              <w:kinsoku/>
              <w:wordWrap/>
              <w:overflowPunct/>
              <w:topLinePunct w:val="0"/>
              <w:bidi w:val="0"/>
              <w:adjustRightInd w:val="0"/>
              <w:snapToGrid w:val="0"/>
              <w:spacing w:after="0" w:line="288"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556" w:type="dxa"/>
            <w:tcBorders>
              <w:top w:val="single" w:color="auto" w:sz="4" w:space="0"/>
              <w:left w:val="single" w:color="auto" w:sz="4" w:space="0"/>
              <w:bottom w:val="single" w:color="auto" w:sz="4" w:space="0"/>
              <w:right w:val="single" w:color="auto" w:sz="4" w:space="0"/>
            </w:tcBorders>
            <w:vAlign w:val="center"/>
          </w:tcPr>
          <w:p w14:paraId="4F927B67">
            <w:pPr>
              <w:keepNext w:val="0"/>
              <w:keepLines w:val="0"/>
              <w:pageBreakBefore w:val="0"/>
              <w:widowControl w:val="0"/>
              <w:kinsoku/>
              <w:wordWrap/>
              <w:overflowPunct/>
              <w:topLinePunct w:val="0"/>
              <w:bidi w:val="0"/>
              <w:adjustRightInd w:val="0"/>
              <w:snapToGrid w:val="0"/>
              <w:spacing w:after="0" w:line="288"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投标文件</w:t>
            </w:r>
          </w:p>
        </w:tc>
        <w:tc>
          <w:tcPr>
            <w:tcW w:w="6798" w:type="dxa"/>
            <w:tcBorders>
              <w:top w:val="single" w:color="auto" w:sz="4" w:space="0"/>
              <w:left w:val="single" w:color="auto" w:sz="4" w:space="0"/>
              <w:bottom w:val="single" w:color="auto" w:sz="4" w:space="0"/>
              <w:right w:val="single" w:color="auto" w:sz="4" w:space="0"/>
            </w:tcBorders>
            <w:vAlign w:val="center"/>
          </w:tcPr>
          <w:p w14:paraId="4194F5C9">
            <w:pPr>
              <w:keepNext w:val="0"/>
              <w:keepLines w:val="0"/>
              <w:pageBreakBefore w:val="0"/>
              <w:widowControl w:val="0"/>
              <w:kinsoku/>
              <w:wordWrap/>
              <w:overflowPunct/>
              <w:topLinePunct w:val="0"/>
              <w:bidi w:val="0"/>
              <w:adjustRightInd w:val="0"/>
              <w:snapToGrid w:val="0"/>
              <w:spacing w:after="0"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☑电子投标文件（包括“电子加密投标文件”和“备份投标文件”，在投标文件编制完成后同时生成）；</w:t>
            </w:r>
          </w:p>
          <w:p w14:paraId="0AA5F1EB">
            <w:pPr>
              <w:keepNext w:val="0"/>
              <w:keepLines w:val="0"/>
              <w:pageBreakBefore w:val="0"/>
              <w:widowControl w:val="0"/>
              <w:kinsoku/>
              <w:wordWrap/>
              <w:overflowPunct/>
              <w:topLinePunct w:val="0"/>
              <w:bidi w:val="0"/>
              <w:adjustRightInd w:val="0"/>
              <w:snapToGrid w:val="0"/>
              <w:spacing w:after="0"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（1）“电子加密投标文件”是指通过“政采云电子交易客户端”完成投标文件编制后生成并加密的数据电文形式的投标文件。</w:t>
            </w:r>
          </w:p>
          <w:p w14:paraId="1B3E8C4E">
            <w:pPr>
              <w:keepNext w:val="0"/>
              <w:keepLines w:val="0"/>
              <w:pageBreakBefore w:val="0"/>
              <w:widowControl w:val="0"/>
              <w:kinsoku/>
              <w:wordWrap/>
              <w:overflowPunct/>
              <w:topLinePunct w:val="0"/>
              <w:bidi w:val="0"/>
              <w:adjustRightInd w:val="0"/>
              <w:snapToGrid w:val="0"/>
              <w:spacing w:after="0"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（2）“备份投标文件”是指与“电子加密投标文件”同时生成的数据电文形式的电子文件（备份标书）（后缀格式为</w:t>
            </w:r>
            <w:r>
              <w:rPr>
                <w:rFonts w:hint="eastAsia" w:ascii="宋体" w:hAnsi="宋体" w:eastAsia="宋体" w:cs="宋体"/>
                <w:b/>
                <w:bCs/>
                <w:color w:val="auto"/>
                <w:sz w:val="21"/>
                <w:szCs w:val="21"/>
              </w:rPr>
              <w:t>.bfbs</w:t>
            </w:r>
            <w:r>
              <w:rPr>
                <w:rFonts w:hint="eastAsia" w:ascii="宋体" w:hAnsi="宋体" w:eastAsia="宋体" w:cs="宋体"/>
                <w:color w:val="auto"/>
                <w:sz w:val="21"/>
                <w:szCs w:val="21"/>
              </w:rPr>
              <w:t>），</w:t>
            </w:r>
            <w:r>
              <w:rPr>
                <w:rFonts w:hint="eastAsia" w:ascii="宋体" w:hAnsi="宋体" w:eastAsia="宋体" w:cs="宋体"/>
                <w:b/>
                <w:bCs/>
                <w:color w:val="auto"/>
                <w:sz w:val="21"/>
                <w:szCs w:val="21"/>
              </w:rPr>
              <w:t>其他方式编制的备份投标文件视为无效备份投标文件。</w:t>
            </w:r>
          </w:p>
        </w:tc>
      </w:tr>
      <w:tr w14:paraId="16436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1959C768">
            <w:pPr>
              <w:keepNext w:val="0"/>
              <w:keepLines w:val="0"/>
              <w:pageBreakBefore w:val="0"/>
              <w:widowControl w:val="0"/>
              <w:kinsoku/>
              <w:wordWrap/>
              <w:overflowPunct/>
              <w:topLinePunct w:val="0"/>
              <w:bidi w:val="0"/>
              <w:adjustRightInd w:val="0"/>
              <w:snapToGrid w:val="0"/>
              <w:spacing w:after="0" w:line="288"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556" w:type="dxa"/>
            <w:tcBorders>
              <w:top w:val="single" w:color="auto" w:sz="4" w:space="0"/>
              <w:left w:val="single" w:color="auto" w:sz="4" w:space="0"/>
              <w:bottom w:val="single" w:color="auto" w:sz="4" w:space="0"/>
              <w:right w:val="single" w:color="auto" w:sz="4" w:space="0"/>
            </w:tcBorders>
            <w:vAlign w:val="center"/>
          </w:tcPr>
          <w:p w14:paraId="2443A232">
            <w:pPr>
              <w:keepNext w:val="0"/>
              <w:keepLines w:val="0"/>
              <w:pageBreakBefore w:val="0"/>
              <w:widowControl w:val="0"/>
              <w:kinsoku/>
              <w:wordWrap/>
              <w:overflowPunct/>
              <w:topLinePunct w:val="0"/>
              <w:bidi w:val="0"/>
              <w:adjustRightInd w:val="0"/>
              <w:snapToGrid w:val="0"/>
              <w:spacing w:after="0" w:line="288"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投标文件</w:t>
            </w:r>
          </w:p>
          <w:p w14:paraId="51B22198">
            <w:pPr>
              <w:keepNext w:val="0"/>
              <w:keepLines w:val="0"/>
              <w:pageBreakBefore w:val="0"/>
              <w:widowControl w:val="0"/>
              <w:kinsoku/>
              <w:wordWrap/>
              <w:overflowPunct/>
              <w:topLinePunct w:val="0"/>
              <w:bidi w:val="0"/>
              <w:adjustRightInd w:val="0"/>
              <w:snapToGrid w:val="0"/>
              <w:spacing w:after="0" w:line="288"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份数</w:t>
            </w:r>
          </w:p>
        </w:tc>
        <w:tc>
          <w:tcPr>
            <w:tcW w:w="6798" w:type="dxa"/>
            <w:tcBorders>
              <w:top w:val="single" w:color="auto" w:sz="4" w:space="0"/>
              <w:left w:val="single" w:color="auto" w:sz="4" w:space="0"/>
              <w:bottom w:val="single" w:color="auto" w:sz="4" w:space="0"/>
              <w:right w:val="single" w:color="auto" w:sz="4" w:space="0"/>
            </w:tcBorders>
            <w:vAlign w:val="center"/>
          </w:tcPr>
          <w:p w14:paraId="39BF9E5C">
            <w:pPr>
              <w:keepNext w:val="0"/>
              <w:keepLines w:val="0"/>
              <w:pageBreakBefore w:val="0"/>
              <w:widowControl w:val="0"/>
              <w:kinsoku/>
              <w:wordWrap/>
              <w:overflowPunct/>
              <w:topLinePunct w:val="0"/>
              <w:autoSpaceDE/>
              <w:autoSpaceDN/>
              <w:bidi w:val="0"/>
              <w:adjustRightInd w:val="0"/>
              <w:snapToGrid w:val="0"/>
              <w:spacing w:after="0"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（1）“电子加密投标文件”：在线上传提交一份。</w:t>
            </w:r>
          </w:p>
          <w:p w14:paraId="072AF69C">
            <w:pPr>
              <w:keepNext w:val="0"/>
              <w:keepLines w:val="0"/>
              <w:pageBreakBefore w:val="0"/>
              <w:widowControl w:val="0"/>
              <w:kinsoku/>
              <w:wordWrap/>
              <w:overflowPunct/>
              <w:topLinePunct w:val="0"/>
              <w:autoSpaceDE/>
              <w:autoSpaceDN/>
              <w:bidi w:val="0"/>
              <w:adjustRightInd w:val="0"/>
              <w:snapToGrid w:val="0"/>
              <w:spacing w:after="0"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（2）“备份投标文件”：密封包装后确保在投标截止时间前（建议使用EMS/顺丰邮寄形式）送达一份（邮寄地址：</w:t>
            </w:r>
            <w:r>
              <w:rPr>
                <w:rFonts w:hint="eastAsia" w:ascii="宋体" w:hAnsi="宋体" w:eastAsia="宋体" w:cs="宋体"/>
                <w:color w:val="auto"/>
                <w:sz w:val="21"/>
                <w:szCs w:val="21"/>
                <w:lang w:eastAsia="zh-CN"/>
              </w:rPr>
              <w:t>台州市椒江区白云街道解放南路291弄道台里（解放南路291-40号）</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台州市玖诚工程管理有限公司</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蔡武正13957618595</w:t>
            </w:r>
            <w:r>
              <w:rPr>
                <w:rFonts w:hint="eastAsia" w:ascii="宋体" w:hAnsi="宋体" w:eastAsia="宋体" w:cs="宋体"/>
                <w:color w:val="auto"/>
                <w:sz w:val="21"/>
                <w:szCs w:val="21"/>
              </w:rPr>
              <w:t>或发送后缀格式为.bfbs的备份文件至代理邮箱</w:t>
            </w:r>
            <w:r>
              <w:rPr>
                <w:rFonts w:hint="eastAsia" w:ascii="宋体" w:hAnsi="宋体" w:cs="宋体"/>
                <w:color w:val="auto"/>
                <w:sz w:val="21"/>
                <w:szCs w:val="21"/>
                <w:lang w:eastAsia="zh-CN"/>
              </w:rPr>
              <w:t>529957556</w:t>
            </w:r>
            <w:r>
              <w:rPr>
                <w:rFonts w:hint="eastAsia" w:ascii="宋体" w:hAnsi="宋体" w:eastAsia="宋体" w:cs="宋体"/>
                <w:color w:val="auto"/>
                <w:sz w:val="21"/>
                <w:szCs w:val="21"/>
                <w:lang w:eastAsia="zh-CN"/>
              </w:rPr>
              <w:t>@qq.com</w:t>
            </w:r>
            <w:r>
              <w:rPr>
                <w:rFonts w:hint="eastAsia" w:ascii="宋体" w:hAnsi="宋体" w:eastAsia="宋体" w:cs="宋体"/>
                <w:color w:val="auto"/>
                <w:sz w:val="21"/>
                <w:szCs w:val="21"/>
              </w:rPr>
              <w:t>）。（自选邮寄，自选形式）</w:t>
            </w:r>
          </w:p>
        </w:tc>
      </w:tr>
      <w:tr w14:paraId="22D15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31F54AB5">
            <w:pPr>
              <w:keepNext w:val="0"/>
              <w:keepLines w:val="0"/>
              <w:pageBreakBefore w:val="0"/>
              <w:widowControl w:val="0"/>
              <w:kinsoku/>
              <w:wordWrap/>
              <w:overflowPunct/>
              <w:topLinePunct w:val="0"/>
              <w:bidi w:val="0"/>
              <w:adjustRightInd w:val="0"/>
              <w:snapToGrid w:val="0"/>
              <w:spacing w:after="0" w:line="288"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1556" w:type="dxa"/>
            <w:tcBorders>
              <w:top w:val="single" w:color="auto" w:sz="4" w:space="0"/>
              <w:left w:val="single" w:color="auto" w:sz="4" w:space="0"/>
              <w:bottom w:val="single" w:color="auto" w:sz="4" w:space="0"/>
              <w:right w:val="single" w:color="auto" w:sz="4" w:space="0"/>
            </w:tcBorders>
            <w:vAlign w:val="center"/>
          </w:tcPr>
          <w:p w14:paraId="2A3FBF6C">
            <w:pPr>
              <w:keepNext w:val="0"/>
              <w:keepLines w:val="0"/>
              <w:pageBreakBefore w:val="0"/>
              <w:widowControl w:val="0"/>
              <w:kinsoku/>
              <w:wordWrap/>
              <w:overflowPunct/>
              <w:topLinePunct w:val="0"/>
              <w:bidi w:val="0"/>
              <w:adjustRightInd w:val="0"/>
              <w:snapToGrid w:val="0"/>
              <w:spacing w:after="0" w:line="288"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投标文件的上传与递交</w:t>
            </w:r>
          </w:p>
        </w:tc>
        <w:tc>
          <w:tcPr>
            <w:tcW w:w="6798" w:type="dxa"/>
            <w:tcBorders>
              <w:top w:val="single" w:color="auto" w:sz="4" w:space="0"/>
              <w:left w:val="single" w:color="auto" w:sz="4" w:space="0"/>
              <w:bottom w:val="single" w:color="auto" w:sz="4" w:space="0"/>
              <w:right w:val="single" w:color="auto" w:sz="4" w:space="0"/>
            </w:tcBorders>
            <w:vAlign w:val="center"/>
          </w:tcPr>
          <w:p w14:paraId="6A9F5884">
            <w:pPr>
              <w:keepNext w:val="0"/>
              <w:keepLines w:val="0"/>
              <w:pageBreakBefore w:val="0"/>
              <w:widowControl w:val="0"/>
              <w:kinsoku/>
              <w:wordWrap/>
              <w:overflowPunct/>
              <w:topLinePunct w:val="0"/>
              <w:autoSpaceDE/>
              <w:autoSpaceDN/>
              <w:bidi w:val="0"/>
              <w:adjustRightInd w:val="0"/>
              <w:snapToGrid w:val="0"/>
              <w:spacing w:after="0"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（1）“电子加密投标文件”的上传、递交：</w:t>
            </w:r>
          </w:p>
          <w:p w14:paraId="7E13A853">
            <w:pPr>
              <w:keepNext w:val="0"/>
              <w:keepLines w:val="0"/>
              <w:pageBreakBefore w:val="0"/>
              <w:widowControl w:val="0"/>
              <w:kinsoku/>
              <w:wordWrap/>
              <w:overflowPunct/>
              <w:topLinePunct w:val="0"/>
              <w:autoSpaceDE/>
              <w:autoSpaceDN/>
              <w:bidi w:val="0"/>
              <w:adjustRightInd w:val="0"/>
              <w:snapToGrid w:val="0"/>
              <w:spacing w:after="0"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a.</w:t>
            </w:r>
            <w:r>
              <w:rPr>
                <w:rFonts w:hint="eastAsia" w:ascii="宋体" w:hAnsi="宋体" w:eastAsia="宋体" w:cs="宋体"/>
                <w:bCs/>
                <w:color w:val="auto"/>
                <w:sz w:val="21"/>
                <w:szCs w:val="21"/>
              </w:rPr>
              <w:t>▲</w:t>
            </w:r>
            <w:r>
              <w:rPr>
                <w:rFonts w:hint="eastAsia" w:ascii="宋体" w:hAnsi="宋体" w:eastAsia="宋体" w:cs="宋体"/>
                <w:color w:val="auto"/>
                <w:sz w:val="21"/>
                <w:szCs w:val="21"/>
              </w:rPr>
              <w:t>投标供应商应在投标截止时间前将“电子加密投标文件”成功上传递交至“政府采购云平台”，否则投标无效。</w:t>
            </w:r>
          </w:p>
          <w:p w14:paraId="532D7954">
            <w:pPr>
              <w:keepNext w:val="0"/>
              <w:keepLines w:val="0"/>
              <w:pageBreakBefore w:val="0"/>
              <w:widowControl w:val="0"/>
              <w:kinsoku/>
              <w:wordWrap/>
              <w:overflowPunct/>
              <w:topLinePunct w:val="0"/>
              <w:autoSpaceDE/>
              <w:autoSpaceDN/>
              <w:bidi w:val="0"/>
              <w:adjustRightInd w:val="0"/>
              <w:snapToGrid w:val="0"/>
              <w:spacing w:after="0"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b.“电子加密投标文件”成功上传递交后，供应商可自行打印投标文件接收回执。</w:t>
            </w:r>
          </w:p>
          <w:p w14:paraId="12946B0D">
            <w:pPr>
              <w:keepNext w:val="0"/>
              <w:keepLines w:val="0"/>
              <w:pageBreakBefore w:val="0"/>
              <w:widowControl w:val="0"/>
              <w:kinsoku/>
              <w:wordWrap/>
              <w:overflowPunct/>
              <w:topLinePunct w:val="0"/>
              <w:autoSpaceDE/>
              <w:autoSpaceDN/>
              <w:bidi w:val="0"/>
              <w:adjustRightInd w:val="0"/>
              <w:snapToGrid w:val="0"/>
              <w:spacing w:after="0"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（2）“备份投标文件”的密封包装、递交：</w:t>
            </w:r>
          </w:p>
          <w:p w14:paraId="62DB9BE6">
            <w:pPr>
              <w:keepNext w:val="0"/>
              <w:keepLines w:val="0"/>
              <w:pageBreakBefore w:val="0"/>
              <w:widowControl w:val="0"/>
              <w:kinsoku/>
              <w:wordWrap/>
              <w:overflowPunct/>
              <w:topLinePunct w:val="0"/>
              <w:autoSpaceDE/>
              <w:autoSpaceDN/>
              <w:bidi w:val="0"/>
              <w:adjustRightInd w:val="0"/>
              <w:snapToGrid w:val="0"/>
              <w:spacing w:after="0"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a.投标供应商在“政府采购云平台”完成“电子加密投标文件”的上传递交后，还可以（顺丰/EMS邮寄形式）在投标截止时间前递交以介质（U盘）存储的 “备份投标文件”（一份）；</w:t>
            </w:r>
          </w:p>
          <w:p w14:paraId="1DF8C004">
            <w:pPr>
              <w:keepNext w:val="0"/>
              <w:keepLines w:val="0"/>
              <w:pageBreakBefore w:val="0"/>
              <w:widowControl w:val="0"/>
              <w:kinsoku/>
              <w:wordWrap/>
              <w:overflowPunct/>
              <w:topLinePunct w:val="0"/>
              <w:autoSpaceDE/>
              <w:autoSpaceDN/>
              <w:bidi w:val="0"/>
              <w:adjustRightInd w:val="0"/>
              <w:snapToGrid w:val="0"/>
              <w:spacing w:after="0"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b.</w:t>
            </w:r>
            <w:r>
              <w:rPr>
                <w:rFonts w:hint="eastAsia" w:ascii="宋体" w:hAnsi="宋体" w:eastAsia="宋体" w:cs="宋体"/>
                <w:bCs/>
                <w:color w:val="auto"/>
                <w:sz w:val="21"/>
                <w:szCs w:val="21"/>
              </w:rPr>
              <w:t>▲</w:t>
            </w:r>
            <w:r>
              <w:rPr>
                <w:rFonts w:hint="eastAsia" w:ascii="宋体" w:hAnsi="宋体" w:eastAsia="宋体" w:cs="宋体"/>
                <w:color w:val="auto"/>
                <w:sz w:val="21"/>
                <w:szCs w:val="21"/>
              </w:rPr>
              <w:t>“备份投标文件”应当密封包装，并在包装上标注投标项目名称、投标单位名称并加盖公章。没有密封包装或者逾期邮寄送达至投标地点的“备份投标文件”将不予接收；</w:t>
            </w:r>
          </w:p>
          <w:p w14:paraId="6AEB1DC9">
            <w:pPr>
              <w:keepNext w:val="0"/>
              <w:keepLines w:val="0"/>
              <w:pageBreakBefore w:val="0"/>
              <w:widowControl w:val="0"/>
              <w:kinsoku/>
              <w:wordWrap/>
              <w:overflowPunct/>
              <w:topLinePunct w:val="0"/>
              <w:autoSpaceDE/>
              <w:autoSpaceDN/>
              <w:bidi w:val="0"/>
              <w:adjustRightInd w:val="0"/>
              <w:snapToGrid w:val="0"/>
              <w:spacing w:after="0"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c.</w:t>
            </w:r>
            <w:r>
              <w:rPr>
                <w:rFonts w:hint="eastAsia" w:ascii="宋体" w:hAnsi="宋体" w:eastAsia="宋体" w:cs="宋体"/>
                <w:bCs/>
                <w:color w:val="auto"/>
                <w:sz w:val="21"/>
                <w:szCs w:val="21"/>
              </w:rPr>
              <w:t>▲</w:t>
            </w:r>
            <w:r>
              <w:rPr>
                <w:rFonts w:hint="eastAsia" w:ascii="宋体" w:hAnsi="宋体" w:eastAsia="宋体" w:cs="宋体"/>
                <w:color w:val="auto"/>
                <w:sz w:val="21"/>
                <w:szCs w:val="21"/>
              </w:rPr>
              <w:t>通过“政府采购云平台”成功上传递交的“电子加密投标文件”已按时解密的，“备份投标文件”自动失效。投标截止时间前，投标供应商仅递交了“备份投标文件”而未将“电子加密投标文件”成功上传至“政府采购云平台”的，投标无效。</w:t>
            </w:r>
          </w:p>
          <w:p w14:paraId="58E29B09">
            <w:pPr>
              <w:keepNext w:val="0"/>
              <w:keepLines w:val="0"/>
              <w:pageBreakBefore w:val="0"/>
              <w:widowControl w:val="0"/>
              <w:kinsoku/>
              <w:wordWrap/>
              <w:overflowPunct/>
              <w:topLinePunct w:val="0"/>
              <w:autoSpaceDE/>
              <w:autoSpaceDN/>
              <w:bidi w:val="0"/>
              <w:adjustRightInd w:val="0"/>
              <w:snapToGrid w:val="0"/>
              <w:spacing w:after="0"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温馨提醒：供应商应提前上传，以便在上传时遇到技术问题，有充足的时间提请教平台的技术人员。</w:t>
            </w:r>
          </w:p>
          <w:p w14:paraId="08627B38">
            <w:pPr>
              <w:keepNext w:val="0"/>
              <w:keepLines w:val="0"/>
              <w:pageBreakBefore w:val="0"/>
              <w:widowControl w:val="0"/>
              <w:kinsoku/>
              <w:wordWrap/>
              <w:overflowPunct/>
              <w:topLinePunct w:val="0"/>
              <w:autoSpaceDE/>
              <w:autoSpaceDN/>
              <w:bidi w:val="0"/>
              <w:adjustRightInd w:val="0"/>
              <w:snapToGrid w:val="0"/>
              <w:spacing w:after="0"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“政采云”平台客服电话：400-881-7190</w:t>
            </w:r>
          </w:p>
          <w:p w14:paraId="451DC9BE">
            <w:pPr>
              <w:pStyle w:val="23"/>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中标供应商中标后需提供纸质投标文件给采购代理机构作为备案存档，纸质投标文件系电子投标文件纸质版，两者内容应一致；数量为：资格证明文件一正二副；资格及商务技术文件一正二副；报价文件一正二副。</w:t>
            </w:r>
          </w:p>
        </w:tc>
      </w:tr>
      <w:tr w14:paraId="343F6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5366D37E">
            <w:pPr>
              <w:keepNext w:val="0"/>
              <w:keepLines w:val="0"/>
              <w:pageBreakBefore w:val="0"/>
              <w:widowControl w:val="0"/>
              <w:kinsoku/>
              <w:wordWrap/>
              <w:overflowPunct/>
              <w:topLinePunct w:val="0"/>
              <w:bidi w:val="0"/>
              <w:adjustRightInd w:val="0"/>
              <w:snapToGrid w:val="0"/>
              <w:spacing w:after="0" w:line="288"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1556" w:type="dxa"/>
            <w:tcBorders>
              <w:top w:val="single" w:color="auto" w:sz="4" w:space="0"/>
              <w:left w:val="single" w:color="auto" w:sz="4" w:space="0"/>
              <w:bottom w:val="single" w:color="auto" w:sz="4" w:space="0"/>
              <w:right w:val="single" w:color="auto" w:sz="4" w:space="0"/>
            </w:tcBorders>
            <w:vAlign w:val="center"/>
          </w:tcPr>
          <w:p w14:paraId="2ACC659C">
            <w:pPr>
              <w:keepNext w:val="0"/>
              <w:keepLines w:val="0"/>
              <w:pageBreakBefore w:val="0"/>
              <w:widowControl w:val="0"/>
              <w:kinsoku/>
              <w:wordWrap/>
              <w:overflowPunct/>
              <w:topLinePunct w:val="0"/>
              <w:bidi w:val="0"/>
              <w:adjustRightInd w:val="0"/>
              <w:snapToGrid w:val="0"/>
              <w:spacing w:after="0" w:line="288"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投标有效期</w:t>
            </w:r>
          </w:p>
        </w:tc>
        <w:tc>
          <w:tcPr>
            <w:tcW w:w="6798" w:type="dxa"/>
            <w:tcBorders>
              <w:top w:val="single" w:color="auto" w:sz="4" w:space="0"/>
              <w:left w:val="single" w:color="auto" w:sz="4" w:space="0"/>
              <w:bottom w:val="single" w:color="auto" w:sz="4" w:space="0"/>
              <w:right w:val="single" w:color="auto" w:sz="4" w:space="0"/>
            </w:tcBorders>
            <w:vAlign w:val="center"/>
          </w:tcPr>
          <w:p w14:paraId="7E62ED88">
            <w:pPr>
              <w:keepNext w:val="0"/>
              <w:keepLines w:val="0"/>
              <w:pageBreakBefore w:val="0"/>
              <w:widowControl w:val="0"/>
              <w:kinsoku/>
              <w:wordWrap/>
              <w:overflowPunct/>
              <w:topLinePunct w:val="0"/>
              <w:bidi w:val="0"/>
              <w:adjustRightInd w:val="0"/>
              <w:snapToGrid w:val="0"/>
              <w:spacing w:after="0" w:line="288" w:lineRule="auto"/>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rPr>
              <w:t>▲</w:t>
            </w:r>
            <w:r>
              <w:rPr>
                <w:rFonts w:hint="eastAsia" w:ascii="宋体" w:hAnsi="宋体" w:eastAsia="宋体" w:cs="宋体"/>
                <w:color w:val="auto"/>
                <w:sz w:val="21"/>
                <w:szCs w:val="21"/>
              </w:rPr>
              <w:t>投标有效期为90天，投标有效期从提交投标文件的截止之日起算。</w:t>
            </w:r>
          </w:p>
        </w:tc>
      </w:tr>
      <w:tr w14:paraId="593DA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008958DB">
            <w:pPr>
              <w:keepNext w:val="0"/>
              <w:keepLines w:val="0"/>
              <w:pageBreakBefore w:val="0"/>
              <w:widowControl w:val="0"/>
              <w:kinsoku/>
              <w:wordWrap/>
              <w:overflowPunct/>
              <w:topLinePunct w:val="0"/>
              <w:bidi w:val="0"/>
              <w:adjustRightInd w:val="0"/>
              <w:snapToGrid w:val="0"/>
              <w:spacing w:after="0" w:line="288"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1556" w:type="dxa"/>
            <w:tcBorders>
              <w:top w:val="single" w:color="auto" w:sz="4" w:space="0"/>
              <w:left w:val="single" w:color="auto" w:sz="4" w:space="0"/>
              <w:bottom w:val="single" w:color="auto" w:sz="4" w:space="0"/>
              <w:right w:val="single" w:color="auto" w:sz="4" w:space="0"/>
            </w:tcBorders>
            <w:vAlign w:val="center"/>
          </w:tcPr>
          <w:p w14:paraId="30228281">
            <w:pPr>
              <w:keepNext w:val="0"/>
              <w:keepLines w:val="0"/>
              <w:pageBreakBefore w:val="0"/>
              <w:widowControl w:val="0"/>
              <w:kinsoku/>
              <w:wordWrap/>
              <w:overflowPunct/>
              <w:topLinePunct w:val="0"/>
              <w:bidi w:val="0"/>
              <w:adjustRightInd w:val="0"/>
              <w:snapToGrid w:val="0"/>
              <w:spacing w:after="0" w:line="288" w:lineRule="auto"/>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投标人信用信息查询渠道及截止时点、信用信息查询记录和证据留存的具体方式、信用信息的使用规则</w:t>
            </w:r>
          </w:p>
          <w:p w14:paraId="36F56A81">
            <w:pPr>
              <w:keepNext w:val="0"/>
              <w:keepLines w:val="0"/>
              <w:pageBreakBefore w:val="0"/>
              <w:widowControl w:val="0"/>
              <w:kinsoku/>
              <w:wordWrap/>
              <w:overflowPunct/>
              <w:topLinePunct w:val="0"/>
              <w:bidi w:val="0"/>
              <w:adjustRightInd w:val="0"/>
              <w:snapToGrid w:val="0"/>
              <w:spacing w:after="0" w:line="288" w:lineRule="auto"/>
              <w:jc w:val="center"/>
              <w:textAlignment w:val="auto"/>
              <w:rPr>
                <w:rFonts w:hint="eastAsia" w:ascii="宋体" w:hAnsi="宋体" w:eastAsia="宋体" w:cs="宋体"/>
                <w:color w:val="auto"/>
                <w:sz w:val="21"/>
                <w:szCs w:val="21"/>
              </w:rPr>
            </w:pPr>
          </w:p>
        </w:tc>
        <w:tc>
          <w:tcPr>
            <w:tcW w:w="6798" w:type="dxa"/>
            <w:tcBorders>
              <w:top w:val="single" w:color="auto" w:sz="4" w:space="0"/>
              <w:left w:val="single" w:color="auto" w:sz="4" w:space="0"/>
              <w:bottom w:val="single" w:color="auto" w:sz="4" w:space="0"/>
              <w:right w:val="single" w:color="auto" w:sz="4" w:space="0"/>
            </w:tcBorders>
            <w:vAlign w:val="center"/>
          </w:tcPr>
          <w:p w14:paraId="00039B77">
            <w:pPr>
              <w:keepNext w:val="0"/>
              <w:keepLines w:val="0"/>
              <w:pageBreakBefore w:val="0"/>
              <w:widowControl w:val="0"/>
              <w:kinsoku/>
              <w:wordWrap/>
              <w:overflowPunct/>
              <w:topLinePunct w:val="0"/>
              <w:bidi w:val="0"/>
              <w:adjustRightInd w:val="0"/>
              <w:snapToGrid w:val="0"/>
              <w:spacing w:after="0"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1、查询渠道：信用中国（网址：</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HYPERLINK "http://www.creditchina.gov.cn"</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http://www.creditchina.gov.cn</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）、中国政府采购网(网址：http://www.ccgp.gov.cn）、国家企业信用信息公示系统（http://www.gsxt.gov.cn/index.html）等。</w:t>
            </w:r>
          </w:p>
          <w:p w14:paraId="256FCFB1">
            <w:pPr>
              <w:keepNext w:val="0"/>
              <w:keepLines w:val="0"/>
              <w:pageBreakBefore w:val="0"/>
              <w:widowControl w:val="0"/>
              <w:kinsoku/>
              <w:wordWrap/>
              <w:overflowPunct/>
              <w:topLinePunct w:val="0"/>
              <w:bidi w:val="0"/>
              <w:adjustRightInd w:val="0"/>
              <w:snapToGrid w:val="0"/>
              <w:spacing w:after="0"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2、截止时点：评审结束前。</w:t>
            </w:r>
          </w:p>
          <w:p w14:paraId="4D7F7A44">
            <w:pPr>
              <w:keepNext w:val="0"/>
              <w:keepLines w:val="0"/>
              <w:pageBreakBefore w:val="0"/>
              <w:widowControl w:val="0"/>
              <w:kinsoku/>
              <w:wordWrap/>
              <w:overflowPunct/>
              <w:topLinePunct w:val="0"/>
              <w:bidi w:val="0"/>
              <w:adjustRightInd w:val="0"/>
              <w:snapToGrid w:val="0"/>
              <w:spacing w:after="0"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3、信用信息查询记录和证据留存的具体方式：由采购组织机构在规定查询时间内打印信用信息查询记录并归入项目档案。</w:t>
            </w:r>
          </w:p>
          <w:p w14:paraId="2E825683">
            <w:pPr>
              <w:keepNext w:val="0"/>
              <w:keepLines w:val="0"/>
              <w:pageBreakBefore w:val="0"/>
              <w:widowControl w:val="0"/>
              <w:kinsoku/>
              <w:wordWrap/>
              <w:overflowPunct/>
              <w:topLinePunct w:val="0"/>
              <w:bidi w:val="0"/>
              <w:adjustRightInd w:val="0"/>
              <w:snapToGrid w:val="0"/>
              <w:spacing w:after="0"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使用规则：对列入失信被执行人、重大税收违法案件当事人名单、政府采购严重违法失信行为记录名单及其他不符合《中华人民共和国政府采购法》第二十二条规定条件的供应商，将被拒绝其参与政府采购活动。</w:t>
            </w:r>
          </w:p>
        </w:tc>
      </w:tr>
      <w:tr w14:paraId="2581B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2E13F8C0">
            <w:pPr>
              <w:keepNext w:val="0"/>
              <w:keepLines w:val="0"/>
              <w:pageBreakBefore w:val="0"/>
              <w:widowControl w:val="0"/>
              <w:kinsoku/>
              <w:wordWrap/>
              <w:overflowPunct/>
              <w:topLinePunct w:val="0"/>
              <w:bidi w:val="0"/>
              <w:adjustRightInd w:val="0"/>
              <w:snapToGrid w:val="0"/>
              <w:spacing w:after="0" w:line="288"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1556" w:type="dxa"/>
            <w:tcBorders>
              <w:top w:val="single" w:color="auto" w:sz="4" w:space="0"/>
              <w:left w:val="single" w:color="auto" w:sz="4" w:space="0"/>
              <w:bottom w:val="single" w:color="auto" w:sz="4" w:space="0"/>
              <w:right w:val="single" w:color="auto" w:sz="4" w:space="0"/>
            </w:tcBorders>
            <w:vAlign w:val="center"/>
          </w:tcPr>
          <w:p w14:paraId="4F3A9EF0">
            <w:pPr>
              <w:keepNext w:val="0"/>
              <w:keepLines w:val="0"/>
              <w:pageBreakBefore w:val="0"/>
              <w:widowControl w:val="0"/>
              <w:kinsoku/>
              <w:wordWrap/>
              <w:overflowPunct/>
              <w:topLinePunct w:val="0"/>
              <w:bidi w:val="0"/>
              <w:adjustRightInd w:val="0"/>
              <w:snapToGrid w:val="0"/>
              <w:spacing w:after="0" w:line="288" w:lineRule="auto"/>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rPr>
              <w:t>中小企业扶持政策</w:t>
            </w:r>
          </w:p>
        </w:tc>
        <w:tc>
          <w:tcPr>
            <w:tcW w:w="6798" w:type="dxa"/>
            <w:tcBorders>
              <w:top w:val="single" w:color="auto" w:sz="4" w:space="0"/>
              <w:left w:val="single" w:color="auto" w:sz="4" w:space="0"/>
              <w:bottom w:val="single" w:color="auto" w:sz="4" w:space="0"/>
              <w:right w:val="single" w:color="auto" w:sz="4" w:space="0"/>
            </w:tcBorders>
            <w:vAlign w:val="center"/>
          </w:tcPr>
          <w:p w14:paraId="16F03814">
            <w:pPr>
              <w:keepNext w:val="0"/>
              <w:keepLines w:val="0"/>
              <w:pageBreakBefore w:val="0"/>
              <w:widowControl w:val="0"/>
              <w:kinsoku/>
              <w:wordWrap/>
              <w:overflowPunct/>
              <w:topLinePunct w:val="0"/>
              <w:autoSpaceDE/>
              <w:autoSpaceDN/>
              <w:bidi w:val="0"/>
              <w:adjustRightInd w:val="0"/>
              <w:snapToGrid w:val="0"/>
              <w:spacing w:after="0"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1、本项目不专门面向中小企业。</w:t>
            </w:r>
          </w:p>
          <w:p w14:paraId="18A41768">
            <w:pPr>
              <w:keepNext w:val="0"/>
              <w:keepLines w:val="0"/>
              <w:pageBreakBefore w:val="0"/>
              <w:widowControl w:val="0"/>
              <w:kinsoku/>
              <w:wordWrap/>
              <w:overflowPunct/>
              <w:topLinePunct w:val="0"/>
              <w:autoSpaceDE/>
              <w:autoSpaceDN/>
              <w:bidi w:val="0"/>
              <w:adjustRightInd w:val="0"/>
              <w:snapToGrid w:val="0"/>
              <w:spacing w:after="0"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2、小微企业等参加政府采购活动，应当出具附件中《中小企业声明函》等，否则不享受相关小微企业扶持政策。</w:t>
            </w:r>
          </w:p>
          <w:p w14:paraId="6A22B6D6">
            <w:pPr>
              <w:pStyle w:val="23"/>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3、提供声明函内容不实的，属于提供虚假材料谋取中标、成交，将按相关规定追究相应责任。</w:t>
            </w:r>
          </w:p>
          <w:p w14:paraId="50CD2993">
            <w:pPr>
              <w:pStyle w:val="23"/>
              <w:keepNext w:val="0"/>
              <w:keepLines w:val="0"/>
              <w:pageBreakBefore w:val="0"/>
              <w:widowControl w:val="0"/>
              <w:kinsoku/>
              <w:wordWrap/>
              <w:overflowPunct/>
              <w:topLinePunct w:val="0"/>
              <w:autoSpaceDE/>
              <w:autoSpaceDN/>
              <w:bidi w:val="0"/>
              <w:adjustRightInd w:val="0"/>
              <w:snapToGrid w:val="0"/>
              <w:spacing w:after="0" w:line="288" w:lineRule="auto"/>
              <w:ind w:left="0" w:leftChars="0" w:firstLine="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4、享受扶持政策获得政府采购合同的，小微企业不得将合同分包给大中型企业，中型企业不得将合同分包给大型企业，否则按违约处理，并追究相关责任。</w:t>
            </w:r>
          </w:p>
          <w:p w14:paraId="69C0D394">
            <w:pPr>
              <w:pStyle w:val="23"/>
              <w:keepNext w:val="0"/>
              <w:keepLines w:val="0"/>
              <w:pageBreakBefore w:val="0"/>
              <w:widowControl w:val="0"/>
              <w:kinsoku/>
              <w:wordWrap/>
              <w:overflowPunct/>
              <w:topLinePunct w:val="0"/>
              <w:bidi w:val="0"/>
              <w:adjustRightInd w:val="0"/>
              <w:snapToGrid w:val="0"/>
              <w:spacing w:after="0" w:line="288" w:lineRule="auto"/>
              <w:ind w:left="0" w:leftChars="0" w:firstLine="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5、本项目的所属行业：工业</w:t>
            </w:r>
          </w:p>
        </w:tc>
      </w:tr>
      <w:tr w14:paraId="77E93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7BC39A17">
            <w:pPr>
              <w:keepNext w:val="0"/>
              <w:keepLines w:val="0"/>
              <w:pageBreakBefore w:val="0"/>
              <w:widowControl w:val="0"/>
              <w:kinsoku/>
              <w:wordWrap/>
              <w:overflowPunct/>
              <w:topLinePunct w:val="0"/>
              <w:bidi w:val="0"/>
              <w:adjustRightInd w:val="0"/>
              <w:snapToGrid w:val="0"/>
              <w:spacing w:after="0" w:line="288"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1556" w:type="dxa"/>
            <w:tcBorders>
              <w:top w:val="single" w:color="auto" w:sz="4" w:space="0"/>
              <w:left w:val="single" w:color="auto" w:sz="4" w:space="0"/>
              <w:bottom w:val="single" w:color="auto" w:sz="4" w:space="0"/>
              <w:right w:val="single" w:color="auto" w:sz="4" w:space="0"/>
            </w:tcBorders>
            <w:vAlign w:val="center"/>
          </w:tcPr>
          <w:p w14:paraId="19FB4EE8">
            <w:pPr>
              <w:keepNext w:val="0"/>
              <w:keepLines w:val="0"/>
              <w:pageBreakBefore w:val="0"/>
              <w:widowControl w:val="0"/>
              <w:kinsoku/>
              <w:wordWrap/>
              <w:overflowPunct/>
              <w:topLinePunct w:val="0"/>
              <w:bidi w:val="0"/>
              <w:adjustRightInd w:val="0"/>
              <w:snapToGrid w:val="0"/>
              <w:spacing w:after="0" w:line="288"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开标时间及地点</w:t>
            </w:r>
          </w:p>
        </w:tc>
        <w:tc>
          <w:tcPr>
            <w:tcW w:w="6798" w:type="dxa"/>
            <w:tcBorders>
              <w:top w:val="single" w:color="auto" w:sz="4" w:space="0"/>
              <w:left w:val="single" w:color="auto" w:sz="4" w:space="0"/>
              <w:bottom w:val="single" w:color="auto" w:sz="4" w:space="0"/>
              <w:right w:val="single" w:color="auto" w:sz="4" w:space="0"/>
            </w:tcBorders>
            <w:vAlign w:val="center"/>
          </w:tcPr>
          <w:p w14:paraId="590ED925">
            <w:pPr>
              <w:keepNext w:val="0"/>
              <w:keepLines w:val="0"/>
              <w:pageBreakBefore w:val="0"/>
              <w:widowControl w:val="0"/>
              <w:kinsoku/>
              <w:wordWrap/>
              <w:overflowPunct/>
              <w:topLinePunct w:val="0"/>
              <w:bidi w:val="0"/>
              <w:adjustRightInd w:val="0"/>
              <w:snapToGrid w:val="0"/>
              <w:spacing w:after="0"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时间：</w:t>
            </w:r>
            <w:r>
              <w:rPr>
                <w:rFonts w:hint="eastAsia" w:ascii="宋体" w:hAnsi="宋体" w:eastAsia="宋体" w:cs="宋体"/>
                <w:color w:val="auto"/>
                <w:sz w:val="21"/>
                <w:szCs w:val="21"/>
                <w:highlight w:val="none"/>
              </w:rPr>
              <w:t>2026年4月30 日14点00分</w:t>
            </w:r>
          </w:p>
          <w:p w14:paraId="29AD497E">
            <w:pPr>
              <w:keepNext w:val="0"/>
              <w:keepLines w:val="0"/>
              <w:pageBreakBefore w:val="0"/>
              <w:widowControl w:val="0"/>
              <w:kinsoku/>
              <w:wordWrap/>
              <w:overflowPunct/>
              <w:topLinePunct w:val="0"/>
              <w:bidi w:val="0"/>
              <w:adjustRightInd w:val="0"/>
              <w:snapToGrid w:val="0"/>
              <w:spacing w:after="0"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地点：通过“政府采购云平台（</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HYPERLINK "http://www.zcygov.cn）"</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 xml:space="preserve"> https://www.zcygov.cn/）”实行在线投标响应</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 xml:space="preserve">。 </w:t>
            </w:r>
          </w:p>
        </w:tc>
      </w:tr>
      <w:tr w14:paraId="778ED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486C6F36">
            <w:pPr>
              <w:keepNext w:val="0"/>
              <w:keepLines w:val="0"/>
              <w:pageBreakBefore w:val="0"/>
              <w:widowControl w:val="0"/>
              <w:kinsoku/>
              <w:wordWrap/>
              <w:overflowPunct/>
              <w:topLinePunct w:val="0"/>
              <w:bidi w:val="0"/>
              <w:adjustRightInd w:val="0"/>
              <w:snapToGrid w:val="0"/>
              <w:spacing w:after="0" w:line="288"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1556" w:type="dxa"/>
            <w:tcBorders>
              <w:top w:val="single" w:color="auto" w:sz="4" w:space="0"/>
              <w:left w:val="single" w:color="auto" w:sz="4" w:space="0"/>
              <w:bottom w:val="single" w:color="auto" w:sz="4" w:space="0"/>
              <w:right w:val="single" w:color="auto" w:sz="4" w:space="0"/>
            </w:tcBorders>
            <w:vAlign w:val="center"/>
          </w:tcPr>
          <w:p w14:paraId="02F3382C">
            <w:pPr>
              <w:keepNext w:val="0"/>
              <w:keepLines w:val="0"/>
              <w:pageBreakBefore w:val="0"/>
              <w:widowControl w:val="0"/>
              <w:kinsoku/>
              <w:wordWrap/>
              <w:overflowPunct/>
              <w:topLinePunct w:val="0"/>
              <w:bidi w:val="0"/>
              <w:adjustRightInd w:val="0"/>
              <w:snapToGrid w:val="0"/>
              <w:spacing w:after="0" w:line="288"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投标保证金</w:t>
            </w:r>
          </w:p>
        </w:tc>
        <w:tc>
          <w:tcPr>
            <w:tcW w:w="6798" w:type="dxa"/>
            <w:tcBorders>
              <w:top w:val="single" w:color="auto" w:sz="4" w:space="0"/>
              <w:left w:val="single" w:color="auto" w:sz="4" w:space="0"/>
              <w:bottom w:val="single" w:color="auto" w:sz="4" w:space="0"/>
              <w:right w:val="single" w:color="auto" w:sz="4" w:space="0"/>
            </w:tcBorders>
            <w:vAlign w:val="center"/>
          </w:tcPr>
          <w:p w14:paraId="47BEA363">
            <w:pPr>
              <w:keepNext w:val="0"/>
              <w:keepLines w:val="0"/>
              <w:pageBreakBefore w:val="0"/>
              <w:widowControl w:val="0"/>
              <w:kinsoku/>
              <w:wordWrap/>
              <w:overflowPunct/>
              <w:topLinePunct w:val="0"/>
              <w:bidi w:val="0"/>
              <w:adjustRightInd w:val="0"/>
              <w:snapToGrid w:val="0"/>
              <w:spacing w:after="0"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无</w:t>
            </w:r>
          </w:p>
        </w:tc>
      </w:tr>
      <w:tr w14:paraId="01AE7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3DF4AFA3">
            <w:pPr>
              <w:keepNext w:val="0"/>
              <w:keepLines w:val="0"/>
              <w:pageBreakBefore w:val="0"/>
              <w:widowControl w:val="0"/>
              <w:kinsoku/>
              <w:wordWrap/>
              <w:overflowPunct/>
              <w:topLinePunct w:val="0"/>
              <w:bidi w:val="0"/>
              <w:adjustRightInd w:val="0"/>
              <w:snapToGrid w:val="0"/>
              <w:spacing w:after="0" w:line="288"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w:t>
            </w:r>
          </w:p>
        </w:tc>
        <w:tc>
          <w:tcPr>
            <w:tcW w:w="1556" w:type="dxa"/>
            <w:tcBorders>
              <w:top w:val="single" w:color="auto" w:sz="4" w:space="0"/>
              <w:left w:val="single" w:color="auto" w:sz="4" w:space="0"/>
              <w:bottom w:val="single" w:color="auto" w:sz="4" w:space="0"/>
              <w:right w:val="single" w:color="auto" w:sz="4" w:space="0"/>
            </w:tcBorders>
            <w:vAlign w:val="center"/>
          </w:tcPr>
          <w:p w14:paraId="6F02C512">
            <w:pPr>
              <w:keepNext w:val="0"/>
              <w:keepLines w:val="0"/>
              <w:pageBreakBefore w:val="0"/>
              <w:widowControl w:val="0"/>
              <w:kinsoku/>
              <w:wordWrap/>
              <w:overflowPunct/>
              <w:topLinePunct w:val="0"/>
              <w:bidi w:val="0"/>
              <w:adjustRightInd w:val="0"/>
              <w:snapToGrid w:val="0"/>
              <w:spacing w:after="0"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w:t>
            </w:r>
          </w:p>
        </w:tc>
        <w:tc>
          <w:tcPr>
            <w:tcW w:w="6798" w:type="dxa"/>
            <w:tcBorders>
              <w:top w:val="single" w:color="auto" w:sz="4" w:space="0"/>
              <w:left w:val="single" w:color="auto" w:sz="4" w:space="0"/>
              <w:bottom w:val="single" w:color="auto" w:sz="4" w:space="0"/>
              <w:right w:val="single" w:color="auto" w:sz="4" w:space="0"/>
            </w:tcBorders>
            <w:vAlign w:val="center"/>
          </w:tcPr>
          <w:p w14:paraId="584F40F8">
            <w:pPr>
              <w:keepNext w:val="0"/>
              <w:keepLines w:val="0"/>
              <w:pageBreakBefore w:val="0"/>
              <w:widowControl w:val="0"/>
              <w:kinsoku/>
              <w:wordWrap/>
              <w:overflowPunct/>
              <w:topLinePunct w:val="0"/>
              <w:bidi w:val="0"/>
              <w:adjustRightInd w:val="0"/>
              <w:snapToGrid w:val="0"/>
              <w:spacing w:after="0"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合同金额的1%。</w:t>
            </w:r>
          </w:p>
          <w:p w14:paraId="737C46A1">
            <w:pPr>
              <w:pStyle w:val="14"/>
              <w:keepNext w:val="0"/>
              <w:keepLines w:val="0"/>
              <w:pageBreakBefore w:val="0"/>
              <w:widowControl w:val="0"/>
              <w:kinsoku/>
              <w:wordWrap/>
              <w:overflowPunct/>
              <w:topLinePunct w:val="0"/>
              <w:bidi w:val="0"/>
              <w:adjustRightInd w:val="0"/>
              <w:snapToGrid w:val="0"/>
              <w:spacing w:after="0" w:line="288"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履约保证金可以银行、保险公司等担保机构出具的保函等非现金形式交至采购人处。</w:t>
            </w:r>
          </w:p>
        </w:tc>
      </w:tr>
      <w:tr w14:paraId="1D28D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1CC53ABE">
            <w:pPr>
              <w:keepNext w:val="0"/>
              <w:keepLines w:val="0"/>
              <w:pageBreakBefore w:val="0"/>
              <w:widowControl w:val="0"/>
              <w:kinsoku/>
              <w:wordWrap/>
              <w:overflowPunct/>
              <w:topLinePunct w:val="0"/>
              <w:bidi w:val="0"/>
              <w:adjustRightInd w:val="0"/>
              <w:snapToGrid w:val="0"/>
              <w:spacing w:after="0" w:line="288"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12</w:t>
            </w:r>
          </w:p>
        </w:tc>
        <w:tc>
          <w:tcPr>
            <w:tcW w:w="1556" w:type="dxa"/>
            <w:tcBorders>
              <w:top w:val="single" w:color="auto" w:sz="4" w:space="0"/>
              <w:left w:val="single" w:color="auto" w:sz="4" w:space="0"/>
              <w:bottom w:val="single" w:color="auto" w:sz="4" w:space="0"/>
              <w:right w:val="single" w:color="auto" w:sz="4" w:space="0"/>
            </w:tcBorders>
            <w:vAlign w:val="center"/>
          </w:tcPr>
          <w:p w14:paraId="556B4E4F">
            <w:pPr>
              <w:keepNext w:val="0"/>
              <w:keepLines w:val="0"/>
              <w:pageBreakBefore w:val="0"/>
              <w:widowControl w:val="0"/>
              <w:kinsoku/>
              <w:wordWrap/>
              <w:overflowPunct/>
              <w:topLinePunct w:val="0"/>
              <w:autoSpaceDE w:val="0"/>
              <w:autoSpaceDN w:val="0"/>
              <w:bidi w:val="0"/>
              <w:adjustRightInd w:val="0"/>
              <w:snapToGrid w:val="0"/>
              <w:spacing w:after="0" w:line="288" w:lineRule="auto"/>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实质性条款</w:t>
            </w:r>
          </w:p>
        </w:tc>
        <w:tc>
          <w:tcPr>
            <w:tcW w:w="6798" w:type="dxa"/>
            <w:tcBorders>
              <w:top w:val="single" w:color="auto" w:sz="4" w:space="0"/>
              <w:left w:val="single" w:color="auto" w:sz="4" w:space="0"/>
              <w:bottom w:val="single" w:color="auto" w:sz="4" w:space="0"/>
              <w:right w:val="single" w:color="auto" w:sz="4" w:space="0"/>
            </w:tcBorders>
          </w:tcPr>
          <w:p w14:paraId="10A821E4">
            <w:pPr>
              <w:keepNext w:val="0"/>
              <w:keepLines w:val="0"/>
              <w:pageBreakBefore w:val="0"/>
              <w:widowControl w:val="0"/>
              <w:kinsoku/>
              <w:wordWrap/>
              <w:overflowPunct/>
              <w:topLinePunct w:val="0"/>
              <w:autoSpaceDE w:val="0"/>
              <w:autoSpaceDN w:val="0"/>
              <w:bidi w:val="0"/>
              <w:adjustRightInd w:val="0"/>
              <w:snapToGrid w:val="0"/>
              <w:spacing w:after="0" w:line="288" w:lineRule="auto"/>
              <w:textAlignment w:val="auto"/>
              <w:rPr>
                <w:rFonts w:hint="eastAsia" w:ascii="宋体" w:hAnsi="宋体" w:eastAsia="宋体" w:cs="宋体"/>
                <w:bCs/>
                <w:color w:val="auto"/>
                <w:sz w:val="21"/>
                <w:szCs w:val="21"/>
              </w:rPr>
            </w:pPr>
            <w:r>
              <w:rPr>
                <w:rFonts w:hint="eastAsia" w:ascii="宋体" w:hAnsi="宋体" w:eastAsia="宋体" w:cs="宋体"/>
                <w:color w:val="auto"/>
                <w:kern w:val="0"/>
                <w:sz w:val="21"/>
                <w:szCs w:val="21"/>
                <w:lang w:val="zh-CN"/>
              </w:rPr>
              <w:t>带“</w:t>
            </w:r>
            <w:bookmarkStart w:id="47" w:name="OLE_LINK16"/>
            <w:r>
              <w:rPr>
                <w:rFonts w:hint="eastAsia" w:ascii="宋体" w:hAnsi="宋体" w:eastAsia="宋体" w:cs="宋体"/>
                <w:bCs/>
                <w:color w:val="auto"/>
                <w:sz w:val="21"/>
                <w:szCs w:val="21"/>
              </w:rPr>
              <w:t>▲</w:t>
            </w:r>
            <w:bookmarkEnd w:id="47"/>
            <w:r>
              <w:rPr>
                <w:rFonts w:hint="eastAsia" w:ascii="宋体" w:hAnsi="宋体" w:eastAsia="宋体" w:cs="宋体"/>
                <w:bCs/>
                <w:color w:val="auto"/>
                <w:sz w:val="21"/>
                <w:szCs w:val="21"/>
              </w:rPr>
              <w:t>”的条款是实质性条款，投标文件须作出实质性响应，否则作无效投标处理。</w:t>
            </w:r>
          </w:p>
        </w:tc>
      </w:tr>
      <w:tr w14:paraId="6350B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43F08B51">
            <w:pPr>
              <w:keepNext w:val="0"/>
              <w:keepLines w:val="0"/>
              <w:pageBreakBefore w:val="0"/>
              <w:widowControl w:val="0"/>
              <w:kinsoku/>
              <w:wordWrap/>
              <w:overflowPunct/>
              <w:topLinePunct w:val="0"/>
              <w:bidi w:val="0"/>
              <w:adjustRightInd w:val="0"/>
              <w:snapToGrid w:val="0"/>
              <w:spacing w:after="0" w:line="288"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13</w:t>
            </w:r>
          </w:p>
        </w:tc>
        <w:tc>
          <w:tcPr>
            <w:tcW w:w="1556" w:type="dxa"/>
            <w:tcBorders>
              <w:top w:val="single" w:color="auto" w:sz="4" w:space="0"/>
              <w:left w:val="single" w:color="auto" w:sz="4" w:space="0"/>
              <w:bottom w:val="single" w:color="auto" w:sz="4" w:space="0"/>
              <w:right w:val="single" w:color="auto" w:sz="4" w:space="0"/>
            </w:tcBorders>
            <w:vAlign w:val="center"/>
          </w:tcPr>
          <w:p w14:paraId="7E1D864D">
            <w:pPr>
              <w:keepNext w:val="0"/>
              <w:keepLines w:val="0"/>
              <w:pageBreakBefore w:val="0"/>
              <w:widowControl w:val="0"/>
              <w:kinsoku/>
              <w:wordWrap/>
              <w:overflowPunct/>
              <w:topLinePunct w:val="0"/>
              <w:autoSpaceDE w:val="0"/>
              <w:autoSpaceDN w:val="0"/>
              <w:bidi w:val="0"/>
              <w:adjustRightInd w:val="0"/>
              <w:snapToGrid w:val="0"/>
              <w:spacing w:after="0" w:line="288" w:lineRule="auto"/>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rPr>
              <w:t>样品及递交要求</w:t>
            </w:r>
          </w:p>
        </w:tc>
        <w:tc>
          <w:tcPr>
            <w:tcW w:w="6798" w:type="dxa"/>
            <w:tcBorders>
              <w:top w:val="single" w:color="auto" w:sz="4" w:space="0"/>
              <w:left w:val="single" w:color="auto" w:sz="4" w:space="0"/>
              <w:bottom w:val="single" w:color="auto" w:sz="4" w:space="0"/>
              <w:right w:val="single" w:color="auto" w:sz="4" w:space="0"/>
            </w:tcBorders>
            <w:vAlign w:val="center"/>
          </w:tcPr>
          <w:p w14:paraId="4DB63D0B">
            <w:pPr>
              <w:keepNext w:val="0"/>
              <w:keepLines w:val="0"/>
              <w:pageBreakBefore w:val="0"/>
              <w:widowControl w:val="0"/>
              <w:kinsoku/>
              <w:wordWrap/>
              <w:overflowPunct/>
              <w:topLinePunct w:val="0"/>
              <w:autoSpaceDE w:val="0"/>
              <w:autoSpaceDN w:val="0"/>
              <w:bidi w:val="0"/>
              <w:adjustRightInd w:val="0"/>
              <w:snapToGrid w:val="0"/>
              <w:spacing w:after="0" w:line="288" w:lineRule="auto"/>
              <w:textAlignment w:val="auto"/>
              <w:rPr>
                <w:rFonts w:hint="eastAsia" w:ascii="宋体" w:hAnsi="宋体" w:eastAsia="宋体" w:cs="宋体"/>
                <w:color w:val="auto"/>
                <w:kern w:val="0"/>
                <w:sz w:val="21"/>
                <w:szCs w:val="21"/>
                <w:lang w:val="zh-CN"/>
              </w:rPr>
            </w:pPr>
            <w:r>
              <w:rPr>
                <w:rFonts w:hint="eastAsia" w:ascii="宋体" w:hAnsi="宋体" w:eastAsia="宋体" w:cs="宋体"/>
                <w:color w:val="auto"/>
                <w:kern w:val="0"/>
                <w:sz w:val="21"/>
                <w:szCs w:val="21"/>
                <w:lang w:val="zh-CN"/>
              </w:rPr>
              <w:t>不提交。在投标文件中须提供清晰的能反映投标产品真实性能、品质的检测报告或实物图，图片不清晰或不能反映产品真实性能影响打分的由供应商自行承担后果。</w:t>
            </w:r>
          </w:p>
        </w:tc>
      </w:tr>
      <w:tr w14:paraId="79529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6BA2AB8A">
            <w:pPr>
              <w:keepNext w:val="0"/>
              <w:keepLines w:val="0"/>
              <w:pageBreakBefore w:val="0"/>
              <w:widowControl w:val="0"/>
              <w:kinsoku/>
              <w:wordWrap/>
              <w:overflowPunct/>
              <w:topLinePunct w:val="0"/>
              <w:bidi w:val="0"/>
              <w:adjustRightInd w:val="0"/>
              <w:snapToGrid w:val="0"/>
              <w:spacing w:after="0" w:line="288"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w:t>
            </w:r>
          </w:p>
        </w:tc>
        <w:tc>
          <w:tcPr>
            <w:tcW w:w="1556" w:type="dxa"/>
            <w:tcBorders>
              <w:top w:val="single" w:color="auto" w:sz="4" w:space="0"/>
              <w:left w:val="single" w:color="auto" w:sz="4" w:space="0"/>
              <w:bottom w:val="single" w:color="auto" w:sz="4" w:space="0"/>
              <w:right w:val="single" w:color="auto" w:sz="4" w:space="0"/>
            </w:tcBorders>
            <w:vAlign w:val="center"/>
          </w:tcPr>
          <w:p w14:paraId="0CB820B2">
            <w:pPr>
              <w:keepNext w:val="0"/>
              <w:keepLines w:val="0"/>
              <w:pageBreakBefore w:val="0"/>
              <w:widowControl w:val="0"/>
              <w:kinsoku/>
              <w:wordWrap/>
              <w:overflowPunct/>
              <w:topLinePunct w:val="0"/>
              <w:autoSpaceDE w:val="0"/>
              <w:autoSpaceDN w:val="0"/>
              <w:bidi w:val="0"/>
              <w:adjustRightInd w:val="0"/>
              <w:snapToGrid w:val="0"/>
              <w:spacing w:after="0" w:line="288"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演示</w:t>
            </w:r>
            <w:r>
              <w:rPr>
                <w:rFonts w:hint="eastAsia" w:ascii="宋体" w:hAnsi="宋体" w:eastAsia="宋体" w:cs="宋体"/>
                <w:color w:val="auto"/>
                <w:sz w:val="21"/>
                <w:szCs w:val="21"/>
                <w:highlight w:val="none"/>
              </w:rPr>
              <w:t>及递交要求</w:t>
            </w:r>
          </w:p>
        </w:tc>
        <w:tc>
          <w:tcPr>
            <w:tcW w:w="6798" w:type="dxa"/>
            <w:tcBorders>
              <w:top w:val="single" w:color="auto" w:sz="4" w:space="0"/>
              <w:left w:val="single" w:color="auto" w:sz="4" w:space="0"/>
              <w:bottom w:val="single" w:color="auto" w:sz="4" w:space="0"/>
              <w:right w:val="single" w:color="auto" w:sz="4" w:space="0"/>
            </w:tcBorders>
            <w:vAlign w:val="center"/>
          </w:tcPr>
          <w:p w14:paraId="40709B68">
            <w:pPr>
              <w:keepNext w:val="0"/>
              <w:keepLines w:val="0"/>
              <w:pageBreakBefore w:val="0"/>
              <w:widowControl w:val="0"/>
              <w:kinsoku/>
              <w:wordWrap/>
              <w:overflowPunct/>
              <w:topLinePunct w:val="0"/>
              <w:autoSpaceDE w:val="0"/>
              <w:autoSpaceDN w:val="0"/>
              <w:bidi w:val="0"/>
              <w:adjustRightInd w:val="0"/>
              <w:snapToGrid w:val="0"/>
              <w:spacing w:after="0" w:line="288" w:lineRule="auto"/>
              <w:textAlignment w:val="auto"/>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无</w:t>
            </w:r>
          </w:p>
        </w:tc>
      </w:tr>
      <w:tr w14:paraId="1DDBF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2BD3C41A">
            <w:pPr>
              <w:keepNext w:val="0"/>
              <w:keepLines w:val="0"/>
              <w:pageBreakBefore w:val="0"/>
              <w:widowControl w:val="0"/>
              <w:kinsoku/>
              <w:wordWrap/>
              <w:overflowPunct/>
              <w:topLinePunct w:val="0"/>
              <w:bidi w:val="0"/>
              <w:adjustRightInd w:val="0"/>
              <w:snapToGrid w:val="0"/>
              <w:spacing w:after="0" w:line="288" w:lineRule="auto"/>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5</w:t>
            </w:r>
          </w:p>
        </w:tc>
        <w:tc>
          <w:tcPr>
            <w:tcW w:w="1556" w:type="dxa"/>
            <w:tcBorders>
              <w:top w:val="single" w:color="auto" w:sz="4" w:space="0"/>
              <w:left w:val="single" w:color="auto" w:sz="4" w:space="0"/>
              <w:bottom w:val="single" w:color="auto" w:sz="4" w:space="0"/>
              <w:right w:val="single" w:color="auto" w:sz="4" w:space="0"/>
            </w:tcBorders>
            <w:vAlign w:val="center"/>
          </w:tcPr>
          <w:p w14:paraId="7616D9A8">
            <w:pPr>
              <w:keepNext w:val="0"/>
              <w:keepLines w:val="0"/>
              <w:pageBreakBefore w:val="0"/>
              <w:widowControl w:val="0"/>
              <w:kinsoku/>
              <w:wordWrap/>
              <w:overflowPunct/>
              <w:topLinePunct w:val="0"/>
              <w:autoSpaceDE w:val="0"/>
              <w:autoSpaceDN w:val="0"/>
              <w:bidi w:val="0"/>
              <w:adjustRightInd w:val="0"/>
              <w:snapToGrid w:val="0"/>
              <w:spacing w:after="0" w:line="288" w:lineRule="auto"/>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rPr>
              <w:t>节能环保</w:t>
            </w:r>
          </w:p>
        </w:tc>
        <w:tc>
          <w:tcPr>
            <w:tcW w:w="6798" w:type="dxa"/>
            <w:tcBorders>
              <w:top w:val="single" w:color="auto" w:sz="4" w:space="0"/>
              <w:left w:val="single" w:color="auto" w:sz="4" w:space="0"/>
              <w:bottom w:val="single" w:color="auto" w:sz="4" w:space="0"/>
              <w:right w:val="single" w:color="auto" w:sz="4" w:space="0"/>
            </w:tcBorders>
            <w:vAlign w:val="center"/>
          </w:tcPr>
          <w:p w14:paraId="65A8F56B">
            <w:pPr>
              <w:keepNext w:val="0"/>
              <w:keepLines w:val="0"/>
              <w:pageBreakBefore w:val="0"/>
              <w:widowControl w:val="0"/>
              <w:kinsoku/>
              <w:wordWrap/>
              <w:overflowPunct/>
              <w:topLinePunct w:val="0"/>
              <w:autoSpaceDE w:val="0"/>
              <w:autoSpaceDN w:val="0"/>
              <w:bidi w:val="0"/>
              <w:adjustRightInd w:val="0"/>
              <w:snapToGrid w:val="0"/>
              <w:spacing w:after="0" w:line="288" w:lineRule="auto"/>
              <w:textAlignment w:val="auto"/>
              <w:rPr>
                <w:rFonts w:hint="eastAsia" w:ascii="宋体" w:hAnsi="宋体" w:eastAsia="宋体" w:cs="宋体"/>
                <w:color w:val="auto"/>
                <w:kern w:val="0"/>
                <w:sz w:val="21"/>
                <w:szCs w:val="21"/>
                <w:lang w:val="zh-CN"/>
              </w:rPr>
            </w:pPr>
            <w:r>
              <w:rPr>
                <w:rFonts w:hint="eastAsia" w:ascii="宋体" w:hAnsi="宋体" w:eastAsia="宋体" w:cs="宋体"/>
                <w:color w:val="auto"/>
                <w:sz w:val="21"/>
                <w:szCs w:val="21"/>
              </w:rPr>
              <w:t>符合国家相关法律规定。</w:t>
            </w:r>
          </w:p>
        </w:tc>
      </w:tr>
      <w:tr w14:paraId="7CF06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1BE8DEAF">
            <w:pPr>
              <w:keepNext w:val="0"/>
              <w:keepLines w:val="0"/>
              <w:pageBreakBefore w:val="0"/>
              <w:widowControl w:val="0"/>
              <w:kinsoku/>
              <w:wordWrap/>
              <w:overflowPunct/>
              <w:topLinePunct w:val="0"/>
              <w:bidi w:val="0"/>
              <w:adjustRightInd w:val="0"/>
              <w:snapToGrid w:val="0"/>
              <w:spacing w:after="0" w:line="288" w:lineRule="auto"/>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6</w:t>
            </w:r>
          </w:p>
        </w:tc>
        <w:tc>
          <w:tcPr>
            <w:tcW w:w="1556" w:type="dxa"/>
            <w:tcBorders>
              <w:top w:val="single" w:color="auto" w:sz="4" w:space="0"/>
              <w:left w:val="single" w:color="auto" w:sz="4" w:space="0"/>
              <w:bottom w:val="single" w:color="auto" w:sz="4" w:space="0"/>
              <w:right w:val="single" w:color="auto" w:sz="4" w:space="0"/>
            </w:tcBorders>
            <w:vAlign w:val="center"/>
          </w:tcPr>
          <w:p w14:paraId="4FB39419">
            <w:pPr>
              <w:keepNext w:val="0"/>
              <w:keepLines w:val="0"/>
              <w:pageBreakBefore w:val="0"/>
              <w:widowControl w:val="0"/>
              <w:kinsoku/>
              <w:wordWrap/>
              <w:overflowPunct/>
              <w:topLinePunct w:val="0"/>
              <w:autoSpaceDE w:val="0"/>
              <w:autoSpaceDN w:val="0"/>
              <w:bidi w:val="0"/>
              <w:adjustRightInd w:val="0"/>
              <w:snapToGrid w:val="0"/>
              <w:spacing w:after="0" w:line="288"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解释权</w:t>
            </w:r>
          </w:p>
        </w:tc>
        <w:tc>
          <w:tcPr>
            <w:tcW w:w="6798" w:type="dxa"/>
            <w:tcBorders>
              <w:top w:val="single" w:color="auto" w:sz="4" w:space="0"/>
              <w:left w:val="single" w:color="auto" w:sz="4" w:space="0"/>
              <w:bottom w:val="single" w:color="auto" w:sz="4" w:space="0"/>
              <w:right w:val="single" w:color="auto" w:sz="4" w:space="0"/>
            </w:tcBorders>
            <w:vAlign w:val="center"/>
          </w:tcPr>
          <w:p w14:paraId="37456996">
            <w:pPr>
              <w:keepNext w:val="0"/>
              <w:keepLines w:val="0"/>
              <w:pageBreakBefore w:val="0"/>
              <w:widowControl w:val="0"/>
              <w:kinsoku/>
              <w:wordWrap/>
              <w:overflowPunct/>
              <w:topLinePunct w:val="0"/>
              <w:autoSpaceDE w:val="0"/>
              <w:autoSpaceDN w:val="0"/>
              <w:bidi w:val="0"/>
              <w:adjustRightInd w:val="0"/>
              <w:snapToGrid w:val="0"/>
              <w:spacing w:after="0" w:line="288"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本招标文件解释权属于采购人和</w:t>
            </w:r>
            <w:r>
              <w:rPr>
                <w:rFonts w:hint="eastAsia" w:ascii="宋体" w:hAnsi="宋体" w:eastAsia="宋体" w:cs="宋体"/>
                <w:color w:val="auto"/>
                <w:sz w:val="21"/>
                <w:szCs w:val="21"/>
                <w:lang w:eastAsia="zh-CN"/>
              </w:rPr>
              <w:t>台州市玖诚工程管理有限公司</w:t>
            </w:r>
          </w:p>
        </w:tc>
      </w:tr>
      <w:tr w14:paraId="35474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2D74A5B2">
            <w:pPr>
              <w:keepNext w:val="0"/>
              <w:keepLines w:val="0"/>
              <w:pageBreakBefore w:val="0"/>
              <w:widowControl w:val="0"/>
              <w:kinsoku/>
              <w:wordWrap/>
              <w:overflowPunct/>
              <w:topLinePunct w:val="0"/>
              <w:bidi w:val="0"/>
              <w:adjustRightInd w:val="0"/>
              <w:snapToGrid w:val="0"/>
              <w:spacing w:after="0" w:line="288" w:lineRule="auto"/>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7</w:t>
            </w:r>
          </w:p>
        </w:tc>
        <w:tc>
          <w:tcPr>
            <w:tcW w:w="1556" w:type="dxa"/>
            <w:tcBorders>
              <w:top w:val="single" w:color="auto" w:sz="4" w:space="0"/>
              <w:left w:val="single" w:color="auto" w:sz="4" w:space="0"/>
              <w:bottom w:val="single" w:color="auto" w:sz="4" w:space="0"/>
              <w:right w:val="single" w:color="auto" w:sz="4" w:space="0"/>
            </w:tcBorders>
            <w:vAlign w:val="center"/>
          </w:tcPr>
          <w:p w14:paraId="6F055EA0">
            <w:pPr>
              <w:keepNext w:val="0"/>
              <w:keepLines w:val="0"/>
              <w:pageBreakBefore w:val="0"/>
              <w:widowControl w:val="0"/>
              <w:kinsoku/>
              <w:wordWrap/>
              <w:overflowPunct/>
              <w:topLinePunct w:val="0"/>
              <w:autoSpaceDE w:val="0"/>
              <w:autoSpaceDN w:val="0"/>
              <w:bidi w:val="0"/>
              <w:adjustRightInd w:val="0"/>
              <w:snapToGrid w:val="0"/>
              <w:spacing w:after="0" w:line="288"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资料归档</w:t>
            </w:r>
          </w:p>
        </w:tc>
        <w:tc>
          <w:tcPr>
            <w:tcW w:w="6798" w:type="dxa"/>
            <w:tcBorders>
              <w:top w:val="single" w:color="auto" w:sz="4" w:space="0"/>
              <w:left w:val="single" w:color="auto" w:sz="4" w:space="0"/>
              <w:bottom w:val="single" w:color="auto" w:sz="4" w:space="0"/>
              <w:right w:val="single" w:color="auto" w:sz="4" w:space="0"/>
            </w:tcBorders>
            <w:vAlign w:val="center"/>
          </w:tcPr>
          <w:p w14:paraId="3C0C0C79">
            <w:pPr>
              <w:keepNext w:val="0"/>
              <w:keepLines w:val="0"/>
              <w:pageBreakBefore w:val="0"/>
              <w:widowControl w:val="0"/>
              <w:kinsoku/>
              <w:wordWrap/>
              <w:overflowPunct/>
              <w:topLinePunct w:val="0"/>
              <w:autoSpaceDE w:val="0"/>
              <w:autoSpaceDN w:val="0"/>
              <w:bidi w:val="0"/>
              <w:adjustRightInd w:val="0"/>
              <w:snapToGrid w:val="0"/>
              <w:spacing w:after="0"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中标人在收到中标通知后7个工作日内提交纸质版投标文件（内容同电子投标文件）一正两副</w:t>
            </w:r>
            <w:r>
              <w:rPr>
                <w:rFonts w:hint="eastAsia" w:ascii="宋体" w:hAnsi="宋体" w:eastAsia="宋体" w:cs="宋体"/>
                <w:color w:val="auto"/>
                <w:sz w:val="21"/>
                <w:szCs w:val="21"/>
                <w:lang w:val="en-US" w:eastAsia="zh-CN"/>
              </w:rPr>
              <w:t>至招标代理机构</w:t>
            </w:r>
            <w:r>
              <w:rPr>
                <w:rFonts w:hint="eastAsia" w:ascii="宋体" w:hAnsi="宋体" w:eastAsia="宋体" w:cs="宋体"/>
                <w:color w:val="auto"/>
                <w:sz w:val="21"/>
                <w:szCs w:val="21"/>
              </w:rPr>
              <w:t>，用于项目资料存档。分别为纸质资格证明文件3份；商务与技术文件3份；报价文件3份。</w:t>
            </w:r>
          </w:p>
        </w:tc>
      </w:tr>
      <w:tr w14:paraId="65D83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14:paraId="0B06158C">
            <w:pPr>
              <w:keepNext w:val="0"/>
              <w:keepLines w:val="0"/>
              <w:pageBreakBefore w:val="0"/>
              <w:widowControl w:val="0"/>
              <w:kinsoku/>
              <w:wordWrap/>
              <w:overflowPunct/>
              <w:topLinePunct w:val="0"/>
              <w:bidi w:val="0"/>
              <w:adjustRightInd w:val="0"/>
              <w:snapToGrid w:val="0"/>
              <w:spacing w:after="0" w:line="288" w:lineRule="auto"/>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8</w:t>
            </w:r>
          </w:p>
        </w:tc>
        <w:tc>
          <w:tcPr>
            <w:tcW w:w="1556" w:type="dxa"/>
            <w:tcBorders>
              <w:top w:val="single" w:color="auto" w:sz="4" w:space="0"/>
              <w:left w:val="single" w:color="auto" w:sz="4" w:space="0"/>
              <w:bottom w:val="single" w:color="auto" w:sz="4" w:space="0"/>
              <w:right w:val="single" w:color="auto" w:sz="4" w:space="0"/>
            </w:tcBorders>
            <w:vAlign w:val="center"/>
          </w:tcPr>
          <w:p w14:paraId="03754B4B">
            <w:pPr>
              <w:keepNext w:val="0"/>
              <w:keepLines w:val="0"/>
              <w:pageBreakBefore w:val="0"/>
              <w:widowControl w:val="0"/>
              <w:kinsoku/>
              <w:wordWrap/>
              <w:overflowPunct/>
              <w:topLinePunct w:val="0"/>
              <w:autoSpaceDE w:val="0"/>
              <w:autoSpaceDN w:val="0"/>
              <w:bidi w:val="0"/>
              <w:adjustRightInd w:val="0"/>
              <w:snapToGrid w:val="0"/>
              <w:spacing w:after="0" w:line="288"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注意事项</w:t>
            </w:r>
          </w:p>
        </w:tc>
        <w:tc>
          <w:tcPr>
            <w:tcW w:w="6798" w:type="dxa"/>
            <w:tcBorders>
              <w:top w:val="single" w:color="auto" w:sz="4" w:space="0"/>
              <w:left w:val="single" w:color="auto" w:sz="4" w:space="0"/>
              <w:bottom w:val="single" w:color="auto" w:sz="4" w:space="0"/>
              <w:right w:val="single" w:color="auto" w:sz="4" w:space="0"/>
            </w:tcBorders>
            <w:vAlign w:val="center"/>
          </w:tcPr>
          <w:p w14:paraId="45D62EE6">
            <w:pPr>
              <w:keepNext w:val="0"/>
              <w:keepLines w:val="0"/>
              <w:pageBreakBefore w:val="0"/>
              <w:widowControl w:val="0"/>
              <w:kinsoku/>
              <w:wordWrap/>
              <w:overflowPunct/>
              <w:topLinePunct w:val="0"/>
              <w:bidi w:val="0"/>
              <w:adjustRightInd w:val="0"/>
              <w:snapToGrid w:val="0"/>
              <w:spacing w:after="0"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1、投标人应严格按照招标文件及补充文件的规定和要求编制投标文件。在编制投标文件过程中,应严格遵循实事求是、诚信投标的原则,如有偏离,应如实填写响应偏离。</w:t>
            </w:r>
          </w:p>
          <w:p w14:paraId="44D1FF4D">
            <w:pPr>
              <w:keepNext w:val="0"/>
              <w:keepLines w:val="0"/>
              <w:pageBreakBefore w:val="0"/>
              <w:widowControl w:val="0"/>
              <w:kinsoku/>
              <w:wordWrap/>
              <w:overflowPunct/>
              <w:topLinePunct w:val="0"/>
              <w:bidi w:val="0"/>
              <w:adjustRightInd w:val="0"/>
              <w:snapToGrid w:val="0"/>
              <w:spacing w:after="0"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2、如果发现本招标文件中存在歧视性不公正条款或违法违规等内容时,请投标人在招标文件的质疑有效期内及时书面一次性提出。</w:t>
            </w:r>
          </w:p>
          <w:p w14:paraId="473C0D55">
            <w:pPr>
              <w:keepNext w:val="0"/>
              <w:keepLines w:val="0"/>
              <w:pageBreakBefore w:val="0"/>
              <w:widowControl w:val="0"/>
              <w:kinsoku/>
              <w:wordWrap/>
              <w:overflowPunct/>
              <w:topLinePunct w:val="0"/>
              <w:bidi w:val="0"/>
              <w:adjustRightInd w:val="0"/>
              <w:snapToGrid w:val="0"/>
              <w:spacing w:after="0" w:line="288"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3、采购结果公告期间,投标人不得通过非正当途径获取法律法规规定评标委员会(包括其他相关人员)应当保密的相关内容。</w:t>
            </w:r>
          </w:p>
        </w:tc>
      </w:tr>
      <w:bookmarkEnd w:id="46"/>
    </w:tbl>
    <w:p w14:paraId="0BA29400">
      <w:pPr>
        <w:pStyle w:val="13"/>
        <w:snapToGrid w:val="0"/>
        <w:spacing w:before="120" w:after="0" w:line="312" w:lineRule="auto"/>
        <w:rPr>
          <w:rFonts w:hint="eastAsia" w:hAnsi="宋体" w:cs="宋体"/>
          <w:b/>
          <w:color w:val="auto"/>
          <w:sz w:val="24"/>
        </w:rPr>
      </w:pPr>
    </w:p>
    <w:p w14:paraId="6995FFDD">
      <w:pPr>
        <w:rPr>
          <w:rFonts w:hint="eastAsia" w:hAnsi="宋体" w:cs="宋体"/>
          <w:b/>
          <w:color w:val="auto"/>
          <w:sz w:val="24"/>
        </w:rPr>
      </w:pPr>
      <w:r>
        <w:rPr>
          <w:rFonts w:hint="eastAsia" w:hAnsi="宋体" w:cs="宋体"/>
          <w:b/>
          <w:color w:val="auto"/>
          <w:sz w:val="24"/>
        </w:rPr>
        <w:br w:type="page"/>
      </w:r>
    </w:p>
    <w:p w14:paraId="341B72AD">
      <w:pPr>
        <w:pStyle w:val="13"/>
        <w:keepNext w:val="0"/>
        <w:keepLines w:val="0"/>
        <w:pageBreakBefore w:val="0"/>
        <w:kinsoku/>
        <w:wordWrap/>
        <w:overflowPunct/>
        <w:topLinePunct w:val="0"/>
        <w:bidi w:val="0"/>
        <w:snapToGrid w:val="0"/>
        <w:spacing w:after="0" w:line="312" w:lineRule="auto"/>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一 、总  则</w:t>
      </w:r>
    </w:p>
    <w:p w14:paraId="1C0B1F4E">
      <w:pPr>
        <w:pStyle w:val="13"/>
        <w:keepNext w:val="0"/>
        <w:keepLines w:val="0"/>
        <w:pageBreakBefore w:val="0"/>
        <w:kinsoku/>
        <w:wordWrap/>
        <w:overflowPunct/>
        <w:topLinePunct w:val="0"/>
        <w:bidi w:val="0"/>
        <w:snapToGrid w:val="0"/>
        <w:spacing w:after="0" w:line="312" w:lineRule="auto"/>
        <w:ind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（一）适用范围</w:t>
      </w:r>
    </w:p>
    <w:p w14:paraId="71BCBF9C">
      <w:pPr>
        <w:keepNext w:val="0"/>
        <w:keepLines w:val="0"/>
        <w:pageBreakBefore w:val="0"/>
        <w:kinsoku/>
        <w:wordWrap/>
        <w:overflowPunct/>
        <w:topLinePunct w:val="0"/>
        <w:bidi w:val="0"/>
        <w:snapToGrid w:val="0"/>
        <w:spacing w:after="0" w:line="312"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本招标文件适用于</w:t>
      </w:r>
      <w:r>
        <w:rPr>
          <w:rFonts w:hint="eastAsia" w:ascii="宋体" w:hAnsi="宋体" w:eastAsia="宋体" w:cs="宋体"/>
          <w:bCs/>
          <w:color w:val="auto"/>
          <w:sz w:val="21"/>
          <w:szCs w:val="21"/>
        </w:rPr>
        <w:t>本次</w:t>
      </w:r>
      <w:r>
        <w:rPr>
          <w:rFonts w:hint="eastAsia" w:ascii="宋体" w:hAnsi="宋体" w:eastAsia="宋体" w:cs="宋体"/>
          <w:color w:val="auto"/>
          <w:sz w:val="21"/>
          <w:szCs w:val="21"/>
        </w:rPr>
        <w:t>项目的招标、投标、评标、定标、验收、合同履约、付款等行为（法律、法规另有规定的，从其规定）。</w:t>
      </w:r>
    </w:p>
    <w:p w14:paraId="710FC06D">
      <w:pPr>
        <w:keepNext w:val="0"/>
        <w:keepLines w:val="0"/>
        <w:pageBreakBefore w:val="0"/>
        <w:kinsoku/>
        <w:wordWrap/>
        <w:overflowPunct/>
        <w:topLinePunct w:val="0"/>
        <w:bidi w:val="0"/>
        <w:snapToGrid w:val="0"/>
        <w:spacing w:after="0" w:line="312" w:lineRule="auto"/>
        <w:ind w:firstLine="422" w:firstLineChars="200"/>
        <w:jc w:val="left"/>
        <w:textAlignment w:val="auto"/>
        <w:outlineLvl w:val="1"/>
        <w:rPr>
          <w:rFonts w:hint="eastAsia" w:ascii="宋体" w:hAnsi="宋体" w:eastAsia="宋体" w:cs="宋体"/>
          <w:b/>
          <w:color w:val="auto"/>
          <w:sz w:val="21"/>
          <w:szCs w:val="21"/>
        </w:rPr>
      </w:pPr>
      <w:r>
        <w:rPr>
          <w:rFonts w:hint="eastAsia" w:ascii="宋体" w:hAnsi="宋体" w:eastAsia="宋体" w:cs="宋体"/>
          <w:b/>
          <w:color w:val="auto"/>
          <w:sz w:val="21"/>
          <w:szCs w:val="21"/>
        </w:rPr>
        <w:t>（二）定义</w:t>
      </w:r>
    </w:p>
    <w:p w14:paraId="04560013">
      <w:pPr>
        <w:pStyle w:val="4"/>
        <w:keepNext w:val="0"/>
        <w:keepLines w:val="0"/>
        <w:pageBreakBefore w:val="0"/>
        <w:tabs>
          <w:tab w:val="left" w:pos="0"/>
          <w:tab w:val="left" w:pos="851"/>
        </w:tabs>
        <w:kinsoku/>
        <w:wordWrap/>
        <w:overflowPunct/>
        <w:topLinePunct w:val="0"/>
        <w:autoSpaceDE w:val="0"/>
        <w:autoSpaceDN w:val="0"/>
        <w:bidi w:val="0"/>
        <w:adjustRightInd w:val="0"/>
        <w:snapToGrid w:val="0"/>
        <w:spacing w:before="0" w:after="0" w:line="312" w:lineRule="auto"/>
        <w:ind w:firstLine="495" w:firstLineChars="236"/>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w:t>
      </w:r>
      <w:r>
        <w:rPr>
          <w:rFonts w:hint="eastAsia" w:ascii="宋体" w:hAnsi="宋体" w:eastAsia="宋体" w:cs="宋体"/>
          <w:b w:val="0"/>
          <w:bCs w:val="0"/>
          <w:color w:val="auto"/>
          <w:sz w:val="21"/>
          <w:szCs w:val="21"/>
          <w:lang w:val="zh-CN"/>
        </w:rPr>
        <w:t>“采购组织机构”指采购人委托组织招标的集中采购机构</w:t>
      </w:r>
      <w:r>
        <w:rPr>
          <w:rFonts w:hint="eastAsia" w:ascii="宋体" w:hAnsi="宋体" w:eastAsia="宋体" w:cs="宋体"/>
          <w:b w:val="0"/>
          <w:bCs w:val="0"/>
          <w:color w:val="auto"/>
          <w:sz w:val="21"/>
          <w:szCs w:val="21"/>
        </w:rPr>
        <w:t>/</w:t>
      </w:r>
      <w:r>
        <w:rPr>
          <w:rFonts w:hint="eastAsia" w:ascii="宋体" w:hAnsi="宋体" w:eastAsia="宋体" w:cs="宋体"/>
          <w:b w:val="0"/>
          <w:bCs w:val="0"/>
          <w:color w:val="auto"/>
          <w:sz w:val="21"/>
          <w:szCs w:val="21"/>
          <w:lang w:val="zh-CN"/>
        </w:rPr>
        <w:t>采购代理机构。</w:t>
      </w:r>
    </w:p>
    <w:p w14:paraId="724D90B9">
      <w:pPr>
        <w:keepNext w:val="0"/>
        <w:keepLines w:val="0"/>
        <w:pageBreakBefore w:val="0"/>
        <w:kinsoku/>
        <w:wordWrap/>
        <w:overflowPunct/>
        <w:topLinePunct w:val="0"/>
        <w:bidi w:val="0"/>
        <w:snapToGrid w:val="0"/>
        <w:spacing w:after="0" w:line="312" w:lineRule="auto"/>
        <w:ind w:firstLine="495" w:firstLineChars="236"/>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2、采购人：是指委托</w:t>
      </w:r>
      <w:r>
        <w:rPr>
          <w:rFonts w:hint="eastAsia" w:ascii="宋体" w:hAnsi="宋体" w:eastAsia="宋体" w:cs="宋体"/>
          <w:color w:val="auto"/>
          <w:sz w:val="21"/>
          <w:szCs w:val="21"/>
          <w:lang w:val="zh-CN"/>
        </w:rPr>
        <w:t>集中采购机构</w:t>
      </w:r>
      <w:r>
        <w:rPr>
          <w:rFonts w:hint="eastAsia" w:ascii="宋体" w:hAnsi="宋体" w:eastAsia="宋体" w:cs="宋体"/>
          <w:color w:val="auto"/>
          <w:sz w:val="21"/>
          <w:szCs w:val="21"/>
        </w:rPr>
        <w:t>/采购代理机构采购本次项目的国家机关、事业单位和团体组织。</w:t>
      </w:r>
    </w:p>
    <w:p w14:paraId="24B5EF69">
      <w:pPr>
        <w:keepNext w:val="0"/>
        <w:keepLines w:val="0"/>
        <w:pageBreakBefore w:val="0"/>
        <w:kinsoku/>
        <w:wordWrap/>
        <w:overflowPunct/>
        <w:topLinePunct w:val="0"/>
        <w:bidi w:val="0"/>
        <w:snapToGrid w:val="0"/>
        <w:spacing w:after="0" w:line="312" w:lineRule="auto"/>
        <w:ind w:left="424" w:leftChars="202" w:firstLine="123" w:firstLineChars="59"/>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3、投标人：是指向采购</w:t>
      </w:r>
      <w:r>
        <w:rPr>
          <w:rFonts w:hint="eastAsia" w:ascii="宋体" w:hAnsi="宋体" w:eastAsia="宋体" w:cs="宋体"/>
          <w:color w:val="auto"/>
          <w:sz w:val="21"/>
          <w:szCs w:val="21"/>
          <w:lang w:val="zh-CN"/>
        </w:rPr>
        <w:t>组织</w:t>
      </w:r>
      <w:r>
        <w:rPr>
          <w:rFonts w:hint="eastAsia" w:ascii="宋体" w:hAnsi="宋体" w:eastAsia="宋体" w:cs="宋体"/>
          <w:color w:val="auto"/>
          <w:sz w:val="21"/>
          <w:szCs w:val="21"/>
        </w:rPr>
        <w:t>机构提交投标文件的单位或个人。</w:t>
      </w:r>
    </w:p>
    <w:p w14:paraId="72AE5FB1">
      <w:pPr>
        <w:pStyle w:val="4"/>
        <w:keepNext w:val="0"/>
        <w:keepLines w:val="0"/>
        <w:pageBreakBefore w:val="0"/>
        <w:tabs>
          <w:tab w:val="left" w:pos="0"/>
          <w:tab w:val="left" w:pos="851"/>
        </w:tabs>
        <w:kinsoku/>
        <w:wordWrap/>
        <w:overflowPunct/>
        <w:topLinePunct w:val="0"/>
        <w:autoSpaceDE w:val="0"/>
        <w:autoSpaceDN w:val="0"/>
        <w:bidi w:val="0"/>
        <w:adjustRightInd w:val="0"/>
        <w:snapToGrid w:val="0"/>
        <w:spacing w:before="0" w:after="0" w:line="312" w:lineRule="auto"/>
        <w:ind w:firstLine="495" w:firstLineChars="236"/>
        <w:jc w:val="left"/>
        <w:textAlignment w:val="auto"/>
        <w:rPr>
          <w:rFonts w:hint="eastAsia" w:ascii="宋体" w:hAnsi="宋体" w:eastAsia="宋体" w:cs="宋体"/>
          <w:b w:val="0"/>
          <w:bCs w:val="0"/>
          <w:color w:val="auto"/>
          <w:sz w:val="21"/>
          <w:szCs w:val="21"/>
          <w:lang w:val="zh-CN"/>
        </w:rPr>
      </w:pPr>
      <w:r>
        <w:rPr>
          <w:rFonts w:hint="eastAsia" w:ascii="宋体" w:hAnsi="宋体" w:eastAsia="宋体" w:cs="宋体"/>
          <w:b w:val="0"/>
          <w:bCs w:val="0"/>
          <w:color w:val="auto"/>
          <w:sz w:val="21"/>
          <w:szCs w:val="21"/>
          <w:lang w:val="zh-CN"/>
        </w:rPr>
        <w:t>4、中标人：是指经评标委员会评审确定的对招标文件作出实质性响应，经采购人按照规定在评标委员会推荐的中标候选人中确定的或受采购人委托直接确认的，与采购人签订合同资格的投标人。</w:t>
      </w:r>
    </w:p>
    <w:p w14:paraId="2699ED42">
      <w:pPr>
        <w:pStyle w:val="4"/>
        <w:keepNext w:val="0"/>
        <w:keepLines w:val="0"/>
        <w:pageBreakBefore w:val="0"/>
        <w:tabs>
          <w:tab w:val="left" w:pos="0"/>
          <w:tab w:val="left" w:pos="851"/>
        </w:tabs>
        <w:kinsoku/>
        <w:wordWrap/>
        <w:overflowPunct/>
        <w:topLinePunct w:val="0"/>
        <w:autoSpaceDE w:val="0"/>
        <w:autoSpaceDN w:val="0"/>
        <w:bidi w:val="0"/>
        <w:adjustRightInd w:val="0"/>
        <w:snapToGrid w:val="0"/>
        <w:spacing w:before="0" w:after="0" w:line="312" w:lineRule="auto"/>
        <w:ind w:firstLine="495" w:firstLineChars="236"/>
        <w:jc w:val="left"/>
        <w:textAlignment w:val="auto"/>
        <w:rPr>
          <w:rFonts w:hint="eastAsia" w:ascii="宋体" w:hAnsi="宋体" w:eastAsia="宋体" w:cs="宋体"/>
          <w:b w:val="0"/>
          <w:bCs w:val="0"/>
          <w:color w:val="auto"/>
          <w:sz w:val="21"/>
          <w:szCs w:val="21"/>
          <w:lang w:val="zh-CN"/>
        </w:rPr>
      </w:pPr>
      <w:r>
        <w:rPr>
          <w:rFonts w:hint="eastAsia" w:ascii="宋体" w:hAnsi="宋体" w:eastAsia="宋体" w:cs="宋体"/>
          <w:b w:val="0"/>
          <w:bCs w:val="0"/>
          <w:color w:val="auto"/>
          <w:sz w:val="21"/>
          <w:szCs w:val="21"/>
          <w:lang w:val="zh-CN"/>
        </w:rPr>
        <w:t>5、联合体：两个或两个以上法人或者其他组织可以组成一个联合体，以一个投标人的身份共同投标。</w:t>
      </w:r>
    </w:p>
    <w:p w14:paraId="7A2FBC70">
      <w:pPr>
        <w:keepNext w:val="0"/>
        <w:keepLines w:val="0"/>
        <w:pageBreakBefore w:val="0"/>
        <w:kinsoku/>
        <w:wordWrap/>
        <w:overflowPunct/>
        <w:topLinePunct w:val="0"/>
        <w:bidi w:val="0"/>
        <w:snapToGrid w:val="0"/>
        <w:spacing w:after="0" w:line="312" w:lineRule="auto"/>
        <w:ind w:left="424" w:leftChars="202" w:firstLine="142"/>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6、货物：是指各种形态和种类的物品，包括原材料、燃料、设备、产品等。</w:t>
      </w:r>
    </w:p>
    <w:p w14:paraId="145D0F20">
      <w:pPr>
        <w:keepNext w:val="0"/>
        <w:keepLines w:val="0"/>
        <w:pageBreakBefore w:val="0"/>
        <w:kinsoku/>
        <w:wordWrap/>
        <w:overflowPunct/>
        <w:topLinePunct w:val="0"/>
        <w:bidi w:val="0"/>
        <w:snapToGrid w:val="0"/>
        <w:spacing w:after="0" w:line="312" w:lineRule="auto"/>
        <w:ind w:firstLine="495" w:firstLineChars="236"/>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7、服务：是指除货物和工程以外的政府采购对象，包括各类专业服务、信息网络开发服务、金融保险服务、运输服务，以及维修与维护服务等。</w:t>
      </w:r>
    </w:p>
    <w:p w14:paraId="5119EA9B">
      <w:pPr>
        <w:keepNext w:val="0"/>
        <w:keepLines w:val="0"/>
        <w:pageBreakBefore w:val="0"/>
        <w:kinsoku/>
        <w:wordWrap/>
        <w:overflowPunct/>
        <w:topLinePunct w:val="0"/>
        <w:bidi w:val="0"/>
        <w:snapToGrid w:val="0"/>
        <w:spacing w:after="0" w:line="312" w:lineRule="auto"/>
        <w:ind w:firstLine="495" w:firstLineChars="236"/>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8、“书面形式”包括信函、传真等。</w:t>
      </w:r>
    </w:p>
    <w:p w14:paraId="6A4A2E0C">
      <w:pPr>
        <w:keepNext w:val="0"/>
        <w:keepLines w:val="0"/>
        <w:pageBreakBefore w:val="0"/>
        <w:kinsoku/>
        <w:wordWrap/>
        <w:overflowPunct/>
        <w:topLinePunct w:val="0"/>
        <w:bidi w:val="0"/>
        <w:snapToGrid w:val="0"/>
        <w:spacing w:after="0" w:line="312" w:lineRule="auto"/>
        <w:ind w:firstLine="495" w:firstLineChars="236"/>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9、“▲”系指实质性要求条款。</w:t>
      </w:r>
    </w:p>
    <w:p w14:paraId="3AD57839">
      <w:pPr>
        <w:keepNext w:val="0"/>
        <w:keepLines w:val="0"/>
        <w:pageBreakBefore w:val="0"/>
        <w:kinsoku/>
        <w:wordWrap/>
        <w:overflowPunct/>
        <w:topLinePunct w:val="0"/>
        <w:bidi w:val="0"/>
        <w:snapToGrid w:val="0"/>
        <w:spacing w:after="0" w:line="312" w:lineRule="auto"/>
        <w:ind w:left="424" w:leftChars="202" w:firstLine="142"/>
        <w:jc w:val="left"/>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10、“★”项为重要参数指标项。</w:t>
      </w:r>
    </w:p>
    <w:p w14:paraId="2A71F1D5">
      <w:pPr>
        <w:keepNext w:val="0"/>
        <w:keepLines w:val="0"/>
        <w:pageBreakBefore w:val="0"/>
        <w:kinsoku/>
        <w:wordWrap/>
        <w:overflowPunct/>
        <w:topLinePunct w:val="0"/>
        <w:bidi w:val="0"/>
        <w:snapToGrid w:val="0"/>
        <w:spacing w:after="0" w:line="312" w:lineRule="auto"/>
        <w:ind w:firstLine="413" w:firstLineChars="196"/>
        <w:jc w:val="left"/>
        <w:textAlignment w:val="auto"/>
        <w:outlineLvl w:val="1"/>
        <w:rPr>
          <w:rFonts w:hint="eastAsia" w:ascii="宋体" w:hAnsi="宋体" w:eastAsia="宋体" w:cs="宋体"/>
          <w:b/>
          <w:color w:val="auto"/>
          <w:sz w:val="21"/>
          <w:szCs w:val="21"/>
        </w:rPr>
      </w:pPr>
      <w:r>
        <w:rPr>
          <w:rFonts w:hint="eastAsia" w:ascii="宋体" w:hAnsi="宋体" w:eastAsia="宋体" w:cs="宋体"/>
          <w:b/>
          <w:color w:val="auto"/>
          <w:sz w:val="21"/>
          <w:szCs w:val="21"/>
        </w:rPr>
        <w:t>（三）投标费用</w:t>
      </w:r>
    </w:p>
    <w:p w14:paraId="70574B06">
      <w:pPr>
        <w:keepNext w:val="0"/>
        <w:keepLines w:val="0"/>
        <w:pageBreakBefore w:val="0"/>
        <w:widowControl w:val="0"/>
        <w:kinsoku/>
        <w:wordWrap/>
        <w:overflowPunct/>
        <w:topLinePunct w:val="0"/>
        <w:autoSpaceDE/>
        <w:autoSpaceDN/>
        <w:bidi w:val="0"/>
        <w:adjustRightInd/>
        <w:snapToGrid w:val="0"/>
        <w:spacing w:after="0" w:line="312"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不论投标结果如何，投标人均应自行承担所有与投标有关的全部费用（招标文件有相关规定除外）。</w:t>
      </w:r>
    </w:p>
    <w:p w14:paraId="5FE60C6E">
      <w:pPr>
        <w:keepNext w:val="0"/>
        <w:keepLines w:val="0"/>
        <w:pageBreakBefore w:val="0"/>
        <w:widowControl w:val="0"/>
        <w:kinsoku/>
        <w:wordWrap/>
        <w:overflowPunct/>
        <w:topLinePunct w:val="0"/>
        <w:autoSpaceDE/>
        <w:autoSpaceDN/>
        <w:bidi w:val="0"/>
        <w:adjustRightInd/>
        <w:spacing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招标代理费用按照中标通知书确定的中标金额，按下附表收费标准，采用差额累进算法向中标单位收取。招标代理费结算不足</w:t>
      </w:r>
      <w:r>
        <w:rPr>
          <w:rFonts w:hint="eastAsia" w:ascii="宋体" w:hAnsi="宋体" w:cs="宋体"/>
          <w:color w:val="auto"/>
          <w:sz w:val="21"/>
          <w:szCs w:val="21"/>
          <w:lang w:val="en-US" w:eastAsia="zh-CN"/>
        </w:rPr>
        <w:t>陆</w:t>
      </w:r>
      <w:r>
        <w:rPr>
          <w:rFonts w:hint="eastAsia" w:ascii="宋体" w:hAnsi="宋体" w:eastAsia="宋体" w:cs="宋体"/>
          <w:color w:val="auto"/>
          <w:sz w:val="21"/>
          <w:szCs w:val="21"/>
        </w:rPr>
        <w:t>仟元的，按定额</w:t>
      </w:r>
      <w:r>
        <w:rPr>
          <w:rFonts w:hint="eastAsia" w:ascii="宋体" w:hAnsi="宋体" w:cs="宋体"/>
          <w:color w:val="auto"/>
          <w:sz w:val="21"/>
          <w:szCs w:val="21"/>
          <w:lang w:val="en-US" w:eastAsia="zh-CN"/>
        </w:rPr>
        <w:t>陆</w:t>
      </w:r>
      <w:r>
        <w:rPr>
          <w:rFonts w:hint="eastAsia" w:ascii="宋体" w:hAnsi="宋体" w:eastAsia="宋体" w:cs="宋体"/>
          <w:color w:val="auto"/>
          <w:sz w:val="21"/>
          <w:szCs w:val="21"/>
        </w:rPr>
        <w:t>仟元收取。该费用中标方须在公告发出后5个工作日内一次性付清。</w:t>
      </w:r>
    </w:p>
    <w:p w14:paraId="78E3BC3C">
      <w:pPr>
        <w:keepNext w:val="0"/>
        <w:keepLines w:val="0"/>
        <w:pageBreakBefore w:val="0"/>
        <w:kinsoku/>
        <w:wordWrap/>
        <w:overflowPunct/>
        <w:topLinePunct w:val="0"/>
        <w:bidi w:val="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附表：招标代理服务收费标准</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8"/>
        <w:gridCol w:w="2155"/>
        <w:gridCol w:w="2067"/>
        <w:gridCol w:w="2067"/>
      </w:tblGrid>
      <w:tr w14:paraId="215A4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2468" w:type="dxa"/>
          </w:tcPr>
          <w:p w14:paraId="53B92FA0">
            <w:pPr>
              <w:keepNext w:val="0"/>
              <w:keepLines w:val="0"/>
              <w:pageBreakBefore w:val="0"/>
              <w:kinsoku/>
              <w:wordWrap/>
              <w:overflowPunct/>
              <w:topLinePunct w:val="0"/>
              <w:bidi w:val="0"/>
              <w:ind w:firstLine="420" w:firstLineChars="200"/>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mc:AlternateContent>
                <mc:Choice Requires="wps">
                  <w:drawing>
                    <wp:anchor distT="0" distB="0" distL="114300" distR="114300" simplePos="0" relativeHeight="251662336" behindDoc="0" locked="0" layoutInCell="1" allowOverlap="1">
                      <wp:simplePos x="0" y="0"/>
                      <wp:positionH relativeFrom="column">
                        <wp:posOffset>525145</wp:posOffset>
                      </wp:positionH>
                      <wp:positionV relativeFrom="paragraph">
                        <wp:posOffset>14605</wp:posOffset>
                      </wp:positionV>
                      <wp:extent cx="984250" cy="909955"/>
                      <wp:effectExtent l="3175" t="3810" r="3175" b="19685"/>
                      <wp:wrapNone/>
                      <wp:docPr id="4" name="直接连接符 4"/>
                      <wp:cNvGraphicFramePr/>
                      <a:graphic xmlns:a="http://schemas.openxmlformats.org/drawingml/2006/main">
                        <a:graphicData uri="http://schemas.microsoft.com/office/word/2010/wordprocessingShape">
                          <wps:wsp>
                            <wps:cNvCnPr/>
                            <wps:spPr>
                              <a:xfrm>
                                <a:off x="1812925" y="964565"/>
                                <a:ext cx="984250" cy="909955"/>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margin-left:41.35pt;margin-top:1.15pt;height:71.65pt;width:77.5pt;z-index:251662336;mso-width-relative:page;mso-height-relative:page;" filled="f" stroked="t" coordsize="21600,21600" o:gfxdata="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r+pRnWAAAACAEAAA8AAAAAAAAAAQAgAAAAIgAAAGRycy9k&#10;b3ducmV2LnhtbFBLAQIUABQAAAAIAIdO4kBxyWhiBAIAAPADAAAOAAAAAAAAAAEAIAAAACUBAABk&#10;cnMvZTJvRG9jLnhtbFBLBQYAAAAABgAGAFkBAACbBQAAAAA=&#10;">
                      <v:fill on="f" focussize="0,0"/>
                      <v:stroke color="#000000" joinstyle="round"/>
                      <v:imagedata o:title=""/>
                      <o:lock v:ext="edit" aspectratio="f"/>
                    </v:line>
                  </w:pict>
                </mc:Fallback>
              </mc:AlternateContent>
            </w:r>
            <w:r>
              <w:rPr>
                <w:rFonts w:hint="eastAsia" w:ascii="宋体" w:hAnsi="宋体" w:eastAsia="宋体" w:cs="宋体"/>
                <w:color w:val="auto"/>
                <w:sz w:val="21"/>
                <w:szCs w:val="21"/>
              </w:rPr>
              <mc:AlternateContent>
                <mc:Choice Requires="wps">
                  <w:drawing>
                    <wp:anchor distT="0" distB="0" distL="114300" distR="114300" simplePos="0" relativeHeight="251663360" behindDoc="0" locked="0" layoutInCell="1" allowOverlap="1">
                      <wp:simplePos x="0" y="0"/>
                      <wp:positionH relativeFrom="column">
                        <wp:posOffset>-35560</wp:posOffset>
                      </wp:positionH>
                      <wp:positionV relativeFrom="paragraph">
                        <wp:posOffset>162560</wp:posOffset>
                      </wp:positionV>
                      <wp:extent cx="1524000" cy="782955"/>
                      <wp:effectExtent l="1905" t="4445" r="17145" b="12700"/>
                      <wp:wrapNone/>
                      <wp:docPr id="6" name="直接连接符 6"/>
                      <wp:cNvGraphicFramePr/>
                      <a:graphic xmlns:a="http://schemas.openxmlformats.org/drawingml/2006/main">
                        <a:graphicData uri="http://schemas.microsoft.com/office/word/2010/wordprocessingShape">
                          <wps:wsp>
                            <wps:cNvCnPr/>
                            <wps:spPr>
                              <a:xfrm flipH="1" flipV="1">
                                <a:off x="999490" y="935355"/>
                                <a:ext cx="1524000" cy="782955"/>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_x0000_s1026" o:spid="_x0000_s1026" o:spt="20" style="position:absolute;left:0pt;flip:x y;margin-left:-2.8pt;margin-top:12.8pt;height:61.65pt;width:120pt;z-index:251663360;mso-width-relative:page;mso-height-relative:page;" filled="f" stroked="t" coordsize="21600,21600" o:gfxdata="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pOEjh1QAAAAkBAAAPAAAAAAAAAAEA&#10;IAAAACIAAABkcnMvZG93bnJldi54bWxQSwECFAAUAAAACACHTuJA/+W51hICAAAEBAAADgAAAAAA&#10;AAABACAAAAAkAQAAZHJzL2Uyb0RvYy54bWxQSwUGAAAAAAYABgBZAQAAqAUAAAAA&#10;">
                      <v:fill on="f" focussize="0,0"/>
                      <v:stroke color="#000000" joinstyle="round"/>
                      <v:imagedata o:title=""/>
                      <o:lock v:ext="edit" aspectratio="f"/>
                    </v:line>
                  </w:pict>
                </mc:Fallback>
              </mc:AlternateContent>
            </w:r>
            <w:r>
              <w:rPr>
                <w:rFonts w:hint="eastAsia" w:ascii="宋体" w:hAnsi="宋体" w:eastAsia="宋体" w:cs="宋体"/>
                <w:b/>
                <w:color w:val="auto"/>
                <w:sz w:val="21"/>
                <w:szCs w:val="21"/>
              </w:rPr>
              <mc:AlternateContent>
                <mc:Choice Requires="wps">
                  <w:drawing>
                    <wp:anchor distT="0" distB="0" distL="114300" distR="114300" simplePos="0" relativeHeight="251661312" behindDoc="0" locked="0" layoutInCell="0" allowOverlap="1">
                      <wp:simplePos x="0" y="0"/>
                      <wp:positionH relativeFrom="column">
                        <wp:posOffset>-114300</wp:posOffset>
                      </wp:positionH>
                      <wp:positionV relativeFrom="paragraph">
                        <wp:posOffset>-6350</wp:posOffset>
                      </wp:positionV>
                      <wp:extent cx="635" cy="0"/>
                      <wp:effectExtent l="0" t="4445" r="0" b="5080"/>
                      <wp:wrapNone/>
                      <wp:docPr id="22" name="直接连接符 2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pt;margin-top:-0.5pt;height:0pt;width:0.05pt;z-index:251661312;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5HTftUAAAAJAQAADwAAAAAAAAABACAAAAAiAAAAZHJzL2Rvd25yZXYueG1sUEsBAhQAFAAAAAgA&#10;h07iQCx4TKvvAQAA5AMAAA4AAAAAAAAAAQAgAAAAJAEAAGRycy9lMm9Eb2MueG1sUEsFBgAAAAAG&#10;AAYAWQEAAIUFAAAAAA==&#10;">
                      <v:fill on="f" focussize="0,0"/>
                      <v:stroke color="#000000" joinstyle="round"/>
                      <v:imagedata o:title=""/>
                      <o:lock v:ext="edit" aspectratio="f"/>
                    </v:line>
                  </w:pict>
                </mc:Fallback>
              </mc:AlternateContent>
            </w:r>
            <w:r>
              <w:rPr>
                <w:rFonts w:hint="eastAsia" w:ascii="宋体" w:hAnsi="宋体" w:eastAsia="宋体" w:cs="宋体"/>
                <w:b/>
                <w:color w:val="auto"/>
                <w:sz w:val="21"/>
                <w:szCs w:val="21"/>
              </w:rPr>
              <w:t>费      服务</w:t>
            </w:r>
          </w:p>
          <w:p w14:paraId="0264E146">
            <w:pPr>
              <w:keepNext w:val="0"/>
              <w:keepLines w:val="0"/>
              <w:pageBreakBefore w:val="0"/>
              <w:kinsoku/>
              <w:wordWrap/>
              <w:overflowPunct/>
              <w:topLinePunct w:val="0"/>
              <w:bidi w:val="0"/>
              <w:ind w:firstLine="1054" w:firstLineChars="5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率　类型</w:t>
            </w:r>
          </w:p>
          <w:p w14:paraId="7322ED3A">
            <w:pPr>
              <w:keepNext w:val="0"/>
              <w:keepLines w:val="0"/>
              <w:pageBreakBefore w:val="0"/>
              <w:kinsoku/>
              <w:wordWrap/>
              <w:overflowPunct/>
              <w:topLinePunct w:val="0"/>
              <w:bidi w:val="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中标金额（万元）</w:t>
            </w:r>
          </w:p>
        </w:tc>
        <w:tc>
          <w:tcPr>
            <w:tcW w:w="2155" w:type="dxa"/>
            <w:vAlign w:val="center"/>
          </w:tcPr>
          <w:p w14:paraId="1DF3D01F">
            <w:pPr>
              <w:keepNext w:val="0"/>
              <w:keepLines w:val="0"/>
              <w:pageBreakBefore w:val="0"/>
              <w:kinsoku/>
              <w:wordWrap/>
              <w:overflowPunct/>
              <w:topLinePunct w:val="0"/>
              <w:bidi w:val="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货物招标</w:t>
            </w:r>
          </w:p>
        </w:tc>
        <w:tc>
          <w:tcPr>
            <w:tcW w:w="2067" w:type="dxa"/>
            <w:vAlign w:val="center"/>
          </w:tcPr>
          <w:p w14:paraId="2D83FE05">
            <w:pPr>
              <w:keepNext w:val="0"/>
              <w:keepLines w:val="0"/>
              <w:pageBreakBefore w:val="0"/>
              <w:kinsoku/>
              <w:wordWrap/>
              <w:overflowPunct/>
              <w:topLinePunct w:val="0"/>
              <w:bidi w:val="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服务招标</w:t>
            </w:r>
          </w:p>
        </w:tc>
        <w:tc>
          <w:tcPr>
            <w:tcW w:w="2067" w:type="dxa"/>
            <w:vAlign w:val="center"/>
          </w:tcPr>
          <w:p w14:paraId="3BB4C79B">
            <w:pPr>
              <w:keepNext w:val="0"/>
              <w:keepLines w:val="0"/>
              <w:pageBreakBefore w:val="0"/>
              <w:kinsoku/>
              <w:wordWrap/>
              <w:overflowPunct/>
              <w:topLinePunct w:val="0"/>
              <w:bidi w:val="0"/>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工程招标</w:t>
            </w:r>
          </w:p>
        </w:tc>
      </w:tr>
      <w:tr w14:paraId="33786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2468" w:type="dxa"/>
          </w:tcPr>
          <w:p w14:paraId="200468E1">
            <w:pPr>
              <w:keepNext w:val="0"/>
              <w:keepLines w:val="0"/>
              <w:pageBreakBefore w:val="0"/>
              <w:kinsoku/>
              <w:wordWrap/>
              <w:overflowPunct/>
              <w:topLinePunct w:val="0"/>
              <w:bidi w:val="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100以下</w:t>
            </w:r>
          </w:p>
        </w:tc>
        <w:tc>
          <w:tcPr>
            <w:tcW w:w="2155" w:type="dxa"/>
          </w:tcPr>
          <w:p w14:paraId="643848CB">
            <w:pPr>
              <w:keepNext w:val="0"/>
              <w:keepLines w:val="0"/>
              <w:pageBreakBefore w:val="0"/>
              <w:kinsoku/>
              <w:wordWrap/>
              <w:overflowPunct/>
              <w:topLinePunct w:val="0"/>
              <w:bidi w:val="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1.5%</w:t>
            </w:r>
          </w:p>
        </w:tc>
        <w:tc>
          <w:tcPr>
            <w:tcW w:w="2067" w:type="dxa"/>
          </w:tcPr>
          <w:p w14:paraId="5E4D7168">
            <w:pPr>
              <w:keepNext w:val="0"/>
              <w:keepLines w:val="0"/>
              <w:pageBreakBefore w:val="0"/>
              <w:kinsoku/>
              <w:wordWrap/>
              <w:overflowPunct/>
              <w:topLinePunct w:val="0"/>
              <w:bidi w:val="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1.5%</w:t>
            </w:r>
          </w:p>
        </w:tc>
        <w:tc>
          <w:tcPr>
            <w:tcW w:w="2067" w:type="dxa"/>
          </w:tcPr>
          <w:p w14:paraId="5C047E91">
            <w:pPr>
              <w:keepNext w:val="0"/>
              <w:keepLines w:val="0"/>
              <w:pageBreakBefore w:val="0"/>
              <w:kinsoku/>
              <w:wordWrap/>
              <w:overflowPunct/>
              <w:topLinePunct w:val="0"/>
              <w:bidi w:val="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w:t>
            </w:r>
          </w:p>
        </w:tc>
      </w:tr>
      <w:tr w14:paraId="403AE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2468" w:type="dxa"/>
          </w:tcPr>
          <w:p w14:paraId="2E2389DF">
            <w:pPr>
              <w:keepNext w:val="0"/>
              <w:keepLines w:val="0"/>
              <w:pageBreakBefore w:val="0"/>
              <w:kinsoku/>
              <w:wordWrap/>
              <w:overflowPunct/>
              <w:topLinePunct w:val="0"/>
              <w:bidi w:val="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100-500</w:t>
            </w:r>
          </w:p>
        </w:tc>
        <w:tc>
          <w:tcPr>
            <w:tcW w:w="2155" w:type="dxa"/>
          </w:tcPr>
          <w:p w14:paraId="246D07FB">
            <w:pPr>
              <w:keepNext w:val="0"/>
              <w:keepLines w:val="0"/>
              <w:pageBreakBefore w:val="0"/>
              <w:kinsoku/>
              <w:wordWrap/>
              <w:overflowPunct/>
              <w:topLinePunct w:val="0"/>
              <w:bidi w:val="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w:t>
            </w:r>
          </w:p>
        </w:tc>
        <w:tc>
          <w:tcPr>
            <w:tcW w:w="2067" w:type="dxa"/>
          </w:tcPr>
          <w:p w14:paraId="05D7E51B">
            <w:pPr>
              <w:keepNext w:val="0"/>
              <w:keepLines w:val="0"/>
              <w:pageBreakBefore w:val="0"/>
              <w:kinsoku/>
              <w:wordWrap/>
              <w:overflowPunct/>
              <w:topLinePunct w:val="0"/>
              <w:bidi w:val="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0.8%</w:t>
            </w:r>
          </w:p>
        </w:tc>
        <w:tc>
          <w:tcPr>
            <w:tcW w:w="2067" w:type="dxa"/>
          </w:tcPr>
          <w:p w14:paraId="467CE3C5">
            <w:pPr>
              <w:keepNext w:val="0"/>
              <w:keepLines w:val="0"/>
              <w:pageBreakBefore w:val="0"/>
              <w:kinsoku/>
              <w:wordWrap/>
              <w:overflowPunct/>
              <w:topLinePunct w:val="0"/>
              <w:bidi w:val="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0.7%</w:t>
            </w:r>
          </w:p>
        </w:tc>
      </w:tr>
    </w:tbl>
    <w:p w14:paraId="781D5517">
      <w:pPr>
        <w:keepNext w:val="0"/>
        <w:keepLines w:val="0"/>
        <w:pageBreakBefore w:val="0"/>
        <w:widowControl w:val="0"/>
        <w:shd w:val="clear"/>
        <w:kinsoku/>
        <w:wordWrap/>
        <w:overflowPunct/>
        <w:topLinePunct w:val="0"/>
        <w:bidi w:val="0"/>
        <w:adjustRightInd w:val="0"/>
        <w:snapToGrid w:val="0"/>
        <w:spacing w:after="0" w:line="312" w:lineRule="auto"/>
        <w:ind w:firstLine="420" w:firstLineChars="200"/>
        <w:textAlignment w:val="auto"/>
        <w:rPr>
          <w:rFonts w:ascii="宋体" w:hAnsi="宋体" w:cs="宋体"/>
          <w:bCs/>
          <w:color w:val="auto"/>
          <w:szCs w:val="21"/>
          <w:highlight w:val="none"/>
        </w:rPr>
      </w:pPr>
      <w:r>
        <w:rPr>
          <w:rFonts w:hint="eastAsia" w:ascii="宋体" w:hAnsi="宋体" w:eastAsia="宋体" w:cs="宋体"/>
          <w:color w:val="auto"/>
          <w:kern w:val="0"/>
          <w:sz w:val="21"/>
          <w:szCs w:val="21"/>
        </w:rPr>
        <w:t>户    名：</w:t>
      </w:r>
      <w:r>
        <w:rPr>
          <w:rFonts w:hint="eastAsia" w:ascii="宋体" w:hAnsi="宋体" w:eastAsia="宋体" w:cs="宋体"/>
          <w:color w:val="auto"/>
          <w:kern w:val="0"/>
          <w:sz w:val="21"/>
          <w:szCs w:val="21"/>
          <w:lang w:eastAsia="zh-CN"/>
        </w:rPr>
        <w:t>台州市玖诚工程管理有限公司</w:t>
      </w:r>
      <w:r>
        <w:rPr>
          <w:rFonts w:hint="eastAsia" w:ascii="宋体" w:hAnsi="宋体" w:cs="宋体"/>
          <w:bCs/>
          <w:color w:val="auto"/>
          <w:szCs w:val="21"/>
          <w:highlight w:val="none"/>
        </w:rPr>
        <w:t xml:space="preserve">  </w:t>
      </w:r>
    </w:p>
    <w:p w14:paraId="552EEE0B">
      <w:pPr>
        <w:keepNext w:val="0"/>
        <w:keepLines w:val="0"/>
        <w:pageBreakBefore w:val="0"/>
        <w:widowControl w:val="0"/>
        <w:shd w:val="clear"/>
        <w:kinsoku/>
        <w:wordWrap/>
        <w:overflowPunct/>
        <w:topLinePunct w:val="0"/>
        <w:bidi w:val="0"/>
        <w:adjustRightInd w:val="0"/>
        <w:snapToGrid w:val="0"/>
        <w:spacing w:after="0" w:line="312" w:lineRule="auto"/>
        <w:ind w:firstLine="420" w:firstLineChars="200"/>
        <w:textAlignment w:val="auto"/>
        <w:rPr>
          <w:rFonts w:hint="eastAsia" w:ascii="宋体" w:hAnsi="宋体" w:cs="宋体"/>
          <w:bCs/>
          <w:color w:val="auto"/>
          <w:szCs w:val="21"/>
          <w:highlight w:val="none"/>
          <w:lang w:eastAsia="zh-CN"/>
        </w:rPr>
      </w:pPr>
      <w:r>
        <w:rPr>
          <w:rFonts w:hint="eastAsia" w:ascii="宋体" w:hAnsi="宋体" w:cs="宋体"/>
          <w:bCs/>
          <w:color w:val="auto"/>
          <w:szCs w:val="21"/>
          <w:highlight w:val="none"/>
        </w:rPr>
        <w:t>开户银行：</w:t>
      </w:r>
      <w:r>
        <w:rPr>
          <w:rFonts w:hint="eastAsia" w:ascii="宋体" w:hAnsi="宋体" w:cs="宋体"/>
          <w:bCs/>
          <w:color w:val="auto"/>
          <w:szCs w:val="21"/>
          <w:highlight w:val="none"/>
          <w:lang w:eastAsia="zh-CN"/>
        </w:rPr>
        <w:t>台州银行椒江解放路支行</w:t>
      </w:r>
    </w:p>
    <w:p w14:paraId="0E5F1375">
      <w:pPr>
        <w:keepNext w:val="0"/>
        <w:keepLines w:val="0"/>
        <w:pageBreakBefore w:val="0"/>
        <w:widowControl w:val="0"/>
        <w:shd w:val="clear"/>
        <w:kinsoku/>
        <w:wordWrap/>
        <w:overflowPunct/>
        <w:topLinePunct w:val="0"/>
        <w:bidi w:val="0"/>
        <w:adjustRightInd w:val="0"/>
        <w:snapToGrid w:val="0"/>
        <w:spacing w:after="0" w:line="312" w:lineRule="auto"/>
        <w:ind w:firstLine="420" w:firstLineChars="200"/>
        <w:textAlignment w:val="auto"/>
        <w:rPr>
          <w:rFonts w:hint="eastAsia" w:ascii="宋体" w:hAnsi="宋体" w:cs="宋体"/>
          <w:bCs/>
          <w:color w:val="auto"/>
          <w:szCs w:val="21"/>
          <w:highlight w:val="none"/>
          <w:lang w:eastAsia="zh-CN"/>
        </w:rPr>
      </w:pPr>
      <w:r>
        <w:rPr>
          <w:rFonts w:hint="eastAsia" w:ascii="宋体" w:hAnsi="宋体" w:cs="宋体"/>
          <w:bCs/>
          <w:color w:val="auto"/>
          <w:szCs w:val="21"/>
          <w:highlight w:val="none"/>
        </w:rPr>
        <w:t>账号：</w:t>
      </w:r>
      <w:r>
        <w:rPr>
          <w:rFonts w:hint="eastAsia" w:ascii="宋体" w:hAnsi="宋体" w:cs="宋体"/>
          <w:bCs/>
          <w:color w:val="auto"/>
          <w:szCs w:val="21"/>
          <w:highlight w:val="none"/>
          <w:lang w:eastAsia="zh-CN"/>
        </w:rPr>
        <w:t>550548467500015</w:t>
      </w:r>
    </w:p>
    <w:p w14:paraId="7F645F35">
      <w:pPr>
        <w:pStyle w:val="23"/>
        <w:keepNext w:val="0"/>
        <w:keepLines w:val="0"/>
        <w:pageBreakBefore w:val="0"/>
        <w:widowControl w:val="0"/>
        <w:kinsoku/>
        <w:wordWrap/>
        <w:overflowPunct/>
        <w:topLinePunct w:val="0"/>
        <w:bidi w:val="0"/>
        <w:spacing w:after="0" w:line="312" w:lineRule="auto"/>
        <w:ind w:left="0" w:leftChars="0" w:firstLine="484"/>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本项目采购代理服务费已包含在总报价内，投标供应商在投标报价中综合考虑。</w:t>
      </w:r>
    </w:p>
    <w:p w14:paraId="48A57594">
      <w:pPr>
        <w:pStyle w:val="13"/>
        <w:keepNext w:val="0"/>
        <w:keepLines w:val="0"/>
        <w:pageBreakBefore w:val="0"/>
        <w:widowControl w:val="0"/>
        <w:kinsoku/>
        <w:wordWrap/>
        <w:overflowPunct/>
        <w:topLinePunct w:val="0"/>
        <w:bidi w:val="0"/>
        <w:snapToGrid w:val="0"/>
        <w:spacing w:after="0" w:line="312" w:lineRule="auto"/>
        <w:ind w:left="2" w:leftChars="1"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（四）特别说明</w:t>
      </w:r>
    </w:p>
    <w:p w14:paraId="0E9C9C64">
      <w:pPr>
        <w:pStyle w:val="13"/>
        <w:keepNext w:val="0"/>
        <w:keepLines w:val="0"/>
        <w:pageBreakBefore w:val="0"/>
        <w:widowControl w:val="0"/>
        <w:kinsoku/>
        <w:wordWrap/>
        <w:overflowPunct/>
        <w:topLinePunct w:val="0"/>
        <w:bidi w:val="0"/>
        <w:snapToGrid w:val="0"/>
        <w:spacing w:after="0" w:line="312" w:lineRule="auto"/>
        <w:ind w:left="2" w:leftChars="1"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1、投标人投标所使用的资格、信誉、荣誉、业绩与企业认证必须为本法人所拥有。投标人投标所使用的采购项目实施人员必须为本法人员工（指本法人公司正式员工）。</w:t>
      </w:r>
    </w:p>
    <w:p w14:paraId="292851D7">
      <w:pPr>
        <w:pStyle w:val="13"/>
        <w:keepNext w:val="0"/>
        <w:keepLines w:val="0"/>
        <w:pageBreakBefore w:val="0"/>
        <w:widowControl w:val="0"/>
        <w:kinsoku/>
        <w:wordWrap/>
        <w:overflowPunct/>
        <w:topLinePunct w:val="0"/>
        <w:bidi w:val="0"/>
        <w:snapToGrid w:val="0"/>
        <w:spacing w:after="0" w:line="312" w:lineRule="auto"/>
        <w:ind w:left="2" w:hanging="2"/>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rPr>
        <w:t>▲其中涉及资格条件的如非本法人所拥有，则投标无效。</w:t>
      </w:r>
    </w:p>
    <w:p w14:paraId="0AD870B6">
      <w:pPr>
        <w:pStyle w:val="13"/>
        <w:keepNext w:val="0"/>
        <w:keepLines w:val="0"/>
        <w:pageBreakBefore w:val="0"/>
        <w:widowControl w:val="0"/>
        <w:kinsoku/>
        <w:wordWrap/>
        <w:overflowPunct/>
        <w:topLinePunct w:val="0"/>
        <w:bidi w:val="0"/>
        <w:snapToGrid w:val="0"/>
        <w:spacing w:after="0" w:line="312" w:lineRule="auto"/>
        <w:ind w:left="2" w:leftChars="1"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投标供应商所投产品除招标文件中明确规定要求“提供官网截图或相应检测报告的证明材料”以外，所有技术参数描述均以投标文件为准。投标供应商对所投产品技术参数的真实性承担法律责任。项目招标结束后、质疑期限内，如有质疑供应商认为中标供应商所投产品、投标文件技术参数与招标需求存在重大偏离、错误、甚至造假的情况，应提供具体有效的证明材料。</w:t>
      </w:r>
    </w:p>
    <w:p w14:paraId="2C68B429">
      <w:pPr>
        <w:pStyle w:val="13"/>
        <w:keepNext w:val="0"/>
        <w:keepLines w:val="0"/>
        <w:pageBreakBefore w:val="0"/>
        <w:widowControl w:val="0"/>
        <w:kinsoku/>
        <w:wordWrap/>
        <w:overflowPunct/>
        <w:topLinePunct w:val="0"/>
        <w:bidi w:val="0"/>
        <w:snapToGrid w:val="0"/>
        <w:spacing w:after="0" w:line="312" w:lineRule="auto"/>
        <w:ind w:left="2" w:leftChars="1" w:firstLine="422" w:firstLineChars="200"/>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w:t>
      </w:r>
      <w:r>
        <w:rPr>
          <w:rFonts w:hint="eastAsia" w:ascii="宋体" w:hAnsi="宋体" w:eastAsia="宋体" w:cs="宋体"/>
          <w:color w:val="auto"/>
          <w:sz w:val="21"/>
          <w:szCs w:val="21"/>
        </w:rPr>
        <w:t>3、投标人在投标活动中提供任何虚假材料,其投标无效，并报监管部门查处；中标后发现的,根据《中华人民共和国政府采购法》第七十七条第一款第一项之规定，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7D44BA8">
      <w:pPr>
        <w:pStyle w:val="4"/>
        <w:keepNext w:val="0"/>
        <w:keepLines w:val="0"/>
        <w:pageBreakBefore w:val="0"/>
        <w:widowControl w:val="0"/>
        <w:tabs>
          <w:tab w:val="left" w:pos="851"/>
        </w:tabs>
        <w:kinsoku/>
        <w:wordWrap/>
        <w:overflowPunct/>
        <w:topLinePunct w:val="0"/>
        <w:autoSpaceDE w:val="0"/>
        <w:autoSpaceDN w:val="0"/>
        <w:bidi w:val="0"/>
        <w:adjustRightInd w:val="0"/>
        <w:snapToGrid w:val="0"/>
        <w:spacing w:before="0" w:after="0" w:line="312" w:lineRule="auto"/>
        <w:ind w:firstLine="422" w:firstLineChars="200"/>
        <w:textAlignment w:val="auto"/>
        <w:rPr>
          <w:rFonts w:hint="eastAsia" w:ascii="宋体" w:hAnsi="宋体" w:eastAsia="宋体" w:cs="宋体"/>
          <w:b w:val="0"/>
          <w:bCs w:val="0"/>
          <w:color w:val="auto"/>
          <w:sz w:val="21"/>
          <w:szCs w:val="21"/>
        </w:rPr>
      </w:pPr>
      <w:r>
        <w:rPr>
          <w:rFonts w:hint="eastAsia" w:ascii="宋体" w:hAnsi="宋体" w:eastAsia="宋体" w:cs="宋体"/>
          <w:color w:val="auto"/>
          <w:sz w:val="21"/>
          <w:szCs w:val="21"/>
        </w:rPr>
        <w:t>▲</w:t>
      </w:r>
      <w:r>
        <w:rPr>
          <w:rFonts w:hint="eastAsia" w:ascii="宋体" w:hAnsi="宋体" w:eastAsia="宋体" w:cs="宋体"/>
          <w:b w:val="0"/>
          <w:bCs w:val="0"/>
          <w:color w:val="auto"/>
          <w:sz w:val="21"/>
          <w:szCs w:val="21"/>
        </w:rPr>
        <w:t>4、投标人不得相互串通投标报价，不得妨碍其他投标人的公平竞争，不得损害采购人或其他投标人的合法权益，投标人不得以向采购人、评标委员会成员行贿或者采取其他不正当手段谋取中标。</w:t>
      </w:r>
    </w:p>
    <w:p w14:paraId="36673FCD">
      <w:pPr>
        <w:pStyle w:val="4"/>
        <w:keepNext w:val="0"/>
        <w:keepLines w:val="0"/>
        <w:pageBreakBefore w:val="0"/>
        <w:widowControl w:val="0"/>
        <w:tabs>
          <w:tab w:val="left" w:pos="851"/>
        </w:tabs>
        <w:kinsoku/>
        <w:wordWrap/>
        <w:overflowPunct/>
        <w:topLinePunct w:val="0"/>
        <w:autoSpaceDE w:val="0"/>
        <w:autoSpaceDN w:val="0"/>
        <w:bidi w:val="0"/>
        <w:adjustRightInd w:val="0"/>
        <w:snapToGrid w:val="0"/>
        <w:spacing w:before="0" w:after="0" w:line="312" w:lineRule="auto"/>
        <w:ind w:firstLine="422"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b w:val="0"/>
          <w:bCs w:val="0"/>
          <w:color w:val="auto"/>
          <w:sz w:val="21"/>
          <w:szCs w:val="21"/>
        </w:rPr>
        <w:t>5、为采购项目提供整体设计、规范编制或者项目管理、监理、检测等服务的供应商，不得再参加该采购项目的其他采购活动。</w:t>
      </w:r>
    </w:p>
    <w:p w14:paraId="32077829">
      <w:pPr>
        <w:pStyle w:val="4"/>
        <w:keepNext w:val="0"/>
        <w:keepLines w:val="0"/>
        <w:pageBreakBefore w:val="0"/>
        <w:widowControl w:val="0"/>
        <w:numPr>
          <w:ilvl w:val="0"/>
          <w:numId w:val="4"/>
        </w:numPr>
        <w:tabs>
          <w:tab w:val="left" w:pos="851"/>
        </w:tabs>
        <w:kinsoku/>
        <w:wordWrap/>
        <w:overflowPunct/>
        <w:topLinePunct w:val="0"/>
        <w:autoSpaceDE w:val="0"/>
        <w:autoSpaceDN w:val="0"/>
        <w:bidi w:val="0"/>
        <w:adjustRightInd w:val="0"/>
        <w:snapToGrid w:val="0"/>
        <w:spacing w:before="0" w:after="0" w:line="312" w:lineRule="auto"/>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投标文件格式中的表格式样可以根据项目差别做适当调整,但应当保持表格样式基本形态不变。</w:t>
      </w:r>
    </w:p>
    <w:p w14:paraId="63998AD1">
      <w:pPr>
        <w:pStyle w:val="4"/>
        <w:keepNext w:val="0"/>
        <w:keepLines w:val="0"/>
        <w:pageBreakBefore w:val="0"/>
        <w:widowControl w:val="0"/>
        <w:tabs>
          <w:tab w:val="left" w:pos="851"/>
        </w:tabs>
        <w:kinsoku/>
        <w:wordWrap/>
        <w:overflowPunct/>
        <w:topLinePunct w:val="0"/>
        <w:autoSpaceDE w:val="0"/>
        <w:autoSpaceDN w:val="0"/>
        <w:bidi w:val="0"/>
        <w:adjustRightInd w:val="0"/>
        <w:snapToGrid w:val="0"/>
        <w:spacing w:before="0" w:after="0" w:line="312" w:lineRule="auto"/>
        <w:ind w:firstLine="422"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b w:val="0"/>
          <w:bCs w:val="0"/>
          <w:color w:val="auto"/>
          <w:sz w:val="21"/>
          <w:szCs w:val="21"/>
        </w:rPr>
        <w:t>7、单位负责人为同一人或者存在直接控股、管理关系的不同供应商，不得参加同一合同项下的政府采购活动。电子交易平台运营机构，以及与该机构有直接控股或者管理关系可能影响采购公正性的任何单位和个人，不得在该平台进行的政府采购项目电子交易中投标、响应和代理政府采购项目。</w:t>
      </w:r>
    </w:p>
    <w:p w14:paraId="146F7089">
      <w:pPr>
        <w:keepNext w:val="0"/>
        <w:keepLines w:val="0"/>
        <w:pageBreakBefore w:val="0"/>
        <w:widowControl w:val="0"/>
        <w:kinsoku/>
        <w:wordWrap/>
        <w:overflowPunct/>
        <w:topLinePunct w:val="0"/>
        <w:bidi w:val="0"/>
        <w:spacing w:after="0" w:line="312" w:lineRule="auto"/>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w:t>
      </w:r>
      <w:r>
        <w:rPr>
          <w:rFonts w:hint="eastAsia" w:ascii="宋体" w:hAnsi="宋体" w:eastAsia="宋体" w:cs="宋体"/>
          <w:color w:val="auto"/>
          <w:sz w:val="21"/>
          <w:szCs w:val="21"/>
        </w:rPr>
        <w:t>8</w:t>
      </w:r>
      <w:r>
        <w:rPr>
          <w:rFonts w:hint="eastAsia" w:ascii="宋体" w:hAnsi="宋体" w:eastAsia="宋体" w:cs="宋体"/>
          <w:color w:val="auto"/>
          <w:sz w:val="21"/>
          <w:szCs w:val="21"/>
          <w:lang w:eastAsia="zh-Hans"/>
        </w:rPr>
        <w:t>、</w:t>
      </w:r>
      <w:r>
        <w:rPr>
          <w:rFonts w:hint="eastAsia" w:ascii="宋体" w:hAnsi="宋体" w:eastAsia="宋体" w:cs="宋体"/>
          <w:color w:val="auto"/>
          <w:sz w:val="21"/>
          <w:szCs w:val="21"/>
        </w:rPr>
        <w:t>投标人在参与政府采购活动中所签署的一切文件，包括但不限于签到表、《政府采购活动现场确认声明书》等文件，特别是有关利害关系应如实填写、如实披露，投标人授权参与政府采购的人员视为应当知道与招标人、其他投标人之间的利害关系。如未如实披露，则视为提供虚假材料，由投标人承担不利后果。</w:t>
      </w:r>
    </w:p>
    <w:p w14:paraId="123CEDDF">
      <w:pPr>
        <w:pStyle w:val="4"/>
        <w:keepNext w:val="0"/>
        <w:keepLines w:val="0"/>
        <w:pageBreakBefore w:val="0"/>
        <w:widowControl w:val="0"/>
        <w:tabs>
          <w:tab w:val="left" w:pos="851"/>
        </w:tabs>
        <w:kinsoku/>
        <w:wordWrap/>
        <w:overflowPunct/>
        <w:topLinePunct w:val="0"/>
        <w:autoSpaceDE w:val="0"/>
        <w:autoSpaceDN w:val="0"/>
        <w:bidi w:val="0"/>
        <w:adjustRightInd w:val="0"/>
        <w:snapToGrid w:val="0"/>
        <w:spacing w:before="0" w:after="0" w:line="312" w:lineRule="auto"/>
        <w:ind w:firstLine="482"/>
        <w:textAlignment w:val="auto"/>
        <w:rPr>
          <w:rFonts w:hint="eastAsia" w:ascii="宋体" w:hAnsi="宋体" w:eastAsia="宋体" w:cs="宋体"/>
          <w:b w:val="0"/>
          <w:bCs w:val="0"/>
          <w:color w:val="auto"/>
          <w:sz w:val="21"/>
          <w:szCs w:val="21"/>
        </w:rPr>
      </w:pPr>
      <w:r>
        <w:rPr>
          <w:rFonts w:hint="eastAsia" w:ascii="宋体" w:hAnsi="宋体" w:eastAsia="宋体" w:cs="宋体"/>
          <w:color w:val="auto"/>
          <w:sz w:val="21"/>
          <w:szCs w:val="21"/>
        </w:rPr>
        <w:t>▲</w:t>
      </w:r>
      <w:r>
        <w:rPr>
          <w:rFonts w:hint="eastAsia" w:ascii="宋体" w:hAnsi="宋体" w:eastAsia="宋体" w:cs="宋体"/>
          <w:b w:val="0"/>
          <w:bCs w:val="0"/>
          <w:color w:val="auto"/>
          <w:sz w:val="21"/>
          <w:szCs w:val="21"/>
        </w:rPr>
        <w:t>9、本项目严禁转包。未经业主书面同意，投标人不得擅自分包；经业主书面同意后，可将非主体、非关键性工作分包给具备相应资质的单位完成。主体、关键性工作不得分包。</w:t>
      </w:r>
    </w:p>
    <w:p w14:paraId="467E3D08">
      <w:pPr>
        <w:pStyle w:val="4"/>
        <w:keepNext w:val="0"/>
        <w:keepLines w:val="0"/>
        <w:pageBreakBefore w:val="0"/>
        <w:widowControl w:val="0"/>
        <w:tabs>
          <w:tab w:val="left" w:pos="851"/>
        </w:tabs>
        <w:kinsoku/>
        <w:wordWrap/>
        <w:overflowPunct/>
        <w:topLinePunct w:val="0"/>
        <w:autoSpaceDE w:val="0"/>
        <w:autoSpaceDN w:val="0"/>
        <w:bidi w:val="0"/>
        <w:adjustRightInd w:val="0"/>
        <w:snapToGrid w:val="0"/>
        <w:spacing w:before="0" w:after="0" w:line="312" w:lineRule="auto"/>
        <w:ind w:firstLine="420" w:firstLineChars="200"/>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10、根据《政府采购促进中小企业发展管理办法》，在政府采购活动中，在货物采购项目中，货物由中小企业制造，即货物由中小企业生产且使用该中小企业商号或者注册商，享受本办法规定的中小企业扶持政策：供应商提供的货物既有中小企业制造货物，也有大型企业制造货物的不享受本办法规定的中小企业扶持政策。故，参与本项目的中小企业，应当保证其提供的货物全部来自中小企业（如非提供自产货物的，应当在《中小企业声明函》中明确货物是否来源于中小企业，并对其真实性负责）。</w:t>
      </w:r>
    </w:p>
    <w:p w14:paraId="73F83E82">
      <w:pPr>
        <w:keepNext w:val="0"/>
        <w:keepLines w:val="0"/>
        <w:pageBreakBefore w:val="0"/>
        <w:widowControl w:val="0"/>
        <w:tabs>
          <w:tab w:val="left" w:pos="720"/>
          <w:tab w:val="left" w:pos="1260"/>
          <w:tab w:val="left" w:pos="2160"/>
          <w:tab w:val="left" w:pos="2880"/>
          <w:tab w:val="left" w:pos="3600"/>
          <w:tab w:val="left" w:pos="4320"/>
          <w:tab w:val="left" w:pos="5040"/>
          <w:tab w:val="left" w:pos="5760"/>
        </w:tabs>
        <w:kinsoku/>
        <w:wordWrap/>
        <w:overflowPunct/>
        <w:topLinePunct w:val="0"/>
        <w:autoSpaceDE w:val="0"/>
        <w:autoSpaceDN w:val="0"/>
        <w:bidi w:val="0"/>
        <w:adjustRightInd w:val="0"/>
        <w:spacing w:after="0" w:line="312" w:lineRule="auto"/>
        <w:ind w:right="1800"/>
        <w:jc w:val="left"/>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二、招标文件</w:t>
      </w:r>
    </w:p>
    <w:p w14:paraId="158302EE">
      <w:pPr>
        <w:keepNext w:val="0"/>
        <w:keepLines w:val="0"/>
        <w:pageBreakBefore w:val="0"/>
        <w:kinsoku/>
        <w:wordWrap/>
        <w:overflowPunct/>
        <w:topLinePunct w:val="0"/>
        <w:autoSpaceDE w:val="0"/>
        <w:autoSpaceDN w:val="0"/>
        <w:bidi w:val="0"/>
        <w:adjustRightInd w:val="0"/>
        <w:spacing w:after="0" w:line="312" w:lineRule="auto"/>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   （一）招标文件由招标文件总目录所列内容组成。</w:t>
      </w:r>
    </w:p>
    <w:p w14:paraId="5E14281F">
      <w:pPr>
        <w:keepNext w:val="0"/>
        <w:keepLines w:val="0"/>
        <w:pageBreakBefore w:val="0"/>
        <w:kinsoku/>
        <w:wordWrap/>
        <w:overflowPunct/>
        <w:topLinePunct w:val="0"/>
        <w:autoSpaceDE w:val="0"/>
        <w:autoSpaceDN w:val="0"/>
        <w:bidi w:val="0"/>
        <w:adjustRightInd w:val="0"/>
        <w:spacing w:after="0" w:line="312" w:lineRule="auto"/>
        <w:ind w:firstLine="315" w:firstLineChars="15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（二）招标文件的澄清或修改</w:t>
      </w:r>
    </w:p>
    <w:p w14:paraId="465407ED">
      <w:pPr>
        <w:keepNext w:val="0"/>
        <w:keepLines w:val="0"/>
        <w:pageBreakBefore w:val="0"/>
        <w:kinsoku/>
        <w:wordWrap/>
        <w:overflowPunct/>
        <w:topLinePunct w:val="0"/>
        <w:autoSpaceDE w:val="0"/>
        <w:autoSpaceDN w:val="0"/>
        <w:bidi w:val="0"/>
        <w:adjustRightInd w:val="0"/>
        <w:spacing w:after="0" w:line="312" w:lineRule="auto"/>
        <w:ind w:firstLine="367" w:firstLineChars="175"/>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1、采购组织机构可视采购具体情况对已发出的招标文件进行必要的澄清或者修改。澄清或者修改的内容可能影响投标文件编制的，采购人或者采购组织机构应当在投标截止时间至少15日前，在原公告发布媒体上发布澄清公告，澄清或者修改的内容为招标文件的组成部分；不足15日的，采购人或者采购组织机构应当顺延提交投标文件的截止时间。 </w:t>
      </w:r>
    </w:p>
    <w:p w14:paraId="20C0E0B2">
      <w:pPr>
        <w:keepNext w:val="0"/>
        <w:keepLines w:val="0"/>
        <w:pageBreakBefore w:val="0"/>
        <w:kinsoku/>
        <w:wordWrap/>
        <w:overflowPunct/>
        <w:topLinePunct w:val="0"/>
        <w:autoSpaceDE w:val="0"/>
        <w:autoSpaceDN w:val="0"/>
        <w:bidi w:val="0"/>
        <w:adjustRightInd w:val="0"/>
        <w:spacing w:after="0" w:line="312" w:lineRule="auto"/>
        <w:ind w:firstLine="48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2、投标人在规定的时间内未对招标文件提出疑问、质疑或要求澄清的，将视其为无异议。对招标文件中描述有歧义或前后不一致的地方，评标委员会有权进行评判，但对同一条款的评判应适用于每个投标人。</w:t>
      </w:r>
    </w:p>
    <w:p w14:paraId="2278DF16">
      <w:pPr>
        <w:keepNext w:val="0"/>
        <w:keepLines w:val="0"/>
        <w:pageBreakBefore w:val="0"/>
        <w:tabs>
          <w:tab w:val="left" w:pos="1418"/>
        </w:tabs>
        <w:kinsoku/>
        <w:wordWrap/>
        <w:overflowPunct/>
        <w:topLinePunct w:val="0"/>
        <w:autoSpaceDE w:val="0"/>
        <w:autoSpaceDN w:val="0"/>
        <w:bidi w:val="0"/>
        <w:adjustRightInd w:val="0"/>
        <w:spacing w:after="0" w:line="312" w:lineRule="auto"/>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 xml:space="preserve"> 三、投标文件</w:t>
      </w:r>
    </w:p>
    <w:p w14:paraId="12132157">
      <w:pPr>
        <w:keepNext w:val="0"/>
        <w:keepLines w:val="0"/>
        <w:pageBreakBefore w:val="0"/>
        <w:tabs>
          <w:tab w:val="left" w:pos="1418"/>
        </w:tabs>
        <w:kinsoku/>
        <w:wordWrap/>
        <w:overflowPunct/>
        <w:topLinePunct w:val="0"/>
        <w:autoSpaceDE w:val="0"/>
        <w:autoSpaceDN w:val="0"/>
        <w:bidi w:val="0"/>
        <w:adjustRightInd w:val="0"/>
        <w:snapToGrid w:val="0"/>
        <w:spacing w:after="0" w:line="312" w:lineRule="auto"/>
        <w:ind w:firstLine="422" w:firstLineChars="200"/>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（一）总体要求</w:t>
      </w:r>
    </w:p>
    <w:p w14:paraId="02F2D1FD">
      <w:pPr>
        <w:keepNext w:val="0"/>
        <w:keepLines w:val="0"/>
        <w:pageBreakBefore w:val="0"/>
        <w:kinsoku/>
        <w:wordWrap/>
        <w:overflowPunct/>
        <w:topLinePunct w:val="0"/>
        <w:bidi w:val="0"/>
        <w:adjustRightInd w:val="0"/>
        <w:snapToGrid w:val="0"/>
        <w:spacing w:after="0" w:line="312" w:lineRule="auto"/>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1、投标人应仔细阅读招标文件的所有内容，按本文件的要求提供投标文件，并保证所提供的全部资料的真实性，以使其投标文件对招标文件作出实质性响应，否则，投标文件可能视为无效投标文件。</w:t>
      </w:r>
    </w:p>
    <w:p w14:paraId="386E800C">
      <w:pPr>
        <w:keepNext w:val="0"/>
        <w:keepLines w:val="0"/>
        <w:pageBreakBefore w:val="0"/>
        <w:kinsoku/>
        <w:wordWrap/>
        <w:overflowPunct/>
        <w:topLinePunct w:val="0"/>
        <w:bidi w:val="0"/>
        <w:adjustRightInd w:val="0"/>
        <w:snapToGrid w:val="0"/>
        <w:spacing w:after="0" w:line="312" w:lineRule="auto"/>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2、投标文件及投标人与采购有关的来往通知，函件和文件均应使用中文。</w:t>
      </w:r>
    </w:p>
    <w:p w14:paraId="02331B7D">
      <w:pPr>
        <w:keepNext w:val="0"/>
        <w:keepLines w:val="0"/>
        <w:pageBreakBefore w:val="0"/>
        <w:kinsoku/>
        <w:wordWrap/>
        <w:overflowPunct/>
        <w:topLinePunct w:val="0"/>
        <w:bidi w:val="0"/>
        <w:adjustRightInd w:val="0"/>
        <w:snapToGrid w:val="0"/>
        <w:spacing w:after="0" w:line="312" w:lineRule="auto"/>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3、投标人应按本文件中提供的文件格式、内容和要求制作投标文件。</w:t>
      </w:r>
    </w:p>
    <w:p w14:paraId="7DB24DB1">
      <w:pPr>
        <w:keepNext w:val="0"/>
        <w:keepLines w:val="0"/>
        <w:pageBreakBefore w:val="0"/>
        <w:kinsoku/>
        <w:wordWrap/>
        <w:overflowPunct/>
        <w:topLinePunct w:val="0"/>
        <w:bidi w:val="0"/>
        <w:adjustRightInd w:val="0"/>
        <w:snapToGrid w:val="0"/>
        <w:spacing w:after="0" w:line="312" w:lineRule="auto"/>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4、投标文件的形式和效力</w:t>
      </w:r>
    </w:p>
    <w:p w14:paraId="3C5B83DA">
      <w:pPr>
        <w:keepNext w:val="0"/>
        <w:keepLines w:val="0"/>
        <w:pageBreakBefore w:val="0"/>
        <w:kinsoku/>
        <w:wordWrap/>
        <w:overflowPunct/>
        <w:topLinePunct w:val="0"/>
        <w:bidi w:val="0"/>
        <w:adjustRightInd w:val="0"/>
        <w:snapToGrid w:val="0"/>
        <w:spacing w:after="0" w:line="312" w:lineRule="auto"/>
        <w:ind w:firstLine="420" w:firstLineChars="20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1）投标文件分为电子投标文件、以介质存储的数据电文形式的备份投标文件两类。电子投标文件按政采云平台供应商项目采购-电子招投标操作指南及本招标文件要求制作、加密并递交；电子备份投标文件以U盘等介质存储的形式提交，单独密封包装； </w:t>
      </w:r>
    </w:p>
    <w:p w14:paraId="1DDE190A">
      <w:pPr>
        <w:keepNext w:val="0"/>
        <w:keepLines w:val="0"/>
        <w:pageBreakBefore w:val="0"/>
        <w:kinsoku/>
        <w:wordWrap/>
        <w:overflowPunct/>
        <w:topLinePunct w:val="0"/>
        <w:bidi w:val="0"/>
        <w:adjustRightInd w:val="0"/>
        <w:snapToGrid w:val="0"/>
        <w:spacing w:after="0" w:line="312" w:lineRule="auto"/>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（2）投标文件的效力</w:t>
      </w:r>
    </w:p>
    <w:p w14:paraId="6C735C1D">
      <w:pPr>
        <w:keepNext w:val="0"/>
        <w:keepLines w:val="0"/>
        <w:pageBreakBefore w:val="0"/>
        <w:kinsoku/>
        <w:wordWrap/>
        <w:overflowPunct/>
        <w:topLinePunct w:val="0"/>
        <w:bidi w:val="0"/>
        <w:adjustRightInd w:val="0"/>
        <w:snapToGrid w:val="0"/>
        <w:spacing w:after="0" w:line="312" w:lineRule="auto"/>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投标文件的启用，按先后顺位分别为电子投标文件、电子备份投标文件。因网络或者其他问题造成政采云电子投标文件无法正常解密，那么启用电子备份投标文件。</w:t>
      </w:r>
    </w:p>
    <w:p w14:paraId="20A1A951">
      <w:pPr>
        <w:keepNext w:val="0"/>
        <w:keepLines w:val="0"/>
        <w:pageBreakBefore w:val="0"/>
        <w:kinsoku/>
        <w:wordWrap/>
        <w:overflowPunct/>
        <w:topLinePunct w:val="0"/>
        <w:autoSpaceDE w:val="0"/>
        <w:autoSpaceDN w:val="0"/>
        <w:bidi w:val="0"/>
        <w:adjustRightInd w:val="0"/>
        <w:spacing w:after="0" w:line="312" w:lineRule="auto"/>
        <w:ind w:firstLine="422" w:firstLineChars="200"/>
        <w:textAlignment w:val="auto"/>
        <w:rPr>
          <w:rFonts w:hint="eastAsia" w:ascii="宋体" w:hAnsi="宋体" w:eastAsia="宋体" w:cs="宋体"/>
          <w:b/>
          <w:bCs/>
          <w:color w:val="auto"/>
          <w:kern w:val="0"/>
          <w:sz w:val="21"/>
          <w:szCs w:val="21"/>
        </w:rPr>
      </w:pPr>
      <w:r>
        <w:rPr>
          <w:rFonts w:hint="eastAsia" w:ascii="宋体" w:hAnsi="宋体" w:eastAsia="宋体" w:cs="宋体"/>
          <w:b/>
          <w:color w:val="auto"/>
          <w:sz w:val="21"/>
          <w:szCs w:val="21"/>
          <w:lang w:val="zh-CN"/>
        </w:rPr>
        <w:t>（二）</w:t>
      </w:r>
      <w:r>
        <w:rPr>
          <w:rFonts w:hint="eastAsia" w:ascii="宋体" w:hAnsi="宋体" w:eastAsia="宋体" w:cs="宋体"/>
          <w:b/>
          <w:bCs/>
          <w:color w:val="auto"/>
          <w:kern w:val="0"/>
          <w:sz w:val="21"/>
          <w:szCs w:val="21"/>
        </w:rPr>
        <w:t>投标文件的组成</w:t>
      </w:r>
    </w:p>
    <w:p w14:paraId="74E947BD">
      <w:pPr>
        <w:keepNext w:val="0"/>
        <w:keepLines w:val="0"/>
        <w:pageBreakBefore w:val="0"/>
        <w:kinsoku/>
        <w:wordWrap/>
        <w:overflowPunct/>
        <w:topLinePunct w:val="0"/>
        <w:bidi w:val="0"/>
        <w:adjustRightInd w:val="0"/>
        <w:snapToGrid w:val="0"/>
        <w:spacing w:after="0" w:line="312" w:lineRule="auto"/>
        <w:ind w:firstLine="420" w:firstLineChars="200"/>
        <w:jc w:val="left"/>
        <w:textAlignment w:val="auto"/>
        <w:outlineLvl w:val="0"/>
        <w:rPr>
          <w:rFonts w:hint="eastAsia" w:ascii="宋体" w:hAnsi="宋体" w:eastAsia="宋体" w:cs="宋体"/>
          <w:color w:val="auto"/>
          <w:sz w:val="21"/>
          <w:szCs w:val="21"/>
        </w:rPr>
      </w:pPr>
      <w:r>
        <w:rPr>
          <w:rFonts w:hint="eastAsia" w:ascii="宋体" w:hAnsi="宋体" w:eastAsia="宋体" w:cs="宋体"/>
          <w:color w:val="auto"/>
          <w:kern w:val="0"/>
          <w:sz w:val="21"/>
          <w:szCs w:val="21"/>
        </w:rPr>
        <w:t>投标人接到招标文件后，按照采购组织机构的要求提供：资格证明文件、商务与技术文件和报价文件。</w:t>
      </w:r>
      <w:r>
        <w:rPr>
          <w:rFonts w:hint="eastAsia" w:ascii="宋体" w:hAnsi="宋体" w:eastAsia="宋体" w:cs="宋体"/>
          <w:color w:val="auto"/>
          <w:sz w:val="21"/>
          <w:szCs w:val="21"/>
          <w:lang w:val="zh-CN"/>
        </w:rPr>
        <w:t>【特别提示：如有要求提供资料原件的，相关原件需清晰扫描在投标文件中】</w:t>
      </w:r>
    </w:p>
    <w:p w14:paraId="34720A28">
      <w:pPr>
        <w:keepNext w:val="0"/>
        <w:keepLines w:val="0"/>
        <w:pageBreakBefore w:val="0"/>
        <w:kinsoku/>
        <w:wordWrap/>
        <w:overflowPunct/>
        <w:topLinePunct w:val="0"/>
        <w:bidi w:val="0"/>
        <w:snapToGrid w:val="0"/>
        <w:spacing w:after="0" w:line="312" w:lineRule="auto"/>
        <w:ind w:firstLine="422" w:firstLineChars="200"/>
        <w:textAlignment w:val="auto"/>
        <w:rPr>
          <w:rFonts w:hint="eastAsia" w:ascii="宋体" w:hAnsi="宋体" w:eastAsia="宋体" w:cs="宋体"/>
          <w:color w:val="auto"/>
          <w:kern w:val="0"/>
          <w:sz w:val="21"/>
          <w:szCs w:val="21"/>
        </w:rPr>
      </w:pPr>
      <w:r>
        <w:rPr>
          <w:rFonts w:hint="eastAsia" w:ascii="宋体" w:hAnsi="宋体" w:eastAsia="宋体" w:cs="宋体"/>
          <w:b/>
          <w:color w:val="auto"/>
          <w:sz w:val="21"/>
          <w:szCs w:val="21"/>
        </w:rPr>
        <w:t>▲1、资格证明文件的组成：</w:t>
      </w:r>
    </w:p>
    <w:p w14:paraId="15FC7AF9">
      <w:pPr>
        <w:keepNext w:val="0"/>
        <w:keepLines w:val="0"/>
        <w:pageBreakBefore w:val="0"/>
        <w:widowControl/>
        <w:kinsoku/>
        <w:wordWrap/>
        <w:overflowPunct/>
        <w:topLinePunct w:val="0"/>
        <w:bidi w:val="0"/>
        <w:spacing w:after="0" w:line="312" w:lineRule="auto"/>
        <w:ind w:right="60" w:firstLine="413" w:firstLineChars="197"/>
        <w:jc w:val="left"/>
        <w:textAlignment w:val="auto"/>
        <w:outlineLvl w:val="0"/>
        <w:rPr>
          <w:rFonts w:hint="eastAsia" w:ascii="宋体" w:hAnsi="宋体" w:eastAsia="宋体" w:cs="宋体"/>
          <w:color w:val="auto"/>
          <w:sz w:val="21"/>
          <w:szCs w:val="21"/>
        </w:rPr>
      </w:pPr>
      <w:r>
        <w:rPr>
          <w:rFonts w:hint="eastAsia" w:ascii="宋体" w:hAnsi="宋体" w:eastAsia="宋体" w:cs="宋体"/>
          <w:color w:val="auto"/>
          <w:sz w:val="21"/>
          <w:szCs w:val="21"/>
        </w:rPr>
        <w:t>（1）投标声明书；</w:t>
      </w:r>
    </w:p>
    <w:p w14:paraId="12065F27">
      <w:pPr>
        <w:keepNext w:val="0"/>
        <w:keepLines w:val="0"/>
        <w:pageBreakBefore w:val="0"/>
        <w:widowControl/>
        <w:kinsoku/>
        <w:wordWrap/>
        <w:overflowPunct/>
        <w:topLinePunct w:val="0"/>
        <w:bidi w:val="0"/>
        <w:spacing w:after="0" w:line="312" w:lineRule="auto"/>
        <w:ind w:right="60" w:firstLine="413" w:firstLineChars="197"/>
        <w:jc w:val="left"/>
        <w:textAlignment w:val="auto"/>
        <w:outlineLvl w:val="0"/>
        <w:rPr>
          <w:rFonts w:hint="eastAsia" w:ascii="宋体" w:hAnsi="宋体" w:eastAsia="宋体" w:cs="宋体"/>
          <w:color w:val="auto"/>
          <w:sz w:val="21"/>
          <w:szCs w:val="21"/>
        </w:rPr>
      </w:pPr>
      <w:r>
        <w:rPr>
          <w:rFonts w:hint="eastAsia" w:ascii="宋体" w:hAnsi="宋体" w:eastAsia="宋体" w:cs="宋体"/>
          <w:color w:val="auto"/>
          <w:sz w:val="21"/>
          <w:szCs w:val="21"/>
        </w:rPr>
        <w:t>（2）授权委托书（适用法定代表人亲自参加的）或法定代表人证明书；</w:t>
      </w:r>
    </w:p>
    <w:p w14:paraId="197D1397">
      <w:pPr>
        <w:keepNext w:val="0"/>
        <w:keepLines w:val="0"/>
        <w:pageBreakBefore w:val="0"/>
        <w:widowControl/>
        <w:kinsoku/>
        <w:wordWrap/>
        <w:overflowPunct/>
        <w:topLinePunct w:val="0"/>
        <w:bidi w:val="0"/>
        <w:spacing w:after="0" w:line="312" w:lineRule="auto"/>
        <w:ind w:right="60" w:firstLine="413" w:firstLineChars="197"/>
        <w:jc w:val="left"/>
        <w:textAlignment w:val="auto"/>
        <w:outlineLvl w:val="0"/>
        <w:rPr>
          <w:rFonts w:hint="eastAsia" w:ascii="宋体" w:hAnsi="宋体" w:eastAsia="宋体" w:cs="宋体"/>
          <w:color w:val="auto"/>
          <w:sz w:val="21"/>
          <w:szCs w:val="21"/>
        </w:rPr>
      </w:pPr>
      <w:r>
        <w:rPr>
          <w:rFonts w:hint="eastAsia" w:ascii="宋体" w:hAnsi="宋体" w:eastAsia="宋体" w:cs="宋体"/>
          <w:color w:val="auto"/>
          <w:sz w:val="21"/>
          <w:szCs w:val="21"/>
        </w:rPr>
        <w:t>（3）在中华人民共和国境内注册的法人或者其他组织的营业执照等证明文件，自然人的身份证明；</w:t>
      </w:r>
    </w:p>
    <w:p w14:paraId="6E655913">
      <w:pPr>
        <w:keepNext w:val="0"/>
        <w:keepLines w:val="0"/>
        <w:pageBreakBefore w:val="0"/>
        <w:widowControl/>
        <w:kinsoku/>
        <w:wordWrap/>
        <w:overflowPunct/>
        <w:topLinePunct w:val="0"/>
        <w:bidi w:val="0"/>
        <w:spacing w:after="0" w:line="312" w:lineRule="auto"/>
        <w:ind w:right="60" w:firstLine="413" w:firstLineChars="197"/>
        <w:jc w:val="left"/>
        <w:textAlignment w:val="auto"/>
        <w:outlineLvl w:val="0"/>
        <w:rPr>
          <w:rFonts w:hint="eastAsia" w:ascii="宋体" w:hAnsi="宋体" w:eastAsia="宋体" w:cs="宋体"/>
          <w:color w:val="auto"/>
          <w:sz w:val="21"/>
          <w:szCs w:val="21"/>
        </w:rPr>
      </w:pPr>
      <w:r>
        <w:rPr>
          <w:rFonts w:hint="eastAsia" w:ascii="宋体" w:hAnsi="宋体" w:eastAsia="宋体" w:cs="宋体"/>
          <w:color w:val="auto"/>
          <w:sz w:val="21"/>
          <w:szCs w:val="21"/>
        </w:rPr>
        <w:t>（4）符合参与政府采购活动的资格条件，具备良好的商业信誉和健全的财务会计制度并且没有税收缴纳、社会保障等方面的失信记录的承诺函；</w:t>
      </w:r>
    </w:p>
    <w:p w14:paraId="41172A35">
      <w:pPr>
        <w:keepNext w:val="0"/>
        <w:keepLines w:val="0"/>
        <w:pageBreakBefore w:val="0"/>
        <w:widowControl/>
        <w:kinsoku/>
        <w:wordWrap/>
        <w:overflowPunct/>
        <w:topLinePunct w:val="0"/>
        <w:bidi w:val="0"/>
        <w:spacing w:after="0" w:line="312" w:lineRule="auto"/>
        <w:ind w:right="60" w:firstLine="413" w:firstLineChars="197"/>
        <w:jc w:val="left"/>
        <w:textAlignment w:val="auto"/>
        <w:outlineLvl w:val="0"/>
        <w:rPr>
          <w:rFonts w:hint="eastAsia" w:ascii="宋体" w:hAnsi="宋体" w:eastAsia="宋体" w:cs="宋体"/>
          <w:color w:val="auto"/>
          <w:sz w:val="21"/>
          <w:szCs w:val="21"/>
        </w:rPr>
      </w:pPr>
      <w:r>
        <w:rPr>
          <w:rFonts w:hint="eastAsia" w:ascii="宋体" w:hAnsi="宋体" w:eastAsia="宋体" w:cs="宋体"/>
          <w:color w:val="auto"/>
          <w:sz w:val="21"/>
          <w:szCs w:val="21"/>
        </w:rPr>
        <w:t>（5）具备履行合同所必需的设备和专业技术能力的承诺函；</w:t>
      </w:r>
    </w:p>
    <w:p w14:paraId="30BB1A48">
      <w:pPr>
        <w:keepNext w:val="0"/>
        <w:keepLines w:val="0"/>
        <w:pageBreakBefore w:val="0"/>
        <w:kinsoku/>
        <w:wordWrap/>
        <w:overflowPunct/>
        <w:topLinePunct w:val="0"/>
        <w:bidi w:val="0"/>
        <w:snapToGrid w:val="0"/>
        <w:spacing w:after="0" w:line="312" w:lineRule="auto"/>
        <w:ind w:firstLine="422" w:firstLineChars="200"/>
        <w:textAlignment w:val="auto"/>
        <w:rPr>
          <w:rFonts w:hint="eastAsia" w:ascii="宋体" w:hAnsi="宋体" w:eastAsia="宋体" w:cs="宋体"/>
          <w:color w:val="auto"/>
          <w:sz w:val="21"/>
          <w:szCs w:val="21"/>
          <w:u w:val="single"/>
        </w:rPr>
      </w:pPr>
      <w:r>
        <w:rPr>
          <w:rFonts w:hint="eastAsia" w:ascii="宋体" w:hAnsi="宋体" w:eastAsia="宋体" w:cs="宋体"/>
          <w:b/>
          <w:color w:val="auto"/>
          <w:sz w:val="21"/>
          <w:szCs w:val="21"/>
        </w:rPr>
        <w:t>2、商务与技术文件的组成：</w:t>
      </w:r>
    </w:p>
    <w:p w14:paraId="14EC0CA2">
      <w:pPr>
        <w:pStyle w:val="7"/>
        <w:keepNext w:val="0"/>
        <w:keepLines w:val="0"/>
        <w:pageBreakBefore w:val="0"/>
        <w:widowControl/>
        <w:kinsoku/>
        <w:wordWrap/>
        <w:overflowPunct/>
        <w:topLinePunct w:val="0"/>
        <w:bidi w:val="0"/>
        <w:adjustRightInd w:val="0"/>
        <w:snapToGrid w:val="0"/>
        <w:spacing w:after="0"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（1）投标人情况介绍；</w:t>
      </w:r>
    </w:p>
    <w:p w14:paraId="3EAD597A">
      <w:pPr>
        <w:pStyle w:val="7"/>
        <w:keepNext w:val="0"/>
        <w:keepLines w:val="0"/>
        <w:pageBreakBefore w:val="0"/>
        <w:widowControl/>
        <w:kinsoku/>
        <w:wordWrap/>
        <w:overflowPunct/>
        <w:topLinePunct w:val="0"/>
        <w:bidi w:val="0"/>
        <w:adjustRightInd w:val="0"/>
        <w:snapToGrid w:val="0"/>
        <w:spacing w:after="0"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（2）投标方案描述：</w:t>
      </w:r>
    </w:p>
    <w:p w14:paraId="1B4E60C2">
      <w:pPr>
        <w:pStyle w:val="7"/>
        <w:keepNext w:val="0"/>
        <w:keepLines w:val="0"/>
        <w:pageBreakBefore w:val="0"/>
        <w:widowControl/>
        <w:kinsoku/>
        <w:wordWrap/>
        <w:overflowPunct/>
        <w:topLinePunct w:val="0"/>
        <w:bidi w:val="0"/>
        <w:adjustRightInd w:val="0"/>
        <w:snapToGrid w:val="0"/>
        <w:spacing w:after="0"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A.项目需求的理解与分析(投标人对项目现状及需求的理解情况，对项目现状和需求描述的全面性、准确性、针对性，项目功能设计完备、对系统各组成部分等功能进行准确的分析，对项目重点、难点的把握，解决方案及合理化建议)。</w:t>
      </w:r>
    </w:p>
    <w:p w14:paraId="28E2B83D">
      <w:pPr>
        <w:pStyle w:val="7"/>
        <w:keepNext w:val="0"/>
        <w:keepLines w:val="0"/>
        <w:pageBreakBefore w:val="0"/>
        <w:widowControl/>
        <w:kinsoku/>
        <w:wordWrap/>
        <w:overflowPunct/>
        <w:topLinePunct w:val="0"/>
        <w:bidi w:val="0"/>
        <w:adjustRightInd w:val="0"/>
        <w:snapToGrid w:val="0"/>
        <w:spacing w:after="0"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B.项目组织实施方案（包括项目工期、确保项目供货的措施或方案、项目实施进度安排、项目实施人员及项目负责人的资质、类似经验及社保证明等）。</w:t>
      </w:r>
    </w:p>
    <w:p w14:paraId="1CC2B3C2">
      <w:pPr>
        <w:pStyle w:val="7"/>
        <w:keepNext w:val="0"/>
        <w:keepLines w:val="0"/>
        <w:pageBreakBefore w:val="0"/>
        <w:widowControl/>
        <w:kinsoku/>
        <w:wordWrap/>
        <w:overflowPunct/>
        <w:topLinePunct w:val="0"/>
        <w:bidi w:val="0"/>
        <w:adjustRightInd w:val="0"/>
        <w:snapToGrid w:val="0"/>
        <w:spacing w:after="0"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C.</w:t>
      </w:r>
      <w:r>
        <w:rPr>
          <w:rFonts w:hint="eastAsia" w:ascii="宋体" w:hAnsi="宋体" w:eastAsia="宋体" w:cs="宋体"/>
          <w:color w:val="auto"/>
          <w:kern w:val="0"/>
          <w:sz w:val="21"/>
          <w:szCs w:val="21"/>
        </w:rPr>
        <w:t>安装、调试及验收方案（包括项目验收标准和验收方法等）</w:t>
      </w:r>
      <w:r>
        <w:rPr>
          <w:rFonts w:hint="eastAsia" w:ascii="宋体" w:hAnsi="宋体" w:eastAsia="宋体" w:cs="宋体"/>
          <w:color w:val="auto"/>
          <w:sz w:val="21"/>
          <w:szCs w:val="21"/>
        </w:rPr>
        <w:t>和措施；</w:t>
      </w:r>
    </w:p>
    <w:p w14:paraId="7476EAC5">
      <w:pPr>
        <w:pStyle w:val="7"/>
        <w:keepNext w:val="0"/>
        <w:keepLines w:val="0"/>
        <w:pageBreakBefore w:val="0"/>
        <w:widowControl/>
        <w:kinsoku/>
        <w:wordWrap/>
        <w:overflowPunct/>
        <w:topLinePunct w:val="0"/>
        <w:bidi w:val="0"/>
        <w:adjustRightInd w:val="0"/>
        <w:snapToGrid w:val="0"/>
        <w:spacing w:after="0"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（3）投标产品描述及相关资料：</w:t>
      </w:r>
    </w:p>
    <w:p w14:paraId="11198AD8">
      <w:pPr>
        <w:pStyle w:val="7"/>
        <w:keepNext w:val="0"/>
        <w:keepLines w:val="0"/>
        <w:pageBreakBefore w:val="0"/>
        <w:widowControl/>
        <w:kinsoku/>
        <w:wordWrap/>
        <w:overflowPunct/>
        <w:topLinePunct w:val="0"/>
        <w:bidi w:val="0"/>
        <w:adjustRightInd w:val="0"/>
        <w:snapToGrid w:val="0"/>
        <w:spacing w:after="0"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A.设备配置清单（均不含报价）。</w:t>
      </w:r>
    </w:p>
    <w:p w14:paraId="1BF03CF0">
      <w:pPr>
        <w:pStyle w:val="7"/>
        <w:keepNext w:val="0"/>
        <w:keepLines w:val="0"/>
        <w:pageBreakBefore w:val="0"/>
        <w:widowControl/>
        <w:kinsoku/>
        <w:wordWrap/>
        <w:overflowPunct/>
        <w:topLinePunct w:val="0"/>
        <w:bidi w:val="0"/>
        <w:adjustRightInd w:val="0"/>
        <w:snapToGrid w:val="0"/>
        <w:spacing w:after="0"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B.产品品牌及型号、技术参数指标、性能特点、图片资料以及所遵循的技术规范、产品质保期、出厂标准、产品质量相关检测报告等内容。</w:t>
      </w:r>
    </w:p>
    <w:p w14:paraId="6A5E8D11">
      <w:pPr>
        <w:pStyle w:val="7"/>
        <w:keepNext w:val="0"/>
        <w:keepLines w:val="0"/>
        <w:pageBreakBefore w:val="0"/>
        <w:widowControl/>
        <w:kinsoku/>
        <w:wordWrap/>
        <w:overflowPunct/>
        <w:topLinePunct w:val="0"/>
        <w:bidi w:val="0"/>
        <w:adjustRightInd w:val="0"/>
        <w:snapToGrid w:val="0"/>
        <w:spacing w:after="0"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C.商务及技术响应表。</w:t>
      </w:r>
    </w:p>
    <w:p w14:paraId="4856A2C3">
      <w:pPr>
        <w:pStyle w:val="7"/>
        <w:keepNext w:val="0"/>
        <w:keepLines w:val="0"/>
        <w:pageBreakBefore w:val="0"/>
        <w:widowControl/>
        <w:kinsoku/>
        <w:wordWrap/>
        <w:overflowPunct/>
        <w:topLinePunct w:val="0"/>
        <w:bidi w:val="0"/>
        <w:adjustRightInd w:val="0"/>
        <w:snapToGrid w:val="0"/>
        <w:spacing w:after="0"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D.投标产品中有节能产品的根据财政部、国家发展和改革委员会、生态环境部等部门公布的政府采购节能产品、环境标志产品品目清单的规定，依据品目清单和认证证书实施政府优先采购和强制采购。采购人拟采购的产品属于品目清单范围内的强制采购品目的，投标人提供的产品应具有国家确定的认证机构出具的、处于有效期之内的节能产品、环境标志产品认证证书，并在响应文件中提供该产品节能产品、环境标志产品认证证书，否则无效。</w:t>
      </w:r>
    </w:p>
    <w:p w14:paraId="3EAEE7A9">
      <w:pPr>
        <w:pStyle w:val="7"/>
        <w:keepNext w:val="0"/>
        <w:keepLines w:val="0"/>
        <w:pageBreakBefore w:val="0"/>
        <w:widowControl/>
        <w:kinsoku/>
        <w:wordWrap/>
        <w:overflowPunct/>
        <w:topLinePunct w:val="0"/>
        <w:bidi w:val="0"/>
        <w:adjustRightInd w:val="0"/>
        <w:snapToGrid w:val="0"/>
        <w:spacing w:after="0"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【注：本项目执行最新政府采购节能产品、环境标志产品品目清单。】</w:t>
      </w:r>
    </w:p>
    <w:p w14:paraId="56FA098C">
      <w:pPr>
        <w:pStyle w:val="7"/>
        <w:keepNext w:val="0"/>
        <w:keepLines w:val="0"/>
        <w:pageBreakBefore w:val="0"/>
        <w:widowControl/>
        <w:kinsoku/>
        <w:wordWrap/>
        <w:overflowPunct/>
        <w:topLinePunct w:val="0"/>
        <w:bidi w:val="0"/>
        <w:adjustRightInd w:val="0"/>
        <w:snapToGrid w:val="0"/>
        <w:spacing w:after="0"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（4）投标人</w:t>
      </w:r>
      <w:r>
        <w:rPr>
          <w:rFonts w:hint="eastAsia" w:ascii="宋体" w:hAnsi="宋体" w:cs="宋体"/>
          <w:color w:val="auto"/>
          <w:sz w:val="21"/>
          <w:szCs w:val="21"/>
          <w:lang w:val="en-US" w:eastAsia="zh-CN"/>
        </w:rPr>
        <w:t>根据招标文件提供的</w:t>
      </w:r>
      <w:r>
        <w:rPr>
          <w:rFonts w:hint="eastAsia" w:ascii="宋体" w:hAnsi="宋体" w:eastAsia="宋体" w:cs="宋体"/>
          <w:color w:val="auto"/>
          <w:sz w:val="21"/>
          <w:szCs w:val="21"/>
        </w:rPr>
        <w:t>与本项目相关的认证证书或文件；</w:t>
      </w:r>
    </w:p>
    <w:p w14:paraId="514D20D1">
      <w:pPr>
        <w:pStyle w:val="7"/>
        <w:keepNext w:val="0"/>
        <w:keepLines w:val="0"/>
        <w:pageBreakBefore w:val="0"/>
        <w:widowControl/>
        <w:kinsoku/>
        <w:wordWrap/>
        <w:overflowPunct/>
        <w:topLinePunct w:val="0"/>
        <w:bidi w:val="0"/>
        <w:adjustRightInd w:val="0"/>
        <w:snapToGrid w:val="0"/>
        <w:spacing w:after="0"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（5）近年来类似项目的成功案例（投标人类似项目实施情况一览表、合同复印件及其相应的发票、用户验收报告等；</w:t>
      </w:r>
    </w:p>
    <w:p w14:paraId="16F0CD6B">
      <w:pPr>
        <w:pStyle w:val="7"/>
        <w:keepNext w:val="0"/>
        <w:keepLines w:val="0"/>
        <w:pageBreakBefore w:val="0"/>
        <w:widowControl/>
        <w:kinsoku/>
        <w:wordWrap/>
        <w:overflowPunct/>
        <w:topLinePunct w:val="0"/>
        <w:bidi w:val="0"/>
        <w:adjustRightInd w:val="0"/>
        <w:snapToGrid w:val="0"/>
        <w:spacing w:after="0"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（6）售后服务描述及承诺：</w:t>
      </w:r>
    </w:p>
    <w:p w14:paraId="2F052D08">
      <w:pPr>
        <w:pStyle w:val="7"/>
        <w:keepNext w:val="0"/>
        <w:keepLines w:val="0"/>
        <w:pageBreakBefore w:val="0"/>
        <w:widowControl/>
        <w:kinsoku/>
        <w:wordWrap/>
        <w:overflowPunct/>
        <w:topLinePunct w:val="0"/>
        <w:bidi w:val="0"/>
        <w:adjustRightInd w:val="0"/>
        <w:snapToGrid w:val="0"/>
        <w:spacing w:after="0" w:line="312" w:lineRule="auto"/>
        <w:ind w:firstLine="541" w:firstLineChars="258"/>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A.距采购人最近的服务网点详细介绍（包括地理位置、资质资格、技术力量、工作业绩、服务内容及联系电话等）。</w:t>
      </w:r>
    </w:p>
    <w:p w14:paraId="749D575B">
      <w:pPr>
        <w:pStyle w:val="7"/>
        <w:keepNext w:val="0"/>
        <w:keepLines w:val="0"/>
        <w:pageBreakBefore w:val="0"/>
        <w:widowControl/>
        <w:kinsoku/>
        <w:wordWrap/>
        <w:overflowPunct/>
        <w:topLinePunct w:val="0"/>
        <w:bidi w:val="0"/>
        <w:adjustRightInd w:val="0"/>
        <w:snapToGrid w:val="0"/>
        <w:spacing w:after="0" w:line="312" w:lineRule="auto"/>
        <w:ind w:firstLine="541" w:firstLineChars="258"/>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B.针对本项目的售后服务措施及承诺（售后技术服务方案、人员配备、故障响应时间、技术培训方案等）。</w:t>
      </w:r>
    </w:p>
    <w:p w14:paraId="532D3AE3">
      <w:pPr>
        <w:keepNext w:val="0"/>
        <w:keepLines w:val="0"/>
        <w:pageBreakBefore w:val="0"/>
        <w:kinsoku/>
        <w:wordWrap/>
        <w:overflowPunct/>
        <w:topLinePunct w:val="0"/>
        <w:bidi w:val="0"/>
        <w:snapToGrid w:val="0"/>
        <w:spacing w:after="0" w:line="312" w:lineRule="auto"/>
        <w:ind w:firstLine="420" w:firstLineChars="200"/>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rPr>
        <w:t>（7）投标人认为需要提供的其他资料（包括可能影响投标人商务与技术文件评分的各类证明材料，格式自拟）。</w:t>
      </w:r>
    </w:p>
    <w:p w14:paraId="093907FC">
      <w:pPr>
        <w:keepNext w:val="0"/>
        <w:keepLines w:val="0"/>
        <w:pageBreakBefore w:val="0"/>
        <w:kinsoku/>
        <w:wordWrap/>
        <w:overflowPunct/>
        <w:topLinePunct w:val="0"/>
        <w:autoSpaceDE w:val="0"/>
        <w:autoSpaceDN w:val="0"/>
        <w:bidi w:val="0"/>
        <w:adjustRightInd w:val="0"/>
        <w:spacing w:after="0" w:line="312" w:lineRule="auto"/>
        <w:ind w:left="426" w:firstLine="57" w:firstLineChars="27"/>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3、报价文件的组成</w:t>
      </w:r>
    </w:p>
    <w:p w14:paraId="6BF40923">
      <w:pPr>
        <w:keepNext w:val="0"/>
        <w:keepLines w:val="0"/>
        <w:pageBreakBefore w:val="0"/>
        <w:kinsoku/>
        <w:wordWrap/>
        <w:overflowPunct/>
        <w:topLinePunct w:val="0"/>
        <w:autoSpaceDE w:val="0"/>
        <w:autoSpaceDN w:val="0"/>
        <w:bidi w:val="0"/>
        <w:adjustRightInd w:val="0"/>
        <w:spacing w:after="0" w:line="312" w:lineRule="auto"/>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（1）报价文件由开标一览表、报价明细表</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中小企业声明函（如有）</w:t>
      </w:r>
      <w:r>
        <w:rPr>
          <w:rFonts w:hint="eastAsia" w:ascii="宋体" w:hAnsi="宋体" w:eastAsia="宋体" w:cs="宋体"/>
          <w:color w:val="auto"/>
          <w:kern w:val="0"/>
          <w:sz w:val="21"/>
          <w:szCs w:val="21"/>
        </w:rPr>
        <w:t>等，以及投标人认为其他需要说明的内容组成。</w:t>
      </w:r>
    </w:p>
    <w:p w14:paraId="0C0F8592">
      <w:pPr>
        <w:keepNext w:val="0"/>
        <w:keepLines w:val="0"/>
        <w:pageBreakBefore w:val="0"/>
        <w:kinsoku/>
        <w:wordWrap/>
        <w:overflowPunct/>
        <w:topLinePunct w:val="0"/>
        <w:autoSpaceDE w:val="0"/>
        <w:autoSpaceDN w:val="0"/>
        <w:bidi w:val="0"/>
        <w:adjustRightInd w:val="0"/>
        <w:spacing w:after="0" w:line="312" w:lineRule="auto"/>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（2）此报价为投标人一次性报出唯一的最终价格，包含其它一切所要涉及到的费用，有选择的报价将被拒绝。</w:t>
      </w:r>
    </w:p>
    <w:p w14:paraId="4A83DD46">
      <w:pPr>
        <w:keepNext w:val="0"/>
        <w:keepLines w:val="0"/>
        <w:pageBreakBefore w:val="0"/>
        <w:kinsoku/>
        <w:wordWrap/>
        <w:overflowPunct/>
        <w:topLinePunct w:val="0"/>
        <w:bidi w:val="0"/>
        <w:snapToGrid w:val="0"/>
        <w:spacing w:after="0" w:line="312" w:lineRule="auto"/>
        <w:ind w:firstLine="420" w:firstLineChars="200"/>
        <w:textAlignment w:val="auto"/>
        <w:rPr>
          <w:rFonts w:hint="eastAsia" w:ascii="宋体" w:hAnsi="宋体" w:eastAsia="宋体" w:cs="宋体"/>
          <w:color w:val="auto"/>
          <w:kern w:val="0"/>
          <w:sz w:val="21"/>
          <w:szCs w:val="21"/>
          <w:lang w:val="zh-CN"/>
        </w:rPr>
      </w:pPr>
      <w:r>
        <w:rPr>
          <w:rFonts w:hint="eastAsia" w:ascii="宋体" w:hAnsi="宋体" w:eastAsia="宋体" w:cs="宋体"/>
          <w:color w:val="auto"/>
          <w:kern w:val="0"/>
          <w:sz w:val="21"/>
          <w:szCs w:val="21"/>
          <w:lang w:val="zh-CN"/>
        </w:rPr>
        <w:t>（</w:t>
      </w:r>
      <w:r>
        <w:rPr>
          <w:rFonts w:hint="eastAsia" w:ascii="宋体" w:hAnsi="宋体" w:eastAsia="宋体" w:cs="宋体"/>
          <w:color w:val="auto"/>
          <w:kern w:val="0"/>
          <w:sz w:val="21"/>
          <w:szCs w:val="21"/>
        </w:rPr>
        <w:t>3</w:t>
      </w:r>
      <w:r>
        <w:rPr>
          <w:rFonts w:hint="eastAsia" w:ascii="宋体" w:hAnsi="宋体" w:eastAsia="宋体" w:cs="宋体"/>
          <w:color w:val="auto"/>
          <w:kern w:val="0"/>
          <w:sz w:val="21"/>
          <w:szCs w:val="21"/>
          <w:lang w:val="zh-CN"/>
        </w:rPr>
        <w:t>）投标报价是包括货款、标准附件、备品备件、专用工具、包装、运输、装卸、保险、税金、货到就位以及安装、调试、培训、保修、合同包含的所有风险责任等各项费用及不可预见费等所需的全部费用，全部费用已包含在开标一览表的投标报价中。</w:t>
      </w:r>
    </w:p>
    <w:p w14:paraId="3FCC98DA">
      <w:pPr>
        <w:keepNext w:val="0"/>
        <w:keepLines w:val="0"/>
        <w:pageBreakBefore w:val="0"/>
        <w:kinsoku/>
        <w:wordWrap/>
        <w:overflowPunct/>
        <w:topLinePunct w:val="0"/>
        <w:autoSpaceDE w:val="0"/>
        <w:autoSpaceDN w:val="0"/>
        <w:bidi w:val="0"/>
        <w:adjustRightInd w:val="0"/>
        <w:spacing w:after="0" w:line="312" w:lineRule="auto"/>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（4）相关报价单由于表达不清引起的后果（导致的废标等）由投标人负责。</w:t>
      </w:r>
    </w:p>
    <w:p w14:paraId="2710B58B">
      <w:pPr>
        <w:keepNext w:val="0"/>
        <w:keepLines w:val="0"/>
        <w:pageBreakBefore w:val="0"/>
        <w:kinsoku/>
        <w:wordWrap/>
        <w:overflowPunct/>
        <w:topLinePunct w:val="0"/>
        <w:autoSpaceDE w:val="0"/>
        <w:autoSpaceDN w:val="0"/>
        <w:bidi w:val="0"/>
        <w:adjustRightInd w:val="0"/>
        <w:spacing w:after="0"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kern w:val="0"/>
          <w:sz w:val="21"/>
          <w:szCs w:val="21"/>
        </w:rPr>
        <w:t>5</w:t>
      </w:r>
      <w:r>
        <w:rPr>
          <w:rFonts w:hint="eastAsia" w:ascii="宋体" w:hAnsi="宋体" w:eastAsia="宋体" w:cs="宋体"/>
          <w:color w:val="auto"/>
          <w:sz w:val="21"/>
          <w:szCs w:val="21"/>
        </w:rPr>
        <w:t>）投标报价应按招标文件中相关附表格式填写。</w:t>
      </w:r>
    </w:p>
    <w:p w14:paraId="471160E0">
      <w:pPr>
        <w:keepNext w:val="0"/>
        <w:keepLines w:val="0"/>
        <w:pageBreakBefore w:val="0"/>
        <w:widowControl w:val="0"/>
        <w:kinsoku/>
        <w:wordWrap/>
        <w:overflowPunct/>
        <w:topLinePunct w:val="0"/>
        <w:bidi w:val="0"/>
        <w:adjustRightInd w:val="0"/>
        <w:snapToGrid w:val="0"/>
        <w:spacing w:after="0" w:line="312" w:lineRule="auto"/>
        <w:ind w:left="420" w:leftChars="200"/>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（三）投标文件的制作、封装及递交要求</w:t>
      </w:r>
    </w:p>
    <w:p w14:paraId="00BE40E1">
      <w:pPr>
        <w:keepNext w:val="0"/>
        <w:keepLines w:val="0"/>
        <w:pageBreakBefore w:val="0"/>
        <w:widowControl w:val="0"/>
        <w:kinsoku/>
        <w:wordWrap/>
        <w:overflowPunct/>
        <w:topLinePunct w:val="0"/>
        <w:autoSpaceDE w:val="0"/>
        <w:autoSpaceDN w:val="0"/>
        <w:bidi w:val="0"/>
        <w:adjustRightInd w:val="0"/>
        <w:snapToGrid w:val="0"/>
        <w:spacing w:after="0" w:line="312" w:lineRule="auto"/>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1、投标文件的制作要求</w:t>
      </w:r>
    </w:p>
    <w:p w14:paraId="1DCBA080">
      <w:pPr>
        <w:keepNext w:val="0"/>
        <w:keepLines w:val="0"/>
        <w:pageBreakBefore w:val="0"/>
        <w:widowControl w:val="0"/>
        <w:kinsoku/>
        <w:wordWrap/>
        <w:overflowPunct/>
        <w:topLinePunct w:val="0"/>
        <w:autoSpaceDE w:val="0"/>
        <w:autoSpaceDN w:val="0"/>
        <w:bidi w:val="0"/>
        <w:adjustRightInd w:val="0"/>
        <w:snapToGrid w:val="0"/>
        <w:spacing w:after="0" w:line="312" w:lineRule="auto"/>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（1）本项目通过“政府采购云平台（http://zfcg.czt.zj.gov.cn/）”实行在线投标响应（电子投标）。供应商应通过“政采云电子交易客户端”，并按照本招标文件和“政府采购云平台”的要求编制并加密投标文件。</w:t>
      </w:r>
    </w:p>
    <w:p w14:paraId="27D92126">
      <w:pPr>
        <w:keepNext w:val="0"/>
        <w:keepLines w:val="0"/>
        <w:pageBreakBefore w:val="0"/>
        <w:widowControl w:val="0"/>
        <w:kinsoku/>
        <w:wordWrap/>
        <w:overflowPunct/>
        <w:topLinePunct w:val="0"/>
        <w:autoSpaceDE w:val="0"/>
        <w:autoSpaceDN w:val="0"/>
        <w:bidi w:val="0"/>
        <w:adjustRightInd w:val="0"/>
        <w:snapToGrid w:val="0"/>
        <w:spacing w:after="0"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（2）电子投标文件按政采云平台供应商项目采购-电子招投标操作指南（网址：https://help.zcygov.cn/web/site_2/2018/12-28/2573.html）及本招标文件规定的格式和顺序编制电子投标文件并进行关联定位。</w:t>
      </w:r>
    </w:p>
    <w:p w14:paraId="4FD97B32">
      <w:pPr>
        <w:keepNext w:val="0"/>
        <w:keepLines w:val="0"/>
        <w:pageBreakBefore w:val="0"/>
        <w:widowControl w:val="0"/>
        <w:kinsoku/>
        <w:wordWrap/>
        <w:overflowPunct/>
        <w:topLinePunct w:val="0"/>
        <w:autoSpaceDE w:val="0"/>
        <w:autoSpaceDN w:val="0"/>
        <w:bidi w:val="0"/>
        <w:adjustRightInd w:val="0"/>
        <w:snapToGrid w:val="0"/>
        <w:spacing w:after="0" w:line="312" w:lineRule="auto"/>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（3）投标人应按照投标文件组成内容及项目招标需求制作投标文件，</w:t>
      </w:r>
      <w:r>
        <w:rPr>
          <w:rFonts w:hint="eastAsia" w:ascii="宋体" w:hAnsi="宋体" w:eastAsia="宋体" w:cs="宋体"/>
          <w:color w:val="auto"/>
          <w:kern w:val="0"/>
          <w:sz w:val="21"/>
          <w:szCs w:val="21"/>
        </w:rPr>
        <w:t>不按招标文件要求制作投标文件的将视情处理（拒收、扣分等），由此产生的责任由投标人自行承担。</w:t>
      </w:r>
    </w:p>
    <w:p w14:paraId="6557FAD3">
      <w:pPr>
        <w:keepNext w:val="0"/>
        <w:keepLines w:val="0"/>
        <w:pageBreakBefore w:val="0"/>
        <w:widowControl w:val="0"/>
        <w:kinsoku/>
        <w:wordWrap/>
        <w:overflowPunct/>
        <w:topLinePunct w:val="0"/>
        <w:autoSpaceDE w:val="0"/>
        <w:autoSpaceDN w:val="0"/>
        <w:bidi w:val="0"/>
        <w:adjustRightInd w:val="0"/>
        <w:snapToGrid w:val="0"/>
        <w:spacing w:after="0" w:line="312" w:lineRule="auto"/>
        <w:ind w:firstLine="420" w:firstLineChars="200"/>
        <w:textAlignment w:val="auto"/>
        <w:rPr>
          <w:rFonts w:hint="eastAsia" w:ascii="宋体" w:hAnsi="宋体" w:eastAsia="宋体" w:cs="宋体"/>
          <w:color w:val="auto"/>
          <w:kern w:val="0"/>
          <w:sz w:val="21"/>
          <w:szCs w:val="21"/>
          <w:lang w:val="zh-CN"/>
        </w:rPr>
      </w:pPr>
      <w:r>
        <w:rPr>
          <w:rFonts w:hint="eastAsia" w:ascii="宋体" w:hAnsi="宋体" w:eastAsia="宋体" w:cs="宋体"/>
          <w:color w:val="auto"/>
          <w:sz w:val="21"/>
          <w:szCs w:val="21"/>
        </w:rPr>
        <w:t>（4）</w:t>
      </w:r>
      <w:r>
        <w:rPr>
          <w:rFonts w:hint="eastAsia" w:ascii="宋体" w:hAnsi="宋体" w:eastAsia="宋体" w:cs="宋体"/>
          <w:b/>
          <w:color w:val="auto"/>
          <w:sz w:val="21"/>
          <w:szCs w:val="21"/>
        </w:rPr>
        <w:t>▲</w:t>
      </w:r>
      <w:r>
        <w:rPr>
          <w:rFonts w:hint="eastAsia" w:ascii="宋体" w:hAnsi="宋体" w:eastAsia="宋体" w:cs="宋体"/>
          <w:color w:val="auto"/>
          <w:sz w:val="21"/>
          <w:szCs w:val="21"/>
        </w:rPr>
        <w:t>投标人应对所提供的全部资料的真实性承担法律责任，</w:t>
      </w:r>
      <w:r>
        <w:rPr>
          <w:rFonts w:hint="eastAsia" w:ascii="宋体" w:hAnsi="宋体" w:eastAsia="宋体" w:cs="宋体"/>
          <w:color w:val="auto"/>
          <w:kern w:val="0"/>
          <w:sz w:val="21"/>
          <w:szCs w:val="21"/>
          <w:lang w:val="zh-CN"/>
        </w:rPr>
        <w:t>投标文件内容中有要求盖章或签字的地方，必须加盖投标人的公章以及法定代表人或授权代表盖章或签字。</w:t>
      </w:r>
      <w:r>
        <w:rPr>
          <w:rFonts w:hint="eastAsia" w:ascii="宋体" w:hAnsi="宋体" w:eastAsia="宋体" w:cs="宋体"/>
          <w:b/>
          <w:bCs/>
          <w:color w:val="auto"/>
          <w:sz w:val="21"/>
          <w:szCs w:val="21"/>
          <w:lang w:val="zh-CN"/>
        </w:rPr>
        <w:t>其中</w:t>
      </w:r>
      <w:r>
        <w:rPr>
          <w:rFonts w:hint="eastAsia" w:ascii="宋体" w:hAnsi="宋体" w:eastAsia="宋体" w:cs="宋体"/>
          <w:b/>
          <w:bCs/>
          <w:color w:val="auto"/>
          <w:sz w:val="21"/>
          <w:szCs w:val="21"/>
        </w:rPr>
        <w:t>电子投标文件中所须加盖公章部分均采用CA签章。</w:t>
      </w:r>
    </w:p>
    <w:p w14:paraId="7B3E6816">
      <w:pPr>
        <w:keepNext w:val="0"/>
        <w:keepLines w:val="0"/>
        <w:pageBreakBefore w:val="0"/>
        <w:widowControl w:val="0"/>
        <w:kinsoku/>
        <w:wordWrap/>
        <w:overflowPunct/>
        <w:topLinePunct w:val="0"/>
        <w:bidi w:val="0"/>
        <w:adjustRightInd w:val="0"/>
        <w:snapToGrid w:val="0"/>
        <w:spacing w:after="0" w:line="312"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zh-CN"/>
        </w:rPr>
        <w:t>（</w:t>
      </w:r>
      <w:r>
        <w:rPr>
          <w:rFonts w:hint="eastAsia" w:ascii="宋体" w:hAnsi="宋体" w:eastAsia="宋体" w:cs="宋体"/>
          <w:color w:val="auto"/>
          <w:kern w:val="0"/>
          <w:sz w:val="21"/>
          <w:szCs w:val="21"/>
        </w:rPr>
        <w:t>5</w:t>
      </w:r>
      <w:r>
        <w:rPr>
          <w:rFonts w:hint="eastAsia" w:ascii="宋体" w:hAnsi="宋体" w:eastAsia="宋体" w:cs="宋体"/>
          <w:color w:val="auto"/>
          <w:kern w:val="0"/>
          <w:sz w:val="21"/>
          <w:szCs w:val="21"/>
          <w:lang w:val="zh-CN"/>
        </w:rPr>
        <w:t>）</w:t>
      </w:r>
      <w:r>
        <w:rPr>
          <w:rFonts w:hint="eastAsia" w:ascii="宋体" w:hAnsi="宋体" w:eastAsia="宋体" w:cs="宋体"/>
          <w:b/>
          <w:color w:val="auto"/>
          <w:sz w:val="21"/>
          <w:szCs w:val="21"/>
        </w:rPr>
        <w:t>▲</w:t>
      </w:r>
      <w:r>
        <w:rPr>
          <w:rFonts w:hint="eastAsia" w:ascii="宋体" w:hAnsi="宋体" w:eastAsia="宋体" w:cs="宋体"/>
          <w:color w:val="auto"/>
          <w:sz w:val="21"/>
          <w:szCs w:val="21"/>
        </w:rPr>
        <w:t>投标文件以及投标人与采购组织机构就有关投标事宜的所有来往函电，均应以中文汉语书写。除签字、盖章、专用名称等特殊情形外，以中文汉语以外的文字表述的投标文件视同未提供。</w:t>
      </w:r>
    </w:p>
    <w:p w14:paraId="242C025D">
      <w:pPr>
        <w:keepNext w:val="0"/>
        <w:keepLines w:val="0"/>
        <w:pageBreakBefore w:val="0"/>
        <w:widowControl w:val="0"/>
        <w:kinsoku/>
        <w:wordWrap/>
        <w:overflowPunct/>
        <w:topLinePunct w:val="0"/>
        <w:bidi w:val="0"/>
        <w:adjustRightInd w:val="0"/>
        <w:snapToGrid w:val="0"/>
        <w:spacing w:after="0" w:line="312" w:lineRule="auto"/>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w:t>
      </w:r>
      <w:r>
        <w:rPr>
          <w:rFonts w:hint="eastAsia" w:ascii="宋体" w:hAnsi="宋体" w:eastAsia="宋体" w:cs="宋体"/>
          <w:b/>
          <w:color w:val="auto"/>
          <w:sz w:val="21"/>
          <w:szCs w:val="21"/>
        </w:rPr>
        <w:t>▲</w:t>
      </w:r>
      <w:r>
        <w:rPr>
          <w:rFonts w:hint="eastAsia" w:ascii="宋体" w:hAnsi="宋体" w:eastAsia="宋体" w:cs="宋体"/>
          <w:color w:val="auto"/>
          <w:sz w:val="21"/>
          <w:szCs w:val="21"/>
        </w:rPr>
        <w:t>投标计量单位，招标文件已有明确规定的，使用招标文件规定的计量单位；招标文件没有规定的，应采用中华人民共和国法定计量单位（货币单位：人民币元）。</w:t>
      </w:r>
    </w:p>
    <w:p w14:paraId="476372B1">
      <w:pPr>
        <w:keepNext w:val="0"/>
        <w:keepLines w:val="0"/>
        <w:pageBreakBefore w:val="0"/>
        <w:widowControl w:val="0"/>
        <w:kinsoku/>
        <w:wordWrap/>
        <w:overflowPunct/>
        <w:topLinePunct w:val="0"/>
        <w:autoSpaceDE w:val="0"/>
        <w:autoSpaceDN w:val="0"/>
        <w:bidi w:val="0"/>
        <w:adjustRightInd w:val="0"/>
        <w:snapToGrid w:val="0"/>
        <w:spacing w:after="0"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（7）若投标人不按招标文件的要求提供资格审查材料，其风险由投标人自行承担。</w:t>
      </w:r>
    </w:p>
    <w:p w14:paraId="4D33C006">
      <w:pPr>
        <w:keepNext w:val="0"/>
        <w:keepLines w:val="0"/>
        <w:pageBreakBefore w:val="0"/>
        <w:widowControl w:val="0"/>
        <w:kinsoku/>
        <w:wordWrap/>
        <w:overflowPunct/>
        <w:topLinePunct w:val="0"/>
        <w:autoSpaceDE w:val="0"/>
        <w:autoSpaceDN w:val="0"/>
        <w:bidi w:val="0"/>
        <w:adjustRightInd w:val="0"/>
        <w:snapToGrid w:val="0"/>
        <w:spacing w:after="0"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（8）</w:t>
      </w:r>
      <w:r>
        <w:rPr>
          <w:rFonts w:hint="eastAsia" w:ascii="宋体" w:hAnsi="宋体" w:eastAsia="宋体" w:cs="宋体"/>
          <w:color w:val="auto"/>
          <w:sz w:val="21"/>
          <w:szCs w:val="21"/>
        </w:rPr>
        <w:t>与本次投标无关的内容请不要制作在内，确保投标文件有针对性、简洁明了。</w:t>
      </w:r>
    </w:p>
    <w:p w14:paraId="555A8A35">
      <w:pPr>
        <w:keepNext w:val="0"/>
        <w:keepLines w:val="0"/>
        <w:pageBreakBefore w:val="0"/>
        <w:widowControl w:val="0"/>
        <w:kinsoku/>
        <w:wordWrap/>
        <w:overflowPunct/>
        <w:topLinePunct w:val="0"/>
        <w:autoSpaceDE w:val="0"/>
        <w:autoSpaceDN w:val="0"/>
        <w:bidi w:val="0"/>
        <w:adjustRightInd w:val="0"/>
        <w:snapToGrid w:val="0"/>
        <w:spacing w:after="0" w:line="312" w:lineRule="auto"/>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2、电子投标文件、电子备份投标文件制作要求</w:t>
      </w:r>
    </w:p>
    <w:p w14:paraId="0D74FFE7">
      <w:pPr>
        <w:keepNext w:val="0"/>
        <w:keepLines w:val="0"/>
        <w:pageBreakBefore w:val="0"/>
        <w:widowControl w:val="0"/>
        <w:kinsoku/>
        <w:wordWrap/>
        <w:overflowPunct/>
        <w:topLinePunct w:val="0"/>
        <w:autoSpaceDE w:val="0"/>
        <w:autoSpaceDN w:val="0"/>
        <w:bidi w:val="0"/>
        <w:adjustRightInd w:val="0"/>
        <w:snapToGrid w:val="0"/>
        <w:spacing w:after="0"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（1）电子投标文件中须加盖公章、法人章部分均采用CA签章，并根据“政采云供应商项目采购-电子招投标操作指南”及本招标文件规定的格式和顺序编制电子投标文件并进行</w:t>
      </w:r>
      <w:r>
        <w:rPr>
          <w:rFonts w:hint="eastAsia" w:ascii="宋体" w:hAnsi="宋体" w:eastAsia="宋体" w:cs="宋体"/>
          <w:b/>
          <w:bCs/>
          <w:color w:val="auto"/>
          <w:sz w:val="21"/>
          <w:szCs w:val="21"/>
        </w:rPr>
        <w:t>关联定位</w:t>
      </w:r>
      <w:r>
        <w:rPr>
          <w:rFonts w:hint="eastAsia" w:ascii="宋体" w:hAnsi="宋体" w:eastAsia="宋体" w:cs="宋体"/>
          <w:color w:val="auto"/>
          <w:sz w:val="21"/>
          <w:szCs w:val="21"/>
        </w:rPr>
        <w:t>，以便评标委员会在评标时，点击评分项可直接定位到该评分项内容。如对招标文件的某项要求，投标人的电子投标文件（电子备份投标文件）未能关联定位提供相应的内容与其对应，则评标委员会在评审时如做出对投标人不利的评审由投标人自行承担。</w:t>
      </w:r>
    </w:p>
    <w:p w14:paraId="5C8A02EE">
      <w:pPr>
        <w:keepNext w:val="0"/>
        <w:keepLines w:val="0"/>
        <w:pageBreakBefore w:val="0"/>
        <w:widowControl w:val="0"/>
        <w:kinsoku/>
        <w:wordWrap/>
        <w:overflowPunct/>
        <w:topLinePunct w:val="0"/>
        <w:autoSpaceDE w:val="0"/>
        <w:autoSpaceDN w:val="0"/>
        <w:bidi w:val="0"/>
        <w:adjustRightInd w:val="0"/>
        <w:snapToGrid w:val="0"/>
        <w:spacing w:after="0"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（2）电子投标文件、电子备份投标文件如内容不完整、编排混乱导致投标文件被误读、漏读，或者在按采购文件规定的部位查找不到相关内容的，由投标人自行承担。</w:t>
      </w:r>
    </w:p>
    <w:p w14:paraId="359F3F46">
      <w:pPr>
        <w:keepNext w:val="0"/>
        <w:keepLines w:val="0"/>
        <w:pageBreakBefore w:val="0"/>
        <w:widowControl w:val="0"/>
        <w:kinsoku/>
        <w:wordWrap/>
        <w:overflowPunct/>
        <w:topLinePunct w:val="0"/>
        <w:autoSpaceDE w:val="0"/>
        <w:autoSpaceDN w:val="0"/>
        <w:bidi w:val="0"/>
        <w:adjustRightInd w:val="0"/>
        <w:snapToGrid w:val="0"/>
        <w:spacing w:after="0" w:line="312" w:lineRule="auto"/>
        <w:ind w:firstLine="422" w:firstLineChars="200"/>
        <w:textAlignment w:val="auto"/>
        <w:rPr>
          <w:rFonts w:hint="eastAsia" w:ascii="宋体" w:hAnsi="宋体" w:eastAsia="宋体" w:cs="宋体"/>
          <w:color w:val="auto"/>
          <w:kern w:val="0"/>
          <w:sz w:val="21"/>
          <w:szCs w:val="21"/>
        </w:rPr>
      </w:pPr>
      <w:r>
        <w:rPr>
          <w:rFonts w:hint="eastAsia" w:ascii="宋体" w:hAnsi="宋体" w:eastAsia="宋体" w:cs="宋体"/>
          <w:b/>
          <w:bCs/>
          <w:color w:val="auto"/>
          <w:sz w:val="21"/>
          <w:szCs w:val="21"/>
        </w:rPr>
        <w:t>温馨提醒：</w:t>
      </w:r>
      <w:r>
        <w:rPr>
          <w:rFonts w:hint="eastAsia" w:ascii="宋体" w:hAnsi="宋体" w:eastAsia="宋体" w:cs="宋体"/>
          <w:color w:val="auto"/>
          <w:sz w:val="21"/>
          <w:szCs w:val="21"/>
        </w:rPr>
        <w:t>CA签章上目前没有法人或授权代表签字信息，需要投标人联系浙江杭州汇信科技有限公司（400-8884636）等相应公司进行办理，或在投标文件中涉及到签字的位置线下签好字然后扫描或者拍照做成PDF的格式亦可。</w:t>
      </w:r>
    </w:p>
    <w:p w14:paraId="394B3FF7">
      <w:pPr>
        <w:keepNext w:val="0"/>
        <w:keepLines w:val="0"/>
        <w:pageBreakBefore w:val="0"/>
        <w:widowControl w:val="0"/>
        <w:kinsoku/>
        <w:wordWrap/>
        <w:overflowPunct/>
        <w:topLinePunct w:val="0"/>
        <w:autoSpaceDE w:val="0"/>
        <w:autoSpaceDN w:val="0"/>
        <w:bidi w:val="0"/>
        <w:adjustRightInd w:val="0"/>
        <w:snapToGrid w:val="0"/>
        <w:spacing w:after="0" w:line="312" w:lineRule="auto"/>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3、投标响应文件的封装要求</w:t>
      </w:r>
    </w:p>
    <w:p w14:paraId="16E1B0EA">
      <w:pPr>
        <w:keepNext w:val="0"/>
        <w:keepLines w:val="0"/>
        <w:pageBreakBefore w:val="0"/>
        <w:widowControl w:val="0"/>
        <w:kinsoku/>
        <w:wordWrap/>
        <w:overflowPunct/>
        <w:topLinePunct w:val="0"/>
        <w:autoSpaceDE w:val="0"/>
        <w:autoSpaceDN w:val="0"/>
        <w:bidi w:val="0"/>
        <w:adjustRightInd w:val="0"/>
        <w:snapToGrid w:val="0"/>
        <w:spacing w:after="0"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（1）投标文件制作完成并生成标书，在开标前，供应商需将投标响应文件上传至政采云平台，到达开标时间后，解密投标文件，采购组织机构对投标响应文件的误投和供应商操作失误造成的提前启封不负责任。</w:t>
      </w:r>
    </w:p>
    <w:p w14:paraId="6B4CADBD">
      <w:pPr>
        <w:keepNext w:val="0"/>
        <w:keepLines w:val="0"/>
        <w:pageBreakBefore w:val="0"/>
        <w:widowControl w:val="0"/>
        <w:kinsoku/>
        <w:wordWrap/>
        <w:overflowPunct/>
        <w:topLinePunct w:val="0"/>
        <w:autoSpaceDE w:val="0"/>
        <w:autoSpaceDN w:val="0"/>
        <w:bidi w:val="0"/>
        <w:adjustRightInd w:val="0"/>
        <w:snapToGrid w:val="0"/>
        <w:spacing w:after="0"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（2）所有投标响应资料按投标采购文件的组成所列内容及顺序编制，</w:t>
      </w:r>
      <w:r>
        <w:rPr>
          <w:rFonts w:hint="eastAsia" w:ascii="宋体" w:hAnsi="宋体" w:eastAsia="宋体" w:cs="宋体"/>
          <w:color w:val="auto"/>
          <w:sz w:val="21"/>
          <w:szCs w:val="21"/>
          <w:lang w:val="zh-CN"/>
        </w:rPr>
        <w:t>并逐页连续标注页码。因投标响应文件内容不完整、编排混乱导致投标响应文件被误读、漏读或者查找不到相关内容的责任由供应商自行承担。</w:t>
      </w:r>
    </w:p>
    <w:p w14:paraId="77B2165B">
      <w:pPr>
        <w:keepNext w:val="0"/>
        <w:keepLines w:val="0"/>
        <w:pageBreakBefore w:val="0"/>
        <w:widowControl w:val="0"/>
        <w:kinsoku/>
        <w:wordWrap/>
        <w:overflowPunct/>
        <w:topLinePunct w:val="0"/>
        <w:autoSpaceDE w:val="0"/>
        <w:autoSpaceDN w:val="0"/>
        <w:bidi w:val="0"/>
        <w:adjustRightInd w:val="0"/>
        <w:snapToGrid w:val="0"/>
        <w:spacing w:after="0" w:line="312" w:lineRule="auto"/>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r>
        <w:rPr>
          <w:rFonts w:hint="eastAsia" w:ascii="宋体" w:hAnsi="宋体" w:eastAsia="宋体" w:cs="宋体"/>
          <w:color w:val="auto"/>
          <w:kern w:val="0"/>
          <w:sz w:val="21"/>
          <w:szCs w:val="21"/>
          <w:lang w:val="zh-CN"/>
        </w:rPr>
        <w:t>因密封不严、标记不明而造成失密、拒收、过早启封等情况，采购组织机构概不负责</w:t>
      </w:r>
    </w:p>
    <w:p w14:paraId="06109414">
      <w:pPr>
        <w:keepNext w:val="0"/>
        <w:keepLines w:val="0"/>
        <w:pageBreakBefore w:val="0"/>
        <w:widowControl w:val="0"/>
        <w:kinsoku/>
        <w:wordWrap/>
        <w:overflowPunct/>
        <w:topLinePunct w:val="0"/>
        <w:autoSpaceDE w:val="0"/>
        <w:autoSpaceDN w:val="0"/>
        <w:bidi w:val="0"/>
        <w:adjustRightInd w:val="0"/>
        <w:snapToGrid w:val="0"/>
        <w:spacing w:after="0"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4、</w:t>
      </w:r>
      <w:r>
        <w:rPr>
          <w:rFonts w:hint="eastAsia" w:ascii="宋体" w:hAnsi="宋体" w:eastAsia="宋体" w:cs="宋体"/>
          <w:color w:val="auto"/>
          <w:sz w:val="21"/>
          <w:szCs w:val="21"/>
        </w:rPr>
        <w:t>投标文件的递交要求</w:t>
      </w:r>
    </w:p>
    <w:p w14:paraId="450D6FD9">
      <w:pPr>
        <w:keepNext w:val="0"/>
        <w:keepLines w:val="0"/>
        <w:pageBreakBefore w:val="0"/>
        <w:widowControl w:val="0"/>
        <w:tabs>
          <w:tab w:val="left" w:pos="1418"/>
        </w:tabs>
        <w:kinsoku/>
        <w:wordWrap/>
        <w:overflowPunct/>
        <w:topLinePunct w:val="0"/>
        <w:autoSpaceDE w:val="0"/>
        <w:autoSpaceDN w:val="0"/>
        <w:bidi w:val="0"/>
        <w:adjustRightInd w:val="0"/>
        <w:snapToGrid w:val="0"/>
        <w:spacing w:after="0" w:line="312" w:lineRule="auto"/>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（1）投标文件必须在规定时间前上传、送达。投标文件在截止时间后提交，采购组织机构将拒绝接收。</w:t>
      </w:r>
    </w:p>
    <w:p w14:paraId="2F88B498">
      <w:pPr>
        <w:keepNext w:val="0"/>
        <w:keepLines w:val="0"/>
        <w:pageBreakBefore w:val="0"/>
        <w:widowControl w:val="0"/>
        <w:tabs>
          <w:tab w:val="left" w:pos="1418"/>
        </w:tabs>
        <w:kinsoku/>
        <w:wordWrap/>
        <w:overflowPunct/>
        <w:topLinePunct w:val="0"/>
        <w:autoSpaceDE w:val="0"/>
        <w:autoSpaceDN w:val="0"/>
        <w:bidi w:val="0"/>
        <w:adjustRightInd w:val="0"/>
        <w:snapToGrid w:val="0"/>
        <w:spacing w:after="0" w:line="312" w:lineRule="auto"/>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（2）如有特殊情况，采购组织机构延长截止时间和开标时间，采购组织机构和投标人的权利和义务将受到新的截止时间和开标时间的约束。</w:t>
      </w:r>
    </w:p>
    <w:p w14:paraId="2A85001D">
      <w:pPr>
        <w:keepNext w:val="0"/>
        <w:keepLines w:val="0"/>
        <w:pageBreakBefore w:val="0"/>
        <w:widowControl w:val="0"/>
        <w:tabs>
          <w:tab w:val="left" w:pos="1898"/>
        </w:tabs>
        <w:kinsoku/>
        <w:wordWrap/>
        <w:overflowPunct/>
        <w:topLinePunct w:val="0"/>
        <w:autoSpaceDE w:val="0"/>
        <w:autoSpaceDN w:val="0"/>
        <w:bidi w:val="0"/>
        <w:adjustRightInd w:val="0"/>
        <w:snapToGrid w:val="0"/>
        <w:spacing w:after="0" w:line="312" w:lineRule="auto"/>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5、投标文件的补充、修改和撤回。</w:t>
      </w:r>
    </w:p>
    <w:p w14:paraId="4B622AA8">
      <w:pPr>
        <w:keepNext w:val="0"/>
        <w:keepLines w:val="0"/>
        <w:pageBreakBefore w:val="0"/>
        <w:widowControl w:val="0"/>
        <w:tabs>
          <w:tab w:val="left" w:pos="1898"/>
        </w:tabs>
        <w:kinsoku/>
        <w:wordWrap/>
        <w:overflowPunct/>
        <w:topLinePunct w:val="0"/>
        <w:autoSpaceDE w:val="0"/>
        <w:autoSpaceDN w:val="0"/>
        <w:bidi w:val="0"/>
        <w:adjustRightInd w:val="0"/>
        <w:snapToGrid w:val="0"/>
        <w:spacing w:after="0" w:line="312" w:lineRule="auto"/>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r>
        <w:rPr>
          <w:rFonts w:hint="eastAsia" w:ascii="宋体" w:hAnsi="宋体" w:eastAsia="宋体" w:cs="宋体"/>
          <w:b/>
          <w:color w:val="auto"/>
          <w:kern w:val="0"/>
          <w:sz w:val="21"/>
          <w:szCs w:val="21"/>
        </w:rPr>
        <w:t>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100B4BDF">
      <w:pPr>
        <w:keepNext w:val="0"/>
        <w:keepLines w:val="0"/>
        <w:pageBreakBefore w:val="0"/>
        <w:widowControl w:val="0"/>
        <w:tabs>
          <w:tab w:val="left" w:pos="1898"/>
        </w:tabs>
        <w:kinsoku/>
        <w:wordWrap/>
        <w:overflowPunct/>
        <w:topLinePunct w:val="0"/>
        <w:autoSpaceDE w:val="0"/>
        <w:autoSpaceDN w:val="0"/>
        <w:bidi w:val="0"/>
        <w:adjustRightInd w:val="0"/>
        <w:snapToGrid w:val="0"/>
        <w:spacing w:after="0" w:line="312" w:lineRule="auto"/>
        <w:ind w:firstLine="420" w:firstLineChars="200"/>
        <w:textAlignment w:val="auto"/>
        <w:rPr>
          <w:rFonts w:hint="eastAsia" w:ascii="宋体" w:hAnsi="宋体" w:eastAsia="宋体" w:cs="宋体"/>
          <w:b/>
          <w:color w:val="auto"/>
          <w:kern w:val="0"/>
          <w:sz w:val="21"/>
          <w:szCs w:val="21"/>
        </w:rPr>
      </w:pPr>
      <w:r>
        <w:rPr>
          <w:rFonts w:hint="eastAsia" w:ascii="宋体" w:hAnsi="宋体" w:eastAsia="宋体" w:cs="宋体"/>
          <w:color w:val="auto"/>
          <w:kern w:val="0"/>
          <w:sz w:val="21"/>
          <w:szCs w:val="21"/>
        </w:rPr>
        <w:t>（2）</w:t>
      </w:r>
      <w:r>
        <w:rPr>
          <w:rFonts w:hint="eastAsia" w:ascii="宋体" w:hAnsi="宋体" w:eastAsia="宋体" w:cs="宋体"/>
          <w:b/>
          <w:color w:val="auto"/>
          <w:kern w:val="0"/>
          <w:sz w:val="21"/>
          <w:szCs w:val="21"/>
        </w:rPr>
        <w:t>投标截止时间后，投标供应商不得撤回、修改《投标响应文件》。</w:t>
      </w:r>
    </w:p>
    <w:p w14:paraId="1C6A5F83">
      <w:pPr>
        <w:keepNext w:val="0"/>
        <w:keepLines w:val="0"/>
        <w:pageBreakBefore w:val="0"/>
        <w:widowControl w:val="0"/>
        <w:tabs>
          <w:tab w:val="left" w:pos="1898"/>
        </w:tabs>
        <w:kinsoku/>
        <w:wordWrap/>
        <w:overflowPunct/>
        <w:topLinePunct w:val="0"/>
        <w:autoSpaceDE w:val="0"/>
        <w:autoSpaceDN w:val="0"/>
        <w:bidi w:val="0"/>
        <w:adjustRightInd w:val="0"/>
        <w:snapToGrid w:val="0"/>
        <w:spacing w:after="0" w:line="312" w:lineRule="auto"/>
        <w:ind w:left="420" w:leftChars="200"/>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（三）投标文件的有效期</w:t>
      </w:r>
    </w:p>
    <w:p w14:paraId="37DEF297">
      <w:pPr>
        <w:pStyle w:val="6"/>
        <w:keepNext w:val="0"/>
        <w:keepLines w:val="0"/>
        <w:pageBreakBefore w:val="0"/>
        <w:widowControl w:val="0"/>
        <w:tabs>
          <w:tab w:val="left" w:pos="454"/>
          <w:tab w:val="left" w:pos="720"/>
          <w:tab w:val="left" w:pos="1200"/>
        </w:tabs>
        <w:kinsoku/>
        <w:wordWrap/>
        <w:overflowPunct/>
        <w:topLinePunct w:val="0"/>
        <w:bidi w:val="0"/>
        <w:adjustRightInd w:val="0"/>
        <w:snapToGrid w:val="0"/>
        <w:spacing w:after="0" w:line="312" w:lineRule="auto"/>
        <w:ind w:left="0" w:firstLine="420" w:firstLineChars="200"/>
        <w:textAlignment w:val="auto"/>
        <w:rPr>
          <w:rFonts w:hint="eastAsia" w:ascii="宋体" w:hAnsi="宋体" w:eastAsia="宋体" w:cs="宋体"/>
          <w:color w:val="auto"/>
          <w:sz w:val="21"/>
          <w:szCs w:val="21"/>
          <w:lang w:val="en-GB"/>
        </w:rPr>
      </w:pPr>
      <w:r>
        <w:rPr>
          <w:rFonts w:hint="eastAsia" w:ascii="宋体" w:hAnsi="宋体" w:eastAsia="宋体" w:cs="宋体"/>
          <w:color w:val="auto"/>
          <w:sz w:val="21"/>
          <w:szCs w:val="21"/>
          <w:lang w:val="en-GB"/>
        </w:rPr>
        <w:t>自投标截止日起90天投标文件应保持有效。有效期不足的投标文件将被拒绝。</w:t>
      </w:r>
    </w:p>
    <w:p w14:paraId="7F0D6810">
      <w:pPr>
        <w:pStyle w:val="6"/>
        <w:keepNext w:val="0"/>
        <w:keepLines w:val="0"/>
        <w:pageBreakBefore w:val="0"/>
        <w:widowControl w:val="0"/>
        <w:tabs>
          <w:tab w:val="left" w:pos="454"/>
          <w:tab w:val="left" w:pos="720"/>
          <w:tab w:val="left" w:pos="1200"/>
        </w:tabs>
        <w:kinsoku/>
        <w:wordWrap/>
        <w:overflowPunct/>
        <w:topLinePunct w:val="0"/>
        <w:bidi w:val="0"/>
        <w:adjustRightInd w:val="0"/>
        <w:snapToGrid w:val="0"/>
        <w:spacing w:after="0" w:line="312" w:lineRule="auto"/>
        <w:ind w:left="0" w:firstLine="420" w:firstLineChars="200"/>
        <w:textAlignment w:val="auto"/>
        <w:rPr>
          <w:rFonts w:hint="eastAsia" w:ascii="宋体" w:hAnsi="宋体" w:eastAsia="宋体" w:cs="宋体"/>
          <w:color w:val="auto"/>
          <w:sz w:val="21"/>
          <w:szCs w:val="21"/>
          <w:lang w:val="en-GB"/>
        </w:rPr>
      </w:pPr>
      <w:r>
        <w:rPr>
          <w:rFonts w:hint="eastAsia" w:ascii="宋体" w:hAnsi="宋体" w:eastAsia="宋体" w:cs="宋体"/>
          <w:color w:val="auto"/>
          <w:sz w:val="21"/>
          <w:szCs w:val="21"/>
          <w:lang w:val="en-GB"/>
        </w:rPr>
        <w:t>在特殊情况下，采购人可与投标人协商延长投标文件的有效期，这种要求和答复均以书面形式进行。</w:t>
      </w:r>
    </w:p>
    <w:p w14:paraId="405E2C84">
      <w:pPr>
        <w:keepNext w:val="0"/>
        <w:keepLines w:val="0"/>
        <w:pageBreakBefore w:val="0"/>
        <w:widowControl w:val="0"/>
        <w:kinsoku/>
        <w:wordWrap/>
        <w:overflowPunct/>
        <w:topLinePunct w:val="0"/>
        <w:bidi w:val="0"/>
        <w:adjustRightInd w:val="0"/>
        <w:snapToGrid w:val="0"/>
        <w:spacing w:after="0" w:line="312" w:lineRule="auto"/>
        <w:ind w:firstLine="420" w:firstLineChars="200"/>
        <w:jc w:val="left"/>
        <w:textAlignment w:val="auto"/>
        <w:outlineLvl w:val="0"/>
        <w:rPr>
          <w:rFonts w:hint="eastAsia" w:ascii="宋体" w:hAnsi="宋体" w:eastAsia="宋体" w:cs="宋体"/>
          <w:b/>
          <w:color w:val="auto"/>
          <w:sz w:val="21"/>
          <w:szCs w:val="21"/>
        </w:rPr>
      </w:pPr>
      <w:r>
        <w:rPr>
          <w:rFonts w:hint="eastAsia" w:ascii="宋体" w:hAnsi="宋体" w:eastAsia="宋体" w:cs="宋体"/>
          <w:color w:val="auto"/>
          <w:sz w:val="21"/>
          <w:szCs w:val="21"/>
        </w:rPr>
        <w:t>3.中标人的投标文件自开标之日起至合同履行完毕均应保持有效。</w:t>
      </w:r>
    </w:p>
    <w:p w14:paraId="77DEA3C9">
      <w:pPr>
        <w:keepNext w:val="0"/>
        <w:keepLines w:val="0"/>
        <w:pageBreakBefore w:val="0"/>
        <w:widowControl w:val="0"/>
        <w:tabs>
          <w:tab w:val="left" w:pos="1418"/>
        </w:tabs>
        <w:kinsoku/>
        <w:wordWrap/>
        <w:overflowPunct/>
        <w:topLinePunct w:val="0"/>
        <w:autoSpaceDE w:val="0"/>
        <w:autoSpaceDN w:val="0"/>
        <w:bidi w:val="0"/>
        <w:adjustRightInd w:val="0"/>
        <w:snapToGrid w:val="0"/>
        <w:spacing w:after="0" w:line="312" w:lineRule="auto"/>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四、投标保证金</w:t>
      </w:r>
    </w:p>
    <w:p w14:paraId="333E3C13">
      <w:pPr>
        <w:keepNext w:val="0"/>
        <w:keepLines w:val="0"/>
        <w:pageBreakBefore w:val="0"/>
        <w:widowControl w:val="0"/>
        <w:tabs>
          <w:tab w:val="left" w:pos="1418"/>
        </w:tabs>
        <w:kinsoku/>
        <w:wordWrap/>
        <w:overflowPunct/>
        <w:topLinePunct w:val="0"/>
        <w:autoSpaceDE w:val="0"/>
        <w:autoSpaceDN w:val="0"/>
        <w:bidi w:val="0"/>
        <w:adjustRightInd w:val="0"/>
        <w:snapToGrid w:val="0"/>
        <w:spacing w:after="0"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根据《浙江省财政厅关于明确政府采购保证金管理工作的通知》文件规定，不再收取投标保证金。</w:t>
      </w:r>
    </w:p>
    <w:p w14:paraId="759367A9">
      <w:pPr>
        <w:keepNext w:val="0"/>
        <w:keepLines w:val="0"/>
        <w:pageBreakBefore w:val="0"/>
        <w:widowControl w:val="0"/>
        <w:tabs>
          <w:tab w:val="left" w:pos="1418"/>
        </w:tabs>
        <w:kinsoku/>
        <w:wordWrap/>
        <w:overflowPunct/>
        <w:topLinePunct w:val="0"/>
        <w:autoSpaceDE w:val="0"/>
        <w:autoSpaceDN w:val="0"/>
        <w:bidi w:val="0"/>
        <w:adjustRightInd w:val="0"/>
        <w:snapToGrid w:val="0"/>
        <w:spacing w:after="0"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但投标人有下列情形之一的，将视情节轻重予以处罚（处罚措施由招标人合理确定，若给招标人造成损失的，须承担所有损失赔偿，并上报采购监管机构进行处理）。</w:t>
      </w:r>
    </w:p>
    <w:p w14:paraId="32FCB887">
      <w:pPr>
        <w:keepNext w:val="0"/>
        <w:keepLines w:val="0"/>
        <w:pageBreakBefore w:val="0"/>
        <w:tabs>
          <w:tab w:val="left" w:pos="1418"/>
        </w:tabs>
        <w:kinsoku/>
        <w:wordWrap/>
        <w:overflowPunct/>
        <w:topLinePunct w:val="0"/>
        <w:autoSpaceDE w:val="0"/>
        <w:autoSpaceDN w:val="0"/>
        <w:bidi w:val="0"/>
        <w:adjustRightInd w:val="0"/>
        <w:spacing w:after="0"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（1）投标人在截止时间后至投标有效期内无故撤回投标文件或放弃中标资格的；</w:t>
      </w:r>
    </w:p>
    <w:p w14:paraId="243FEFE2">
      <w:pPr>
        <w:keepNext w:val="0"/>
        <w:keepLines w:val="0"/>
        <w:pageBreakBefore w:val="0"/>
        <w:tabs>
          <w:tab w:val="left" w:pos="1418"/>
        </w:tabs>
        <w:kinsoku/>
        <w:wordWrap/>
        <w:overflowPunct/>
        <w:topLinePunct w:val="0"/>
        <w:autoSpaceDE w:val="0"/>
        <w:autoSpaceDN w:val="0"/>
        <w:bidi w:val="0"/>
        <w:adjustRightInd w:val="0"/>
        <w:spacing w:after="0"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（2）投标人在投标过程中弄虚作假，提供虚假材料的；</w:t>
      </w:r>
    </w:p>
    <w:p w14:paraId="43E2669A">
      <w:pPr>
        <w:keepNext w:val="0"/>
        <w:keepLines w:val="0"/>
        <w:pageBreakBefore w:val="0"/>
        <w:tabs>
          <w:tab w:val="left" w:pos="1418"/>
        </w:tabs>
        <w:kinsoku/>
        <w:wordWrap/>
        <w:overflowPunct/>
        <w:topLinePunct w:val="0"/>
        <w:autoSpaceDE w:val="0"/>
        <w:autoSpaceDN w:val="0"/>
        <w:bidi w:val="0"/>
        <w:adjustRightInd w:val="0"/>
        <w:spacing w:after="0"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（3）与采购人另行订立背离合同实质性内容的协议的；</w:t>
      </w:r>
    </w:p>
    <w:p w14:paraId="5F86EFF2">
      <w:pPr>
        <w:keepNext w:val="0"/>
        <w:keepLines w:val="0"/>
        <w:pageBreakBefore w:val="0"/>
        <w:tabs>
          <w:tab w:val="left" w:pos="1418"/>
        </w:tabs>
        <w:kinsoku/>
        <w:wordWrap/>
        <w:overflowPunct/>
        <w:topLinePunct w:val="0"/>
        <w:autoSpaceDE w:val="0"/>
        <w:autoSpaceDN w:val="0"/>
        <w:bidi w:val="0"/>
        <w:adjustRightInd w:val="0"/>
        <w:spacing w:after="0"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（4）将中标项目转让或违规分包给他人；</w:t>
      </w:r>
    </w:p>
    <w:p w14:paraId="56AFF420">
      <w:pPr>
        <w:keepNext w:val="0"/>
        <w:keepLines w:val="0"/>
        <w:pageBreakBefore w:val="0"/>
        <w:tabs>
          <w:tab w:val="left" w:pos="1418"/>
        </w:tabs>
        <w:kinsoku/>
        <w:wordWrap/>
        <w:overflowPunct/>
        <w:topLinePunct w:val="0"/>
        <w:autoSpaceDE w:val="0"/>
        <w:autoSpaceDN w:val="0"/>
        <w:bidi w:val="0"/>
        <w:adjustRightInd w:val="0"/>
        <w:spacing w:after="0"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（5）除因不可抗力或招标文件认可的情形以外，中标供应商不与采购人签订合同或拒绝履行合同义务的；</w:t>
      </w:r>
    </w:p>
    <w:p w14:paraId="373547F7">
      <w:pPr>
        <w:keepNext w:val="0"/>
        <w:keepLines w:val="0"/>
        <w:pageBreakBefore w:val="0"/>
        <w:tabs>
          <w:tab w:val="left" w:pos="1418"/>
        </w:tabs>
        <w:kinsoku/>
        <w:wordWrap/>
        <w:overflowPunct/>
        <w:topLinePunct w:val="0"/>
        <w:autoSpaceDE w:val="0"/>
        <w:autoSpaceDN w:val="0"/>
        <w:bidi w:val="0"/>
        <w:adjustRightInd w:val="0"/>
        <w:spacing w:after="0"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（6）供应商与采购人、其他供应商或者采购组织机构恶意串通的；</w:t>
      </w:r>
    </w:p>
    <w:p w14:paraId="1216AE7E">
      <w:pPr>
        <w:keepNext w:val="0"/>
        <w:keepLines w:val="0"/>
        <w:pageBreakBefore w:val="0"/>
        <w:tabs>
          <w:tab w:val="left" w:pos="1418"/>
        </w:tabs>
        <w:kinsoku/>
        <w:wordWrap/>
        <w:overflowPunct/>
        <w:topLinePunct w:val="0"/>
        <w:autoSpaceDE w:val="0"/>
        <w:autoSpaceDN w:val="0"/>
        <w:bidi w:val="0"/>
        <w:adjustRightInd w:val="0"/>
        <w:spacing w:after="0"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（7）其他严重扰乱招投标程序的，法律、法规明确规定的其他行为。</w:t>
      </w:r>
    </w:p>
    <w:p w14:paraId="0B30D07F">
      <w:pPr>
        <w:keepNext w:val="0"/>
        <w:keepLines w:val="0"/>
        <w:pageBreakBefore w:val="0"/>
        <w:kinsoku/>
        <w:wordWrap/>
        <w:overflowPunct/>
        <w:topLinePunct w:val="0"/>
        <w:bidi w:val="0"/>
        <w:snapToGrid w:val="0"/>
        <w:spacing w:after="0" w:line="312" w:lineRule="auto"/>
        <w:ind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五、开标</w:t>
      </w:r>
    </w:p>
    <w:p w14:paraId="6ABB5EDE">
      <w:pPr>
        <w:keepNext w:val="0"/>
        <w:keepLines w:val="0"/>
        <w:pageBreakBefore w:val="0"/>
        <w:kinsoku/>
        <w:wordWrap/>
        <w:overflowPunct/>
        <w:topLinePunct w:val="0"/>
        <w:autoSpaceDE w:val="0"/>
        <w:autoSpaceDN w:val="0"/>
        <w:bidi w:val="0"/>
        <w:adjustRightInd w:val="0"/>
        <w:spacing w:after="0" w:line="312" w:lineRule="auto"/>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    （一）开标事项</w:t>
      </w:r>
    </w:p>
    <w:p w14:paraId="31335679">
      <w:pPr>
        <w:keepNext w:val="0"/>
        <w:keepLines w:val="0"/>
        <w:pageBreakBefore w:val="0"/>
        <w:kinsoku/>
        <w:wordWrap/>
        <w:overflowPunct/>
        <w:topLinePunct w:val="0"/>
        <w:bidi w:val="0"/>
        <w:spacing w:after="0"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采购组织机构在“招标公告”规定的时间和地点公开开标，投标人线上参加项目开标过程。投标人未在规定时间参与开标过程的，视为放弃开标监督权利、认可开标结果。</w:t>
      </w:r>
    </w:p>
    <w:p w14:paraId="1989220C">
      <w:pPr>
        <w:keepNext w:val="0"/>
        <w:keepLines w:val="0"/>
        <w:pageBreakBefore w:val="0"/>
        <w:kinsoku/>
        <w:wordWrap/>
        <w:overflowPunct/>
        <w:topLinePunct w:val="0"/>
        <w:autoSpaceDE w:val="0"/>
        <w:autoSpaceDN w:val="0"/>
        <w:bidi w:val="0"/>
        <w:adjustRightInd w:val="0"/>
        <w:spacing w:after="0" w:line="312" w:lineRule="auto"/>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在开标过程中如有异议，按规定出具加盖公章</w:t>
      </w:r>
      <w:r>
        <w:rPr>
          <w:rFonts w:hint="eastAsia" w:ascii="宋体" w:hAnsi="宋体" w:eastAsia="宋体" w:cs="宋体"/>
          <w:color w:val="auto"/>
          <w:kern w:val="0"/>
          <w:sz w:val="21"/>
          <w:szCs w:val="21"/>
        </w:rPr>
        <w:t>（或者由法定代理人或其授权的代表签字）</w:t>
      </w:r>
      <w:r>
        <w:rPr>
          <w:rFonts w:hint="eastAsia" w:ascii="宋体" w:hAnsi="宋体" w:eastAsia="宋体" w:cs="宋体"/>
          <w:bCs/>
          <w:color w:val="auto"/>
          <w:sz w:val="21"/>
          <w:szCs w:val="21"/>
        </w:rPr>
        <w:t>的质疑函的原件扫描件，原件也同时寄给或送至招标代理公司（或采购人）。在开标过程中如有澄清、无效标等，投标人也按上述方式进行操作。</w:t>
      </w:r>
    </w:p>
    <w:p w14:paraId="3CEBE1C7">
      <w:pPr>
        <w:keepNext w:val="0"/>
        <w:keepLines w:val="0"/>
        <w:pageBreakBefore w:val="0"/>
        <w:kinsoku/>
        <w:wordWrap/>
        <w:overflowPunct/>
        <w:topLinePunct w:val="0"/>
        <w:autoSpaceDE w:val="0"/>
        <w:autoSpaceDN w:val="0"/>
        <w:bidi w:val="0"/>
        <w:adjustRightInd w:val="0"/>
        <w:spacing w:after="0" w:line="312" w:lineRule="auto"/>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本次招标</w:t>
      </w:r>
      <w:r>
        <w:rPr>
          <w:rFonts w:hint="eastAsia" w:ascii="宋体" w:hAnsi="宋体" w:eastAsia="宋体" w:cs="宋体"/>
          <w:color w:val="auto"/>
          <w:sz w:val="21"/>
          <w:szCs w:val="21"/>
        </w:rPr>
        <w:t>先开资格证明文件，再开商务技术文件，商务技术文件评审结束后再开评报价文件</w:t>
      </w:r>
      <w:r>
        <w:rPr>
          <w:rFonts w:hint="eastAsia" w:ascii="宋体" w:hAnsi="宋体" w:eastAsia="宋体" w:cs="宋体"/>
          <w:color w:val="auto"/>
          <w:kern w:val="0"/>
          <w:sz w:val="21"/>
          <w:szCs w:val="21"/>
        </w:rPr>
        <w:t>。</w:t>
      </w:r>
    </w:p>
    <w:p w14:paraId="40416AB5">
      <w:pPr>
        <w:keepNext w:val="0"/>
        <w:keepLines w:val="0"/>
        <w:pageBreakBefore w:val="0"/>
        <w:kinsoku/>
        <w:wordWrap/>
        <w:overflowPunct/>
        <w:topLinePunct w:val="0"/>
        <w:bidi w:val="0"/>
        <w:spacing w:after="0"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采购过程中出现以下情形，导致电子交易平台无法正常运行，或者无法保证电子交易的公平、公正和安全时，采购组织机构可中止电子交易活动：</w:t>
      </w:r>
    </w:p>
    <w:p w14:paraId="28A76C4F">
      <w:pPr>
        <w:keepNext w:val="0"/>
        <w:keepLines w:val="0"/>
        <w:pageBreakBefore w:val="0"/>
        <w:kinsoku/>
        <w:wordWrap/>
        <w:overflowPunct/>
        <w:topLinePunct w:val="0"/>
        <w:bidi w:val="0"/>
        <w:spacing w:after="0"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（1）电子交易平台发生故障而无法登录访问的； </w:t>
      </w:r>
    </w:p>
    <w:p w14:paraId="39F2E246">
      <w:pPr>
        <w:keepNext w:val="0"/>
        <w:keepLines w:val="0"/>
        <w:pageBreakBefore w:val="0"/>
        <w:kinsoku/>
        <w:wordWrap/>
        <w:overflowPunct/>
        <w:topLinePunct w:val="0"/>
        <w:bidi w:val="0"/>
        <w:spacing w:after="0"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（2）电子交易平台应用或数据库出现错误，不能进行正常操作的；</w:t>
      </w:r>
    </w:p>
    <w:p w14:paraId="35DF6D86">
      <w:pPr>
        <w:keepNext w:val="0"/>
        <w:keepLines w:val="0"/>
        <w:pageBreakBefore w:val="0"/>
        <w:kinsoku/>
        <w:wordWrap/>
        <w:overflowPunct/>
        <w:topLinePunct w:val="0"/>
        <w:bidi w:val="0"/>
        <w:spacing w:after="0"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（3）电子交易平台发现严重安全漏洞，有潜在泄密危险的；</w:t>
      </w:r>
    </w:p>
    <w:p w14:paraId="57797C34">
      <w:pPr>
        <w:keepNext w:val="0"/>
        <w:keepLines w:val="0"/>
        <w:pageBreakBefore w:val="0"/>
        <w:kinsoku/>
        <w:wordWrap/>
        <w:overflowPunct/>
        <w:topLinePunct w:val="0"/>
        <w:bidi w:val="0"/>
        <w:spacing w:after="0"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（4）病毒发作导致不能进行正常操作的； </w:t>
      </w:r>
    </w:p>
    <w:p w14:paraId="6A9EBE84">
      <w:pPr>
        <w:keepNext w:val="0"/>
        <w:keepLines w:val="0"/>
        <w:pageBreakBefore w:val="0"/>
        <w:kinsoku/>
        <w:wordWrap/>
        <w:overflowPunct/>
        <w:topLinePunct w:val="0"/>
        <w:bidi w:val="0"/>
        <w:spacing w:after="0"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（5）其他无法保证电子交易的公平、公正和安全的情况。</w:t>
      </w:r>
    </w:p>
    <w:p w14:paraId="66FFAFCF">
      <w:pPr>
        <w:keepNext w:val="0"/>
        <w:keepLines w:val="0"/>
        <w:pageBreakBefore w:val="0"/>
        <w:kinsoku/>
        <w:wordWrap/>
        <w:overflowPunct/>
        <w:topLinePunct w:val="0"/>
        <w:bidi w:val="0"/>
        <w:spacing w:after="0"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出现前款规定情形，不影响采购公平、公正性的，采购组织机构可以待上述情形消除后继续组织电子交易活动，也可以决定某些环节以纸质形式进行；影响或可能影响采购公平、公正性的，应当重新采购。</w:t>
      </w:r>
    </w:p>
    <w:p w14:paraId="7A087A94">
      <w:pPr>
        <w:keepNext w:val="0"/>
        <w:keepLines w:val="0"/>
        <w:pageBreakBefore w:val="0"/>
        <w:kinsoku/>
        <w:wordWrap/>
        <w:overflowPunct/>
        <w:topLinePunct w:val="0"/>
        <w:autoSpaceDE w:val="0"/>
        <w:autoSpaceDN w:val="0"/>
        <w:bidi w:val="0"/>
        <w:adjustRightInd w:val="0"/>
        <w:spacing w:after="0" w:line="312" w:lineRule="auto"/>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（二） 开标程序：</w:t>
      </w:r>
    </w:p>
    <w:p w14:paraId="32536C90">
      <w:pPr>
        <w:pStyle w:val="13"/>
        <w:keepNext w:val="0"/>
        <w:keepLines w:val="0"/>
        <w:pageBreakBefore w:val="0"/>
        <w:kinsoku/>
        <w:wordWrap/>
        <w:overflowPunct/>
        <w:topLinePunct w:val="0"/>
        <w:bidi w:val="0"/>
        <w:snapToGrid w:val="0"/>
        <w:spacing w:after="0" w:line="312" w:lineRule="auto"/>
        <w:ind w:firstLine="420" w:firstLineChars="200"/>
        <w:textAlignment w:val="auto"/>
        <w:outlineLvl w:val="1"/>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b/>
          <w:color w:val="auto"/>
          <w:sz w:val="21"/>
          <w:szCs w:val="21"/>
        </w:rPr>
        <w:t>采购组织机构将按照招标文件规定的时间通过“政府采购云平台”组织开标、开启投标文件，所有供应商均应当准时在线参加。投标供应商如不参加在线开标大会的，视同认可开标结果，事后不得对采购相关人员、开标过程和开标结果提出异议，同时投标供应商因未在线参加开标而导致投标文件无法按时解密等一切后果由供应商自行承担</w:t>
      </w:r>
      <w:r>
        <w:rPr>
          <w:rFonts w:hint="eastAsia" w:ascii="宋体" w:hAnsi="宋体" w:eastAsia="宋体" w:cs="宋体"/>
          <w:color w:val="auto"/>
          <w:sz w:val="21"/>
          <w:szCs w:val="21"/>
        </w:rPr>
        <w:t>；</w:t>
      </w:r>
    </w:p>
    <w:p w14:paraId="4578A043">
      <w:pPr>
        <w:pStyle w:val="13"/>
        <w:keepNext w:val="0"/>
        <w:keepLines w:val="0"/>
        <w:pageBreakBefore w:val="0"/>
        <w:kinsoku/>
        <w:wordWrap/>
        <w:overflowPunct/>
        <w:topLinePunct w:val="0"/>
        <w:bidi w:val="0"/>
        <w:snapToGrid w:val="0"/>
        <w:spacing w:after="0" w:line="312" w:lineRule="auto"/>
        <w:ind w:firstLine="420" w:firstLineChars="200"/>
        <w:textAlignment w:val="auto"/>
        <w:outlineLvl w:val="1"/>
        <w:rPr>
          <w:rFonts w:hint="eastAsia" w:ascii="宋体" w:hAnsi="宋体" w:eastAsia="宋体" w:cs="宋体"/>
          <w:color w:val="auto"/>
          <w:sz w:val="21"/>
          <w:szCs w:val="21"/>
        </w:rPr>
      </w:pPr>
      <w:r>
        <w:rPr>
          <w:rFonts w:hint="eastAsia" w:ascii="宋体" w:hAnsi="宋体" w:eastAsia="宋体" w:cs="宋体"/>
          <w:color w:val="auto"/>
          <w:sz w:val="21"/>
          <w:szCs w:val="21"/>
        </w:rPr>
        <w:t xml:space="preserve">2、主持人介绍参加开标会的人员名单； </w:t>
      </w:r>
    </w:p>
    <w:p w14:paraId="3FA8FCE9">
      <w:pPr>
        <w:pStyle w:val="13"/>
        <w:keepNext w:val="0"/>
        <w:keepLines w:val="0"/>
        <w:pageBreakBefore w:val="0"/>
        <w:kinsoku/>
        <w:wordWrap/>
        <w:overflowPunct/>
        <w:topLinePunct w:val="0"/>
        <w:bidi w:val="0"/>
        <w:snapToGrid w:val="0"/>
        <w:spacing w:after="0" w:line="312" w:lineRule="auto"/>
        <w:ind w:firstLine="420" w:firstLineChars="200"/>
        <w:textAlignment w:val="auto"/>
        <w:outlineLvl w:val="1"/>
        <w:rPr>
          <w:rFonts w:hint="eastAsia" w:ascii="宋体" w:hAnsi="宋体" w:eastAsia="宋体" w:cs="宋体"/>
          <w:color w:val="auto"/>
          <w:sz w:val="21"/>
          <w:szCs w:val="21"/>
        </w:rPr>
      </w:pPr>
      <w:r>
        <w:rPr>
          <w:rFonts w:hint="eastAsia" w:ascii="宋体" w:hAnsi="宋体" w:eastAsia="宋体" w:cs="宋体"/>
          <w:color w:val="auto"/>
          <w:sz w:val="21"/>
          <w:szCs w:val="21"/>
        </w:rPr>
        <w:t>3、主持人宣布评标期间的有关事项，告知应当回避的情形,提请有关人员回避；对投标人进行签到验证。</w:t>
      </w:r>
    </w:p>
    <w:p w14:paraId="50FB56ED">
      <w:pPr>
        <w:pStyle w:val="13"/>
        <w:keepNext w:val="0"/>
        <w:keepLines w:val="0"/>
        <w:pageBreakBefore w:val="0"/>
        <w:kinsoku/>
        <w:wordWrap/>
        <w:overflowPunct/>
        <w:topLinePunct w:val="0"/>
        <w:bidi w:val="0"/>
        <w:snapToGrid w:val="0"/>
        <w:spacing w:after="0" w:line="312" w:lineRule="auto"/>
        <w:ind w:firstLine="420" w:firstLineChars="200"/>
        <w:textAlignment w:val="auto"/>
        <w:outlineLvl w:val="1"/>
        <w:rPr>
          <w:rFonts w:hint="eastAsia" w:ascii="宋体" w:hAnsi="宋体" w:eastAsia="宋体" w:cs="宋体"/>
          <w:color w:val="auto"/>
          <w:sz w:val="21"/>
          <w:szCs w:val="21"/>
        </w:rPr>
      </w:pPr>
      <w:r>
        <w:rPr>
          <w:rFonts w:hint="eastAsia" w:ascii="宋体" w:hAnsi="宋体" w:eastAsia="宋体" w:cs="宋体"/>
          <w:color w:val="auto"/>
          <w:sz w:val="21"/>
          <w:szCs w:val="21"/>
        </w:rPr>
        <w:t>4、向各投标人发出电子加密投标文件【开始解密】通知，由投标人按招标文件规定的时间内</w:t>
      </w:r>
      <w:r>
        <w:rPr>
          <w:rFonts w:hint="eastAsia" w:ascii="宋体" w:hAnsi="宋体" w:eastAsia="宋体" w:cs="宋体"/>
          <w:b/>
          <w:bCs/>
          <w:color w:val="auto"/>
          <w:sz w:val="21"/>
          <w:szCs w:val="21"/>
        </w:rPr>
        <w:t>（30分钟内）</w:t>
      </w:r>
      <w:r>
        <w:rPr>
          <w:rFonts w:hint="eastAsia" w:ascii="宋体" w:hAnsi="宋体" w:eastAsia="宋体" w:cs="宋体"/>
          <w:color w:val="auto"/>
          <w:sz w:val="21"/>
          <w:szCs w:val="21"/>
        </w:rPr>
        <w:t>自行进行投标文件解密。投标文件的制作和解密应使用同一个CA数字证书，否则将可能解密失败。</w:t>
      </w:r>
    </w:p>
    <w:p w14:paraId="5542AB99">
      <w:pPr>
        <w:pStyle w:val="13"/>
        <w:keepNext w:val="0"/>
        <w:keepLines w:val="0"/>
        <w:pageBreakBefore w:val="0"/>
        <w:kinsoku/>
        <w:wordWrap/>
        <w:overflowPunct/>
        <w:topLinePunct w:val="0"/>
        <w:bidi w:val="0"/>
        <w:snapToGrid w:val="0"/>
        <w:spacing w:after="0" w:line="312" w:lineRule="auto"/>
        <w:ind w:firstLine="420" w:firstLineChars="200"/>
        <w:textAlignment w:val="auto"/>
        <w:outlineLvl w:val="1"/>
        <w:rPr>
          <w:rFonts w:hint="eastAsia" w:ascii="宋体" w:hAnsi="宋体" w:eastAsia="宋体" w:cs="宋体"/>
          <w:color w:val="auto"/>
          <w:sz w:val="21"/>
          <w:szCs w:val="21"/>
        </w:rPr>
      </w:pPr>
      <w:r>
        <w:rPr>
          <w:rFonts w:hint="eastAsia" w:ascii="宋体" w:hAnsi="宋体" w:eastAsia="宋体" w:cs="宋体"/>
          <w:color w:val="auto"/>
          <w:sz w:val="21"/>
          <w:szCs w:val="21"/>
        </w:rPr>
        <w:t>5、投标文件解密结束，各投标人签署《采购活动现场确认声明书》（见附件）后将扫描件发送至采购代理机构邮箱：</w:t>
      </w:r>
      <w:r>
        <w:rPr>
          <w:rFonts w:hint="eastAsia" w:hAnsi="宋体" w:cs="宋体"/>
          <w:color w:val="auto"/>
          <w:sz w:val="21"/>
          <w:szCs w:val="21"/>
          <w:lang w:eastAsia="zh-CN"/>
        </w:rPr>
        <w:t>529957556</w:t>
      </w:r>
      <w:r>
        <w:rPr>
          <w:rFonts w:hint="eastAsia" w:ascii="宋体" w:hAnsi="宋体" w:eastAsia="宋体" w:cs="宋体"/>
          <w:color w:val="auto"/>
          <w:sz w:val="21"/>
          <w:szCs w:val="21"/>
          <w:lang w:eastAsia="zh-CN"/>
        </w:rPr>
        <w:t>@qq.com</w:t>
      </w:r>
      <w:r>
        <w:rPr>
          <w:rFonts w:hint="eastAsia" w:ascii="宋体" w:hAnsi="宋体" w:eastAsia="宋体" w:cs="宋体"/>
          <w:color w:val="auto"/>
          <w:sz w:val="21"/>
          <w:szCs w:val="21"/>
        </w:rPr>
        <w:t>；</w:t>
      </w:r>
    </w:p>
    <w:p w14:paraId="79BDDCD4">
      <w:pPr>
        <w:pStyle w:val="13"/>
        <w:keepNext w:val="0"/>
        <w:keepLines w:val="0"/>
        <w:pageBreakBefore w:val="0"/>
        <w:kinsoku/>
        <w:wordWrap/>
        <w:overflowPunct/>
        <w:topLinePunct w:val="0"/>
        <w:bidi w:val="0"/>
        <w:snapToGrid w:val="0"/>
        <w:spacing w:after="0" w:line="312" w:lineRule="auto"/>
        <w:ind w:firstLine="420" w:firstLineChars="200"/>
        <w:textAlignment w:val="auto"/>
        <w:outlineLvl w:val="1"/>
        <w:rPr>
          <w:rFonts w:hint="eastAsia" w:ascii="宋体" w:hAnsi="宋体" w:eastAsia="宋体" w:cs="宋体"/>
          <w:color w:val="auto"/>
          <w:sz w:val="21"/>
          <w:szCs w:val="21"/>
        </w:rPr>
      </w:pPr>
      <w:r>
        <w:rPr>
          <w:rFonts w:hint="eastAsia" w:ascii="宋体" w:hAnsi="宋体" w:eastAsia="宋体" w:cs="宋体"/>
          <w:color w:val="auto"/>
          <w:sz w:val="21"/>
          <w:szCs w:val="21"/>
        </w:rPr>
        <w:t>5、采购组织机构点击【开启标书信息】，开启标书成功后进入开标流程。</w:t>
      </w:r>
    </w:p>
    <w:p w14:paraId="03CD9F77">
      <w:pPr>
        <w:pStyle w:val="13"/>
        <w:keepNext w:val="0"/>
        <w:keepLines w:val="0"/>
        <w:pageBreakBefore w:val="0"/>
        <w:kinsoku/>
        <w:wordWrap/>
        <w:overflowPunct/>
        <w:topLinePunct w:val="0"/>
        <w:bidi w:val="0"/>
        <w:snapToGrid w:val="0"/>
        <w:spacing w:after="0" w:line="312" w:lineRule="auto"/>
        <w:ind w:firstLine="420" w:firstLineChars="200"/>
        <w:textAlignment w:val="auto"/>
        <w:outlineLvl w:val="1"/>
        <w:rPr>
          <w:rFonts w:hint="eastAsia" w:ascii="宋体" w:hAnsi="宋体" w:eastAsia="宋体" w:cs="宋体"/>
          <w:color w:val="auto"/>
          <w:sz w:val="21"/>
          <w:szCs w:val="21"/>
        </w:rPr>
      </w:pPr>
      <w:r>
        <w:rPr>
          <w:rFonts w:hint="eastAsia" w:ascii="宋体" w:hAnsi="宋体" w:eastAsia="宋体" w:cs="宋体"/>
          <w:color w:val="auto"/>
          <w:sz w:val="21"/>
          <w:szCs w:val="21"/>
        </w:rPr>
        <w:t>6、资格证明文件、商务技术文件评审；</w:t>
      </w:r>
    </w:p>
    <w:p w14:paraId="026B41D2">
      <w:pPr>
        <w:pStyle w:val="13"/>
        <w:keepNext w:val="0"/>
        <w:keepLines w:val="0"/>
        <w:pageBreakBefore w:val="0"/>
        <w:kinsoku/>
        <w:wordWrap/>
        <w:overflowPunct/>
        <w:topLinePunct w:val="0"/>
        <w:bidi w:val="0"/>
        <w:snapToGrid w:val="0"/>
        <w:spacing w:after="0" w:line="312" w:lineRule="auto"/>
        <w:ind w:firstLine="420" w:firstLineChars="200"/>
        <w:textAlignment w:val="auto"/>
        <w:outlineLvl w:val="1"/>
        <w:rPr>
          <w:rFonts w:hint="eastAsia" w:ascii="宋体" w:hAnsi="宋体" w:eastAsia="宋体" w:cs="宋体"/>
          <w:color w:val="auto"/>
          <w:sz w:val="21"/>
          <w:szCs w:val="21"/>
        </w:rPr>
      </w:pPr>
      <w:r>
        <w:rPr>
          <w:rFonts w:hint="eastAsia" w:ascii="宋体" w:hAnsi="宋体" w:eastAsia="宋体" w:cs="宋体"/>
          <w:color w:val="auto"/>
          <w:sz w:val="21"/>
          <w:szCs w:val="21"/>
        </w:rPr>
        <w:t>7、由主持人公布无效投标的投标人名单、投标无效的原因及其他有效投标的评分汇总分；</w:t>
      </w:r>
    </w:p>
    <w:p w14:paraId="67C8C17F">
      <w:pPr>
        <w:pStyle w:val="13"/>
        <w:keepNext w:val="0"/>
        <w:keepLines w:val="0"/>
        <w:pageBreakBefore w:val="0"/>
        <w:kinsoku/>
        <w:wordWrap/>
        <w:overflowPunct/>
        <w:topLinePunct w:val="0"/>
        <w:bidi w:val="0"/>
        <w:snapToGrid w:val="0"/>
        <w:spacing w:after="0" w:line="312" w:lineRule="auto"/>
        <w:ind w:firstLine="420" w:firstLineChars="200"/>
        <w:textAlignment w:val="auto"/>
        <w:outlineLvl w:val="1"/>
        <w:rPr>
          <w:rFonts w:hint="eastAsia" w:ascii="宋体" w:hAnsi="宋体" w:eastAsia="宋体" w:cs="宋体"/>
          <w:color w:val="auto"/>
          <w:sz w:val="21"/>
          <w:szCs w:val="21"/>
        </w:rPr>
      </w:pPr>
      <w:r>
        <w:rPr>
          <w:rFonts w:hint="eastAsia" w:ascii="宋体" w:hAnsi="宋体" w:eastAsia="宋体" w:cs="宋体"/>
          <w:color w:val="auto"/>
          <w:sz w:val="21"/>
          <w:szCs w:val="21"/>
        </w:rPr>
        <w:t>8、开启报价文件：采购代理机构成功开启报价文件后，方可查看各供应商报价情况，同时当场制作开标记录表，</w:t>
      </w:r>
      <w:r>
        <w:rPr>
          <w:rFonts w:hint="eastAsia" w:ascii="宋体" w:hAnsi="宋体" w:eastAsia="宋体" w:cs="宋体"/>
          <w:color w:val="auto"/>
          <w:sz w:val="21"/>
          <w:szCs w:val="21"/>
          <w:u w:val="single"/>
        </w:rPr>
        <w:t>供应商通过政府采购平台线上签章确认</w:t>
      </w:r>
      <w:r>
        <w:rPr>
          <w:rFonts w:hint="eastAsia" w:ascii="宋体" w:hAnsi="宋体" w:eastAsia="宋体" w:cs="宋体"/>
          <w:color w:val="auto"/>
          <w:sz w:val="21"/>
          <w:szCs w:val="21"/>
        </w:rPr>
        <w:t>（不予确认的应说明理由，否则视为无异议）。</w:t>
      </w:r>
    </w:p>
    <w:p w14:paraId="1BB4056D">
      <w:pPr>
        <w:pStyle w:val="13"/>
        <w:keepNext w:val="0"/>
        <w:keepLines w:val="0"/>
        <w:pageBreakBefore w:val="0"/>
        <w:kinsoku/>
        <w:wordWrap/>
        <w:overflowPunct/>
        <w:topLinePunct w:val="0"/>
        <w:bidi w:val="0"/>
        <w:snapToGrid w:val="0"/>
        <w:spacing w:after="0" w:line="312" w:lineRule="auto"/>
        <w:ind w:firstLine="420" w:firstLineChars="200"/>
        <w:textAlignment w:val="auto"/>
        <w:outlineLvl w:val="1"/>
        <w:rPr>
          <w:rFonts w:hint="eastAsia" w:ascii="宋体" w:hAnsi="宋体" w:eastAsia="宋体" w:cs="宋体"/>
          <w:color w:val="auto"/>
          <w:sz w:val="21"/>
          <w:szCs w:val="21"/>
        </w:rPr>
      </w:pPr>
      <w:r>
        <w:rPr>
          <w:rFonts w:hint="eastAsia" w:ascii="宋体" w:hAnsi="宋体" w:eastAsia="宋体" w:cs="宋体"/>
          <w:color w:val="auto"/>
          <w:sz w:val="21"/>
          <w:szCs w:val="21"/>
        </w:rPr>
        <w:t>9、报价文件评审；</w:t>
      </w:r>
    </w:p>
    <w:p w14:paraId="6440DA5F">
      <w:pPr>
        <w:pStyle w:val="13"/>
        <w:keepNext w:val="0"/>
        <w:keepLines w:val="0"/>
        <w:pageBreakBefore w:val="0"/>
        <w:kinsoku/>
        <w:wordWrap/>
        <w:overflowPunct/>
        <w:topLinePunct w:val="0"/>
        <w:bidi w:val="0"/>
        <w:snapToGrid w:val="0"/>
        <w:spacing w:after="0" w:line="312" w:lineRule="auto"/>
        <w:ind w:firstLine="420" w:firstLineChars="200"/>
        <w:textAlignment w:val="auto"/>
        <w:outlineLvl w:val="1"/>
        <w:rPr>
          <w:rFonts w:hint="eastAsia" w:ascii="宋体" w:hAnsi="宋体" w:eastAsia="宋体" w:cs="宋体"/>
          <w:color w:val="auto"/>
          <w:sz w:val="21"/>
          <w:szCs w:val="21"/>
        </w:rPr>
      </w:pPr>
      <w:r>
        <w:rPr>
          <w:rFonts w:hint="eastAsia" w:ascii="宋体" w:hAnsi="宋体" w:eastAsia="宋体" w:cs="宋体"/>
          <w:color w:val="auto"/>
          <w:sz w:val="21"/>
          <w:szCs w:val="21"/>
        </w:rPr>
        <w:t>10、由主持人公布无效投标的投标人名单、投标无效的原因及其他有效投标的报价文件得分；</w:t>
      </w:r>
    </w:p>
    <w:p w14:paraId="27065C0F">
      <w:pPr>
        <w:pStyle w:val="13"/>
        <w:keepNext w:val="0"/>
        <w:keepLines w:val="0"/>
        <w:pageBreakBefore w:val="0"/>
        <w:kinsoku/>
        <w:wordWrap/>
        <w:overflowPunct/>
        <w:topLinePunct w:val="0"/>
        <w:bidi w:val="0"/>
        <w:spacing w:after="0" w:line="312" w:lineRule="auto"/>
        <w:ind w:firstLine="420" w:firstLineChars="200"/>
        <w:textAlignment w:val="auto"/>
        <w:outlineLvl w:val="1"/>
        <w:rPr>
          <w:rFonts w:hint="eastAsia" w:ascii="宋体" w:hAnsi="宋体" w:eastAsia="宋体" w:cs="宋体"/>
          <w:color w:val="auto"/>
          <w:sz w:val="21"/>
          <w:szCs w:val="21"/>
        </w:rPr>
      </w:pPr>
      <w:r>
        <w:rPr>
          <w:rFonts w:hint="eastAsia" w:ascii="宋体" w:hAnsi="宋体" w:eastAsia="宋体" w:cs="宋体"/>
          <w:color w:val="auto"/>
          <w:sz w:val="21"/>
          <w:szCs w:val="21"/>
        </w:rPr>
        <w:t>11、在完成评标后，宣布评标结果，开标会议结束。</w:t>
      </w:r>
    </w:p>
    <w:p w14:paraId="3A06745B">
      <w:pPr>
        <w:pStyle w:val="13"/>
        <w:keepNext w:val="0"/>
        <w:keepLines w:val="0"/>
        <w:pageBreakBefore w:val="0"/>
        <w:kinsoku/>
        <w:wordWrap/>
        <w:overflowPunct/>
        <w:topLinePunct w:val="0"/>
        <w:bidi w:val="0"/>
        <w:spacing w:after="0" w:line="312" w:lineRule="auto"/>
        <w:ind w:firstLine="422" w:firstLineChars="200"/>
        <w:textAlignment w:val="auto"/>
        <w:outlineLvl w:val="1"/>
        <w:rPr>
          <w:rFonts w:hint="eastAsia" w:ascii="宋体" w:hAnsi="宋体" w:eastAsia="宋体" w:cs="宋体"/>
          <w:color w:val="auto"/>
          <w:sz w:val="21"/>
          <w:szCs w:val="21"/>
        </w:rPr>
      </w:pPr>
      <w:r>
        <w:rPr>
          <w:rFonts w:hint="eastAsia" w:ascii="宋体" w:hAnsi="宋体" w:eastAsia="宋体" w:cs="宋体"/>
          <w:b/>
          <w:bCs/>
          <w:color w:val="auto"/>
          <w:sz w:val="21"/>
          <w:szCs w:val="21"/>
        </w:rPr>
        <w:t>特别说明：如政府采购云平台如对电子化开标及评审程序有调整的，按调整后的程序操作。</w:t>
      </w:r>
    </w:p>
    <w:p w14:paraId="24AA96C9">
      <w:pPr>
        <w:keepNext w:val="0"/>
        <w:keepLines w:val="0"/>
        <w:pageBreakBefore w:val="0"/>
        <w:kinsoku/>
        <w:wordWrap/>
        <w:overflowPunct/>
        <w:topLinePunct w:val="0"/>
        <w:autoSpaceDE w:val="0"/>
        <w:autoSpaceDN w:val="0"/>
        <w:bidi w:val="0"/>
        <w:adjustRightInd w:val="0"/>
        <w:spacing w:after="0" w:line="312" w:lineRule="auto"/>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六、评标</w:t>
      </w:r>
    </w:p>
    <w:p w14:paraId="3F675AB0">
      <w:pPr>
        <w:pStyle w:val="13"/>
        <w:keepNext w:val="0"/>
        <w:keepLines w:val="0"/>
        <w:pageBreakBefore w:val="0"/>
        <w:kinsoku/>
        <w:wordWrap/>
        <w:overflowPunct/>
        <w:topLinePunct w:val="0"/>
        <w:bidi w:val="0"/>
        <w:snapToGrid w:val="0"/>
        <w:spacing w:after="0" w:line="312" w:lineRule="auto"/>
        <w:ind w:left="690" w:leftChars="228" w:hanging="211" w:hangingChars="1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（一）组建评标委员会</w:t>
      </w:r>
    </w:p>
    <w:p w14:paraId="7B0ED838">
      <w:pPr>
        <w:pStyle w:val="13"/>
        <w:keepNext w:val="0"/>
        <w:keepLines w:val="0"/>
        <w:pageBreakBefore w:val="0"/>
        <w:kinsoku/>
        <w:wordWrap/>
        <w:overflowPunct/>
        <w:topLinePunct w:val="0"/>
        <w:bidi w:val="0"/>
        <w:snapToGrid w:val="0"/>
        <w:spacing w:after="0"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本项目评标委员会由政府采购评审专家（随机抽取）和采购单位评审代表组成。成员人数为5人以上单数，其中评审专家不得少于成员总数的三分之二。评标委员会成员名单在定标前保密。</w:t>
      </w:r>
    </w:p>
    <w:p w14:paraId="0389C4B9">
      <w:pPr>
        <w:pStyle w:val="13"/>
        <w:keepNext w:val="0"/>
        <w:keepLines w:val="0"/>
        <w:pageBreakBefore w:val="0"/>
        <w:kinsoku/>
        <w:wordWrap/>
        <w:overflowPunct/>
        <w:topLinePunct w:val="0"/>
        <w:bidi w:val="0"/>
        <w:snapToGrid w:val="0"/>
        <w:spacing w:after="0" w:line="312" w:lineRule="auto"/>
        <w:ind w:left="690" w:leftChars="228" w:hanging="211" w:hangingChars="1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（二）</w:t>
      </w:r>
      <w:r>
        <w:rPr>
          <w:rFonts w:hint="eastAsia" w:ascii="宋体" w:hAnsi="宋体" w:eastAsia="宋体" w:cs="宋体"/>
          <w:b/>
          <w:bCs/>
          <w:color w:val="auto"/>
          <w:sz w:val="21"/>
          <w:szCs w:val="21"/>
        </w:rPr>
        <w:t>评标程序</w:t>
      </w:r>
    </w:p>
    <w:p w14:paraId="574CA1BB">
      <w:pPr>
        <w:keepNext w:val="0"/>
        <w:keepLines w:val="0"/>
        <w:pageBreakBefore w:val="0"/>
        <w:kinsoku/>
        <w:wordWrap/>
        <w:overflowPunct/>
        <w:topLinePunct w:val="0"/>
        <w:bidi w:val="0"/>
        <w:snapToGrid w:val="0"/>
        <w:spacing w:after="0" w:line="312" w:lineRule="auto"/>
        <w:ind w:firstLine="413" w:firstLineChars="196"/>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1、资格审查</w:t>
      </w:r>
      <w:r>
        <w:rPr>
          <w:rFonts w:hint="eastAsia" w:ascii="宋体" w:hAnsi="宋体" w:eastAsia="宋体" w:cs="宋体"/>
          <w:b/>
          <w:bCs/>
          <w:color w:val="auto"/>
          <w:sz w:val="21"/>
          <w:szCs w:val="21"/>
        </w:rPr>
        <w:tab/>
      </w:r>
    </w:p>
    <w:p w14:paraId="31E56970">
      <w:pPr>
        <w:pStyle w:val="20"/>
        <w:keepNext w:val="0"/>
        <w:keepLines w:val="0"/>
        <w:pageBreakBefore w:val="0"/>
        <w:kinsoku/>
        <w:wordWrap/>
        <w:overflowPunct/>
        <w:topLinePunct w:val="0"/>
        <w:bidi w:val="0"/>
        <w:spacing w:before="0" w:beforeAutospacing="0" w:after="0" w:afterAutospacing="0" w:line="312"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公开招标采购项目开标解密结束后，采购人或者采购组织机构应当依法对投标人的资格进行审查，对审查发现无效的进行必要的询标，结束后公布无效投标的投标人名单、投标无效的原因。</w:t>
      </w:r>
    </w:p>
    <w:tbl>
      <w:tblPr>
        <w:tblStyle w:val="24"/>
        <w:tblpPr w:leftFromText="181" w:rightFromText="181" w:bottomFromText="170" w:vertAnchor="text" w:tblpXSpec="center" w:tblpY="1"/>
        <w:tblOverlap w:val="never"/>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20"/>
        <w:gridCol w:w="7366"/>
      </w:tblGrid>
      <w:tr w14:paraId="6CB5A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20" w:type="dxa"/>
            <w:tcMar>
              <w:top w:w="57" w:type="dxa"/>
              <w:left w:w="108" w:type="dxa"/>
              <w:bottom w:w="0" w:type="dxa"/>
              <w:right w:w="108" w:type="dxa"/>
            </w:tcMar>
            <w:vAlign w:val="center"/>
          </w:tcPr>
          <w:p w14:paraId="490AB3BF">
            <w:pPr>
              <w:keepNext w:val="0"/>
              <w:keepLines w:val="0"/>
              <w:pageBreakBefore w:val="0"/>
              <w:kinsoku/>
              <w:wordWrap/>
              <w:overflowPunct/>
              <w:topLinePunct w:val="0"/>
              <w:bidi w:val="0"/>
              <w:spacing w:line="30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投标声明书</w:t>
            </w:r>
          </w:p>
        </w:tc>
        <w:tc>
          <w:tcPr>
            <w:tcW w:w="7366" w:type="dxa"/>
            <w:tcMar>
              <w:top w:w="57" w:type="dxa"/>
              <w:left w:w="108" w:type="dxa"/>
              <w:bottom w:w="0" w:type="dxa"/>
              <w:right w:w="108" w:type="dxa"/>
            </w:tcMar>
            <w:vAlign w:val="center"/>
          </w:tcPr>
          <w:p w14:paraId="3A9E79DC">
            <w:pPr>
              <w:keepNext w:val="0"/>
              <w:keepLines w:val="0"/>
              <w:pageBreakBefore w:val="0"/>
              <w:kinsoku/>
              <w:wordWrap/>
              <w:overflowPunct/>
              <w:topLinePunct w:val="0"/>
              <w:bidi w:val="0"/>
              <w:spacing w:line="30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截止投标时间近三年以来：在政府采购领域中的项目招标、投标和合同履约期间无任何不良行为记录；无重大违法记录（重大违法记录是指供应商因违法经营受到刑事处罚或者责令停产停业、吊销许可证或者执照、较大数额罚款等行政处罚）等。（见附件2）</w:t>
            </w:r>
          </w:p>
        </w:tc>
      </w:tr>
      <w:tr w14:paraId="222AD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20" w:type="dxa"/>
            <w:tcMar>
              <w:top w:w="57" w:type="dxa"/>
              <w:left w:w="108" w:type="dxa"/>
              <w:bottom w:w="0" w:type="dxa"/>
              <w:right w:w="108" w:type="dxa"/>
            </w:tcMar>
            <w:vAlign w:val="center"/>
          </w:tcPr>
          <w:p w14:paraId="10D6E3B6">
            <w:pPr>
              <w:keepNext w:val="0"/>
              <w:keepLines w:val="0"/>
              <w:pageBreakBefore w:val="0"/>
              <w:kinsoku/>
              <w:wordWrap/>
              <w:overflowPunct/>
              <w:topLinePunct w:val="0"/>
              <w:bidi w:val="0"/>
              <w:spacing w:line="30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授权委托书或法定代表人证明书</w:t>
            </w:r>
          </w:p>
        </w:tc>
        <w:tc>
          <w:tcPr>
            <w:tcW w:w="7366" w:type="dxa"/>
            <w:tcMar>
              <w:top w:w="57" w:type="dxa"/>
              <w:left w:w="108" w:type="dxa"/>
              <w:bottom w:w="0" w:type="dxa"/>
              <w:right w:w="108" w:type="dxa"/>
            </w:tcMar>
            <w:vAlign w:val="center"/>
          </w:tcPr>
          <w:p w14:paraId="1EEA6B80">
            <w:pPr>
              <w:keepNext w:val="0"/>
              <w:keepLines w:val="0"/>
              <w:pageBreakBefore w:val="0"/>
              <w:kinsoku/>
              <w:wordWrap/>
              <w:overflowPunct/>
              <w:topLinePunct w:val="0"/>
              <w:bidi w:val="0"/>
              <w:spacing w:line="30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【法定代表人授权书】签字的有效授权书；法定代表人参加的提供法定代表人证明书（附件3）</w:t>
            </w:r>
          </w:p>
        </w:tc>
      </w:tr>
      <w:tr w14:paraId="0D4E2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20" w:type="dxa"/>
            <w:tcMar>
              <w:top w:w="57" w:type="dxa"/>
              <w:left w:w="108" w:type="dxa"/>
              <w:bottom w:w="0" w:type="dxa"/>
              <w:right w:w="108" w:type="dxa"/>
            </w:tcMar>
            <w:vAlign w:val="center"/>
          </w:tcPr>
          <w:p w14:paraId="5FBB0BA7">
            <w:pPr>
              <w:keepNext w:val="0"/>
              <w:keepLines w:val="0"/>
              <w:pageBreakBefore w:val="0"/>
              <w:kinsoku/>
              <w:wordWrap/>
              <w:overflowPunct/>
              <w:topLinePunct w:val="0"/>
              <w:bidi w:val="0"/>
              <w:spacing w:line="30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具有独立承担民事责任的能力</w:t>
            </w:r>
          </w:p>
        </w:tc>
        <w:tc>
          <w:tcPr>
            <w:tcW w:w="7366" w:type="dxa"/>
            <w:tcMar>
              <w:top w:w="57" w:type="dxa"/>
              <w:left w:w="108" w:type="dxa"/>
              <w:bottom w:w="0" w:type="dxa"/>
              <w:right w:w="108" w:type="dxa"/>
            </w:tcMar>
            <w:vAlign w:val="center"/>
          </w:tcPr>
          <w:p w14:paraId="25BAE0C8">
            <w:pPr>
              <w:keepNext w:val="0"/>
              <w:keepLines w:val="0"/>
              <w:pageBreakBefore w:val="0"/>
              <w:kinsoku/>
              <w:wordWrap/>
              <w:overflowPunct/>
              <w:topLinePunct w:val="0"/>
              <w:bidi w:val="0"/>
              <w:spacing w:line="30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在中华人民共和国境内注册的企业或其他组织或自然人，投标时提交有效的营业执照（或事业法人登记证或身份证等相关证明）扫描件。</w:t>
            </w:r>
          </w:p>
        </w:tc>
      </w:tr>
      <w:tr w14:paraId="6FC06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20" w:type="dxa"/>
            <w:tcMar>
              <w:top w:w="57" w:type="dxa"/>
              <w:left w:w="108" w:type="dxa"/>
              <w:bottom w:w="0" w:type="dxa"/>
              <w:right w:w="108" w:type="dxa"/>
            </w:tcMar>
            <w:vAlign w:val="center"/>
          </w:tcPr>
          <w:p w14:paraId="0B3C0C17">
            <w:pPr>
              <w:keepNext w:val="0"/>
              <w:keepLines w:val="0"/>
              <w:pageBreakBefore w:val="0"/>
              <w:kinsoku/>
              <w:wordWrap/>
              <w:overflowPunct/>
              <w:topLinePunct w:val="0"/>
              <w:bidi w:val="0"/>
              <w:spacing w:line="30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信誉、财务、税收、社会保障</w:t>
            </w:r>
          </w:p>
        </w:tc>
        <w:tc>
          <w:tcPr>
            <w:tcW w:w="7366" w:type="dxa"/>
            <w:tcMar>
              <w:top w:w="57" w:type="dxa"/>
              <w:left w:w="108" w:type="dxa"/>
              <w:bottom w:w="0" w:type="dxa"/>
              <w:right w:w="108" w:type="dxa"/>
            </w:tcMar>
            <w:vAlign w:val="center"/>
          </w:tcPr>
          <w:p w14:paraId="19A87C97">
            <w:pPr>
              <w:keepNext w:val="0"/>
              <w:keepLines w:val="0"/>
              <w:pageBreakBefore w:val="0"/>
              <w:kinsoku/>
              <w:wordWrap/>
              <w:overflowPunct/>
              <w:topLinePunct w:val="0"/>
              <w:bidi w:val="0"/>
              <w:spacing w:line="30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符合参与政府采购活动的资格条件，具备良好的商业信誉和健全的财务会计制度并且没有税收缴纳、社会保障等方面的失信记录的承诺函（附件4）</w:t>
            </w:r>
          </w:p>
        </w:tc>
      </w:tr>
      <w:tr w14:paraId="220D8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20" w:type="dxa"/>
            <w:tcMar>
              <w:top w:w="57" w:type="dxa"/>
              <w:left w:w="108" w:type="dxa"/>
              <w:bottom w:w="0" w:type="dxa"/>
              <w:right w:w="108" w:type="dxa"/>
            </w:tcMar>
            <w:vAlign w:val="center"/>
          </w:tcPr>
          <w:p w14:paraId="42A6C9C4">
            <w:pPr>
              <w:keepNext w:val="0"/>
              <w:keepLines w:val="0"/>
              <w:pageBreakBefore w:val="0"/>
              <w:kinsoku/>
              <w:wordWrap/>
              <w:overflowPunct/>
              <w:topLinePunct w:val="0"/>
              <w:bidi w:val="0"/>
              <w:spacing w:line="30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信用记录</w:t>
            </w:r>
          </w:p>
        </w:tc>
        <w:tc>
          <w:tcPr>
            <w:tcW w:w="7366" w:type="dxa"/>
            <w:tcMar>
              <w:top w:w="57" w:type="dxa"/>
              <w:left w:w="108" w:type="dxa"/>
              <w:bottom w:w="0" w:type="dxa"/>
              <w:right w:w="108" w:type="dxa"/>
            </w:tcMar>
            <w:vAlign w:val="center"/>
          </w:tcPr>
          <w:p w14:paraId="13973EA5">
            <w:pPr>
              <w:keepNext w:val="0"/>
              <w:keepLines w:val="0"/>
              <w:pageBreakBefore w:val="0"/>
              <w:widowControl w:val="0"/>
              <w:kinsoku/>
              <w:wordWrap/>
              <w:overflowPunct/>
              <w:topLinePunct w:val="0"/>
              <w:autoSpaceDE/>
              <w:autoSpaceDN/>
              <w:bidi w:val="0"/>
              <w:adjustRightInd/>
              <w:snapToGrid/>
              <w:spacing w:after="0" w:line="30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1.截止时点：开标后评标前</w:t>
            </w:r>
          </w:p>
          <w:p w14:paraId="2C4AFCA3">
            <w:pPr>
              <w:keepNext w:val="0"/>
              <w:keepLines w:val="0"/>
              <w:pageBreakBefore w:val="0"/>
              <w:widowControl w:val="0"/>
              <w:kinsoku/>
              <w:wordWrap/>
              <w:overflowPunct/>
              <w:topLinePunct w:val="0"/>
              <w:autoSpaceDE/>
              <w:autoSpaceDN/>
              <w:bidi w:val="0"/>
              <w:adjustRightInd/>
              <w:snapToGrid/>
              <w:spacing w:after="0" w:line="30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2.信用信息查询记录和证据留存的具体方式：由采购组织机构在规定查询时间内打印信用信息查询记录并归入项目档案。</w:t>
            </w:r>
          </w:p>
          <w:p w14:paraId="53CAB1A3">
            <w:pPr>
              <w:keepNext w:val="0"/>
              <w:keepLines w:val="0"/>
              <w:pageBreakBefore w:val="0"/>
              <w:widowControl w:val="0"/>
              <w:kinsoku/>
              <w:wordWrap/>
              <w:overflowPunct/>
              <w:topLinePunct w:val="0"/>
              <w:autoSpaceDE/>
              <w:autoSpaceDN/>
              <w:bidi w:val="0"/>
              <w:adjustRightInd/>
              <w:snapToGrid/>
              <w:spacing w:after="0" w:line="30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3.使用规则：供应商未被列入“信用中国”失信被执行人或重大税收违法案件当事人名单；未处于“中国政府采购网”政府采购严重违法失信行为信息记录中的禁止参加政购活动期间。</w:t>
            </w:r>
          </w:p>
        </w:tc>
      </w:tr>
      <w:tr w14:paraId="4280D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920" w:type="dxa"/>
            <w:tcMar>
              <w:top w:w="57" w:type="dxa"/>
              <w:left w:w="108" w:type="dxa"/>
              <w:bottom w:w="0" w:type="dxa"/>
              <w:right w:w="108" w:type="dxa"/>
            </w:tcMar>
            <w:vAlign w:val="center"/>
          </w:tcPr>
          <w:p w14:paraId="7CAB1DA0">
            <w:pPr>
              <w:keepNext w:val="0"/>
              <w:keepLines w:val="0"/>
              <w:pageBreakBefore w:val="0"/>
              <w:kinsoku/>
              <w:wordWrap/>
              <w:overflowPunct/>
              <w:topLinePunct w:val="0"/>
              <w:bidi w:val="0"/>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专业能力</w:t>
            </w:r>
          </w:p>
          <w:p w14:paraId="4B9C9070">
            <w:pPr>
              <w:keepNext w:val="0"/>
              <w:keepLines w:val="0"/>
              <w:pageBreakBefore w:val="0"/>
              <w:kinsoku/>
              <w:wordWrap/>
              <w:overflowPunct/>
              <w:topLinePunct w:val="0"/>
              <w:bidi w:val="0"/>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承诺函</w:t>
            </w:r>
          </w:p>
        </w:tc>
        <w:tc>
          <w:tcPr>
            <w:tcW w:w="7366" w:type="dxa"/>
            <w:tcMar>
              <w:top w:w="57" w:type="dxa"/>
              <w:left w:w="108" w:type="dxa"/>
              <w:bottom w:w="0" w:type="dxa"/>
              <w:right w:w="108" w:type="dxa"/>
            </w:tcMar>
            <w:vAlign w:val="center"/>
          </w:tcPr>
          <w:p w14:paraId="505E08B4">
            <w:pPr>
              <w:keepNext w:val="0"/>
              <w:keepLines w:val="0"/>
              <w:pageBreakBefore w:val="0"/>
              <w:kinsoku/>
              <w:wordWrap/>
              <w:overflowPunct/>
              <w:topLinePunct w:val="0"/>
              <w:bidi w:val="0"/>
              <w:spacing w:line="30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具备履行合同所必需的设备和专业技术能力的承诺函（附件5）</w:t>
            </w:r>
          </w:p>
        </w:tc>
      </w:tr>
    </w:tbl>
    <w:p w14:paraId="62C91381">
      <w:pPr>
        <w:pStyle w:val="20"/>
        <w:keepNext w:val="0"/>
        <w:keepLines w:val="0"/>
        <w:pageBreakBefore w:val="0"/>
        <w:kinsoku/>
        <w:wordWrap/>
        <w:overflowPunct/>
        <w:topLinePunct w:val="0"/>
        <w:bidi w:val="0"/>
        <w:spacing w:before="0" w:beforeAutospacing="0" w:after="0" w:afterAutospacing="0" w:line="312" w:lineRule="auto"/>
        <w:ind w:firstLine="413" w:firstLineChars="196"/>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2、符合性审查</w:t>
      </w:r>
    </w:p>
    <w:p w14:paraId="56FE2C41">
      <w:pPr>
        <w:pStyle w:val="20"/>
        <w:keepNext w:val="0"/>
        <w:keepLines w:val="0"/>
        <w:pageBreakBefore w:val="0"/>
        <w:kinsoku/>
        <w:wordWrap/>
        <w:overflowPunct/>
        <w:topLinePunct w:val="0"/>
        <w:bidi w:val="0"/>
        <w:spacing w:before="0" w:beforeAutospacing="0" w:after="0" w:afterAutospacing="0" w:line="312"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评标委员会应当对符合资格的投标人的投标文件进行符合性审查，以确定其是否满足招标文件的实质性要求，对审查发现无效的进行必要的询标，结束后公布无效投标的投标人名单、投标无效的原因。</w:t>
      </w:r>
    </w:p>
    <w:tbl>
      <w:tblPr>
        <w:tblStyle w:val="24"/>
        <w:tblpPr w:leftFromText="181" w:rightFromText="181" w:bottomFromText="170" w:vertAnchor="text" w:tblpXSpec="center" w:tblpY="1"/>
        <w:tblOverlap w:val="never"/>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578"/>
        <w:gridCol w:w="6708"/>
      </w:tblGrid>
      <w:tr w14:paraId="10C7F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578" w:type="dxa"/>
            <w:tcMar>
              <w:top w:w="57" w:type="dxa"/>
              <w:left w:w="108" w:type="dxa"/>
              <w:bottom w:w="0" w:type="dxa"/>
              <w:right w:w="108" w:type="dxa"/>
            </w:tcMar>
            <w:vAlign w:val="center"/>
          </w:tcPr>
          <w:p w14:paraId="6FF4A522">
            <w:pPr>
              <w:keepNext w:val="0"/>
              <w:keepLines w:val="0"/>
              <w:pageBreakBefore w:val="0"/>
              <w:widowControl w:val="0"/>
              <w:kinsoku/>
              <w:wordWrap/>
              <w:overflowPunct/>
              <w:topLinePunct w:val="0"/>
              <w:autoSpaceDE/>
              <w:autoSpaceDN/>
              <w:bidi w:val="0"/>
              <w:adjustRightInd/>
              <w:snapToGrid/>
              <w:spacing w:after="0" w:line="30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必须符合法律、行政法规规定的其他条件</w:t>
            </w:r>
          </w:p>
        </w:tc>
        <w:tc>
          <w:tcPr>
            <w:tcW w:w="6708" w:type="dxa"/>
            <w:tcMar>
              <w:top w:w="57" w:type="dxa"/>
              <w:left w:w="108" w:type="dxa"/>
              <w:bottom w:w="0" w:type="dxa"/>
              <w:right w:w="108" w:type="dxa"/>
            </w:tcMar>
            <w:vAlign w:val="center"/>
          </w:tcPr>
          <w:p w14:paraId="176FFC4B">
            <w:pPr>
              <w:keepNext w:val="0"/>
              <w:keepLines w:val="0"/>
              <w:pageBreakBefore w:val="0"/>
              <w:widowControl w:val="0"/>
              <w:kinsoku/>
              <w:wordWrap/>
              <w:overflowPunct/>
              <w:topLinePunct w:val="0"/>
              <w:autoSpaceDE/>
              <w:autoSpaceDN/>
              <w:bidi w:val="0"/>
              <w:adjustRightInd/>
              <w:snapToGrid/>
              <w:spacing w:after="0" w:line="30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1.单位负责人为同一人或者存在直接控股、管理关系的不同供应商，不得同时参加本项目投标。</w:t>
            </w:r>
          </w:p>
          <w:p w14:paraId="3E2E954C">
            <w:pPr>
              <w:keepNext w:val="0"/>
              <w:keepLines w:val="0"/>
              <w:pageBreakBefore w:val="0"/>
              <w:widowControl w:val="0"/>
              <w:kinsoku/>
              <w:wordWrap/>
              <w:overflowPunct/>
              <w:topLinePunct w:val="0"/>
              <w:autoSpaceDE/>
              <w:autoSpaceDN/>
              <w:bidi w:val="0"/>
              <w:adjustRightInd/>
              <w:snapToGrid/>
              <w:spacing w:after="0" w:line="30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2.为本项目提供整体设计、规范编制或者项目管理、监理、检测等服务的供应商，不得再参与本项目投标。</w:t>
            </w:r>
          </w:p>
          <w:p w14:paraId="1C226C76">
            <w:pPr>
              <w:keepNext w:val="0"/>
              <w:keepLines w:val="0"/>
              <w:pageBreakBefore w:val="0"/>
              <w:widowControl w:val="0"/>
              <w:kinsoku/>
              <w:wordWrap/>
              <w:overflowPunct/>
              <w:topLinePunct w:val="0"/>
              <w:autoSpaceDE/>
              <w:autoSpaceDN/>
              <w:bidi w:val="0"/>
              <w:adjustRightInd/>
              <w:snapToGrid/>
              <w:spacing w:after="0" w:line="30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3.投标（报价）文件相关承诺要求内容。</w:t>
            </w:r>
          </w:p>
          <w:p w14:paraId="6FA7BB43">
            <w:pPr>
              <w:pStyle w:val="23"/>
              <w:keepNext w:val="0"/>
              <w:keepLines w:val="0"/>
              <w:pageBreakBefore w:val="0"/>
              <w:widowControl w:val="0"/>
              <w:tabs>
                <w:tab w:val="clear" w:pos="900"/>
              </w:tabs>
              <w:kinsoku/>
              <w:wordWrap/>
              <w:overflowPunct/>
              <w:topLinePunct w:val="0"/>
              <w:autoSpaceDE/>
              <w:autoSpaceDN/>
              <w:bidi w:val="0"/>
              <w:adjustRightInd/>
              <w:snapToGrid/>
              <w:spacing w:after="0" w:line="300" w:lineRule="auto"/>
              <w:ind w:left="0" w:leftChars="0" w:firstLine="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4.电子交易平台运营机构，以及与该机构有直接控股或者管理关系可能影响采购公正性的任何单位和个人，不得在该平台进行的政府采购项目电子交易中投标、响应和代理政府采购项目。</w:t>
            </w:r>
          </w:p>
        </w:tc>
      </w:tr>
      <w:tr w14:paraId="6E66B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578" w:type="dxa"/>
            <w:tcMar>
              <w:top w:w="57" w:type="dxa"/>
              <w:left w:w="108" w:type="dxa"/>
              <w:bottom w:w="0" w:type="dxa"/>
              <w:right w:w="108" w:type="dxa"/>
            </w:tcMar>
            <w:vAlign w:val="center"/>
          </w:tcPr>
          <w:p w14:paraId="622A81C3">
            <w:pPr>
              <w:pStyle w:val="64"/>
              <w:keepNext w:val="0"/>
              <w:keepLines w:val="0"/>
              <w:pageBreakBefore w:val="0"/>
              <w:widowControl w:val="0"/>
              <w:kinsoku/>
              <w:wordWrap/>
              <w:overflowPunct/>
              <w:topLinePunct w:val="0"/>
              <w:autoSpaceDE/>
              <w:autoSpaceDN/>
              <w:bidi w:val="0"/>
              <w:adjustRightInd/>
              <w:snapToGrid/>
              <w:spacing w:after="0" w:line="300" w:lineRule="auto"/>
              <w:ind w:right="146"/>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“▲”实质性条款</w:t>
            </w:r>
          </w:p>
        </w:tc>
        <w:tc>
          <w:tcPr>
            <w:tcW w:w="6708" w:type="dxa"/>
            <w:tcMar>
              <w:top w:w="57" w:type="dxa"/>
              <w:left w:w="108" w:type="dxa"/>
              <w:bottom w:w="0" w:type="dxa"/>
              <w:right w:w="108" w:type="dxa"/>
            </w:tcMar>
            <w:vAlign w:val="center"/>
          </w:tcPr>
          <w:p w14:paraId="13C10197">
            <w:pPr>
              <w:pStyle w:val="64"/>
              <w:keepNext w:val="0"/>
              <w:keepLines w:val="0"/>
              <w:pageBreakBefore w:val="0"/>
              <w:widowControl w:val="0"/>
              <w:kinsoku/>
              <w:wordWrap/>
              <w:overflowPunct/>
              <w:topLinePunct w:val="0"/>
              <w:autoSpaceDE/>
              <w:autoSpaceDN/>
              <w:bidi w:val="0"/>
              <w:adjustRightInd/>
              <w:snapToGrid/>
              <w:spacing w:after="0" w:line="30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“▲”实质性条款必须满足招标文件要求。</w:t>
            </w:r>
          </w:p>
        </w:tc>
      </w:tr>
      <w:tr w14:paraId="2E300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578" w:type="dxa"/>
            <w:tcMar>
              <w:top w:w="57" w:type="dxa"/>
              <w:left w:w="108" w:type="dxa"/>
              <w:bottom w:w="0" w:type="dxa"/>
              <w:right w:w="108" w:type="dxa"/>
            </w:tcMar>
            <w:vAlign w:val="center"/>
          </w:tcPr>
          <w:p w14:paraId="75D30E5B">
            <w:pPr>
              <w:pStyle w:val="64"/>
              <w:keepNext w:val="0"/>
              <w:keepLines w:val="0"/>
              <w:pageBreakBefore w:val="0"/>
              <w:widowControl w:val="0"/>
              <w:kinsoku/>
              <w:wordWrap/>
              <w:overflowPunct/>
              <w:topLinePunct w:val="0"/>
              <w:autoSpaceDE/>
              <w:autoSpaceDN/>
              <w:bidi w:val="0"/>
              <w:adjustRightInd/>
              <w:snapToGrid/>
              <w:spacing w:after="0" w:line="300" w:lineRule="auto"/>
              <w:ind w:right="146"/>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串通投标等违法行为</w:t>
            </w:r>
          </w:p>
        </w:tc>
        <w:tc>
          <w:tcPr>
            <w:tcW w:w="6708" w:type="dxa"/>
            <w:tcMar>
              <w:top w:w="57" w:type="dxa"/>
              <w:left w:w="108" w:type="dxa"/>
              <w:bottom w:w="0" w:type="dxa"/>
              <w:right w:w="108" w:type="dxa"/>
            </w:tcMar>
            <w:vAlign w:val="center"/>
          </w:tcPr>
          <w:p w14:paraId="3CDABA76">
            <w:pPr>
              <w:pStyle w:val="64"/>
              <w:keepNext w:val="0"/>
              <w:keepLines w:val="0"/>
              <w:pageBreakBefore w:val="0"/>
              <w:widowControl w:val="0"/>
              <w:kinsoku/>
              <w:wordWrap/>
              <w:overflowPunct/>
              <w:topLinePunct w:val="0"/>
              <w:autoSpaceDE/>
              <w:autoSpaceDN/>
              <w:bidi w:val="0"/>
              <w:adjustRightInd/>
              <w:snapToGrid/>
              <w:spacing w:after="0" w:line="30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未出现财政部87号令《政府采购货物和服务招标投标管理办法》第三十七条规定的串通投标情形，以及政府采购法律法规规定的其他违法行为。</w:t>
            </w:r>
          </w:p>
        </w:tc>
      </w:tr>
      <w:tr w14:paraId="4EA94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578" w:type="dxa"/>
            <w:tcMar>
              <w:top w:w="57" w:type="dxa"/>
              <w:left w:w="108" w:type="dxa"/>
              <w:bottom w:w="0" w:type="dxa"/>
              <w:right w:w="108" w:type="dxa"/>
            </w:tcMar>
            <w:vAlign w:val="center"/>
          </w:tcPr>
          <w:p w14:paraId="04BCF79B">
            <w:pPr>
              <w:pStyle w:val="64"/>
              <w:keepNext w:val="0"/>
              <w:keepLines w:val="0"/>
              <w:pageBreakBefore w:val="0"/>
              <w:widowControl w:val="0"/>
              <w:kinsoku/>
              <w:wordWrap/>
              <w:overflowPunct/>
              <w:topLinePunct w:val="0"/>
              <w:autoSpaceDE/>
              <w:autoSpaceDN/>
              <w:bidi w:val="0"/>
              <w:adjustRightInd/>
              <w:snapToGrid/>
              <w:spacing w:after="0" w:line="300" w:lineRule="auto"/>
              <w:ind w:right="146"/>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708" w:type="dxa"/>
            <w:tcMar>
              <w:top w:w="57" w:type="dxa"/>
              <w:left w:w="108" w:type="dxa"/>
              <w:bottom w:w="0" w:type="dxa"/>
              <w:right w:w="108" w:type="dxa"/>
            </w:tcMar>
            <w:vAlign w:val="center"/>
          </w:tcPr>
          <w:p w14:paraId="60739F0B">
            <w:pPr>
              <w:pStyle w:val="64"/>
              <w:keepNext w:val="0"/>
              <w:keepLines w:val="0"/>
              <w:pageBreakBefore w:val="0"/>
              <w:widowControl w:val="0"/>
              <w:kinsoku/>
              <w:wordWrap/>
              <w:overflowPunct/>
              <w:topLinePunct w:val="0"/>
              <w:autoSpaceDE/>
              <w:autoSpaceDN/>
              <w:bidi w:val="0"/>
              <w:adjustRightInd/>
              <w:snapToGrid/>
              <w:spacing w:after="0" w:line="30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响应文件未含有采购人不可接受的附加条件。</w:t>
            </w:r>
          </w:p>
        </w:tc>
      </w:tr>
    </w:tbl>
    <w:p w14:paraId="4F75B1E7">
      <w:pPr>
        <w:pStyle w:val="20"/>
        <w:keepNext w:val="0"/>
        <w:keepLines w:val="0"/>
        <w:pageBreakBefore w:val="0"/>
        <w:kinsoku/>
        <w:wordWrap/>
        <w:overflowPunct/>
        <w:topLinePunct w:val="0"/>
        <w:bidi w:val="0"/>
        <w:spacing w:before="0" w:beforeAutospacing="0" w:after="0" w:afterAutospacing="0" w:line="312" w:lineRule="auto"/>
        <w:ind w:firstLine="422" w:firstLineChars="200"/>
        <w:jc w:val="both"/>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3、综合比较与评价</w:t>
      </w:r>
    </w:p>
    <w:p w14:paraId="7136D52A">
      <w:pPr>
        <w:pStyle w:val="20"/>
        <w:keepNext w:val="0"/>
        <w:keepLines w:val="0"/>
        <w:pageBreakBefore w:val="0"/>
        <w:kinsoku/>
        <w:wordWrap/>
        <w:overflowPunct/>
        <w:topLinePunct w:val="0"/>
        <w:bidi w:val="0"/>
        <w:spacing w:before="0" w:beforeAutospacing="0" w:after="0" w:afterAutospacing="0" w:line="312" w:lineRule="auto"/>
        <w:ind w:firstLine="315" w:firstLineChars="15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（1）对于投标文件中含义不明确、同类问题表述不一致或者有明显文字和计算错误的内容，评标委员会应当以书面形式要求投标人作出必要的澄清、说明或者补正。</w:t>
      </w:r>
    </w:p>
    <w:p w14:paraId="5F9C9BD3">
      <w:pPr>
        <w:pStyle w:val="20"/>
        <w:keepNext w:val="0"/>
        <w:keepLines w:val="0"/>
        <w:pageBreakBefore w:val="0"/>
        <w:kinsoku/>
        <w:wordWrap/>
        <w:overflowPunct/>
        <w:topLinePunct w:val="0"/>
        <w:bidi w:val="0"/>
        <w:spacing w:before="0" w:beforeAutospacing="0" w:after="0" w:afterAutospacing="0" w:line="312" w:lineRule="auto"/>
        <w:ind w:firstLine="315" w:firstLineChars="15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（2）评标委员会应当按照招标文件中规定的评标方法和标准，对符合性审查合格的投标文件进行商务和技术评估，综合比较与评价。</w:t>
      </w:r>
    </w:p>
    <w:p w14:paraId="1612D954">
      <w:pPr>
        <w:keepNext w:val="0"/>
        <w:keepLines w:val="0"/>
        <w:pageBreakBefore w:val="0"/>
        <w:kinsoku/>
        <w:wordWrap/>
        <w:overflowPunct/>
        <w:topLinePunct w:val="0"/>
        <w:bidi w:val="0"/>
        <w:snapToGrid w:val="0"/>
        <w:spacing w:after="0" w:line="312" w:lineRule="auto"/>
        <w:ind w:firstLine="315" w:firstLineChars="15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（3）评标时，评标委员会各成员应当独立对每个投标人的投标文件进行评价，并汇总每个投标人的得分。</w:t>
      </w:r>
    </w:p>
    <w:p w14:paraId="6C281FAA">
      <w:pPr>
        <w:keepNext w:val="0"/>
        <w:keepLines w:val="0"/>
        <w:pageBreakBefore w:val="0"/>
        <w:numPr>
          <w:ilvl w:val="255"/>
          <w:numId w:val="0"/>
        </w:numPr>
        <w:kinsoku/>
        <w:wordWrap/>
        <w:overflowPunct/>
        <w:topLinePunct w:val="0"/>
        <w:bidi w:val="0"/>
        <w:snapToGrid w:val="0"/>
        <w:spacing w:after="0" w:line="312" w:lineRule="auto"/>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4、得分确认及评审报告编写</w:t>
      </w:r>
    </w:p>
    <w:p w14:paraId="5A53A6C8">
      <w:pPr>
        <w:pStyle w:val="13"/>
        <w:keepNext w:val="0"/>
        <w:keepLines w:val="0"/>
        <w:pageBreakBefore w:val="0"/>
        <w:kinsoku/>
        <w:wordWrap/>
        <w:overflowPunct/>
        <w:topLinePunct w:val="0"/>
        <w:bidi w:val="0"/>
        <w:snapToGrid w:val="0"/>
        <w:spacing w:after="0" w:line="312" w:lineRule="auto"/>
        <w:ind w:firstLine="367" w:firstLineChars="175"/>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（1）评标委员会对报价文件进行复核，对于系统计算出的价格分及总得分进行确认；</w:t>
      </w:r>
    </w:p>
    <w:p w14:paraId="56322165">
      <w:pPr>
        <w:pStyle w:val="20"/>
        <w:keepNext w:val="0"/>
        <w:keepLines w:val="0"/>
        <w:pageBreakBefore w:val="0"/>
        <w:kinsoku/>
        <w:wordWrap/>
        <w:overflowPunct/>
        <w:topLinePunct w:val="0"/>
        <w:bidi w:val="0"/>
        <w:spacing w:before="0" w:beforeAutospacing="0" w:after="0" w:afterAutospacing="0" w:line="312" w:lineRule="auto"/>
        <w:ind w:firstLine="367" w:firstLineChars="175"/>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（2）评标委员会应当按照招标文件中规定的评标方法和标准，对符合性审查合格的投标文件进行商务和技术评估，综合比较与评价。</w:t>
      </w:r>
    </w:p>
    <w:p w14:paraId="5C37F841">
      <w:pPr>
        <w:keepNext w:val="0"/>
        <w:keepLines w:val="0"/>
        <w:pageBreakBefore w:val="0"/>
        <w:kinsoku/>
        <w:wordWrap/>
        <w:overflowPunct/>
        <w:topLinePunct w:val="0"/>
        <w:bidi w:val="0"/>
        <w:snapToGrid w:val="0"/>
        <w:spacing w:after="0" w:line="312" w:lineRule="auto"/>
        <w:ind w:firstLine="420" w:firstLineChars="200"/>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kern w:val="0"/>
          <w:sz w:val="21"/>
          <w:szCs w:val="21"/>
        </w:rPr>
        <w:t>评标委员会</w:t>
      </w:r>
      <w:r>
        <w:rPr>
          <w:rFonts w:hint="eastAsia" w:ascii="宋体" w:hAnsi="宋体" w:eastAsia="宋体" w:cs="宋体"/>
          <w:color w:val="auto"/>
          <w:sz w:val="21"/>
          <w:szCs w:val="21"/>
        </w:rPr>
        <w:t>按评标原则及得分情况编写评审报告。</w:t>
      </w:r>
    </w:p>
    <w:p w14:paraId="6A3BCA46">
      <w:pPr>
        <w:keepNext w:val="0"/>
        <w:keepLines w:val="0"/>
        <w:pageBreakBefore w:val="0"/>
        <w:numPr>
          <w:ilvl w:val="255"/>
          <w:numId w:val="0"/>
        </w:numPr>
        <w:kinsoku/>
        <w:wordWrap/>
        <w:overflowPunct/>
        <w:topLinePunct w:val="0"/>
        <w:bidi w:val="0"/>
        <w:snapToGrid w:val="0"/>
        <w:spacing w:after="0" w:line="312" w:lineRule="auto"/>
        <w:ind w:firstLine="422" w:firstLineChars="200"/>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5、评价</w:t>
      </w:r>
    </w:p>
    <w:p w14:paraId="12CBD884">
      <w:pPr>
        <w:keepNext w:val="0"/>
        <w:keepLines w:val="0"/>
        <w:pageBreakBefore w:val="0"/>
        <w:kinsoku/>
        <w:wordWrap/>
        <w:overflowPunct/>
        <w:topLinePunct w:val="0"/>
        <w:bidi w:val="0"/>
        <w:snapToGrid w:val="0"/>
        <w:spacing w:after="0" w:line="312" w:lineRule="auto"/>
        <w:ind w:firstLine="420" w:firstLineChars="200"/>
        <w:textAlignment w:val="auto"/>
        <w:rPr>
          <w:rFonts w:hint="eastAsia" w:ascii="宋体" w:hAnsi="宋体" w:eastAsia="宋体" w:cs="宋体"/>
          <w:b/>
          <w:color w:val="auto"/>
          <w:kern w:val="0"/>
          <w:sz w:val="21"/>
          <w:szCs w:val="21"/>
        </w:rPr>
      </w:pPr>
      <w:r>
        <w:rPr>
          <w:rFonts w:hint="eastAsia" w:ascii="宋体" w:hAnsi="宋体" w:eastAsia="宋体" w:cs="宋体"/>
          <w:color w:val="auto"/>
          <w:sz w:val="21"/>
          <w:szCs w:val="21"/>
        </w:rPr>
        <w:t>采购组织机构对评标委员会评审专家进行评价。</w:t>
      </w:r>
    </w:p>
    <w:p w14:paraId="313E07D0">
      <w:pPr>
        <w:keepNext w:val="0"/>
        <w:keepLines w:val="0"/>
        <w:pageBreakBefore w:val="0"/>
        <w:kinsoku/>
        <w:wordWrap/>
        <w:overflowPunct/>
        <w:topLinePunct w:val="0"/>
        <w:bidi w:val="0"/>
        <w:snapToGrid w:val="0"/>
        <w:spacing w:after="0" w:line="312" w:lineRule="auto"/>
        <w:ind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（三）澄清问题的形式</w:t>
      </w:r>
    </w:p>
    <w:p w14:paraId="33BE7175">
      <w:pPr>
        <w:keepNext w:val="0"/>
        <w:keepLines w:val="0"/>
        <w:pageBreakBefore w:val="0"/>
        <w:kinsoku/>
        <w:wordWrap/>
        <w:overflowPunct/>
        <w:topLinePunct w:val="0"/>
        <w:bidi w:val="0"/>
        <w:snapToGrid w:val="0"/>
        <w:spacing w:after="0"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投标人的澄清、说明或者补正应当采用书面形式，并加盖公章，或者由法定代理人或其授权的代表签字，并不得超出投标文件的范围或者改变投标文件的实质性内容。</w:t>
      </w:r>
    </w:p>
    <w:p w14:paraId="2C136681">
      <w:pPr>
        <w:pStyle w:val="13"/>
        <w:keepNext w:val="0"/>
        <w:keepLines w:val="0"/>
        <w:pageBreakBefore w:val="0"/>
        <w:kinsoku/>
        <w:wordWrap/>
        <w:overflowPunct/>
        <w:topLinePunct w:val="0"/>
        <w:bidi w:val="0"/>
        <w:snapToGrid w:val="0"/>
        <w:spacing w:after="0" w:line="312" w:lineRule="auto"/>
        <w:ind w:left="690" w:leftChars="228" w:hanging="211" w:hangingChars="1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（四）错误修正</w:t>
      </w:r>
    </w:p>
    <w:p w14:paraId="7F5023E6">
      <w:pPr>
        <w:pStyle w:val="20"/>
        <w:keepNext w:val="0"/>
        <w:keepLines w:val="0"/>
        <w:pageBreakBefore w:val="0"/>
        <w:kinsoku/>
        <w:wordWrap/>
        <w:overflowPunct/>
        <w:topLinePunct w:val="0"/>
        <w:bidi w:val="0"/>
        <w:spacing w:before="0" w:beforeAutospacing="0" w:after="0" w:afterAutospacing="0" w:line="312"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投标文件报价出现前后不一致的，除招标文件另有规定外，按照下列规定修正：</w:t>
      </w:r>
    </w:p>
    <w:p w14:paraId="407E21DF">
      <w:pPr>
        <w:pStyle w:val="20"/>
        <w:keepNext w:val="0"/>
        <w:keepLines w:val="0"/>
        <w:pageBreakBefore w:val="0"/>
        <w:kinsoku/>
        <w:wordWrap/>
        <w:overflowPunct/>
        <w:topLinePunct w:val="0"/>
        <w:bidi w:val="0"/>
        <w:spacing w:before="0" w:beforeAutospacing="0" w:after="0" w:afterAutospacing="0" w:line="312"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1、投标文件中开标一览表（报价表）内容与投标文件中相应内容不一致的，以开标一览表（报价表）为准；</w:t>
      </w:r>
    </w:p>
    <w:p w14:paraId="41E63078">
      <w:pPr>
        <w:pStyle w:val="20"/>
        <w:keepNext w:val="0"/>
        <w:keepLines w:val="0"/>
        <w:pageBreakBefore w:val="0"/>
        <w:kinsoku/>
        <w:wordWrap/>
        <w:overflowPunct/>
        <w:topLinePunct w:val="0"/>
        <w:bidi w:val="0"/>
        <w:spacing w:before="0" w:beforeAutospacing="0" w:after="0" w:afterAutospacing="0" w:line="312"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2、大写金额和小写金额不一致的，以大写金额为准；</w:t>
      </w:r>
    </w:p>
    <w:p w14:paraId="36DE37DF">
      <w:pPr>
        <w:pStyle w:val="20"/>
        <w:keepNext w:val="0"/>
        <w:keepLines w:val="0"/>
        <w:pageBreakBefore w:val="0"/>
        <w:kinsoku/>
        <w:wordWrap/>
        <w:overflowPunct/>
        <w:topLinePunct w:val="0"/>
        <w:bidi w:val="0"/>
        <w:spacing w:before="0" w:beforeAutospacing="0" w:after="0" w:afterAutospacing="0" w:line="312"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3、单价金额小数点或者百分比有明显错位的，以开标一览表的总价为准，并修改单价；</w:t>
      </w:r>
    </w:p>
    <w:p w14:paraId="06123C68">
      <w:pPr>
        <w:pStyle w:val="20"/>
        <w:keepNext w:val="0"/>
        <w:keepLines w:val="0"/>
        <w:pageBreakBefore w:val="0"/>
        <w:kinsoku/>
        <w:wordWrap/>
        <w:overflowPunct/>
        <w:topLinePunct w:val="0"/>
        <w:bidi w:val="0"/>
        <w:spacing w:before="0" w:beforeAutospacing="0" w:after="0" w:afterAutospacing="0" w:line="312"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4、总价金额与按单价汇总金额不一致的，以单价金额计算结果为准。</w:t>
      </w:r>
    </w:p>
    <w:p w14:paraId="04A425D2">
      <w:pPr>
        <w:pStyle w:val="20"/>
        <w:keepNext w:val="0"/>
        <w:keepLines w:val="0"/>
        <w:pageBreakBefore w:val="0"/>
        <w:kinsoku/>
        <w:wordWrap/>
        <w:overflowPunct/>
        <w:topLinePunct w:val="0"/>
        <w:bidi w:val="0"/>
        <w:spacing w:before="0" w:beforeAutospacing="0" w:after="0" w:afterAutospacing="0" w:line="312"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同时出现两种以上不一致的，按照前款规定的顺序修正。修正应当采用书面形式，并加盖公章，或者由法定代表人或其授权的代表签字。▲修正后的报价经投标人确认后产生约束力，投标人不确认或超过时间未予确认的，其投标无效。</w:t>
      </w:r>
    </w:p>
    <w:p w14:paraId="284B9A12">
      <w:pPr>
        <w:pStyle w:val="20"/>
        <w:keepNext w:val="0"/>
        <w:keepLines w:val="0"/>
        <w:pageBreakBefore w:val="0"/>
        <w:kinsoku/>
        <w:wordWrap/>
        <w:overflowPunct/>
        <w:topLinePunct w:val="0"/>
        <w:bidi w:val="0"/>
        <w:spacing w:before="0" w:beforeAutospacing="0" w:after="0" w:afterAutospacing="0" w:line="312" w:lineRule="auto"/>
        <w:ind w:firstLine="316" w:firstLineChars="150"/>
        <w:jc w:val="both"/>
        <w:textAlignment w:val="auto"/>
        <w:rPr>
          <w:rFonts w:hint="eastAsia" w:ascii="宋体" w:hAnsi="宋体" w:eastAsia="宋体" w:cs="宋体"/>
          <w:b/>
          <w:color w:val="auto"/>
          <w:sz w:val="21"/>
          <w:szCs w:val="21"/>
        </w:rPr>
      </w:pPr>
      <w:r>
        <w:rPr>
          <w:rFonts w:hint="eastAsia" w:ascii="宋体" w:hAnsi="宋体" w:eastAsia="宋体" w:cs="宋体"/>
          <w:b/>
          <w:bCs/>
          <w:color w:val="auto"/>
          <w:sz w:val="21"/>
          <w:szCs w:val="21"/>
        </w:rPr>
        <w:t>（五）</w:t>
      </w:r>
      <w:r>
        <w:rPr>
          <w:rFonts w:hint="eastAsia" w:ascii="宋体" w:hAnsi="宋体" w:eastAsia="宋体" w:cs="宋体"/>
          <w:b/>
          <w:color w:val="auto"/>
          <w:sz w:val="21"/>
          <w:szCs w:val="21"/>
        </w:rPr>
        <w:t>投标人存在下列情况之一的，投标无效</w:t>
      </w:r>
    </w:p>
    <w:p w14:paraId="77626187">
      <w:pPr>
        <w:pStyle w:val="20"/>
        <w:keepNext w:val="0"/>
        <w:keepLines w:val="0"/>
        <w:pageBreakBefore w:val="0"/>
        <w:kinsoku/>
        <w:wordWrap/>
        <w:overflowPunct/>
        <w:topLinePunct w:val="0"/>
        <w:bidi w:val="0"/>
        <w:spacing w:before="0" w:beforeAutospacing="0" w:after="0" w:afterAutospacing="0" w:line="312"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1、资格证明文件或商务与技术文件跟报价文件出现混装或在资格证明文件或商务与技术文件中出现投标报价的，或者报价文件中报价的货物跟商务与技术文件中的投标货物出现重大偏差的；</w:t>
      </w:r>
    </w:p>
    <w:p w14:paraId="144472B4">
      <w:pPr>
        <w:pStyle w:val="20"/>
        <w:keepNext w:val="0"/>
        <w:keepLines w:val="0"/>
        <w:pageBreakBefore w:val="0"/>
        <w:kinsoku/>
        <w:wordWrap/>
        <w:overflowPunct/>
        <w:topLinePunct w:val="0"/>
        <w:bidi w:val="0"/>
        <w:spacing w:before="0" w:beforeAutospacing="0" w:after="0" w:afterAutospacing="0" w:line="312"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2、不具备招标文件中规定的资格要求的；</w:t>
      </w:r>
      <w:r>
        <w:rPr>
          <w:rFonts w:hint="eastAsia" w:ascii="宋体" w:hAnsi="宋体" w:eastAsia="宋体" w:cs="宋体"/>
          <w:color w:val="auto"/>
          <w:sz w:val="21"/>
          <w:szCs w:val="21"/>
        </w:rPr>
        <w:tab/>
      </w:r>
    </w:p>
    <w:p w14:paraId="20F12435">
      <w:pPr>
        <w:pStyle w:val="20"/>
        <w:keepNext w:val="0"/>
        <w:keepLines w:val="0"/>
        <w:pageBreakBefore w:val="0"/>
        <w:kinsoku/>
        <w:wordWrap/>
        <w:overflowPunct/>
        <w:topLinePunct w:val="0"/>
        <w:bidi w:val="0"/>
        <w:spacing w:before="0" w:beforeAutospacing="0" w:after="0" w:afterAutospacing="0" w:line="312"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3、投标文件含有采购人不能接受的附加条件的；</w:t>
      </w:r>
    </w:p>
    <w:p w14:paraId="5E06BD4C">
      <w:pPr>
        <w:pStyle w:val="20"/>
        <w:keepNext w:val="0"/>
        <w:keepLines w:val="0"/>
        <w:pageBreakBefore w:val="0"/>
        <w:kinsoku/>
        <w:wordWrap/>
        <w:overflowPunct/>
        <w:topLinePunct w:val="0"/>
        <w:bidi w:val="0"/>
        <w:spacing w:before="0" w:beforeAutospacing="0" w:after="0" w:afterAutospacing="0" w:line="312"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4、投标文件未有效授权，法定代表人授权委托书等填写不完整或有涂改的；</w:t>
      </w:r>
    </w:p>
    <w:p w14:paraId="439907B7">
      <w:pPr>
        <w:pStyle w:val="20"/>
        <w:keepNext w:val="0"/>
        <w:keepLines w:val="0"/>
        <w:pageBreakBefore w:val="0"/>
        <w:kinsoku/>
        <w:wordWrap/>
        <w:overflowPunct/>
        <w:topLinePunct w:val="0"/>
        <w:bidi w:val="0"/>
        <w:spacing w:before="0" w:beforeAutospacing="0" w:after="0" w:afterAutospacing="0" w:line="312"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5、仅提交“备份投标文件”的；</w:t>
      </w:r>
    </w:p>
    <w:p w14:paraId="60C9E207">
      <w:pPr>
        <w:pStyle w:val="20"/>
        <w:keepNext w:val="0"/>
        <w:keepLines w:val="0"/>
        <w:pageBreakBefore w:val="0"/>
        <w:kinsoku/>
        <w:wordWrap/>
        <w:overflowPunct/>
        <w:topLinePunct w:val="0"/>
        <w:bidi w:val="0"/>
        <w:spacing w:before="0" w:beforeAutospacing="0" w:after="0" w:afterAutospacing="0" w:line="312"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6、电子投标文件解密失败的，且未在规定时间内提交备份投标文件的；</w:t>
      </w:r>
    </w:p>
    <w:p w14:paraId="3BF10B9F">
      <w:pPr>
        <w:pStyle w:val="20"/>
        <w:keepNext w:val="0"/>
        <w:keepLines w:val="0"/>
        <w:pageBreakBefore w:val="0"/>
        <w:kinsoku/>
        <w:wordWrap/>
        <w:overflowPunct/>
        <w:topLinePunct w:val="0"/>
        <w:bidi w:val="0"/>
        <w:spacing w:before="0" w:beforeAutospacing="0" w:after="0" w:afterAutospacing="0" w:line="312"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7、电子投标文件未按规定要求提供电子签章的；</w:t>
      </w:r>
    </w:p>
    <w:p w14:paraId="2957ADE0">
      <w:pPr>
        <w:pStyle w:val="20"/>
        <w:keepNext w:val="0"/>
        <w:keepLines w:val="0"/>
        <w:pageBreakBefore w:val="0"/>
        <w:kinsoku/>
        <w:wordWrap/>
        <w:overflowPunct/>
        <w:topLinePunct w:val="0"/>
        <w:bidi w:val="0"/>
        <w:spacing w:before="0" w:beforeAutospacing="0" w:after="0" w:afterAutospacing="0" w:line="312"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8、评标委员会认为投标人的报价明显低于其他通过符合性审查投标人的报价，有可能影响 产品质量或者不能诚信履约的，应当要求其在评标现场合理的时间内提供书面说明，必要时提交 相关证明材料；投标人不能证明其报价合理性的，评标委员会应当将其作为无效投标处理。</w:t>
      </w:r>
    </w:p>
    <w:p w14:paraId="23B63F6C">
      <w:pPr>
        <w:pStyle w:val="20"/>
        <w:keepNext w:val="0"/>
        <w:keepLines w:val="0"/>
        <w:pageBreakBefore w:val="0"/>
        <w:kinsoku/>
        <w:wordWrap/>
        <w:overflowPunct/>
        <w:topLinePunct w:val="0"/>
        <w:bidi w:val="0"/>
        <w:spacing w:before="0" w:beforeAutospacing="0" w:after="0" w:afterAutospacing="0" w:line="312"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9、报价超过招标文件中规定的预算金额/最高限价。</w:t>
      </w:r>
    </w:p>
    <w:p w14:paraId="21ABCBEE">
      <w:pPr>
        <w:pStyle w:val="20"/>
        <w:keepNext w:val="0"/>
        <w:keepLines w:val="0"/>
        <w:pageBreakBefore w:val="0"/>
        <w:kinsoku/>
        <w:wordWrap/>
        <w:overflowPunct/>
        <w:topLinePunct w:val="0"/>
        <w:bidi w:val="0"/>
        <w:spacing w:before="0" w:beforeAutospacing="0" w:after="0" w:afterAutospacing="0" w:line="312" w:lineRule="auto"/>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10、投标文件提供虚假材料的。 </w:t>
      </w:r>
    </w:p>
    <w:p w14:paraId="56BB3E0E">
      <w:pPr>
        <w:pStyle w:val="20"/>
        <w:keepNext w:val="0"/>
        <w:keepLines w:val="0"/>
        <w:pageBreakBefore w:val="0"/>
        <w:kinsoku/>
        <w:wordWrap/>
        <w:overflowPunct/>
        <w:topLinePunct w:val="0"/>
        <w:bidi w:val="0"/>
        <w:spacing w:before="0" w:beforeAutospacing="0" w:after="0" w:afterAutospacing="0" w:line="312"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11、不符合中华人民共和国财政部令第 87 号《政府采购货物和服务招标投标管理办法》第 三十七条情形之一的，视为投标人串通投标，其投标无效，并移送采购监管部门： </w:t>
      </w:r>
    </w:p>
    <w:p w14:paraId="68487BB2">
      <w:pPr>
        <w:pStyle w:val="20"/>
        <w:keepNext w:val="0"/>
        <w:keepLines w:val="0"/>
        <w:pageBreakBefore w:val="0"/>
        <w:kinsoku/>
        <w:wordWrap/>
        <w:overflowPunct/>
        <w:topLinePunct w:val="0"/>
        <w:bidi w:val="0"/>
        <w:spacing w:before="0" w:beforeAutospacing="0" w:after="0" w:afterAutospacing="0" w:line="312"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（1）不同投标人的投标文件由同一单位或者个人编制；</w:t>
      </w:r>
    </w:p>
    <w:p w14:paraId="3FBE48FC">
      <w:pPr>
        <w:pStyle w:val="20"/>
        <w:keepNext w:val="0"/>
        <w:keepLines w:val="0"/>
        <w:pageBreakBefore w:val="0"/>
        <w:kinsoku/>
        <w:wordWrap/>
        <w:overflowPunct/>
        <w:topLinePunct w:val="0"/>
        <w:bidi w:val="0"/>
        <w:spacing w:before="0" w:beforeAutospacing="0" w:after="0" w:afterAutospacing="0" w:line="312"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（2）不同投标人委托同一单位或者个人办理投标事宜；</w:t>
      </w:r>
    </w:p>
    <w:p w14:paraId="0202C5EA">
      <w:pPr>
        <w:pStyle w:val="20"/>
        <w:keepNext w:val="0"/>
        <w:keepLines w:val="0"/>
        <w:pageBreakBefore w:val="0"/>
        <w:kinsoku/>
        <w:wordWrap/>
        <w:overflowPunct/>
        <w:topLinePunct w:val="0"/>
        <w:bidi w:val="0"/>
        <w:spacing w:before="0" w:beforeAutospacing="0" w:after="0" w:afterAutospacing="0" w:line="312"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（3）不同投标人的投标文件载明的项目管理成员或者联系人员为同一人；</w:t>
      </w:r>
    </w:p>
    <w:p w14:paraId="3F6F57BB">
      <w:pPr>
        <w:pStyle w:val="20"/>
        <w:keepNext w:val="0"/>
        <w:keepLines w:val="0"/>
        <w:pageBreakBefore w:val="0"/>
        <w:kinsoku/>
        <w:wordWrap/>
        <w:overflowPunct/>
        <w:topLinePunct w:val="0"/>
        <w:bidi w:val="0"/>
        <w:spacing w:before="0" w:beforeAutospacing="0" w:after="0" w:afterAutospacing="0" w:line="312"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（4）不同投标人的投标文件异常一致或者投标报价呈规律性差异；</w:t>
      </w:r>
    </w:p>
    <w:p w14:paraId="2D8583D8">
      <w:pPr>
        <w:pStyle w:val="20"/>
        <w:keepNext w:val="0"/>
        <w:keepLines w:val="0"/>
        <w:pageBreakBefore w:val="0"/>
        <w:kinsoku/>
        <w:wordWrap/>
        <w:overflowPunct/>
        <w:topLinePunct w:val="0"/>
        <w:bidi w:val="0"/>
        <w:spacing w:before="0" w:beforeAutospacing="0" w:after="0" w:afterAutospacing="0" w:line="312"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（5）不同投标人的投标文件相互混装；</w:t>
      </w:r>
    </w:p>
    <w:p w14:paraId="761FB6F4">
      <w:pPr>
        <w:pStyle w:val="20"/>
        <w:keepNext w:val="0"/>
        <w:keepLines w:val="0"/>
        <w:pageBreakBefore w:val="0"/>
        <w:kinsoku/>
        <w:wordWrap/>
        <w:overflowPunct/>
        <w:topLinePunct w:val="0"/>
        <w:bidi w:val="0"/>
        <w:spacing w:before="0" w:beforeAutospacing="0" w:after="0" w:afterAutospacing="0" w:line="312"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12、不符合法律、法规和招标文件中规定的其他实质性要求的（招标文件中打“▲”内容及 被拒绝的条款）。</w:t>
      </w:r>
    </w:p>
    <w:p w14:paraId="39BAA567">
      <w:pPr>
        <w:keepNext w:val="0"/>
        <w:keepLines w:val="0"/>
        <w:pageBreakBefore w:val="0"/>
        <w:kinsoku/>
        <w:wordWrap/>
        <w:overflowPunct/>
        <w:topLinePunct w:val="0"/>
        <w:autoSpaceDE w:val="0"/>
        <w:autoSpaceDN w:val="0"/>
        <w:bidi w:val="0"/>
        <w:adjustRightInd w:val="0"/>
        <w:spacing w:after="0" w:line="312" w:lineRule="auto"/>
        <w:ind w:left="480"/>
        <w:textAlignment w:val="auto"/>
        <w:rPr>
          <w:rFonts w:hint="eastAsia" w:ascii="宋体" w:hAnsi="宋体" w:eastAsia="宋体" w:cs="宋体"/>
          <w:color w:val="auto"/>
          <w:kern w:val="0"/>
          <w:sz w:val="21"/>
          <w:szCs w:val="21"/>
        </w:rPr>
      </w:pPr>
      <w:r>
        <w:rPr>
          <w:rFonts w:hint="eastAsia" w:ascii="宋体" w:hAnsi="宋体" w:eastAsia="宋体" w:cs="宋体"/>
          <w:b/>
          <w:color w:val="auto"/>
          <w:kern w:val="0"/>
          <w:sz w:val="21"/>
          <w:szCs w:val="21"/>
        </w:rPr>
        <w:t>（六）有下列情况之一的，本次招标作为废标处理</w:t>
      </w:r>
    </w:p>
    <w:p w14:paraId="48683683">
      <w:pPr>
        <w:pStyle w:val="20"/>
        <w:keepNext w:val="0"/>
        <w:keepLines w:val="0"/>
        <w:pageBreakBefore w:val="0"/>
        <w:kinsoku/>
        <w:wordWrap/>
        <w:overflowPunct/>
        <w:topLinePunct w:val="0"/>
        <w:bidi w:val="0"/>
        <w:spacing w:before="0" w:beforeAutospacing="0" w:after="0" w:afterAutospacing="0" w:line="312" w:lineRule="auto"/>
        <w:ind w:firstLine="525" w:firstLineChars="25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1、出现影响采购公正的违法、违规行为的；</w:t>
      </w:r>
    </w:p>
    <w:p w14:paraId="61000E1D">
      <w:pPr>
        <w:pStyle w:val="20"/>
        <w:keepNext w:val="0"/>
        <w:keepLines w:val="0"/>
        <w:pageBreakBefore w:val="0"/>
        <w:kinsoku/>
        <w:wordWrap/>
        <w:overflowPunct/>
        <w:topLinePunct w:val="0"/>
        <w:bidi w:val="0"/>
        <w:spacing w:before="0" w:beforeAutospacing="0" w:after="0" w:afterAutospacing="0" w:line="312" w:lineRule="auto"/>
        <w:ind w:firstLine="525" w:firstLineChars="250"/>
        <w:jc w:val="both"/>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rPr>
        <w:t xml:space="preserve">2、评标委员会发现招标文件存在歧义、重大缺陷导致评标工作无法进行，或者招标文件内容违反国家有关强制性规定的； </w:t>
      </w:r>
    </w:p>
    <w:p w14:paraId="5A2A5629">
      <w:pPr>
        <w:pStyle w:val="20"/>
        <w:keepNext w:val="0"/>
        <w:keepLines w:val="0"/>
        <w:pageBreakBefore w:val="0"/>
        <w:kinsoku/>
        <w:wordWrap/>
        <w:overflowPunct/>
        <w:topLinePunct w:val="0"/>
        <w:bidi w:val="0"/>
        <w:spacing w:before="0" w:beforeAutospacing="0" w:after="0" w:afterAutospacing="0" w:line="312" w:lineRule="auto"/>
        <w:ind w:firstLine="525" w:firstLineChars="25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3、因重大变故，采购任务取消的；</w:t>
      </w:r>
    </w:p>
    <w:p w14:paraId="253844C1">
      <w:pPr>
        <w:pStyle w:val="20"/>
        <w:keepNext w:val="0"/>
        <w:keepLines w:val="0"/>
        <w:pageBreakBefore w:val="0"/>
        <w:kinsoku/>
        <w:wordWrap/>
        <w:overflowPunct/>
        <w:topLinePunct w:val="0"/>
        <w:bidi w:val="0"/>
        <w:spacing w:before="0" w:beforeAutospacing="0" w:after="0" w:afterAutospacing="0" w:line="312" w:lineRule="auto"/>
        <w:ind w:firstLine="525" w:firstLineChars="25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4、法律、法规和招标文件规定的其他导致评标结果无效的。</w:t>
      </w:r>
    </w:p>
    <w:p w14:paraId="7AB25C21">
      <w:pPr>
        <w:pStyle w:val="13"/>
        <w:keepNext w:val="0"/>
        <w:keepLines w:val="0"/>
        <w:pageBreakBefore w:val="0"/>
        <w:tabs>
          <w:tab w:val="left" w:pos="630"/>
        </w:tabs>
        <w:kinsoku/>
        <w:wordWrap/>
        <w:overflowPunct/>
        <w:topLinePunct w:val="0"/>
        <w:bidi w:val="0"/>
        <w:snapToGrid w:val="0"/>
        <w:spacing w:after="0" w:line="312" w:lineRule="auto"/>
        <w:ind w:firstLine="413" w:firstLineChars="196"/>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（七）评标原则和评标办法</w:t>
      </w:r>
    </w:p>
    <w:p w14:paraId="27854AC9">
      <w:pPr>
        <w:pStyle w:val="13"/>
        <w:keepNext w:val="0"/>
        <w:keepLines w:val="0"/>
        <w:pageBreakBefore w:val="0"/>
        <w:kinsoku/>
        <w:wordWrap/>
        <w:overflowPunct/>
        <w:topLinePunct w:val="0"/>
        <w:bidi w:val="0"/>
        <w:snapToGrid w:val="0"/>
        <w:spacing w:after="0" w:line="312" w:lineRule="auto"/>
        <w:ind w:firstLine="525" w:firstLineChars="2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3F92D0F8">
      <w:pPr>
        <w:pStyle w:val="13"/>
        <w:keepNext w:val="0"/>
        <w:keepLines w:val="0"/>
        <w:pageBreakBefore w:val="0"/>
        <w:kinsoku/>
        <w:wordWrap/>
        <w:overflowPunct/>
        <w:topLinePunct w:val="0"/>
        <w:bidi w:val="0"/>
        <w:snapToGrid w:val="0"/>
        <w:spacing w:after="0" w:line="312" w:lineRule="auto"/>
        <w:ind w:firstLine="525" w:firstLineChars="2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2、评标办法。具体评标内容及评分标准等详见《第四章：评标方法及评分标准》。</w:t>
      </w:r>
    </w:p>
    <w:p w14:paraId="7E678CA9">
      <w:pPr>
        <w:pStyle w:val="13"/>
        <w:keepNext w:val="0"/>
        <w:keepLines w:val="0"/>
        <w:pageBreakBefore w:val="0"/>
        <w:kinsoku/>
        <w:wordWrap/>
        <w:overflowPunct/>
        <w:topLinePunct w:val="0"/>
        <w:bidi w:val="0"/>
        <w:snapToGrid w:val="0"/>
        <w:spacing w:after="0" w:line="312" w:lineRule="auto"/>
        <w:ind w:firstLine="413" w:firstLineChars="196"/>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（八）评标过程的监控</w:t>
      </w:r>
    </w:p>
    <w:p w14:paraId="658C360A">
      <w:pPr>
        <w:pStyle w:val="13"/>
        <w:keepNext w:val="0"/>
        <w:keepLines w:val="0"/>
        <w:pageBreakBefore w:val="0"/>
        <w:kinsoku/>
        <w:wordWrap/>
        <w:overflowPunct/>
        <w:topLinePunct w:val="0"/>
        <w:bidi w:val="0"/>
        <w:snapToGrid w:val="0"/>
        <w:spacing w:after="0"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本项目评标过程实行全程录音、录像监控，政府采购监管部门视情进行现场监督，投标人在评标过程中所进行的试图影响评标结果的不公正活动，可能导致其投标被拒绝。</w:t>
      </w:r>
    </w:p>
    <w:p w14:paraId="4F020735">
      <w:pPr>
        <w:pStyle w:val="20"/>
        <w:keepNext w:val="0"/>
        <w:keepLines w:val="0"/>
        <w:pageBreakBefore w:val="0"/>
        <w:kinsoku/>
        <w:wordWrap/>
        <w:overflowPunct/>
        <w:topLinePunct w:val="0"/>
        <w:bidi w:val="0"/>
        <w:spacing w:before="0" w:beforeAutospacing="0" w:after="0" w:afterAutospacing="0" w:line="312" w:lineRule="auto"/>
        <w:jc w:val="both"/>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七、定标</w:t>
      </w:r>
    </w:p>
    <w:p w14:paraId="1BDB5379">
      <w:pPr>
        <w:pStyle w:val="20"/>
        <w:keepNext w:val="0"/>
        <w:keepLines w:val="0"/>
        <w:pageBreakBefore w:val="0"/>
        <w:kinsoku/>
        <w:wordWrap/>
        <w:overflowPunct/>
        <w:topLinePunct w:val="0"/>
        <w:bidi w:val="0"/>
        <w:spacing w:before="0" w:beforeAutospacing="0" w:after="0" w:afterAutospacing="0" w:line="312"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确定中标投标人。评标委员会根据采购单位的《授权意见确认书》，推荐中标候选人或确定中标人。其中推荐中标候选人的，采购组织机构在评审结束后2个工作日内将评标报告送采购人，采购人自收到评审报告之日起5个工作日内在评审报告推荐的中标候选人中按顺序确定中标人。</w:t>
      </w:r>
    </w:p>
    <w:p w14:paraId="481E0CEB">
      <w:pPr>
        <w:keepNext w:val="0"/>
        <w:keepLines w:val="0"/>
        <w:pageBreakBefore w:val="0"/>
        <w:kinsoku/>
        <w:wordWrap/>
        <w:overflowPunct/>
        <w:topLinePunct w:val="0"/>
        <w:bidi w:val="0"/>
        <w:spacing w:after="0" w:line="312" w:lineRule="auto"/>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2、</w:t>
      </w:r>
      <w:r>
        <w:rPr>
          <w:rFonts w:hint="eastAsia" w:ascii="宋体" w:hAnsi="宋体" w:eastAsia="宋体" w:cs="宋体"/>
          <w:color w:val="auto"/>
          <w:kern w:val="0"/>
          <w:sz w:val="21"/>
          <w:szCs w:val="21"/>
        </w:rPr>
        <w:t>发布</w:t>
      </w:r>
      <w:r>
        <w:rPr>
          <w:rFonts w:hint="eastAsia" w:ascii="宋体" w:hAnsi="宋体" w:eastAsia="宋体" w:cs="宋体"/>
          <w:color w:val="auto"/>
          <w:sz w:val="21"/>
          <w:szCs w:val="21"/>
        </w:rPr>
        <w:t>中标</w:t>
      </w:r>
      <w:r>
        <w:rPr>
          <w:rFonts w:hint="eastAsia" w:ascii="宋体" w:hAnsi="宋体" w:eastAsia="宋体" w:cs="宋体"/>
          <w:color w:val="auto"/>
          <w:kern w:val="0"/>
          <w:sz w:val="21"/>
          <w:szCs w:val="21"/>
        </w:rPr>
        <w:t>结果公告。采购组织机构应当自中标人确定之日起2个工作日内，在省级以上财政部门指定的媒体及相关网站上公告中标结果。</w:t>
      </w:r>
    </w:p>
    <w:p w14:paraId="43E2638B">
      <w:pPr>
        <w:keepNext w:val="0"/>
        <w:keepLines w:val="0"/>
        <w:pageBreakBefore w:val="0"/>
        <w:kinsoku/>
        <w:wordWrap/>
        <w:overflowPunct/>
        <w:topLinePunct w:val="0"/>
        <w:bidi w:val="0"/>
        <w:spacing w:after="0" w:line="312" w:lineRule="auto"/>
        <w:ind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3、发出中标通知书。采购组织机构在发布中标结果的同时，向中标人发出中标通知书。</w:t>
      </w:r>
    </w:p>
    <w:p w14:paraId="5F11B2F8">
      <w:pPr>
        <w:keepNext w:val="0"/>
        <w:keepLines w:val="0"/>
        <w:pageBreakBefore w:val="0"/>
        <w:kinsoku/>
        <w:wordWrap/>
        <w:overflowPunct/>
        <w:topLinePunct w:val="0"/>
        <w:bidi w:val="0"/>
        <w:spacing w:after="0" w:line="312" w:lineRule="auto"/>
        <w:textAlignment w:val="auto"/>
        <w:rPr>
          <w:rFonts w:hint="eastAsia" w:ascii="宋体" w:hAnsi="宋体" w:eastAsia="宋体" w:cs="宋体"/>
          <w:color w:val="auto"/>
          <w:kern w:val="0"/>
          <w:sz w:val="21"/>
          <w:szCs w:val="21"/>
        </w:rPr>
      </w:pPr>
      <w:r>
        <w:rPr>
          <w:rFonts w:hint="eastAsia" w:ascii="宋体" w:hAnsi="宋体" w:eastAsia="宋体" w:cs="宋体"/>
          <w:b/>
          <w:color w:val="auto"/>
          <w:sz w:val="21"/>
          <w:szCs w:val="21"/>
        </w:rPr>
        <w:t>八、</w:t>
      </w:r>
      <w:r>
        <w:rPr>
          <w:rFonts w:hint="eastAsia" w:ascii="宋体" w:hAnsi="宋体" w:eastAsia="宋体" w:cs="宋体"/>
          <w:b/>
          <w:color w:val="auto"/>
          <w:kern w:val="0"/>
          <w:sz w:val="21"/>
          <w:szCs w:val="21"/>
        </w:rPr>
        <w:t>合同签订及公告</w:t>
      </w:r>
    </w:p>
    <w:p w14:paraId="450BCE60">
      <w:pPr>
        <w:keepNext w:val="0"/>
        <w:keepLines w:val="0"/>
        <w:pageBreakBefore w:val="0"/>
        <w:kinsoku/>
        <w:wordWrap/>
        <w:overflowPunct/>
        <w:topLinePunct w:val="0"/>
        <w:bidi w:val="0"/>
        <w:spacing w:after="0" w:line="312" w:lineRule="auto"/>
        <w:ind w:firstLine="422" w:firstLineChars="200"/>
        <w:textAlignment w:val="auto"/>
        <w:rPr>
          <w:rFonts w:hint="eastAsia" w:ascii="宋体" w:hAnsi="宋体" w:eastAsia="宋体" w:cs="宋体"/>
          <w:b/>
          <w:color w:val="auto"/>
          <w:kern w:val="0"/>
          <w:sz w:val="21"/>
          <w:szCs w:val="21"/>
        </w:rPr>
      </w:pPr>
      <w:r>
        <w:rPr>
          <w:rFonts w:hint="eastAsia" w:ascii="宋体" w:hAnsi="宋体" w:eastAsia="宋体" w:cs="宋体"/>
          <w:b/>
          <w:color w:val="auto"/>
          <w:sz w:val="21"/>
          <w:szCs w:val="21"/>
        </w:rPr>
        <w:t>（一）签订合同</w:t>
      </w:r>
    </w:p>
    <w:p w14:paraId="70F9237F">
      <w:pPr>
        <w:pStyle w:val="20"/>
        <w:keepNext w:val="0"/>
        <w:keepLines w:val="0"/>
        <w:pageBreakBefore w:val="0"/>
        <w:kinsoku/>
        <w:wordWrap/>
        <w:overflowPunct/>
        <w:topLinePunct w:val="0"/>
        <w:bidi w:val="0"/>
        <w:spacing w:before="0" w:beforeAutospacing="0" w:after="0" w:afterAutospacing="0" w:line="312"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1、采购人应当自中标通知书发出之日起30日内，按照招标文件和中标人投标文件的规定，与中标人签订书面合同。所签订的合同不得对招标文件确定的事项和中标人投标文件作实质性修改。</w:t>
      </w:r>
    </w:p>
    <w:p w14:paraId="20D3AB30">
      <w:pPr>
        <w:pStyle w:val="20"/>
        <w:keepNext w:val="0"/>
        <w:keepLines w:val="0"/>
        <w:pageBreakBefore w:val="0"/>
        <w:kinsoku/>
        <w:wordWrap/>
        <w:overflowPunct/>
        <w:topLinePunct w:val="0"/>
        <w:bidi w:val="0"/>
        <w:spacing w:before="0" w:beforeAutospacing="0" w:after="0" w:afterAutospacing="0" w:line="312"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2、采购人不得向中标人提出任何不合理的要求作为签订合同的条件。</w:t>
      </w:r>
    </w:p>
    <w:p w14:paraId="735B0137">
      <w:pPr>
        <w:pStyle w:val="20"/>
        <w:keepNext w:val="0"/>
        <w:keepLines w:val="0"/>
        <w:pageBreakBefore w:val="0"/>
        <w:kinsoku/>
        <w:wordWrap/>
        <w:overflowPunct/>
        <w:topLinePunct w:val="0"/>
        <w:bidi w:val="0"/>
        <w:spacing w:before="0" w:beforeAutospacing="0" w:after="0" w:afterAutospacing="0" w:line="312"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3、中标供应商无故拖延、拒签合同的,取消中标资格。</w:t>
      </w:r>
    </w:p>
    <w:p w14:paraId="054A7E57">
      <w:pPr>
        <w:pStyle w:val="20"/>
        <w:keepNext w:val="0"/>
        <w:keepLines w:val="0"/>
        <w:pageBreakBefore w:val="0"/>
        <w:kinsoku/>
        <w:wordWrap/>
        <w:overflowPunct/>
        <w:topLinePunct w:val="0"/>
        <w:bidi w:val="0"/>
        <w:spacing w:before="0" w:beforeAutospacing="0" w:after="0" w:afterAutospacing="0" w:line="312"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中标供应商拒绝与采购人签订合同的，采购人可以按照评审报告推荐的中标候选人名单排序，确定下一候选人为中标供应商，也可以重新开展政府采购活动。同时，拒绝与采购人签订合同的供应商，由同级财政部门依法作出处理。</w:t>
      </w:r>
    </w:p>
    <w:p w14:paraId="15DD7DB0">
      <w:pPr>
        <w:pStyle w:val="20"/>
        <w:keepNext w:val="0"/>
        <w:keepLines w:val="0"/>
        <w:pageBreakBefore w:val="0"/>
        <w:kinsoku/>
        <w:wordWrap/>
        <w:overflowPunct/>
        <w:topLinePunct w:val="0"/>
        <w:bidi w:val="0"/>
        <w:spacing w:before="0" w:beforeAutospacing="0" w:after="0" w:afterAutospacing="0" w:line="312"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5、询问或者质疑事项可能影响中标结果的，采购人应当暂停签订合同，已经签订合同的，应当中止履行合同（中标结果的质疑期为中标结果公告期限届满之日起七个工作日）。</w:t>
      </w:r>
    </w:p>
    <w:p w14:paraId="6D2B979C">
      <w:pPr>
        <w:pStyle w:val="20"/>
        <w:keepNext w:val="0"/>
        <w:keepLines w:val="0"/>
        <w:pageBreakBefore w:val="0"/>
        <w:kinsoku/>
        <w:wordWrap/>
        <w:overflowPunct/>
        <w:topLinePunct w:val="0"/>
        <w:bidi w:val="0"/>
        <w:spacing w:before="0" w:beforeAutospacing="0" w:after="0" w:afterAutospacing="0" w:line="400" w:lineRule="exact"/>
        <w:ind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（二）合同公告及备案</w:t>
      </w:r>
    </w:p>
    <w:p w14:paraId="3C64313C">
      <w:pPr>
        <w:pStyle w:val="12"/>
        <w:keepNext w:val="0"/>
        <w:keepLines w:val="0"/>
        <w:pageBreakBefore w:val="0"/>
        <w:kinsoku/>
        <w:wordWrap/>
        <w:overflowPunct/>
        <w:topLinePunct w:val="0"/>
        <w:bidi w:val="0"/>
        <w:spacing w:after="0" w:line="312" w:lineRule="auto"/>
        <w:ind w:left="0" w:leftChars="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1、采购人应当自政府采购合同签订之日起2个工作日内，</w:t>
      </w:r>
      <w:r>
        <w:rPr>
          <w:rFonts w:hint="eastAsia" w:ascii="宋体" w:hAnsi="宋体" w:eastAsia="宋体" w:cs="宋体"/>
          <w:color w:val="auto"/>
          <w:kern w:val="0"/>
          <w:sz w:val="21"/>
          <w:szCs w:val="21"/>
        </w:rPr>
        <w:t>在省级以上财政部门指定的政府采购信息发布媒体及相关网站上公告，但合同中涉及国家秘密、商业秘密的内容除外</w:t>
      </w:r>
      <w:r>
        <w:rPr>
          <w:rFonts w:hint="eastAsia" w:ascii="宋体" w:hAnsi="宋体" w:eastAsia="宋体" w:cs="宋体"/>
          <w:color w:val="auto"/>
          <w:sz w:val="21"/>
          <w:szCs w:val="21"/>
        </w:rPr>
        <w:t>。</w:t>
      </w:r>
    </w:p>
    <w:p w14:paraId="6AC1A47C">
      <w:pPr>
        <w:pStyle w:val="12"/>
        <w:keepNext w:val="0"/>
        <w:keepLines w:val="0"/>
        <w:pageBreakBefore w:val="0"/>
        <w:kinsoku/>
        <w:wordWrap/>
        <w:overflowPunct/>
        <w:topLinePunct w:val="0"/>
        <w:bidi w:val="0"/>
        <w:spacing w:after="0" w:line="312" w:lineRule="auto"/>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2、采购人应当自政府采购合同签订之日起7个工作日内，将政府采购合同通过政采云平台提交至同级人民政府财政部门备案以及采购组织机构存档。</w:t>
      </w:r>
    </w:p>
    <w:p w14:paraId="21D01326">
      <w:pPr>
        <w:rPr>
          <w:rFonts w:hint="eastAsia" w:ascii="宋体" w:hAnsi="宋体" w:cs="宋体"/>
          <w:b/>
          <w:color w:val="auto"/>
          <w:sz w:val="36"/>
          <w:szCs w:val="36"/>
        </w:rPr>
      </w:pPr>
      <w:r>
        <w:rPr>
          <w:rFonts w:hint="eastAsia" w:ascii="宋体" w:hAnsi="宋体" w:cs="宋体"/>
          <w:b/>
          <w:color w:val="auto"/>
          <w:sz w:val="36"/>
          <w:szCs w:val="36"/>
        </w:rPr>
        <w:br w:type="page"/>
      </w:r>
    </w:p>
    <w:p w14:paraId="467B5413">
      <w:pPr>
        <w:pStyle w:val="2"/>
        <w:rPr>
          <w:color w:val="auto"/>
        </w:rPr>
      </w:pPr>
      <w:r>
        <w:rPr>
          <w:rFonts w:hint="eastAsia"/>
          <w:color w:val="auto"/>
        </w:rPr>
        <w:t>第四章 评标办法及评分标准</w:t>
      </w:r>
    </w:p>
    <w:p w14:paraId="04552A62">
      <w:pPr>
        <w:keepNext w:val="0"/>
        <w:keepLines w:val="0"/>
        <w:pageBreakBefore w:val="0"/>
        <w:widowControl w:val="0"/>
        <w:kinsoku/>
        <w:wordWrap/>
        <w:overflowPunct/>
        <w:topLinePunct w:val="0"/>
        <w:autoSpaceDE w:val="0"/>
        <w:autoSpaceDN w:val="0"/>
        <w:bidi w:val="0"/>
        <w:snapToGrid/>
        <w:spacing w:after="0" w:line="312" w:lineRule="auto"/>
        <w:ind w:firstLine="420" w:firstLineChars="200"/>
        <w:textAlignment w:val="auto"/>
        <w:rPr>
          <w:rFonts w:hint="eastAsia" w:ascii="宋体" w:hAnsi="宋体" w:cs="宋体"/>
          <w:b/>
          <w:i/>
          <w:color w:val="auto"/>
          <w:kern w:val="0"/>
          <w:sz w:val="21"/>
          <w:szCs w:val="21"/>
        </w:rPr>
      </w:pPr>
      <w:r>
        <w:rPr>
          <w:rFonts w:hint="eastAsia" w:ascii="宋体" w:hAnsi="宋体" w:cs="宋体"/>
          <w:color w:val="auto"/>
          <w:kern w:val="0"/>
          <w:sz w:val="21"/>
          <w:szCs w:val="21"/>
        </w:rPr>
        <w:t>一、采购组织机构将组织评标委员会，对投标人提供的投标文件进行综合评审。</w:t>
      </w:r>
    </w:p>
    <w:p w14:paraId="52479E09">
      <w:pPr>
        <w:keepNext w:val="0"/>
        <w:keepLines w:val="0"/>
        <w:pageBreakBefore w:val="0"/>
        <w:widowControl w:val="0"/>
        <w:kinsoku/>
        <w:wordWrap/>
        <w:overflowPunct/>
        <w:topLinePunct w:val="0"/>
        <w:autoSpaceDE w:val="0"/>
        <w:autoSpaceDN w:val="0"/>
        <w:bidi w:val="0"/>
        <w:snapToGrid/>
        <w:spacing w:after="0" w:line="312" w:lineRule="auto"/>
        <w:ind w:firstLine="420" w:firstLineChars="200"/>
        <w:textAlignment w:val="auto"/>
        <w:rPr>
          <w:rFonts w:hint="eastAsia" w:ascii="宋体" w:hAnsi="宋体" w:cs="宋体"/>
          <w:color w:val="auto"/>
          <w:kern w:val="0"/>
          <w:sz w:val="21"/>
          <w:szCs w:val="21"/>
        </w:rPr>
      </w:pPr>
      <w:r>
        <w:rPr>
          <w:rFonts w:hint="eastAsia" w:ascii="宋体" w:hAnsi="宋体" w:cs="宋体"/>
          <w:color w:val="auto"/>
          <w:kern w:val="0"/>
          <w:sz w:val="21"/>
          <w:szCs w:val="21"/>
        </w:rPr>
        <w:t>二、本次招标项目的评标方法为综合评分法，总计100分。评标标准按以下内容及分值进行评审。</w:t>
      </w:r>
    </w:p>
    <w:tbl>
      <w:tblPr>
        <w:tblStyle w:val="24"/>
        <w:tblW w:w="8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8"/>
        <w:gridCol w:w="4571"/>
      </w:tblGrid>
      <w:tr w14:paraId="3DAE0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68" w:type="dxa"/>
            <w:tcBorders>
              <w:tl2br w:val="single" w:color="auto" w:sz="4" w:space="0"/>
            </w:tcBorders>
          </w:tcPr>
          <w:p w14:paraId="20868E19">
            <w:pPr>
              <w:keepNext w:val="0"/>
              <w:keepLines w:val="0"/>
              <w:pageBreakBefore w:val="0"/>
              <w:widowControl w:val="0"/>
              <w:kinsoku/>
              <w:wordWrap/>
              <w:overflowPunct/>
              <w:topLinePunct w:val="0"/>
              <w:autoSpaceDE w:val="0"/>
              <w:autoSpaceDN w:val="0"/>
              <w:bidi w:val="0"/>
              <w:adjustRightInd w:val="0"/>
              <w:snapToGrid/>
              <w:spacing w:after="0" w:line="312" w:lineRule="auto"/>
              <w:jc w:val="left"/>
              <w:textAlignment w:val="auto"/>
              <w:rPr>
                <w:rFonts w:hint="eastAsia" w:ascii="宋体" w:hAnsi="宋体" w:cs="宋体"/>
                <w:color w:val="auto"/>
                <w:sz w:val="21"/>
                <w:szCs w:val="21"/>
              </w:rPr>
            </w:pPr>
            <w:r>
              <w:rPr>
                <w:rFonts w:hint="eastAsia" w:ascii="宋体" w:hAnsi="宋体" w:cs="宋体"/>
                <w:color w:val="auto"/>
                <w:sz w:val="21"/>
                <w:szCs w:val="21"/>
              </w:rPr>
              <w:t xml:space="preserve">          </w:t>
            </w:r>
            <w:r>
              <w:rPr>
                <w:rFonts w:hint="eastAsia" w:ascii="宋体" w:hAnsi="宋体" w:cs="宋体"/>
                <w:color w:val="auto"/>
                <w:sz w:val="21"/>
                <w:szCs w:val="21"/>
                <w:lang w:val="en-US" w:eastAsia="zh-CN"/>
              </w:rPr>
              <w:t xml:space="preserve">             </w:t>
            </w:r>
            <w:r>
              <w:rPr>
                <w:rFonts w:hint="eastAsia" w:ascii="宋体" w:hAnsi="宋体" w:cs="宋体"/>
                <w:color w:val="auto"/>
                <w:sz w:val="21"/>
                <w:szCs w:val="21"/>
              </w:rPr>
              <w:t>标段</w:t>
            </w:r>
          </w:p>
          <w:p w14:paraId="65060BDA">
            <w:pPr>
              <w:keepNext w:val="0"/>
              <w:keepLines w:val="0"/>
              <w:pageBreakBefore w:val="0"/>
              <w:widowControl w:val="0"/>
              <w:kinsoku/>
              <w:wordWrap/>
              <w:overflowPunct/>
              <w:topLinePunct w:val="0"/>
              <w:autoSpaceDE w:val="0"/>
              <w:autoSpaceDN w:val="0"/>
              <w:bidi w:val="0"/>
              <w:adjustRightInd w:val="0"/>
              <w:snapToGrid/>
              <w:spacing w:after="0" w:line="312" w:lineRule="auto"/>
              <w:jc w:val="left"/>
              <w:textAlignment w:val="auto"/>
              <w:rPr>
                <w:rFonts w:hint="eastAsia" w:ascii="宋体" w:hAnsi="宋体" w:cs="宋体"/>
                <w:color w:val="auto"/>
                <w:sz w:val="21"/>
                <w:szCs w:val="21"/>
              </w:rPr>
            </w:pPr>
            <w:r>
              <w:rPr>
                <w:rFonts w:hint="eastAsia" w:ascii="宋体" w:hAnsi="宋体" w:cs="宋体"/>
                <w:color w:val="auto"/>
                <w:sz w:val="21"/>
                <w:szCs w:val="21"/>
              </w:rPr>
              <w:t>类别</w:t>
            </w:r>
          </w:p>
        </w:tc>
        <w:tc>
          <w:tcPr>
            <w:tcW w:w="4571" w:type="dxa"/>
            <w:vAlign w:val="center"/>
          </w:tcPr>
          <w:p w14:paraId="3401A1EF">
            <w:pPr>
              <w:keepNext w:val="0"/>
              <w:keepLines w:val="0"/>
              <w:pageBreakBefore w:val="0"/>
              <w:widowControl w:val="0"/>
              <w:kinsoku/>
              <w:wordWrap/>
              <w:overflowPunct/>
              <w:topLinePunct w:val="0"/>
              <w:autoSpaceDE w:val="0"/>
              <w:autoSpaceDN w:val="0"/>
              <w:bidi w:val="0"/>
              <w:adjustRightInd w:val="0"/>
              <w:snapToGrid/>
              <w:spacing w:after="0" w:line="312" w:lineRule="auto"/>
              <w:jc w:val="center"/>
              <w:textAlignment w:val="auto"/>
              <w:rPr>
                <w:rFonts w:hint="eastAsia" w:ascii="宋体" w:hAnsi="宋体" w:cs="宋体"/>
                <w:color w:val="auto"/>
                <w:sz w:val="21"/>
                <w:szCs w:val="21"/>
              </w:rPr>
            </w:pPr>
            <w:r>
              <w:rPr>
                <w:rFonts w:hint="eastAsia" w:ascii="宋体" w:hAnsi="宋体" w:cs="宋体"/>
                <w:color w:val="auto"/>
                <w:sz w:val="21"/>
                <w:szCs w:val="21"/>
              </w:rPr>
              <w:fldChar w:fldCharType="begin"/>
            </w:r>
            <w:r>
              <w:rPr>
                <w:rFonts w:hint="eastAsia" w:ascii="宋体" w:hAnsi="宋体" w:cs="宋体"/>
                <w:color w:val="auto"/>
                <w:sz w:val="21"/>
                <w:szCs w:val="21"/>
              </w:rPr>
              <w:instrText xml:space="preserve">= 1 \* CHINESENUM3</w:instrText>
            </w:r>
            <w:r>
              <w:rPr>
                <w:rFonts w:hint="eastAsia" w:ascii="宋体" w:hAnsi="宋体" w:cs="宋体"/>
                <w:color w:val="auto"/>
                <w:sz w:val="21"/>
                <w:szCs w:val="21"/>
              </w:rPr>
              <w:fldChar w:fldCharType="separate"/>
            </w:r>
            <w:r>
              <w:rPr>
                <w:rFonts w:hint="eastAsia" w:ascii="宋体" w:hAnsi="宋体" w:cs="宋体"/>
                <w:color w:val="auto"/>
                <w:sz w:val="21"/>
                <w:szCs w:val="21"/>
              </w:rPr>
              <w:t>一</w:t>
            </w:r>
            <w:r>
              <w:rPr>
                <w:rFonts w:hint="eastAsia" w:ascii="宋体" w:hAnsi="宋体" w:cs="宋体"/>
                <w:color w:val="auto"/>
                <w:sz w:val="21"/>
                <w:szCs w:val="21"/>
              </w:rPr>
              <w:fldChar w:fldCharType="end"/>
            </w:r>
          </w:p>
        </w:tc>
      </w:tr>
      <w:tr w14:paraId="64006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68" w:type="dxa"/>
            <w:vAlign w:val="center"/>
          </w:tcPr>
          <w:p w14:paraId="58F5E750">
            <w:pPr>
              <w:keepNext w:val="0"/>
              <w:keepLines w:val="0"/>
              <w:pageBreakBefore w:val="0"/>
              <w:widowControl w:val="0"/>
              <w:kinsoku/>
              <w:wordWrap/>
              <w:overflowPunct/>
              <w:topLinePunct w:val="0"/>
              <w:autoSpaceDE w:val="0"/>
              <w:autoSpaceDN w:val="0"/>
              <w:bidi w:val="0"/>
              <w:adjustRightInd w:val="0"/>
              <w:snapToGrid/>
              <w:spacing w:after="0" w:line="312" w:lineRule="auto"/>
              <w:jc w:val="left"/>
              <w:textAlignment w:val="auto"/>
              <w:rPr>
                <w:rFonts w:hint="eastAsia" w:ascii="宋体" w:hAnsi="宋体" w:cs="宋体"/>
                <w:color w:val="auto"/>
                <w:sz w:val="21"/>
                <w:szCs w:val="21"/>
              </w:rPr>
            </w:pPr>
            <w:r>
              <w:rPr>
                <w:rFonts w:hint="eastAsia" w:ascii="宋体" w:hAnsi="宋体" w:cs="宋体"/>
                <w:color w:val="auto"/>
                <w:kern w:val="0"/>
                <w:sz w:val="21"/>
                <w:szCs w:val="21"/>
              </w:rPr>
              <w:t xml:space="preserve">资信技术部分 </w:t>
            </w:r>
          </w:p>
        </w:tc>
        <w:tc>
          <w:tcPr>
            <w:tcW w:w="4571" w:type="dxa"/>
            <w:vAlign w:val="center"/>
          </w:tcPr>
          <w:p w14:paraId="6CB7D8AD">
            <w:pPr>
              <w:keepNext w:val="0"/>
              <w:keepLines w:val="0"/>
              <w:pageBreakBefore w:val="0"/>
              <w:widowControl w:val="0"/>
              <w:kinsoku/>
              <w:wordWrap/>
              <w:overflowPunct/>
              <w:topLinePunct w:val="0"/>
              <w:autoSpaceDE w:val="0"/>
              <w:autoSpaceDN w:val="0"/>
              <w:bidi w:val="0"/>
              <w:adjustRightInd w:val="0"/>
              <w:snapToGrid/>
              <w:spacing w:after="0" w:line="312" w:lineRule="auto"/>
              <w:jc w:val="center"/>
              <w:textAlignment w:val="auto"/>
              <w:rPr>
                <w:rFonts w:hint="eastAsia" w:ascii="宋体" w:hAnsi="宋体" w:cs="宋体"/>
                <w:color w:val="auto"/>
                <w:sz w:val="21"/>
                <w:szCs w:val="21"/>
              </w:rPr>
            </w:pPr>
            <w:r>
              <w:rPr>
                <w:rFonts w:hint="eastAsia" w:ascii="宋体" w:hAnsi="宋体" w:cs="宋体"/>
                <w:color w:val="auto"/>
                <w:sz w:val="21"/>
                <w:szCs w:val="21"/>
              </w:rPr>
              <w:t xml:space="preserve">70 </w:t>
            </w:r>
          </w:p>
        </w:tc>
      </w:tr>
      <w:tr w14:paraId="654A2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68" w:type="dxa"/>
            <w:vAlign w:val="center"/>
          </w:tcPr>
          <w:p w14:paraId="7E3A1527">
            <w:pPr>
              <w:keepNext w:val="0"/>
              <w:keepLines w:val="0"/>
              <w:pageBreakBefore w:val="0"/>
              <w:widowControl w:val="0"/>
              <w:kinsoku/>
              <w:wordWrap/>
              <w:overflowPunct/>
              <w:topLinePunct w:val="0"/>
              <w:autoSpaceDE w:val="0"/>
              <w:autoSpaceDN w:val="0"/>
              <w:bidi w:val="0"/>
              <w:adjustRightInd w:val="0"/>
              <w:snapToGrid/>
              <w:spacing w:after="0" w:line="312" w:lineRule="auto"/>
              <w:jc w:val="left"/>
              <w:textAlignment w:val="auto"/>
              <w:rPr>
                <w:rFonts w:hint="eastAsia" w:ascii="宋体" w:hAnsi="宋体" w:cs="宋体"/>
                <w:color w:val="auto"/>
                <w:kern w:val="0"/>
                <w:sz w:val="21"/>
                <w:szCs w:val="21"/>
              </w:rPr>
            </w:pPr>
            <w:r>
              <w:rPr>
                <w:rFonts w:hint="eastAsia" w:ascii="宋体" w:hAnsi="宋体" w:cs="宋体"/>
                <w:color w:val="auto"/>
                <w:kern w:val="0"/>
                <w:sz w:val="21"/>
                <w:szCs w:val="21"/>
              </w:rPr>
              <w:t>价格部分</w:t>
            </w:r>
          </w:p>
        </w:tc>
        <w:tc>
          <w:tcPr>
            <w:tcW w:w="4571" w:type="dxa"/>
            <w:vAlign w:val="center"/>
          </w:tcPr>
          <w:p w14:paraId="154A7A7F">
            <w:pPr>
              <w:keepNext w:val="0"/>
              <w:keepLines w:val="0"/>
              <w:pageBreakBefore w:val="0"/>
              <w:widowControl w:val="0"/>
              <w:kinsoku/>
              <w:wordWrap/>
              <w:overflowPunct/>
              <w:topLinePunct w:val="0"/>
              <w:autoSpaceDE w:val="0"/>
              <w:autoSpaceDN w:val="0"/>
              <w:bidi w:val="0"/>
              <w:adjustRightInd w:val="0"/>
              <w:snapToGrid/>
              <w:spacing w:after="0" w:line="312" w:lineRule="auto"/>
              <w:jc w:val="center"/>
              <w:textAlignment w:val="auto"/>
              <w:rPr>
                <w:rFonts w:hint="eastAsia" w:ascii="宋体" w:hAnsi="宋体" w:cs="宋体"/>
                <w:color w:val="auto"/>
                <w:sz w:val="21"/>
                <w:szCs w:val="21"/>
              </w:rPr>
            </w:pPr>
            <w:r>
              <w:rPr>
                <w:rFonts w:hint="eastAsia" w:ascii="宋体" w:hAnsi="宋体" w:cs="宋体"/>
                <w:color w:val="auto"/>
                <w:sz w:val="21"/>
                <w:szCs w:val="21"/>
              </w:rPr>
              <w:t xml:space="preserve"> 30</w:t>
            </w:r>
          </w:p>
        </w:tc>
      </w:tr>
    </w:tbl>
    <w:p w14:paraId="67EFEF90">
      <w:pPr>
        <w:keepNext w:val="0"/>
        <w:keepLines w:val="0"/>
        <w:pageBreakBefore w:val="0"/>
        <w:widowControl w:val="0"/>
        <w:kinsoku/>
        <w:wordWrap/>
        <w:overflowPunct/>
        <w:topLinePunct w:val="0"/>
        <w:autoSpaceDE w:val="0"/>
        <w:autoSpaceDN w:val="0"/>
        <w:bidi w:val="0"/>
        <w:adjustRightInd w:val="0"/>
        <w:snapToGrid/>
        <w:spacing w:after="0" w:line="312" w:lineRule="auto"/>
        <w:ind w:right="85" w:firstLine="471"/>
        <w:textAlignment w:val="auto"/>
        <w:rPr>
          <w:rFonts w:hint="eastAsia" w:ascii="宋体" w:hAnsi="宋体" w:cs="宋体"/>
          <w:bCs/>
          <w:color w:val="auto"/>
          <w:sz w:val="21"/>
          <w:szCs w:val="21"/>
          <w:lang w:val="zh-CN"/>
        </w:rPr>
      </w:pPr>
      <w:r>
        <w:rPr>
          <w:rFonts w:hint="eastAsia" w:ascii="宋体" w:hAnsi="宋体" w:cs="宋体"/>
          <w:bCs/>
          <w:color w:val="auto"/>
          <w:sz w:val="21"/>
          <w:szCs w:val="21"/>
          <w:lang w:val="zh-CN"/>
        </w:rPr>
        <w:t>（一）商务与技术文件中的客观分由评标委员独立打分，客观分打分应一致，客观分打分不一致时，采购人及采购代理机构可以提示评审委员会复核或书面说明理由；其余在规定的分值内单独评定打分。</w:t>
      </w:r>
    </w:p>
    <w:p w14:paraId="7AC65946">
      <w:pPr>
        <w:keepNext w:val="0"/>
        <w:keepLines w:val="0"/>
        <w:pageBreakBefore w:val="0"/>
        <w:widowControl w:val="0"/>
        <w:tabs>
          <w:tab w:val="left" w:pos="426"/>
        </w:tabs>
        <w:kinsoku/>
        <w:wordWrap/>
        <w:overflowPunct/>
        <w:topLinePunct w:val="0"/>
        <w:bidi w:val="0"/>
        <w:snapToGrid/>
        <w:spacing w:after="0" w:line="312" w:lineRule="auto"/>
        <w:ind w:firstLine="420" w:firstLineChars="200"/>
        <w:textAlignment w:val="auto"/>
        <w:rPr>
          <w:rFonts w:hint="eastAsia" w:ascii="宋体" w:hAnsi="宋体" w:cs="宋体"/>
          <w:bCs/>
          <w:color w:val="auto"/>
          <w:sz w:val="21"/>
          <w:szCs w:val="21"/>
          <w:lang w:val="zh-CN"/>
        </w:rPr>
      </w:pPr>
      <w:r>
        <w:rPr>
          <w:rFonts w:hint="eastAsia" w:ascii="宋体" w:hAnsi="宋体" w:cs="宋体"/>
          <w:bCs/>
          <w:color w:val="auto"/>
          <w:sz w:val="21"/>
          <w:szCs w:val="21"/>
          <w:lang w:val="zh-CN"/>
        </w:rPr>
        <w:t>（二）各投标人商务与技术文件</w:t>
      </w:r>
      <w:r>
        <w:rPr>
          <w:rFonts w:hint="eastAsia" w:ascii="宋体" w:hAnsi="宋体" w:cs="宋体"/>
          <w:color w:val="auto"/>
          <w:kern w:val="0"/>
          <w:sz w:val="21"/>
          <w:szCs w:val="21"/>
          <w:lang w:val="zh-CN"/>
        </w:rPr>
        <w:t>得分按照评标委员会成</w:t>
      </w:r>
      <w:r>
        <w:rPr>
          <w:rFonts w:hint="eastAsia" w:ascii="宋体" w:hAnsi="宋体" w:cs="宋体"/>
          <w:bCs/>
          <w:color w:val="auto"/>
          <w:sz w:val="21"/>
          <w:szCs w:val="21"/>
          <w:lang w:val="zh-CN"/>
        </w:rPr>
        <w:t>员的独立评分结果汇总后的算术平均分计算（得分保留2位小数,小数点后第三位四舍五入），计算公式为：</w:t>
      </w:r>
    </w:p>
    <w:p w14:paraId="265BDD33">
      <w:pPr>
        <w:keepNext w:val="0"/>
        <w:keepLines w:val="0"/>
        <w:pageBreakBefore w:val="0"/>
        <w:widowControl w:val="0"/>
        <w:kinsoku/>
        <w:wordWrap/>
        <w:overflowPunct/>
        <w:topLinePunct w:val="0"/>
        <w:autoSpaceDE w:val="0"/>
        <w:autoSpaceDN w:val="0"/>
        <w:bidi w:val="0"/>
        <w:adjustRightInd w:val="0"/>
        <w:snapToGrid/>
        <w:spacing w:after="0" w:line="312" w:lineRule="auto"/>
        <w:ind w:right="84" w:firstLine="472"/>
        <w:textAlignment w:val="auto"/>
        <w:rPr>
          <w:rFonts w:hint="eastAsia" w:ascii="宋体" w:hAnsi="宋体" w:cs="宋体"/>
          <w:bCs/>
          <w:color w:val="auto"/>
          <w:sz w:val="21"/>
          <w:szCs w:val="21"/>
          <w:shd w:val="clear" w:color="FFFFFF" w:fill="D9D9D9"/>
          <w:lang w:val="zh-CN"/>
        </w:rPr>
      </w:pPr>
      <w:r>
        <w:rPr>
          <w:rFonts w:hint="eastAsia" w:ascii="宋体" w:hAnsi="宋体" w:cs="宋体"/>
          <w:color w:val="auto"/>
          <w:sz w:val="21"/>
          <w:szCs w:val="21"/>
        </w:rPr>
        <w:t>商务与技术文件得分</w:t>
      </w:r>
      <w:r>
        <w:rPr>
          <w:rFonts w:hint="eastAsia" w:ascii="宋体" w:hAnsi="宋体" w:cs="宋体"/>
          <w:bCs/>
          <w:color w:val="auto"/>
          <w:sz w:val="21"/>
          <w:szCs w:val="21"/>
          <w:lang w:val="zh-CN"/>
        </w:rPr>
        <w:t>=评标委员会所有成员评分合计数/评标委员会组成人员数。</w:t>
      </w:r>
    </w:p>
    <w:p w14:paraId="57D454A9">
      <w:pPr>
        <w:keepNext w:val="0"/>
        <w:keepLines w:val="0"/>
        <w:pageBreakBefore w:val="0"/>
        <w:widowControl w:val="0"/>
        <w:kinsoku/>
        <w:wordWrap/>
        <w:overflowPunct/>
        <w:topLinePunct w:val="0"/>
        <w:autoSpaceDE w:val="0"/>
        <w:autoSpaceDN w:val="0"/>
        <w:bidi w:val="0"/>
        <w:adjustRightInd w:val="0"/>
        <w:snapToGrid/>
        <w:spacing w:after="0" w:line="312" w:lineRule="auto"/>
        <w:ind w:firstLine="420" w:firstLineChars="200"/>
        <w:textAlignment w:val="auto"/>
        <w:rPr>
          <w:rFonts w:hint="eastAsia" w:ascii="宋体" w:hAnsi="宋体" w:cs="宋体"/>
          <w:bCs/>
          <w:color w:val="auto"/>
          <w:sz w:val="21"/>
          <w:szCs w:val="21"/>
          <w:lang w:val="zh-CN" w:eastAsia="zh-CN"/>
        </w:rPr>
      </w:pPr>
      <w:r>
        <w:rPr>
          <w:rFonts w:hint="eastAsia" w:ascii="宋体" w:hAnsi="宋体" w:cs="宋体"/>
          <w:bCs/>
          <w:color w:val="auto"/>
          <w:sz w:val="21"/>
          <w:szCs w:val="21"/>
          <w:lang w:val="zh-CN"/>
        </w:rPr>
        <w:t>（三）</w:t>
      </w:r>
      <w:r>
        <w:rPr>
          <w:rFonts w:hint="eastAsia" w:ascii="宋体" w:hAnsi="宋体" w:cs="宋体"/>
          <w:bCs/>
          <w:color w:val="auto"/>
          <w:sz w:val="21"/>
          <w:szCs w:val="21"/>
          <w:lang w:val="zh-CN" w:eastAsia="zh-CN"/>
        </w:rPr>
        <w:t>根据《关于推动解决政府采购异常低价问题的通知》</w:t>
      </w:r>
      <w:r>
        <w:rPr>
          <w:rFonts w:hint="eastAsia" w:ascii="宋体" w:hAnsi="宋体" w:cs="宋体"/>
          <w:bCs/>
          <w:color w:val="auto"/>
          <w:sz w:val="21"/>
          <w:szCs w:val="21"/>
          <w:lang w:val="zh-CN"/>
        </w:rPr>
        <w:t>【财库〔2026〕2号】</w:t>
      </w:r>
      <w:r>
        <w:rPr>
          <w:rFonts w:hint="eastAsia" w:ascii="宋体" w:hAnsi="宋体" w:cs="宋体"/>
          <w:bCs/>
          <w:color w:val="auto"/>
          <w:sz w:val="21"/>
          <w:szCs w:val="21"/>
          <w:lang w:val="zh-CN" w:eastAsia="zh-CN"/>
        </w:rPr>
        <w:t>文件要求，强化政府采购异常低价审查。</w:t>
      </w:r>
    </w:p>
    <w:p w14:paraId="408E8E2F">
      <w:pPr>
        <w:keepNext w:val="0"/>
        <w:keepLines w:val="0"/>
        <w:pageBreakBefore w:val="0"/>
        <w:widowControl w:val="0"/>
        <w:kinsoku/>
        <w:wordWrap/>
        <w:overflowPunct/>
        <w:topLinePunct w:val="0"/>
        <w:autoSpaceDE w:val="0"/>
        <w:autoSpaceDN w:val="0"/>
        <w:bidi w:val="0"/>
        <w:adjustRightInd w:val="0"/>
        <w:snapToGrid/>
        <w:spacing w:after="0" w:line="312" w:lineRule="auto"/>
        <w:ind w:firstLine="420" w:firstLineChars="200"/>
        <w:textAlignment w:val="auto"/>
        <w:rPr>
          <w:rFonts w:hint="eastAsia" w:ascii="宋体" w:hAnsi="宋体" w:cs="宋体"/>
          <w:bCs/>
          <w:color w:val="auto"/>
          <w:sz w:val="21"/>
          <w:szCs w:val="21"/>
          <w:lang w:val="zh-CN" w:eastAsia="zh-CN"/>
        </w:rPr>
      </w:pPr>
      <w:r>
        <w:rPr>
          <w:rFonts w:hint="eastAsia" w:ascii="宋体" w:hAnsi="宋体" w:cs="宋体"/>
          <w:bCs/>
          <w:color w:val="auto"/>
          <w:sz w:val="21"/>
          <w:szCs w:val="21"/>
          <w:lang w:val="zh-CN" w:eastAsia="zh-CN"/>
        </w:rPr>
        <w:t xml:space="preserve">出现下列情形之一的，评审委员会应当启动异常低价投标（响应）审查程序： </w:t>
      </w:r>
    </w:p>
    <w:p w14:paraId="2A3F4BBA">
      <w:pPr>
        <w:keepNext w:val="0"/>
        <w:keepLines w:val="0"/>
        <w:pageBreakBefore w:val="0"/>
        <w:widowControl w:val="0"/>
        <w:kinsoku/>
        <w:wordWrap/>
        <w:overflowPunct/>
        <w:topLinePunct w:val="0"/>
        <w:autoSpaceDE w:val="0"/>
        <w:autoSpaceDN w:val="0"/>
        <w:bidi w:val="0"/>
        <w:adjustRightInd w:val="0"/>
        <w:snapToGrid/>
        <w:spacing w:after="0" w:line="312" w:lineRule="auto"/>
        <w:ind w:firstLine="420" w:firstLineChars="200"/>
        <w:textAlignment w:val="auto"/>
        <w:rPr>
          <w:rFonts w:hint="eastAsia" w:ascii="宋体" w:hAnsi="宋体" w:cs="宋体"/>
          <w:bCs/>
          <w:color w:val="auto"/>
          <w:sz w:val="21"/>
          <w:szCs w:val="21"/>
          <w:lang w:val="zh-CN" w:eastAsia="zh-CN"/>
        </w:rPr>
      </w:pPr>
      <w:r>
        <w:rPr>
          <w:rFonts w:hint="eastAsia" w:ascii="宋体" w:hAnsi="宋体" w:cs="宋体"/>
          <w:bCs/>
          <w:color w:val="auto"/>
          <w:sz w:val="21"/>
          <w:szCs w:val="21"/>
          <w:lang w:val="zh-CN" w:eastAsia="zh-CN"/>
        </w:rPr>
        <w:t xml:space="preserve">1.投标（响应）报价低于全部通过符合性审查供应商投标（响应）报价平均值50%的，即投标（响应）报价&lt;全部通过符合性审查供应商投标（响应）报价平均值×50%； </w:t>
      </w:r>
    </w:p>
    <w:p w14:paraId="26A88C7F">
      <w:pPr>
        <w:keepNext w:val="0"/>
        <w:keepLines w:val="0"/>
        <w:pageBreakBefore w:val="0"/>
        <w:widowControl w:val="0"/>
        <w:kinsoku/>
        <w:wordWrap/>
        <w:overflowPunct/>
        <w:topLinePunct w:val="0"/>
        <w:autoSpaceDE w:val="0"/>
        <w:autoSpaceDN w:val="0"/>
        <w:bidi w:val="0"/>
        <w:adjustRightInd w:val="0"/>
        <w:snapToGrid/>
        <w:spacing w:after="0" w:line="312" w:lineRule="auto"/>
        <w:ind w:firstLine="420" w:firstLineChars="200"/>
        <w:textAlignment w:val="auto"/>
        <w:rPr>
          <w:rFonts w:hint="eastAsia" w:ascii="宋体" w:hAnsi="宋体" w:cs="宋体"/>
          <w:bCs/>
          <w:color w:val="auto"/>
          <w:sz w:val="21"/>
          <w:szCs w:val="21"/>
          <w:lang w:val="zh-CN" w:eastAsia="zh-CN"/>
        </w:rPr>
      </w:pPr>
      <w:r>
        <w:rPr>
          <w:rFonts w:hint="eastAsia" w:ascii="宋体" w:hAnsi="宋体" w:cs="宋体"/>
          <w:bCs/>
          <w:color w:val="auto"/>
          <w:sz w:val="21"/>
          <w:szCs w:val="21"/>
          <w:lang w:val="zh-CN" w:eastAsia="zh-CN"/>
        </w:rPr>
        <w:t xml:space="preserve">2.投标（响应）报价低于通过符合性审查的次低报价供应商投标（响应）报价50%的，即投标（响应）报价&lt;通过符合性审查的次低报价供应商投标（响应）报价×50%； </w:t>
      </w:r>
    </w:p>
    <w:p w14:paraId="42F85766">
      <w:pPr>
        <w:keepNext w:val="0"/>
        <w:keepLines w:val="0"/>
        <w:pageBreakBefore w:val="0"/>
        <w:widowControl w:val="0"/>
        <w:kinsoku/>
        <w:wordWrap/>
        <w:overflowPunct/>
        <w:topLinePunct w:val="0"/>
        <w:autoSpaceDE w:val="0"/>
        <w:autoSpaceDN w:val="0"/>
        <w:bidi w:val="0"/>
        <w:adjustRightInd w:val="0"/>
        <w:snapToGrid/>
        <w:spacing w:after="0" w:line="312" w:lineRule="auto"/>
        <w:ind w:firstLine="420" w:firstLineChars="200"/>
        <w:textAlignment w:val="auto"/>
        <w:rPr>
          <w:rFonts w:hint="eastAsia" w:ascii="宋体" w:hAnsi="宋体" w:cs="宋体"/>
          <w:bCs/>
          <w:color w:val="auto"/>
          <w:sz w:val="21"/>
          <w:szCs w:val="21"/>
          <w:lang w:val="zh-CN" w:eastAsia="zh-CN"/>
        </w:rPr>
      </w:pPr>
      <w:r>
        <w:rPr>
          <w:rFonts w:hint="eastAsia" w:ascii="宋体" w:hAnsi="宋体" w:cs="宋体"/>
          <w:bCs/>
          <w:color w:val="auto"/>
          <w:sz w:val="21"/>
          <w:szCs w:val="21"/>
          <w:lang w:val="zh-CN" w:eastAsia="zh-CN"/>
        </w:rPr>
        <w:t xml:space="preserve">3.投标（响应）报价低于采购项目最高限价45%的，即投标（响应）报价&lt;采购项目最高限价×45%； </w:t>
      </w:r>
    </w:p>
    <w:p w14:paraId="693D7964">
      <w:pPr>
        <w:keepNext w:val="0"/>
        <w:keepLines w:val="0"/>
        <w:pageBreakBefore w:val="0"/>
        <w:widowControl w:val="0"/>
        <w:kinsoku/>
        <w:wordWrap/>
        <w:overflowPunct/>
        <w:topLinePunct w:val="0"/>
        <w:autoSpaceDE w:val="0"/>
        <w:autoSpaceDN w:val="0"/>
        <w:bidi w:val="0"/>
        <w:adjustRightInd w:val="0"/>
        <w:snapToGrid/>
        <w:spacing w:after="0" w:line="312" w:lineRule="auto"/>
        <w:ind w:firstLine="420" w:firstLineChars="200"/>
        <w:textAlignment w:val="auto"/>
        <w:rPr>
          <w:rFonts w:hint="eastAsia" w:ascii="宋体" w:hAnsi="宋体" w:cs="宋体"/>
          <w:bCs/>
          <w:color w:val="auto"/>
          <w:sz w:val="21"/>
          <w:szCs w:val="21"/>
          <w:lang w:val="zh-CN" w:eastAsia="zh-CN"/>
        </w:rPr>
      </w:pPr>
      <w:r>
        <w:rPr>
          <w:rFonts w:hint="eastAsia" w:ascii="宋体" w:hAnsi="宋体" w:cs="宋体"/>
          <w:bCs/>
          <w:color w:val="auto"/>
          <w:sz w:val="21"/>
          <w:szCs w:val="21"/>
          <w:lang w:val="zh-CN" w:eastAsia="zh-CN"/>
        </w:rPr>
        <w:t xml:space="preserve">4.评审委员会基于专业判断，认为供应商报价过低，有可能影响产品质量或者不能诚信履约的其他情形。 </w:t>
      </w:r>
    </w:p>
    <w:p w14:paraId="53931116">
      <w:pPr>
        <w:keepNext w:val="0"/>
        <w:keepLines w:val="0"/>
        <w:pageBreakBefore w:val="0"/>
        <w:widowControl w:val="0"/>
        <w:kinsoku/>
        <w:wordWrap/>
        <w:overflowPunct/>
        <w:topLinePunct w:val="0"/>
        <w:autoSpaceDE w:val="0"/>
        <w:autoSpaceDN w:val="0"/>
        <w:bidi w:val="0"/>
        <w:adjustRightInd w:val="0"/>
        <w:snapToGrid/>
        <w:spacing w:after="0" w:line="312" w:lineRule="auto"/>
        <w:ind w:firstLine="420" w:firstLineChars="200"/>
        <w:textAlignment w:val="auto"/>
        <w:rPr>
          <w:rFonts w:hint="eastAsia" w:ascii="宋体" w:hAnsi="宋体" w:cs="宋体"/>
          <w:bCs/>
          <w:color w:val="auto"/>
          <w:sz w:val="21"/>
          <w:szCs w:val="21"/>
          <w:lang w:val="zh-CN" w:eastAsia="zh-CN"/>
        </w:rPr>
      </w:pPr>
      <w:r>
        <w:rPr>
          <w:rFonts w:hint="eastAsia" w:ascii="宋体" w:hAnsi="宋体" w:cs="宋体"/>
          <w:bCs/>
          <w:color w:val="auto"/>
          <w:sz w:val="21"/>
          <w:szCs w:val="21"/>
          <w:lang w:val="zh-CN" w:eastAsia="zh-CN"/>
        </w:rPr>
        <w:t xml:space="preserve">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4E7AA1C2">
      <w:pPr>
        <w:keepNext w:val="0"/>
        <w:keepLines w:val="0"/>
        <w:pageBreakBefore w:val="0"/>
        <w:widowControl w:val="0"/>
        <w:kinsoku/>
        <w:wordWrap/>
        <w:overflowPunct/>
        <w:topLinePunct w:val="0"/>
        <w:autoSpaceDE w:val="0"/>
        <w:autoSpaceDN w:val="0"/>
        <w:bidi w:val="0"/>
        <w:adjustRightInd w:val="0"/>
        <w:snapToGrid/>
        <w:spacing w:after="0" w:line="312" w:lineRule="auto"/>
        <w:ind w:firstLine="420" w:firstLineChars="200"/>
        <w:textAlignment w:val="auto"/>
        <w:rPr>
          <w:rFonts w:hint="eastAsia" w:ascii="宋体" w:hAnsi="宋体" w:cs="宋体"/>
          <w:bCs/>
          <w:color w:val="auto"/>
          <w:sz w:val="21"/>
          <w:szCs w:val="21"/>
          <w:lang w:val="zh-CN" w:eastAsia="zh-CN"/>
        </w:rPr>
      </w:pPr>
      <w:r>
        <w:rPr>
          <w:rFonts w:hint="eastAsia" w:ascii="宋体" w:hAnsi="宋体" w:cs="宋体"/>
          <w:bCs/>
          <w:color w:val="auto"/>
          <w:sz w:val="21"/>
          <w:szCs w:val="21"/>
          <w:lang w:val="zh-CN" w:eastAsia="zh-CN"/>
        </w:rPr>
        <w:t xml:space="preserve">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48383DAB">
      <w:pPr>
        <w:keepNext w:val="0"/>
        <w:keepLines w:val="0"/>
        <w:pageBreakBefore w:val="0"/>
        <w:widowControl w:val="0"/>
        <w:kinsoku/>
        <w:wordWrap/>
        <w:overflowPunct/>
        <w:topLinePunct w:val="0"/>
        <w:autoSpaceDE w:val="0"/>
        <w:autoSpaceDN w:val="0"/>
        <w:bidi w:val="0"/>
        <w:adjustRightInd w:val="0"/>
        <w:snapToGrid/>
        <w:spacing w:after="0" w:line="312" w:lineRule="auto"/>
        <w:ind w:firstLine="420" w:firstLineChars="200"/>
        <w:textAlignment w:val="auto"/>
        <w:rPr>
          <w:rFonts w:hint="eastAsia" w:ascii="宋体" w:hAnsi="宋体" w:cs="宋体"/>
          <w:bCs/>
          <w:color w:val="auto"/>
          <w:sz w:val="21"/>
          <w:szCs w:val="21"/>
          <w:lang w:val="zh-CN" w:eastAsia="zh-CN"/>
        </w:rPr>
      </w:pPr>
      <w:r>
        <w:rPr>
          <w:rFonts w:hint="eastAsia" w:ascii="宋体" w:hAnsi="宋体" w:cs="宋体"/>
          <w:bCs/>
          <w:color w:val="auto"/>
          <w:sz w:val="21"/>
          <w:szCs w:val="21"/>
          <w:lang w:val="zh-CN"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539B85D8">
      <w:pPr>
        <w:keepNext w:val="0"/>
        <w:keepLines w:val="0"/>
        <w:pageBreakBefore w:val="0"/>
        <w:widowControl w:val="0"/>
        <w:kinsoku/>
        <w:wordWrap/>
        <w:overflowPunct/>
        <w:topLinePunct w:val="0"/>
        <w:autoSpaceDE w:val="0"/>
        <w:autoSpaceDN w:val="0"/>
        <w:bidi w:val="0"/>
        <w:adjustRightInd w:val="0"/>
        <w:snapToGrid/>
        <w:spacing w:after="0" w:line="312" w:lineRule="auto"/>
        <w:ind w:firstLine="420" w:firstLineChars="200"/>
        <w:textAlignment w:val="auto"/>
        <w:rPr>
          <w:rFonts w:hint="eastAsia" w:ascii="宋体" w:hAnsi="宋体" w:cs="宋体"/>
          <w:bCs/>
          <w:color w:val="auto"/>
          <w:sz w:val="21"/>
          <w:szCs w:val="21"/>
          <w:lang w:val="zh-CN" w:eastAsia="zh-CN"/>
        </w:rPr>
      </w:pPr>
      <w:r>
        <w:rPr>
          <w:rFonts w:hint="eastAsia" w:ascii="宋体" w:hAnsi="宋体" w:cs="宋体"/>
          <w:bCs/>
          <w:color w:val="auto"/>
          <w:sz w:val="21"/>
          <w:szCs w:val="21"/>
          <w:lang w:val="zh-CN" w:eastAsia="zh-CN"/>
        </w:rPr>
        <w:t>异常低价投标（响应）审查的启动原因、审查意见和审查结果应当在评审报告中记录，并随供应商提供的相关书面说明及证明材料，以及评审委员会有关互联网浏览、查询历史一并归档。</w:t>
      </w:r>
    </w:p>
    <w:p w14:paraId="2D41B04A">
      <w:pPr>
        <w:keepNext w:val="0"/>
        <w:keepLines w:val="0"/>
        <w:pageBreakBefore w:val="0"/>
        <w:widowControl w:val="0"/>
        <w:kinsoku/>
        <w:wordWrap/>
        <w:overflowPunct/>
        <w:topLinePunct w:val="0"/>
        <w:autoSpaceDE w:val="0"/>
        <w:autoSpaceDN w:val="0"/>
        <w:bidi w:val="0"/>
        <w:adjustRightInd w:val="0"/>
        <w:snapToGrid/>
        <w:spacing w:after="0" w:line="312" w:lineRule="auto"/>
        <w:ind w:firstLine="420" w:firstLineChars="200"/>
        <w:textAlignment w:val="auto"/>
        <w:rPr>
          <w:rFonts w:hint="eastAsia" w:ascii="宋体" w:hAnsi="宋体" w:cs="宋体"/>
          <w:color w:val="auto"/>
          <w:sz w:val="21"/>
          <w:szCs w:val="21"/>
          <w:lang w:val="zh-CN"/>
        </w:rPr>
      </w:pPr>
      <w:r>
        <w:rPr>
          <w:rFonts w:hint="eastAsia" w:ascii="宋体" w:hAnsi="宋体" w:cs="宋体"/>
          <w:bCs/>
          <w:color w:val="auto"/>
          <w:sz w:val="21"/>
          <w:szCs w:val="21"/>
          <w:lang w:val="zh-CN"/>
        </w:rPr>
        <w:t>（</w:t>
      </w:r>
      <w:r>
        <w:rPr>
          <w:rFonts w:hint="eastAsia" w:ascii="宋体" w:hAnsi="宋体" w:cs="宋体"/>
          <w:bCs/>
          <w:color w:val="auto"/>
          <w:sz w:val="21"/>
          <w:szCs w:val="21"/>
          <w:lang w:val="en-US" w:eastAsia="zh-CN"/>
        </w:rPr>
        <w:t>四</w:t>
      </w:r>
      <w:r>
        <w:rPr>
          <w:rFonts w:hint="eastAsia" w:ascii="宋体" w:hAnsi="宋体" w:cs="宋体"/>
          <w:bCs/>
          <w:color w:val="auto"/>
          <w:sz w:val="21"/>
          <w:szCs w:val="21"/>
          <w:lang w:val="zh-CN"/>
        </w:rPr>
        <w:t>）</w:t>
      </w:r>
      <w:r>
        <w:rPr>
          <w:rFonts w:hint="eastAsia" w:ascii="宋体" w:hAnsi="宋体" w:cs="宋体"/>
          <w:color w:val="auto"/>
          <w:sz w:val="21"/>
          <w:szCs w:val="21"/>
          <w:lang w:val="zh-CN"/>
        </w:rPr>
        <w:t>投标报价得分采用低价优先法计算，即满足招标文件要求且投标价格最低的投标报价为评标基准价，其报价得满分。其他投标人的投标报价得分按下列公式计算：</w:t>
      </w:r>
    </w:p>
    <w:p w14:paraId="4C14DAA7">
      <w:pPr>
        <w:keepNext w:val="0"/>
        <w:keepLines w:val="0"/>
        <w:pageBreakBefore w:val="0"/>
        <w:widowControl w:val="0"/>
        <w:kinsoku/>
        <w:wordWrap/>
        <w:overflowPunct/>
        <w:topLinePunct w:val="0"/>
        <w:autoSpaceDE w:val="0"/>
        <w:autoSpaceDN w:val="0"/>
        <w:bidi w:val="0"/>
        <w:adjustRightInd w:val="0"/>
        <w:snapToGrid/>
        <w:spacing w:after="0" w:line="312" w:lineRule="auto"/>
        <w:ind w:right="84" w:firstLine="472"/>
        <w:textAlignment w:val="auto"/>
        <w:rPr>
          <w:rFonts w:hint="eastAsia" w:ascii="宋体" w:hAnsi="宋体" w:cs="宋体"/>
          <w:bCs/>
          <w:color w:val="auto"/>
          <w:sz w:val="21"/>
          <w:szCs w:val="21"/>
          <w:u w:val="single"/>
          <w:lang w:val="zh-CN"/>
        </w:rPr>
      </w:pPr>
      <w:r>
        <w:rPr>
          <w:rFonts w:hint="eastAsia" w:ascii="宋体" w:hAnsi="宋体" w:cs="宋体"/>
          <w:bCs/>
          <w:color w:val="auto"/>
          <w:sz w:val="21"/>
          <w:szCs w:val="21"/>
          <w:u w:val="single"/>
          <w:lang w:val="zh-CN"/>
        </w:rPr>
        <w:t>投标报价得分=(评标基准价／投标报价)×</w:t>
      </w:r>
      <w:r>
        <w:rPr>
          <w:rFonts w:hint="eastAsia" w:ascii="宋体" w:hAnsi="宋体" w:cs="宋体"/>
          <w:bCs/>
          <w:color w:val="auto"/>
          <w:sz w:val="21"/>
          <w:szCs w:val="21"/>
          <w:u w:val="single"/>
        </w:rPr>
        <w:t>30</w:t>
      </w:r>
      <w:r>
        <w:rPr>
          <w:rFonts w:hint="eastAsia" w:ascii="宋体" w:hAnsi="宋体" w:cs="宋体"/>
          <w:bCs/>
          <w:color w:val="auto"/>
          <w:sz w:val="21"/>
          <w:szCs w:val="21"/>
          <w:u w:val="single"/>
          <w:lang w:val="zh-CN"/>
        </w:rPr>
        <w:t>%×100（得分保留2位小数,小数点后第三位四舍五入） 。</w:t>
      </w:r>
    </w:p>
    <w:p w14:paraId="5715155A">
      <w:pPr>
        <w:keepNext w:val="0"/>
        <w:keepLines w:val="0"/>
        <w:pageBreakBefore w:val="0"/>
        <w:widowControl w:val="0"/>
        <w:kinsoku/>
        <w:wordWrap/>
        <w:overflowPunct/>
        <w:topLinePunct w:val="0"/>
        <w:autoSpaceDE w:val="0"/>
        <w:autoSpaceDN w:val="0"/>
        <w:bidi w:val="0"/>
        <w:adjustRightInd w:val="0"/>
        <w:snapToGrid/>
        <w:spacing w:after="0" w:line="312" w:lineRule="auto"/>
        <w:ind w:firstLine="422" w:firstLineChars="200"/>
        <w:textAlignment w:val="auto"/>
        <w:rPr>
          <w:rFonts w:hint="eastAsia" w:ascii="宋体" w:hAnsi="宋体" w:cs="宋体"/>
          <w:color w:val="auto"/>
          <w:sz w:val="21"/>
          <w:szCs w:val="21"/>
          <w:lang w:val="zh-CN"/>
        </w:rPr>
      </w:pPr>
      <w:r>
        <w:rPr>
          <w:rFonts w:hint="eastAsia" w:ascii="宋体" w:hAnsi="宋体" w:cs="宋体"/>
          <w:b/>
          <w:bCs/>
          <w:color w:val="auto"/>
          <w:sz w:val="21"/>
          <w:szCs w:val="21"/>
          <w:lang w:val="zh-CN"/>
        </w:rPr>
        <w:t>注：</w:t>
      </w:r>
      <w:r>
        <w:rPr>
          <w:rFonts w:hint="eastAsia" w:ascii="宋体" w:hAnsi="宋体" w:cs="宋体"/>
          <w:color w:val="auto"/>
          <w:sz w:val="21"/>
          <w:szCs w:val="21"/>
          <w:lang w:val="zh-CN"/>
        </w:rPr>
        <w:t>得分以系统计算为准，保留2位小数。</w:t>
      </w:r>
    </w:p>
    <w:p w14:paraId="5EE111FC">
      <w:pPr>
        <w:keepNext w:val="0"/>
        <w:keepLines w:val="0"/>
        <w:pageBreakBefore w:val="0"/>
        <w:widowControl w:val="0"/>
        <w:kinsoku/>
        <w:wordWrap/>
        <w:overflowPunct/>
        <w:topLinePunct w:val="0"/>
        <w:autoSpaceDE w:val="0"/>
        <w:autoSpaceDN w:val="0"/>
        <w:bidi w:val="0"/>
        <w:adjustRightInd w:val="0"/>
        <w:snapToGrid/>
        <w:spacing w:after="0" w:line="312" w:lineRule="auto"/>
        <w:ind w:right="85" w:firstLine="471"/>
        <w:textAlignment w:val="auto"/>
        <w:rPr>
          <w:rFonts w:hint="eastAsia" w:ascii="宋体" w:hAnsi="宋体" w:cs="宋体"/>
          <w:bCs/>
          <w:color w:val="auto"/>
          <w:sz w:val="21"/>
          <w:szCs w:val="21"/>
          <w:lang w:val="zh-CN"/>
        </w:rPr>
      </w:pPr>
      <w:r>
        <w:rPr>
          <w:rFonts w:hint="eastAsia" w:ascii="宋体" w:hAnsi="宋体" w:cs="宋体"/>
          <w:bCs/>
          <w:color w:val="auto"/>
          <w:sz w:val="21"/>
          <w:szCs w:val="21"/>
          <w:lang w:val="zh-CN"/>
        </w:rPr>
        <w:t>（</w:t>
      </w:r>
      <w:r>
        <w:rPr>
          <w:rFonts w:hint="eastAsia" w:ascii="宋体" w:hAnsi="宋体" w:cs="宋体"/>
          <w:bCs/>
          <w:color w:val="auto"/>
          <w:sz w:val="21"/>
          <w:szCs w:val="21"/>
          <w:lang w:val="en-US" w:eastAsia="zh-CN"/>
        </w:rPr>
        <w:t>五</w:t>
      </w:r>
      <w:r>
        <w:rPr>
          <w:rFonts w:hint="eastAsia" w:ascii="宋体" w:hAnsi="宋体" w:cs="宋体"/>
          <w:bCs/>
          <w:color w:val="auto"/>
          <w:sz w:val="21"/>
          <w:szCs w:val="21"/>
          <w:lang w:val="zh-CN"/>
        </w:rPr>
        <w:t>）政府采购政策及优惠：</w:t>
      </w:r>
    </w:p>
    <w:p w14:paraId="7B7BC6C9">
      <w:pPr>
        <w:keepNext w:val="0"/>
        <w:keepLines w:val="0"/>
        <w:pageBreakBefore w:val="0"/>
        <w:widowControl w:val="0"/>
        <w:kinsoku/>
        <w:wordWrap/>
        <w:overflowPunct/>
        <w:topLinePunct w:val="0"/>
        <w:autoSpaceDE w:val="0"/>
        <w:autoSpaceDN w:val="0"/>
        <w:bidi w:val="0"/>
        <w:adjustRightInd w:val="0"/>
        <w:snapToGrid/>
        <w:spacing w:after="0" w:line="312" w:lineRule="auto"/>
        <w:ind w:right="85" w:firstLine="471"/>
        <w:textAlignment w:val="auto"/>
        <w:rPr>
          <w:rFonts w:hint="eastAsia" w:ascii="宋体" w:hAnsi="宋体" w:cs="宋体"/>
          <w:bCs/>
          <w:color w:val="auto"/>
          <w:sz w:val="21"/>
          <w:szCs w:val="21"/>
          <w:lang w:val="zh-CN"/>
        </w:rPr>
      </w:pPr>
      <w:r>
        <w:rPr>
          <w:rFonts w:hint="eastAsia" w:ascii="宋体" w:hAnsi="宋体" w:cs="宋体"/>
          <w:bCs/>
          <w:color w:val="auto"/>
          <w:sz w:val="21"/>
          <w:szCs w:val="21"/>
        </w:rPr>
        <w:t>1、</w:t>
      </w:r>
      <w:r>
        <w:rPr>
          <w:rFonts w:hint="eastAsia" w:ascii="宋体" w:hAnsi="宋体" w:cs="宋体"/>
          <w:bCs/>
          <w:color w:val="auto"/>
          <w:sz w:val="21"/>
          <w:szCs w:val="21"/>
          <w:lang w:val="en-US" w:eastAsia="zh-CN"/>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优先采购向我国企业转让技术、与我国企业签订消化吸收再创新方案的供应商的进口产品。</w:t>
      </w:r>
    </w:p>
    <w:p w14:paraId="56860FD8">
      <w:pPr>
        <w:keepNext w:val="0"/>
        <w:keepLines w:val="0"/>
        <w:pageBreakBefore w:val="0"/>
        <w:widowControl w:val="0"/>
        <w:kinsoku/>
        <w:wordWrap/>
        <w:overflowPunct/>
        <w:topLinePunct w:val="0"/>
        <w:autoSpaceDE w:val="0"/>
        <w:autoSpaceDN w:val="0"/>
        <w:bidi w:val="0"/>
        <w:adjustRightInd w:val="0"/>
        <w:snapToGrid/>
        <w:spacing w:after="0" w:line="312" w:lineRule="auto"/>
        <w:ind w:right="85" w:firstLine="471"/>
        <w:textAlignment w:val="auto"/>
        <w:rPr>
          <w:rFonts w:hint="eastAsia" w:ascii="宋体" w:hAnsi="宋体" w:cs="宋体"/>
          <w:bCs/>
          <w:color w:val="auto"/>
          <w:sz w:val="21"/>
          <w:szCs w:val="21"/>
          <w:lang w:val="zh-CN"/>
        </w:rPr>
      </w:pPr>
      <w:r>
        <w:rPr>
          <w:rFonts w:hint="eastAsia" w:ascii="宋体" w:hAnsi="宋体" w:cs="宋体"/>
          <w:bCs/>
          <w:color w:val="auto"/>
          <w:sz w:val="21"/>
          <w:szCs w:val="21"/>
        </w:rPr>
        <w:t>2、</w:t>
      </w:r>
      <w:r>
        <w:rPr>
          <w:rFonts w:hint="eastAsia" w:ascii="宋体" w:hAnsi="宋体" w:cs="宋体"/>
          <w:bCs/>
          <w:color w:val="auto"/>
          <w:sz w:val="21"/>
          <w:szCs w:val="21"/>
          <w:lang w:val="zh-CN"/>
        </w:rPr>
        <w:t>支持绿色发展</w:t>
      </w:r>
    </w:p>
    <w:p w14:paraId="701AB100">
      <w:pPr>
        <w:keepNext w:val="0"/>
        <w:keepLines w:val="0"/>
        <w:pageBreakBefore w:val="0"/>
        <w:widowControl w:val="0"/>
        <w:kinsoku/>
        <w:wordWrap/>
        <w:overflowPunct/>
        <w:topLinePunct w:val="0"/>
        <w:autoSpaceDE w:val="0"/>
        <w:autoSpaceDN w:val="0"/>
        <w:bidi w:val="0"/>
        <w:adjustRightInd w:val="0"/>
        <w:snapToGrid/>
        <w:spacing w:after="0" w:line="312" w:lineRule="auto"/>
        <w:ind w:right="85" w:firstLine="471"/>
        <w:textAlignment w:val="auto"/>
        <w:rPr>
          <w:rFonts w:hint="eastAsia" w:ascii="宋体" w:hAnsi="宋体" w:cs="宋体"/>
          <w:bCs/>
          <w:color w:val="auto"/>
          <w:sz w:val="21"/>
          <w:szCs w:val="21"/>
          <w:lang w:val="zh-CN"/>
        </w:rPr>
      </w:pPr>
      <w:r>
        <w:rPr>
          <w:rFonts w:hint="eastAsia" w:ascii="宋体" w:hAnsi="宋体" w:cs="宋体"/>
          <w:bCs/>
          <w:color w:val="auto"/>
          <w:sz w:val="21"/>
          <w:szCs w:val="21"/>
          <w:lang w:val="zh-CN"/>
        </w:rPr>
        <w:t>2.1采购人拟采购的产品如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采购人拟采购的产品属于政府强制采购的节能产品品目清单范围的，投标人相应的投标产品未获得国家确定的认证机构出具的、处于有效期之内的节能产品认证证书的，投标无效。</w:t>
      </w:r>
    </w:p>
    <w:p w14:paraId="4B053D8B">
      <w:pPr>
        <w:keepNext w:val="0"/>
        <w:keepLines w:val="0"/>
        <w:pageBreakBefore w:val="0"/>
        <w:widowControl w:val="0"/>
        <w:kinsoku/>
        <w:wordWrap/>
        <w:overflowPunct/>
        <w:topLinePunct w:val="0"/>
        <w:autoSpaceDE w:val="0"/>
        <w:autoSpaceDN w:val="0"/>
        <w:bidi w:val="0"/>
        <w:adjustRightInd w:val="0"/>
        <w:snapToGrid/>
        <w:spacing w:after="0" w:line="312" w:lineRule="auto"/>
        <w:ind w:right="85" w:firstLine="471"/>
        <w:textAlignment w:val="auto"/>
        <w:rPr>
          <w:rFonts w:hint="eastAsia" w:ascii="宋体" w:hAnsi="宋体" w:cs="宋体"/>
          <w:bCs/>
          <w:color w:val="auto"/>
          <w:sz w:val="21"/>
          <w:szCs w:val="21"/>
          <w:lang w:val="zh-CN"/>
        </w:rPr>
      </w:pPr>
      <w:r>
        <w:rPr>
          <w:rFonts w:hint="eastAsia" w:ascii="宋体" w:hAnsi="宋体" w:cs="宋体"/>
          <w:bCs/>
          <w:color w:val="auto"/>
          <w:sz w:val="21"/>
          <w:szCs w:val="21"/>
          <w:lang w:val="zh-CN"/>
        </w:rPr>
        <w:t>2.2 纳入政府采购管理的修缮、装修类项目采购建材的，鼓励采购单位将绿色建材性能、指标等作为实质性条件纳入采购文件和合同，具体性能指标要求参考相关绿色建材政府采购需求标准。</w:t>
      </w:r>
    </w:p>
    <w:p w14:paraId="2316D0BE">
      <w:pPr>
        <w:keepNext w:val="0"/>
        <w:keepLines w:val="0"/>
        <w:pageBreakBefore w:val="0"/>
        <w:widowControl w:val="0"/>
        <w:kinsoku/>
        <w:wordWrap/>
        <w:overflowPunct/>
        <w:topLinePunct w:val="0"/>
        <w:autoSpaceDE w:val="0"/>
        <w:autoSpaceDN w:val="0"/>
        <w:bidi w:val="0"/>
        <w:adjustRightInd w:val="0"/>
        <w:snapToGrid/>
        <w:spacing w:after="0" w:line="312" w:lineRule="auto"/>
        <w:ind w:right="85" w:firstLine="471"/>
        <w:textAlignment w:val="auto"/>
        <w:rPr>
          <w:rFonts w:hint="eastAsia" w:ascii="宋体" w:hAnsi="宋体" w:cs="宋体"/>
          <w:bCs/>
          <w:color w:val="auto"/>
          <w:sz w:val="21"/>
          <w:szCs w:val="21"/>
          <w:lang w:val="zh-CN"/>
        </w:rPr>
      </w:pPr>
      <w:r>
        <w:rPr>
          <w:rFonts w:hint="eastAsia" w:ascii="宋体" w:hAnsi="宋体" w:cs="宋体"/>
          <w:bCs/>
          <w:color w:val="auto"/>
          <w:sz w:val="21"/>
          <w:szCs w:val="21"/>
          <w:lang w:val="zh-CN"/>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bookmarkStart w:id="48" w:name="_Hlk107568539"/>
      <w:r>
        <w:rPr>
          <w:rFonts w:hint="eastAsia" w:ascii="宋体" w:hAnsi="宋体" w:cs="宋体"/>
          <w:bCs/>
          <w:color w:val="auto"/>
          <w:sz w:val="21"/>
          <w:szCs w:val="21"/>
          <w:lang w:val="zh-CN"/>
        </w:rPr>
        <w:t>鼓励采购单位优先采购秸秆环保板材等资源综合利用产品。鼓励采购单位优先采购绿色物流配送服务、提供新能源交通工具的租赁服务。</w:t>
      </w:r>
    </w:p>
    <w:p w14:paraId="3D52DB4C">
      <w:pPr>
        <w:keepNext w:val="0"/>
        <w:keepLines w:val="0"/>
        <w:pageBreakBefore w:val="0"/>
        <w:widowControl w:val="0"/>
        <w:kinsoku/>
        <w:wordWrap/>
        <w:overflowPunct/>
        <w:topLinePunct w:val="0"/>
        <w:autoSpaceDE w:val="0"/>
        <w:autoSpaceDN w:val="0"/>
        <w:bidi w:val="0"/>
        <w:adjustRightInd w:val="0"/>
        <w:snapToGrid/>
        <w:spacing w:after="0" w:line="312" w:lineRule="auto"/>
        <w:ind w:right="85" w:firstLine="471"/>
        <w:textAlignment w:val="auto"/>
        <w:rPr>
          <w:rFonts w:hint="eastAsia" w:ascii="宋体" w:hAnsi="宋体" w:cs="宋体"/>
          <w:bCs/>
          <w:color w:val="auto"/>
          <w:sz w:val="21"/>
          <w:szCs w:val="21"/>
          <w:lang w:val="zh-CN"/>
        </w:rPr>
      </w:pPr>
      <w:r>
        <w:rPr>
          <w:rFonts w:hint="eastAsia" w:ascii="宋体" w:hAnsi="宋体" w:cs="宋体"/>
          <w:bCs/>
          <w:color w:val="auto"/>
          <w:sz w:val="21"/>
          <w:szCs w:val="21"/>
          <w:lang w:val="zh-CN"/>
        </w:rPr>
        <w:t>2.4 鼓励供应商在参加政府采购过程中开展绿色设计、选择绿色材料、打造绿色制造工艺、开展绿色运输、做好废弃产品回收处理，实现产品全周期的绿色环保。鼓励采购单位对其提高预付款比例、免收履约保证金。</w:t>
      </w:r>
      <w:bookmarkEnd w:id="48"/>
    </w:p>
    <w:p w14:paraId="2EB3B705">
      <w:pPr>
        <w:keepNext w:val="0"/>
        <w:keepLines w:val="0"/>
        <w:pageBreakBefore w:val="0"/>
        <w:widowControl w:val="0"/>
        <w:kinsoku/>
        <w:wordWrap/>
        <w:overflowPunct/>
        <w:topLinePunct w:val="0"/>
        <w:autoSpaceDE w:val="0"/>
        <w:autoSpaceDN w:val="0"/>
        <w:bidi w:val="0"/>
        <w:adjustRightInd w:val="0"/>
        <w:snapToGrid/>
        <w:spacing w:after="0" w:line="312" w:lineRule="auto"/>
        <w:ind w:right="85" w:firstLine="471"/>
        <w:textAlignment w:val="auto"/>
        <w:rPr>
          <w:rFonts w:hint="eastAsia" w:ascii="宋体" w:hAnsi="宋体" w:cs="宋体"/>
          <w:bCs/>
          <w:color w:val="auto"/>
          <w:sz w:val="21"/>
          <w:szCs w:val="21"/>
          <w:lang w:val="zh-CN"/>
        </w:rPr>
      </w:pPr>
      <w:r>
        <w:rPr>
          <w:rFonts w:hint="eastAsia" w:ascii="宋体" w:hAnsi="宋体" w:cs="宋体"/>
          <w:bCs/>
          <w:color w:val="auto"/>
          <w:sz w:val="21"/>
          <w:szCs w:val="21"/>
          <w:lang w:val="zh-CN"/>
        </w:rPr>
        <w:t>3、支持中小企业发展</w:t>
      </w:r>
    </w:p>
    <w:p w14:paraId="3F810E70">
      <w:pPr>
        <w:keepNext w:val="0"/>
        <w:keepLines w:val="0"/>
        <w:pageBreakBefore w:val="0"/>
        <w:widowControl w:val="0"/>
        <w:kinsoku/>
        <w:wordWrap/>
        <w:overflowPunct/>
        <w:topLinePunct w:val="0"/>
        <w:autoSpaceDE w:val="0"/>
        <w:autoSpaceDN w:val="0"/>
        <w:bidi w:val="0"/>
        <w:adjustRightInd w:val="0"/>
        <w:snapToGrid/>
        <w:spacing w:after="0" w:line="312" w:lineRule="auto"/>
        <w:ind w:right="85" w:firstLine="471"/>
        <w:textAlignment w:val="auto"/>
        <w:rPr>
          <w:rFonts w:hint="eastAsia" w:ascii="宋体" w:hAnsi="宋体" w:cs="宋体"/>
          <w:bCs/>
          <w:color w:val="auto"/>
          <w:sz w:val="21"/>
          <w:szCs w:val="21"/>
          <w:lang w:val="zh-CN"/>
        </w:rPr>
      </w:pPr>
      <w:r>
        <w:rPr>
          <w:rFonts w:hint="eastAsia" w:ascii="宋体" w:hAnsi="宋体" w:cs="宋体"/>
          <w:bCs/>
          <w:color w:val="auto"/>
          <w:sz w:val="21"/>
          <w:szCs w:val="21"/>
          <w:lang w:val="zh-CN"/>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5513AD70">
      <w:pPr>
        <w:keepNext w:val="0"/>
        <w:keepLines w:val="0"/>
        <w:pageBreakBefore w:val="0"/>
        <w:widowControl w:val="0"/>
        <w:kinsoku/>
        <w:wordWrap/>
        <w:overflowPunct/>
        <w:topLinePunct w:val="0"/>
        <w:autoSpaceDE w:val="0"/>
        <w:autoSpaceDN w:val="0"/>
        <w:bidi w:val="0"/>
        <w:adjustRightInd w:val="0"/>
        <w:snapToGrid/>
        <w:spacing w:after="0" w:line="312" w:lineRule="auto"/>
        <w:ind w:right="85" w:firstLine="471"/>
        <w:textAlignment w:val="auto"/>
        <w:rPr>
          <w:rFonts w:hint="eastAsia" w:ascii="宋体" w:hAnsi="宋体" w:cs="宋体"/>
          <w:bCs/>
          <w:color w:val="auto"/>
          <w:sz w:val="21"/>
          <w:szCs w:val="21"/>
          <w:lang w:val="zh-CN"/>
        </w:rPr>
      </w:pPr>
      <w:r>
        <w:rPr>
          <w:rFonts w:hint="eastAsia" w:ascii="宋体" w:hAnsi="宋体" w:cs="宋体"/>
          <w:bCs/>
          <w:color w:val="auto"/>
          <w:sz w:val="21"/>
          <w:szCs w:val="21"/>
          <w:lang w:val="zh-CN"/>
        </w:rPr>
        <w:t>符合中小企业划分标准的个体工商户，在政府采购活动中视同中小企业。</w:t>
      </w:r>
    </w:p>
    <w:p w14:paraId="6EF177DA">
      <w:pPr>
        <w:keepNext w:val="0"/>
        <w:keepLines w:val="0"/>
        <w:pageBreakBefore w:val="0"/>
        <w:widowControl w:val="0"/>
        <w:kinsoku/>
        <w:wordWrap/>
        <w:overflowPunct/>
        <w:topLinePunct w:val="0"/>
        <w:autoSpaceDE w:val="0"/>
        <w:autoSpaceDN w:val="0"/>
        <w:bidi w:val="0"/>
        <w:adjustRightInd w:val="0"/>
        <w:snapToGrid/>
        <w:spacing w:after="0" w:line="312" w:lineRule="auto"/>
        <w:ind w:right="85" w:firstLine="471"/>
        <w:textAlignment w:val="auto"/>
        <w:rPr>
          <w:rFonts w:hint="eastAsia" w:ascii="宋体" w:hAnsi="宋体" w:cs="宋体"/>
          <w:bCs/>
          <w:color w:val="auto"/>
          <w:sz w:val="21"/>
          <w:szCs w:val="21"/>
          <w:lang w:val="zh-CN"/>
        </w:rPr>
      </w:pPr>
      <w:r>
        <w:rPr>
          <w:rFonts w:hint="eastAsia" w:ascii="宋体" w:hAnsi="宋体" w:cs="宋体"/>
          <w:bCs/>
          <w:color w:val="auto"/>
          <w:sz w:val="21"/>
          <w:szCs w:val="21"/>
          <w:lang w:val="zh-CN"/>
        </w:rPr>
        <w:t>3.2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14:paraId="408FE20D">
      <w:pPr>
        <w:keepNext w:val="0"/>
        <w:keepLines w:val="0"/>
        <w:pageBreakBefore w:val="0"/>
        <w:widowControl w:val="0"/>
        <w:kinsoku/>
        <w:wordWrap/>
        <w:overflowPunct/>
        <w:topLinePunct w:val="0"/>
        <w:autoSpaceDE w:val="0"/>
        <w:autoSpaceDN w:val="0"/>
        <w:bidi w:val="0"/>
        <w:adjustRightInd w:val="0"/>
        <w:snapToGrid/>
        <w:spacing w:after="0" w:line="312" w:lineRule="auto"/>
        <w:ind w:right="85" w:firstLine="471"/>
        <w:textAlignment w:val="auto"/>
        <w:rPr>
          <w:rFonts w:hint="eastAsia" w:ascii="宋体" w:hAnsi="宋体" w:cs="宋体"/>
          <w:bCs/>
          <w:color w:val="auto"/>
          <w:sz w:val="21"/>
          <w:szCs w:val="21"/>
          <w:lang w:val="zh-CN"/>
        </w:rPr>
      </w:pPr>
      <w:r>
        <w:rPr>
          <w:rFonts w:hint="eastAsia" w:ascii="宋体" w:hAnsi="宋体" w:cs="宋体"/>
          <w:bCs/>
          <w:color w:val="auto"/>
          <w:sz w:val="21"/>
          <w:szCs w:val="21"/>
          <w:lang w:val="zh-CN"/>
        </w:rPr>
        <w:t>以联合体形式参加政府采购活动，联合体各方均为中小企业的，联合体视同中小企业。其中，联合体各方均为小微企业的，联合体视同小微企业。</w:t>
      </w:r>
    </w:p>
    <w:p w14:paraId="6ADFF04D">
      <w:pPr>
        <w:keepNext w:val="0"/>
        <w:keepLines w:val="0"/>
        <w:pageBreakBefore w:val="0"/>
        <w:widowControl w:val="0"/>
        <w:kinsoku/>
        <w:wordWrap/>
        <w:overflowPunct/>
        <w:topLinePunct w:val="0"/>
        <w:autoSpaceDE w:val="0"/>
        <w:autoSpaceDN w:val="0"/>
        <w:bidi w:val="0"/>
        <w:adjustRightInd w:val="0"/>
        <w:snapToGrid/>
        <w:spacing w:after="0" w:line="312" w:lineRule="auto"/>
        <w:ind w:right="85" w:firstLine="471"/>
        <w:textAlignment w:val="auto"/>
        <w:rPr>
          <w:rFonts w:hint="eastAsia" w:ascii="宋体" w:hAnsi="宋体" w:cs="宋体"/>
          <w:bCs/>
          <w:color w:val="auto"/>
          <w:sz w:val="21"/>
          <w:szCs w:val="21"/>
          <w:lang w:val="zh-CN"/>
        </w:rPr>
      </w:pPr>
      <w:r>
        <w:rPr>
          <w:rFonts w:hint="eastAsia" w:ascii="宋体" w:hAnsi="宋体" w:cs="宋体"/>
          <w:bCs/>
          <w:color w:val="auto"/>
          <w:sz w:val="21"/>
          <w:szCs w:val="21"/>
          <w:lang w:val="zh-CN"/>
        </w:rPr>
        <w:t>3.3对于未预留份额专门面向中小企业的政府采购货物项目，以及预留份额政府采购货物项目中的非预留部分标项，对小型和微型企业的投标报价给予10%的扣除，用扣除后的价格参与评审。接受大中型企业与小微企业组成联合体或者允许大中型企业向一家或者多家小微企业分包的政府采购货物项目，对于</w:t>
      </w:r>
      <w:bookmarkStart w:id="49" w:name="_Hlk101132181"/>
      <w:r>
        <w:rPr>
          <w:rFonts w:hint="eastAsia" w:ascii="宋体" w:hAnsi="宋体" w:cs="宋体"/>
          <w:bCs/>
          <w:color w:val="auto"/>
          <w:sz w:val="21"/>
          <w:szCs w:val="21"/>
          <w:lang w:val="zh-CN"/>
        </w:rPr>
        <w:t>联合协议或者分包意向协议约定小微企业的合同份额占到合同总金额30%以上的</w:t>
      </w:r>
      <w:bookmarkEnd w:id="49"/>
      <w:r>
        <w:rPr>
          <w:rFonts w:hint="eastAsia" w:ascii="宋体" w:hAnsi="宋体" w:cs="宋体"/>
          <w:bCs/>
          <w:color w:val="auto"/>
          <w:sz w:val="21"/>
          <w:szCs w:val="21"/>
          <w:lang w:val="zh-CN"/>
        </w:rPr>
        <w:t>，对联合体或者大中型企业的报价给予6%的扣除，用扣除后的价格参加评审。组成联合体或者接受分包的小微企业与联合体内其他企业、分包企业之间存在直接控股、管理关系的，不享受价格扣除优惠政策。</w:t>
      </w:r>
    </w:p>
    <w:p w14:paraId="2C12A32C">
      <w:pPr>
        <w:keepNext w:val="0"/>
        <w:keepLines w:val="0"/>
        <w:pageBreakBefore w:val="0"/>
        <w:widowControl w:val="0"/>
        <w:kinsoku/>
        <w:wordWrap/>
        <w:overflowPunct/>
        <w:topLinePunct w:val="0"/>
        <w:autoSpaceDE w:val="0"/>
        <w:autoSpaceDN w:val="0"/>
        <w:bidi w:val="0"/>
        <w:adjustRightInd w:val="0"/>
        <w:snapToGrid/>
        <w:spacing w:after="0" w:line="312" w:lineRule="auto"/>
        <w:ind w:right="85" w:firstLine="471"/>
        <w:textAlignment w:val="auto"/>
        <w:rPr>
          <w:rFonts w:hint="eastAsia" w:ascii="宋体" w:hAnsi="宋体" w:cs="宋体"/>
          <w:bCs/>
          <w:color w:val="auto"/>
          <w:sz w:val="21"/>
          <w:szCs w:val="21"/>
          <w:lang w:val="zh-CN"/>
        </w:rPr>
      </w:pPr>
      <w:r>
        <w:rPr>
          <w:rFonts w:hint="eastAsia" w:ascii="宋体" w:hAnsi="宋体" w:cs="宋体"/>
          <w:bCs/>
          <w:color w:val="auto"/>
          <w:sz w:val="21"/>
          <w:szCs w:val="21"/>
          <w:lang w:val="zh-CN"/>
        </w:rPr>
        <w:t>3.4符合《关于促进残疾人就业政府采购政策的通知》（财库〔2017〕141号）规定的条件并提供《残疾人福利性单位声明函》（附件1）的残疾人福利性单位视同小型、微型企业；</w:t>
      </w:r>
    </w:p>
    <w:p w14:paraId="620AA9B9">
      <w:pPr>
        <w:keepNext w:val="0"/>
        <w:keepLines w:val="0"/>
        <w:pageBreakBefore w:val="0"/>
        <w:widowControl w:val="0"/>
        <w:kinsoku/>
        <w:wordWrap/>
        <w:overflowPunct/>
        <w:topLinePunct w:val="0"/>
        <w:autoSpaceDE w:val="0"/>
        <w:autoSpaceDN w:val="0"/>
        <w:bidi w:val="0"/>
        <w:adjustRightInd w:val="0"/>
        <w:snapToGrid/>
        <w:spacing w:after="0" w:line="312" w:lineRule="auto"/>
        <w:ind w:right="85" w:firstLine="471"/>
        <w:textAlignment w:val="auto"/>
        <w:rPr>
          <w:rFonts w:hint="eastAsia" w:ascii="宋体" w:hAnsi="宋体" w:cs="宋体"/>
          <w:bCs/>
          <w:color w:val="auto"/>
          <w:sz w:val="21"/>
          <w:szCs w:val="21"/>
          <w:lang w:val="zh-CN"/>
        </w:rPr>
      </w:pPr>
      <w:r>
        <w:rPr>
          <w:rFonts w:hint="eastAsia" w:ascii="宋体" w:hAnsi="宋体" w:cs="宋体"/>
          <w:bCs/>
          <w:color w:val="auto"/>
          <w:sz w:val="21"/>
          <w:szCs w:val="21"/>
          <w:lang w:val="zh-CN"/>
        </w:rPr>
        <w:t>3.5符合《关于政府采购支持监狱企业发展有关问题的通知》（财库[2014]68号）规定的监狱企业并提供由省级以上监狱管理局、戒毒管理局（含新疆生产建设兵团）出具的属于监狱企业证明文件的，视同为小型、微型企业。</w:t>
      </w:r>
    </w:p>
    <w:p w14:paraId="4E1DF6C6">
      <w:pPr>
        <w:keepNext w:val="0"/>
        <w:keepLines w:val="0"/>
        <w:pageBreakBefore w:val="0"/>
        <w:widowControl w:val="0"/>
        <w:kinsoku/>
        <w:wordWrap/>
        <w:overflowPunct/>
        <w:topLinePunct w:val="0"/>
        <w:autoSpaceDE w:val="0"/>
        <w:autoSpaceDN w:val="0"/>
        <w:bidi w:val="0"/>
        <w:adjustRightInd w:val="0"/>
        <w:snapToGrid/>
        <w:spacing w:after="0" w:line="312" w:lineRule="auto"/>
        <w:ind w:right="85" w:firstLine="471"/>
        <w:textAlignment w:val="auto"/>
        <w:rPr>
          <w:rFonts w:hint="eastAsia" w:ascii="宋体" w:hAnsi="宋体" w:cs="宋体"/>
          <w:bCs/>
          <w:color w:val="auto"/>
          <w:sz w:val="21"/>
          <w:szCs w:val="21"/>
          <w:lang w:val="zh-CN"/>
        </w:rPr>
      </w:pPr>
      <w:r>
        <w:rPr>
          <w:rFonts w:hint="eastAsia" w:ascii="宋体" w:hAnsi="宋体" w:cs="宋体"/>
          <w:bCs/>
          <w:color w:val="auto"/>
          <w:sz w:val="21"/>
          <w:szCs w:val="21"/>
          <w:lang w:val="zh-CN"/>
        </w:rPr>
        <w:t>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6E90D83A">
      <w:pPr>
        <w:keepNext w:val="0"/>
        <w:keepLines w:val="0"/>
        <w:pageBreakBefore w:val="0"/>
        <w:widowControl w:val="0"/>
        <w:kinsoku/>
        <w:wordWrap/>
        <w:overflowPunct/>
        <w:topLinePunct w:val="0"/>
        <w:autoSpaceDE w:val="0"/>
        <w:autoSpaceDN w:val="0"/>
        <w:bidi w:val="0"/>
        <w:adjustRightInd w:val="0"/>
        <w:snapToGrid/>
        <w:spacing w:after="0" w:line="312" w:lineRule="auto"/>
        <w:ind w:right="85" w:firstLine="471"/>
        <w:textAlignment w:val="auto"/>
        <w:rPr>
          <w:rFonts w:hint="eastAsia" w:ascii="宋体" w:hAnsi="宋体" w:cs="宋体"/>
          <w:bCs/>
          <w:color w:val="auto"/>
          <w:sz w:val="21"/>
          <w:szCs w:val="21"/>
          <w:lang w:val="zh-CN"/>
        </w:rPr>
      </w:pPr>
      <w:r>
        <w:rPr>
          <w:rFonts w:hint="eastAsia" w:ascii="宋体" w:hAnsi="宋体" w:cs="宋体"/>
          <w:bCs/>
          <w:color w:val="auto"/>
          <w:sz w:val="21"/>
          <w:szCs w:val="21"/>
          <w:lang w:val="zh-CN"/>
        </w:rPr>
        <w:t>3.7中小企业享受扶持政策获得政府采购合同的，小微企业不得将合同分包给大中型企业，中型企业不得将合同分包给大型企业。</w:t>
      </w:r>
    </w:p>
    <w:p w14:paraId="45C42228">
      <w:pPr>
        <w:keepNext w:val="0"/>
        <w:keepLines w:val="0"/>
        <w:pageBreakBefore w:val="0"/>
        <w:widowControl w:val="0"/>
        <w:kinsoku/>
        <w:wordWrap/>
        <w:overflowPunct/>
        <w:topLinePunct w:val="0"/>
        <w:autoSpaceDE w:val="0"/>
        <w:autoSpaceDN w:val="0"/>
        <w:bidi w:val="0"/>
        <w:adjustRightInd w:val="0"/>
        <w:snapToGrid/>
        <w:spacing w:after="0" w:line="312" w:lineRule="auto"/>
        <w:ind w:right="85" w:firstLine="471"/>
        <w:textAlignment w:val="auto"/>
        <w:rPr>
          <w:rFonts w:hint="eastAsia" w:ascii="宋体" w:hAnsi="宋体" w:cs="宋体"/>
          <w:bCs/>
          <w:color w:val="auto"/>
          <w:sz w:val="21"/>
          <w:szCs w:val="21"/>
          <w:lang w:val="zh-CN"/>
        </w:rPr>
      </w:pPr>
      <w:r>
        <w:rPr>
          <w:rFonts w:hint="eastAsia" w:ascii="宋体" w:hAnsi="宋体" w:cs="宋体"/>
          <w:bCs/>
          <w:color w:val="auto"/>
          <w:sz w:val="21"/>
          <w:szCs w:val="21"/>
          <w:lang w:val="zh-CN"/>
        </w:rPr>
        <w:t>3.8 本项目非专门面向中小企业采购，执行价格评审优惠的扶持政策。</w:t>
      </w:r>
    </w:p>
    <w:p w14:paraId="105F2064">
      <w:pPr>
        <w:keepNext w:val="0"/>
        <w:keepLines w:val="0"/>
        <w:pageBreakBefore w:val="0"/>
        <w:widowControl w:val="0"/>
        <w:kinsoku/>
        <w:wordWrap/>
        <w:overflowPunct/>
        <w:topLinePunct w:val="0"/>
        <w:autoSpaceDE w:val="0"/>
        <w:autoSpaceDN w:val="0"/>
        <w:bidi w:val="0"/>
        <w:adjustRightInd w:val="0"/>
        <w:snapToGrid/>
        <w:spacing w:after="0" w:line="312" w:lineRule="auto"/>
        <w:ind w:right="85" w:firstLine="471"/>
        <w:textAlignment w:val="auto"/>
        <w:rPr>
          <w:rFonts w:hint="eastAsia" w:ascii="宋体" w:hAnsi="宋体" w:cs="宋体"/>
          <w:bCs/>
          <w:color w:val="auto"/>
          <w:sz w:val="21"/>
          <w:szCs w:val="21"/>
          <w:lang w:val="zh-CN"/>
        </w:rPr>
      </w:pPr>
      <w:r>
        <w:rPr>
          <w:rFonts w:hint="eastAsia" w:ascii="宋体" w:hAnsi="宋体" w:cs="宋体"/>
          <w:bCs/>
          <w:color w:val="auto"/>
          <w:sz w:val="21"/>
          <w:szCs w:val="21"/>
        </w:rPr>
        <w:t>4、</w:t>
      </w:r>
      <w:r>
        <w:rPr>
          <w:rFonts w:hint="eastAsia" w:ascii="宋体" w:hAnsi="宋体" w:cs="宋体"/>
          <w:bCs/>
          <w:color w:val="auto"/>
          <w:sz w:val="21"/>
          <w:szCs w:val="21"/>
          <w:lang w:val="zh-CN"/>
        </w:rPr>
        <w:t>支持创新发展</w:t>
      </w:r>
    </w:p>
    <w:p w14:paraId="2C6A5739">
      <w:pPr>
        <w:keepNext w:val="0"/>
        <w:keepLines w:val="0"/>
        <w:pageBreakBefore w:val="0"/>
        <w:widowControl w:val="0"/>
        <w:kinsoku/>
        <w:wordWrap/>
        <w:overflowPunct/>
        <w:topLinePunct w:val="0"/>
        <w:autoSpaceDE w:val="0"/>
        <w:autoSpaceDN w:val="0"/>
        <w:bidi w:val="0"/>
        <w:adjustRightInd w:val="0"/>
        <w:snapToGrid/>
        <w:spacing w:after="0" w:line="312" w:lineRule="auto"/>
        <w:ind w:right="85" w:firstLine="471"/>
        <w:textAlignment w:val="auto"/>
        <w:rPr>
          <w:rFonts w:hint="eastAsia" w:ascii="宋体" w:hAnsi="宋体" w:cs="宋体"/>
          <w:bCs/>
          <w:color w:val="auto"/>
          <w:sz w:val="21"/>
          <w:szCs w:val="21"/>
          <w:lang w:val="zh-CN"/>
        </w:rPr>
      </w:pPr>
      <w:r>
        <w:rPr>
          <w:rFonts w:hint="eastAsia" w:ascii="宋体" w:hAnsi="宋体" w:cs="宋体"/>
          <w:bCs/>
          <w:color w:val="auto"/>
          <w:sz w:val="21"/>
          <w:szCs w:val="21"/>
          <w:lang w:val="zh-CN"/>
        </w:rPr>
        <w:t>4.1 采购人优先采购被认定为首台套产品和“制造精品”的自主创新产品。</w:t>
      </w:r>
    </w:p>
    <w:p w14:paraId="06A0F6B5">
      <w:pPr>
        <w:keepNext w:val="0"/>
        <w:keepLines w:val="0"/>
        <w:pageBreakBefore w:val="0"/>
        <w:widowControl w:val="0"/>
        <w:kinsoku/>
        <w:wordWrap/>
        <w:overflowPunct/>
        <w:topLinePunct w:val="0"/>
        <w:autoSpaceDE w:val="0"/>
        <w:autoSpaceDN w:val="0"/>
        <w:bidi w:val="0"/>
        <w:adjustRightInd w:val="0"/>
        <w:snapToGrid/>
        <w:spacing w:after="0" w:line="312" w:lineRule="auto"/>
        <w:ind w:right="85" w:firstLine="471"/>
        <w:textAlignment w:val="auto"/>
        <w:rPr>
          <w:rFonts w:hint="eastAsia" w:ascii="宋体" w:hAnsi="宋体" w:cs="宋体"/>
          <w:bCs/>
          <w:color w:val="auto"/>
          <w:sz w:val="21"/>
          <w:szCs w:val="21"/>
          <w:lang w:val="zh-CN"/>
        </w:rPr>
      </w:pPr>
      <w:r>
        <w:rPr>
          <w:rFonts w:hint="eastAsia" w:ascii="宋体" w:hAnsi="宋体" w:cs="宋体"/>
          <w:bCs/>
          <w:color w:val="auto"/>
          <w:sz w:val="21"/>
          <w:szCs w:val="21"/>
          <w:lang w:val="zh-CN"/>
        </w:rPr>
        <w:t>4.2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14:paraId="68253ECA">
      <w:pPr>
        <w:keepNext w:val="0"/>
        <w:keepLines w:val="0"/>
        <w:pageBreakBefore w:val="0"/>
        <w:widowControl w:val="0"/>
        <w:kinsoku/>
        <w:wordWrap/>
        <w:overflowPunct/>
        <w:topLinePunct w:val="0"/>
        <w:autoSpaceDE w:val="0"/>
        <w:autoSpaceDN w:val="0"/>
        <w:bidi w:val="0"/>
        <w:adjustRightInd w:val="0"/>
        <w:snapToGrid/>
        <w:spacing w:after="0" w:line="312" w:lineRule="auto"/>
        <w:ind w:right="85" w:firstLine="471"/>
        <w:textAlignment w:val="auto"/>
        <w:rPr>
          <w:rFonts w:hint="eastAsia" w:ascii="宋体" w:hAnsi="宋体" w:cs="宋体"/>
          <w:bCs/>
          <w:color w:val="auto"/>
          <w:sz w:val="21"/>
          <w:szCs w:val="21"/>
          <w:lang w:val="zh-CN"/>
        </w:rPr>
      </w:pPr>
      <w:r>
        <w:rPr>
          <w:rFonts w:hint="eastAsia" w:ascii="宋体" w:hAnsi="宋体" w:cs="宋体"/>
          <w:bCs/>
          <w:color w:val="auto"/>
          <w:sz w:val="21"/>
          <w:szCs w:val="21"/>
          <w:lang w:val="zh-CN"/>
        </w:rPr>
        <w:t>5、平等对待内外资企业和符合条件的破产重整企业</w:t>
      </w:r>
    </w:p>
    <w:p w14:paraId="77E6BEB2">
      <w:pPr>
        <w:keepNext w:val="0"/>
        <w:keepLines w:val="0"/>
        <w:pageBreakBefore w:val="0"/>
        <w:widowControl w:val="0"/>
        <w:kinsoku/>
        <w:wordWrap/>
        <w:overflowPunct/>
        <w:topLinePunct w:val="0"/>
        <w:autoSpaceDE w:val="0"/>
        <w:autoSpaceDN w:val="0"/>
        <w:bidi w:val="0"/>
        <w:adjustRightInd w:val="0"/>
        <w:snapToGrid/>
        <w:spacing w:after="0" w:line="312" w:lineRule="auto"/>
        <w:ind w:right="85" w:firstLine="471"/>
        <w:textAlignment w:val="auto"/>
        <w:rPr>
          <w:rFonts w:hint="eastAsia" w:ascii="宋体" w:hAnsi="宋体" w:cs="宋体"/>
          <w:bCs/>
          <w:color w:val="auto"/>
          <w:sz w:val="21"/>
          <w:szCs w:val="21"/>
          <w:lang w:val="zh-CN"/>
        </w:rPr>
      </w:pPr>
      <w:r>
        <w:rPr>
          <w:rFonts w:hint="eastAsia" w:ascii="宋体" w:hAnsi="宋体" w:cs="宋体"/>
          <w:bCs/>
          <w:color w:val="auto"/>
          <w:sz w:val="21"/>
          <w:szCs w:val="21"/>
          <w:lang w:val="zh-CN"/>
        </w:rPr>
        <w:t>平等对待内外资企业和符合条件的破产重整企业，切实保障企业公平竞争，平等维护企业的合法利益。</w:t>
      </w:r>
    </w:p>
    <w:p w14:paraId="6A2EA168">
      <w:pPr>
        <w:keepNext w:val="0"/>
        <w:keepLines w:val="0"/>
        <w:pageBreakBefore w:val="0"/>
        <w:widowControl w:val="0"/>
        <w:kinsoku/>
        <w:wordWrap/>
        <w:overflowPunct/>
        <w:topLinePunct w:val="0"/>
        <w:autoSpaceDE w:val="0"/>
        <w:autoSpaceDN w:val="0"/>
        <w:bidi w:val="0"/>
        <w:adjustRightInd w:val="0"/>
        <w:snapToGrid/>
        <w:spacing w:after="0" w:line="312" w:lineRule="auto"/>
        <w:ind w:firstLine="420" w:firstLineChars="200"/>
        <w:textAlignment w:val="auto"/>
        <w:rPr>
          <w:rFonts w:hint="eastAsia" w:ascii="宋体" w:hAnsi="宋体" w:cs="宋体"/>
          <w:color w:val="auto"/>
          <w:sz w:val="21"/>
          <w:szCs w:val="21"/>
          <w:lang w:val="zh-CN"/>
        </w:rPr>
      </w:pPr>
      <w:r>
        <w:rPr>
          <w:rFonts w:hint="eastAsia" w:ascii="宋体" w:hAnsi="宋体" w:cs="宋体"/>
          <w:color w:val="auto"/>
          <w:sz w:val="21"/>
          <w:szCs w:val="21"/>
          <w:lang w:val="zh-CN"/>
        </w:rPr>
        <w:t>三、在最大限度地满足招标文件实质性要求前提下，评标委员会按照招标文件中规定的各项因素进行综合评审后，以评标总得分最高的投标人为中标候选人。</w:t>
      </w:r>
    </w:p>
    <w:p w14:paraId="19F2FE9B">
      <w:pPr>
        <w:keepNext w:val="0"/>
        <w:keepLines w:val="0"/>
        <w:pageBreakBefore w:val="0"/>
        <w:widowControl w:val="0"/>
        <w:kinsoku/>
        <w:wordWrap/>
        <w:overflowPunct/>
        <w:topLinePunct w:val="0"/>
        <w:autoSpaceDE w:val="0"/>
        <w:autoSpaceDN w:val="0"/>
        <w:bidi w:val="0"/>
        <w:adjustRightInd w:val="0"/>
        <w:snapToGrid/>
        <w:spacing w:after="0" w:line="312" w:lineRule="auto"/>
        <w:ind w:firstLine="420" w:firstLineChars="200"/>
        <w:textAlignment w:val="auto"/>
        <w:rPr>
          <w:rFonts w:hint="eastAsia" w:ascii="宋体" w:hAnsi="宋体" w:cs="宋体"/>
          <w:color w:val="auto"/>
          <w:sz w:val="21"/>
          <w:szCs w:val="21"/>
          <w:lang w:val="zh-CN"/>
        </w:rPr>
      </w:pPr>
      <w:r>
        <w:rPr>
          <w:rFonts w:hint="eastAsia" w:ascii="宋体" w:hAnsi="宋体" w:cs="宋体"/>
          <w:color w:val="auto"/>
          <w:sz w:val="21"/>
          <w:szCs w:val="21"/>
          <w:lang w:val="zh-CN"/>
        </w:rPr>
        <w:t>四、如综合得分相同，投标报价低者为先；如综合得分且投标报价相同的，货物类采购项目以技术性能得分较高者为先；若货物类技术性能分相同，则由采购人确定中标人。</w:t>
      </w:r>
    </w:p>
    <w:p w14:paraId="1A1E4266">
      <w:pPr>
        <w:keepNext w:val="0"/>
        <w:keepLines w:val="0"/>
        <w:pageBreakBefore w:val="0"/>
        <w:widowControl w:val="0"/>
        <w:kinsoku/>
        <w:wordWrap/>
        <w:overflowPunct/>
        <w:topLinePunct w:val="0"/>
        <w:autoSpaceDE w:val="0"/>
        <w:autoSpaceDN w:val="0"/>
        <w:bidi w:val="0"/>
        <w:adjustRightInd w:val="0"/>
        <w:snapToGrid/>
        <w:spacing w:after="0" w:line="312" w:lineRule="auto"/>
        <w:ind w:firstLine="420" w:firstLineChars="200"/>
        <w:textAlignment w:val="auto"/>
        <w:rPr>
          <w:rFonts w:hint="eastAsia" w:ascii="宋体" w:hAnsi="宋体" w:cs="宋体"/>
          <w:color w:val="auto"/>
          <w:sz w:val="21"/>
          <w:szCs w:val="21"/>
          <w:lang w:val="zh-CN"/>
        </w:rPr>
      </w:pPr>
      <w:r>
        <w:rPr>
          <w:rFonts w:hint="eastAsia" w:ascii="宋体" w:hAnsi="宋体" w:cs="宋体"/>
          <w:color w:val="auto"/>
          <w:sz w:val="21"/>
          <w:szCs w:val="21"/>
          <w:lang w:val="zh-CN"/>
        </w:rPr>
        <w:t>五、提供相同品牌产品的不同投标人参加同一合同项下投标的，按一家供应商认定：（1）采用最低评标价法的采购项目，以其中通过资格审查、符合性审查且报价最低的参加评标；报价相同的，由评标委员会集体确定一个投标人参加评标，其他投标无效。（2）使用综合评分法的采购项目，评审后得分最高的同品牌投标人获得中标人推荐资格；评审得分相同的，由评标委员会集体推荐一个投标人作为中标候选人，其他同品牌投标人不作为中标候选人。</w:t>
      </w:r>
    </w:p>
    <w:p w14:paraId="15E5FE7A">
      <w:pPr>
        <w:keepNext w:val="0"/>
        <w:keepLines w:val="0"/>
        <w:pageBreakBefore w:val="0"/>
        <w:widowControl w:val="0"/>
        <w:kinsoku/>
        <w:wordWrap/>
        <w:overflowPunct/>
        <w:topLinePunct w:val="0"/>
        <w:autoSpaceDE w:val="0"/>
        <w:autoSpaceDN w:val="0"/>
        <w:bidi w:val="0"/>
        <w:adjustRightInd w:val="0"/>
        <w:snapToGrid/>
        <w:spacing w:after="0" w:line="312" w:lineRule="auto"/>
        <w:ind w:firstLine="315" w:firstLineChars="150"/>
        <w:jc w:val="left"/>
        <w:textAlignment w:val="auto"/>
        <w:rPr>
          <w:rFonts w:hint="eastAsia" w:ascii="宋体" w:hAnsi="宋体" w:cs="宋体"/>
          <w:color w:val="auto"/>
          <w:kern w:val="0"/>
          <w:sz w:val="21"/>
          <w:szCs w:val="21"/>
        </w:rPr>
      </w:pPr>
      <w:r>
        <w:rPr>
          <w:rFonts w:hint="eastAsia" w:ascii="宋体" w:hAnsi="宋体" w:cs="宋体"/>
          <w:color w:val="auto"/>
          <w:kern w:val="0"/>
          <w:sz w:val="21"/>
          <w:szCs w:val="21"/>
        </w:rPr>
        <w:t>六、本次评分具体分值细化条款如下表：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5"/>
        <w:gridCol w:w="1058"/>
        <w:gridCol w:w="7138"/>
        <w:gridCol w:w="475"/>
      </w:tblGrid>
      <w:tr w14:paraId="3C74C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Align w:val="center"/>
          </w:tcPr>
          <w:p w14:paraId="750E3AA3">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序号</w:t>
            </w:r>
          </w:p>
        </w:tc>
        <w:tc>
          <w:tcPr>
            <w:tcW w:w="1058" w:type="dxa"/>
            <w:vAlign w:val="center"/>
          </w:tcPr>
          <w:p w14:paraId="3DEC6DBC">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评审内容</w:t>
            </w:r>
          </w:p>
        </w:tc>
        <w:tc>
          <w:tcPr>
            <w:tcW w:w="7138" w:type="dxa"/>
            <w:vAlign w:val="center"/>
          </w:tcPr>
          <w:p w14:paraId="323A9C24">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评分标准</w:t>
            </w:r>
          </w:p>
        </w:tc>
        <w:tc>
          <w:tcPr>
            <w:tcW w:w="0" w:type="auto"/>
            <w:vAlign w:val="center"/>
          </w:tcPr>
          <w:p w14:paraId="0D84D890">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分值</w:t>
            </w:r>
          </w:p>
        </w:tc>
      </w:tr>
      <w:tr w14:paraId="01EDC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5" w:type="dxa"/>
            <w:vAlign w:val="center"/>
          </w:tcPr>
          <w:p w14:paraId="6792272C">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058" w:type="dxa"/>
            <w:vAlign w:val="center"/>
          </w:tcPr>
          <w:p w14:paraId="6CF5A883">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000000"/>
                <w:kern w:val="0"/>
                <w:sz w:val="21"/>
                <w:szCs w:val="21"/>
              </w:rPr>
              <w:t>投标人企业情况</w:t>
            </w:r>
          </w:p>
        </w:tc>
        <w:tc>
          <w:tcPr>
            <w:tcW w:w="7138" w:type="dxa"/>
            <w:vAlign w:val="top"/>
          </w:tcPr>
          <w:p w14:paraId="274E8827">
            <w:pPr>
              <w:keepNext w:val="0"/>
              <w:keepLines w:val="0"/>
              <w:pageBreakBefore w:val="0"/>
              <w:widowControl/>
              <w:kinsoku/>
              <w:wordWrap/>
              <w:overflowPunct/>
              <w:topLinePunct w:val="0"/>
              <w:autoSpaceDE/>
              <w:autoSpaceDN/>
              <w:bidi w:val="0"/>
              <w:adjustRightInd/>
              <w:snapToGrid/>
              <w:spacing w:after="0" w:line="260" w:lineRule="auto"/>
              <w:jc w:val="left"/>
              <w:textAlignment w:val="auto"/>
              <w:rPr>
                <w:rFonts w:hint="eastAsia" w:ascii="宋体" w:hAnsi="宋体" w:eastAsia="宋体" w:cs="宋体"/>
                <w:color w:val="auto"/>
                <w:kern w:val="0"/>
                <w:sz w:val="21"/>
                <w:szCs w:val="21"/>
              </w:rPr>
            </w:pPr>
            <w:r>
              <w:rPr>
                <w:rFonts w:hint="eastAsia" w:ascii="宋体" w:hAnsi="宋体" w:eastAsia="宋体" w:cs="宋体"/>
                <w:color w:val="000000"/>
                <w:kern w:val="0"/>
                <w:sz w:val="21"/>
                <w:szCs w:val="21"/>
              </w:rPr>
              <w:t>根据投标人履约能力、服务能力、企业信誉等情况进行综合打分：一档得5分；二档4.5分；三档4分；四档3.5分；五档3分；六档2.5分；七档2分；八档1.5分；九档1分；十档0.5分，未提及此项不得分。</w:t>
            </w:r>
          </w:p>
        </w:tc>
        <w:tc>
          <w:tcPr>
            <w:tcW w:w="475" w:type="dxa"/>
            <w:vAlign w:val="center"/>
          </w:tcPr>
          <w:p w14:paraId="0AC9FCA4">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000000"/>
                <w:kern w:val="0"/>
                <w:sz w:val="21"/>
                <w:szCs w:val="21"/>
              </w:rPr>
              <w:t>5</w:t>
            </w:r>
          </w:p>
        </w:tc>
      </w:tr>
      <w:tr w14:paraId="506BB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5" w:type="dxa"/>
            <w:vAlign w:val="center"/>
          </w:tcPr>
          <w:p w14:paraId="19624D4F">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1058" w:type="dxa"/>
            <w:vAlign w:val="center"/>
          </w:tcPr>
          <w:p w14:paraId="6B3C7E28">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000000"/>
                <w:kern w:val="0"/>
                <w:sz w:val="21"/>
                <w:szCs w:val="21"/>
              </w:rPr>
              <w:t>项目团队能力</w:t>
            </w:r>
          </w:p>
        </w:tc>
        <w:tc>
          <w:tcPr>
            <w:tcW w:w="7138" w:type="dxa"/>
            <w:vAlign w:val="top"/>
          </w:tcPr>
          <w:p w14:paraId="0AC0A6B1">
            <w:pPr>
              <w:keepNext w:val="0"/>
              <w:keepLines w:val="0"/>
              <w:pageBreakBefore w:val="0"/>
              <w:widowControl/>
              <w:kinsoku/>
              <w:wordWrap/>
              <w:overflowPunct/>
              <w:topLinePunct w:val="0"/>
              <w:autoSpaceDE/>
              <w:autoSpaceDN/>
              <w:bidi w:val="0"/>
              <w:adjustRightInd/>
              <w:snapToGrid/>
              <w:spacing w:after="0" w:line="260" w:lineRule="auto"/>
              <w:jc w:val="left"/>
              <w:textAlignment w:val="auto"/>
              <w:rPr>
                <w:rFonts w:hint="eastAsia" w:ascii="宋体" w:hAnsi="宋体" w:eastAsia="宋体" w:cs="宋体"/>
                <w:color w:val="auto"/>
                <w:kern w:val="0"/>
                <w:sz w:val="21"/>
                <w:szCs w:val="21"/>
              </w:rPr>
            </w:pPr>
            <w:r>
              <w:rPr>
                <w:rFonts w:hint="eastAsia" w:ascii="宋体" w:hAnsi="宋体" w:eastAsia="宋体" w:cs="宋体"/>
                <w:color w:val="000000"/>
                <w:kern w:val="0"/>
                <w:sz w:val="21"/>
                <w:szCs w:val="21"/>
              </w:rPr>
              <w:t>项目团队成员具备信息系统项目管理师、高级工程师、软件设计师、网络工程师的，每提供1个证书得1分，同一人员不重复计分，本项最高得4分。</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注：提供上述人员投标截止日期前</w:t>
            </w:r>
            <w:r>
              <w:rPr>
                <w:rFonts w:hint="eastAsia" w:ascii="宋体" w:hAnsi="宋体" w:cs="宋体"/>
                <w:color w:val="000000"/>
                <w:kern w:val="0"/>
                <w:sz w:val="21"/>
                <w:szCs w:val="21"/>
                <w:lang w:val="en-US" w:eastAsia="zh-CN"/>
              </w:rPr>
              <w:t>近期</w:t>
            </w:r>
            <w:r>
              <w:rPr>
                <w:rFonts w:hint="eastAsia" w:ascii="宋体" w:hAnsi="宋体" w:eastAsia="宋体" w:cs="宋体"/>
                <w:color w:val="000000"/>
                <w:kern w:val="0"/>
                <w:sz w:val="21"/>
                <w:szCs w:val="21"/>
              </w:rPr>
              <w:t>在投标人处的社保缴纳证明及相关证书的扫描件，否则不得分。</w:t>
            </w:r>
          </w:p>
        </w:tc>
        <w:tc>
          <w:tcPr>
            <w:tcW w:w="475" w:type="dxa"/>
            <w:vAlign w:val="center"/>
          </w:tcPr>
          <w:p w14:paraId="1BC785FB">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000000"/>
                <w:kern w:val="0"/>
                <w:sz w:val="21"/>
                <w:szCs w:val="21"/>
              </w:rPr>
              <w:t>4</w:t>
            </w:r>
          </w:p>
        </w:tc>
      </w:tr>
      <w:tr w14:paraId="1511F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5" w:type="dxa"/>
            <w:vAlign w:val="center"/>
          </w:tcPr>
          <w:p w14:paraId="4E9B25BE">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1058" w:type="dxa"/>
            <w:vAlign w:val="center"/>
          </w:tcPr>
          <w:p w14:paraId="3103D59F">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000000"/>
                <w:kern w:val="0"/>
                <w:sz w:val="21"/>
                <w:szCs w:val="21"/>
              </w:rPr>
              <w:t>项目需求理解</w:t>
            </w:r>
          </w:p>
        </w:tc>
        <w:tc>
          <w:tcPr>
            <w:tcW w:w="7138" w:type="dxa"/>
            <w:vAlign w:val="top"/>
          </w:tcPr>
          <w:p w14:paraId="7B27084E">
            <w:pPr>
              <w:keepNext w:val="0"/>
              <w:keepLines w:val="0"/>
              <w:pageBreakBefore w:val="0"/>
              <w:widowControl/>
              <w:kinsoku/>
              <w:wordWrap/>
              <w:overflowPunct/>
              <w:topLinePunct w:val="0"/>
              <w:autoSpaceDE/>
              <w:autoSpaceDN/>
              <w:bidi w:val="0"/>
              <w:adjustRightInd/>
              <w:snapToGrid/>
              <w:spacing w:after="0" w:line="260" w:lineRule="auto"/>
              <w:jc w:val="left"/>
              <w:textAlignment w:val="auto"/>
              <w:rPr>
                <w:rFonts w:hint="eastAsia" w:ascii="宋体" w:hAnsi="宋体" w:eastAsia="宋体" w:cs="宋体"/>
                <w:color w:val="auto"/>
                <w:kern w:val="0"/>
                <w:sz w:val="21"/>
                <w:szCs w:val="21"/>
              </w:rPr>
            </w:pPr>
            <w:r>
              <w:rPr>
                <w:rFonts w:hint="eastAsia" w:ascii="宋体" w:hAnsi="宋体" w:eastAsia="宋体" w:cs="宋体"/>
                <w:color w:val="000000"/>
                <w:kern w:val="0"/>
                <w:sz w:val="21"/>
                <w:szCs w:val="21"/>
              </w:rPr>
              <w:t>根据投标人对本项目现状了解程度、改造提升方案的准确程度等进行综合打分：一档得5分；二档4.5分；三档4分；四档3.5分；五档3分；六档2.5分；七档2分；八档1.5分；九档1分；十档0.5分，未提及此项不得分。</w:t>
            </w:r>
          </w:p>
        </w:tc>
        <w:tc>
          <w:tcPr>
            <w:tcW w:w="475" w:type="dxa"/>
            <w:vAlign w:val="center"/>
          </w:tcPr>
          <w:p w14:paraId="2376867C">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000000"/>
                <w:kern w:val="0"/>
                <w:sz w:val="21"/>
                <w:szCs w:val="21"/>
              </w:rPr>
              <w:t>5</w:t>
            </w:r>
          </w:p>
        </w:tc>
      </w:tr>
      <w:tr w14:paraId="56941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5" w:type="dxa"/>
            <w:vAlign w:val="center"/>
          </w:tcPr>
          <w:p w14:paraId="6D424351">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w:t>
            </w:r>
          </w:p>
        </w:tc>
        <w:tc>
          <w:tcPr>
            <w:tcW w:w="1058" w:type="dxa"/>
            <w:vAlign w:val="center"/>
          </w:tcPr>
          <w:p w14:paraId="221D5936">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000000"/>
                <w:kern w:val="0"/>
                <w:sz w:val="21"/>
                <w:szCs w:val="21"/>
              </w:rPr>
              <w:t>技术方案</w:t>
            </w:r>
          </w:p>
        </w:tc>
        <w:tc>
          <w:tcPr>
            <w:tcW w:w="7138" w:type="dxa"/>
            <w:vAlign w:val="top"/>
          </w:tcPr>
          <w:p w14:paraId="5AF43DEA">
            <w:pPr>
              <w:keepNext w:val="0"/>
              <w:keepLines w:val="0"/>
              <w:pageBreakBefore w:val="0"/>
              <w:widowControl/>
              <w:kinsoku/>
              <w:wordWrap/>
              <w:overflowPunct/>
              <w:topLinePunct w:val="0"/>
              <w:autoSpaceDE/>
              <w:autoSpaceDN/>
              <w:bidi w:val="0"/>
              <w:adjustRightInd/>
              <w:snapToGrid/>
              <w:spacing w:after="0" w:line="260" w:lineRule="auto"/>
              <w:jc w:val="left"/>
              <w:textAlignment w:val="auto"/>
              <w:rPr>
                <w:rFonts w:hint="eastAsia" w:ascii="宋体" w:hAnsi="宋体" w:eastAsia="宋体" w:cs="宋体"/>
                <w:color w:val="auto"/>
                <w:kern w:val="0"/>
                <w:sz w:val="21"/>
                <w:szCs w:val="21"/>
              </w:rPr>
            </w:pPr>
            <w:r>
              <w:rPr>
                <w:rFonts w:hint="eastAsia" w:ascii="宋体" w:hAnsi="宋体" w:eastAsia="宋体" w:cs="宋体"/>
                <w:color w:val="000000"/>
                <w:kern w:val="0"/>
                <w:sz w:val="21"/>
                <w:szCs w:val="21"/>
              </w:rPr>
              <w:t>根据投标人提供的技术方案，包括项目整体架构、实施方案、设备点位布局合理性等进行综合打分：一档得5分；二档4.5分；三档4分；四档3.5分；五档3分；六档2.5分；七档2分；八档1.5分；九档1分；十档0.5分，未提及此项不得分。</w:t>
            </w:r>
          </w:p>
        </w:tc>
        <w:tc>
          <w:tcPr>
            <w:tcW w:w="475" w:type="dxa"/>
            <w:vAlign w:val="center"/>
          </w:tcPr>
          <w:p w14:paraId="66F816EB">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000000"/>
                <w:kern w:val="0"/>
                <w:sz w:val="21"/>
                <w:szCs w:val="21"/>
              </w:rPr>
              <w:t>5</w:t>
            </w:r>
          </w:p>
        </w:tc>
      </w:tr>
      <w:tr w14:paraId="3C3D0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5" w:type="dxa"/>
            <w:vAlign w:val="center"/>
          </w:tcPr>
          <w:p w14:paraId="0A714CC6">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w:t>
            </w:r>
          </w:p>
        </w:tc>
        <w:tc>
          <w:tcPr>
            <w:tcW w:w="1058" w:type="dxa"/>
            <w:vAlign w:val="center"/>
          </w:tcPr>
          <w:p w14:paraId="379AFF27">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000000"/>
                <w:kern w:val="0"/>
                <w:sz w:val="21"/>
                <w:szCs w:val="21"/>
              </w:rPr>
              <w:t>整体性能</w:t>
            </w:r>
          </w:p>
        </w:tc>
        <w:tc>
          <w:tcPr>
            <w:tcW w:w="7138" w:type="dxa"/>
            <w:vAlign w:val="top"/>
          </w:tcPr>
          <w:p w14:paraId="503B4FFC">
            <w:pPr>
              <w:keepNext w:val="0"/>
              <w:keepLines w:val="0"/>
              <w:pageBreakBefore w:val="0"/>
              <w:widowControl/>
              <w:kinsoku/>
              <w:wordWrap/>
              <w:overflowPunct/>
              <w:topLinePunct w:val="0"/>
              <w:autoSpaceDE/>
              <w:autoSpaceDN/>
              <w:bidi w:val="0"/>
              <w:adjustRightInd/>
              <w:snapToGrid/>
              <w:spacing w:after="0" w:line="260" w:lineRule="auto"/>
              <w:jc w:val="left"/>
              <w:textAlignment w:val="auto"/>
              <w:rPr>
                <w:rFonts w:hint="eastAsia" w:ascii="宋体" w:hAnsi="宋体" w:eastAsia="宋体" w:cs="宋体"/>
                <w:color w:val="auto"/>
                <w:kern w:val="0"/>
                <w:sz w:val="21"/>
                <w:szCs w:val="21"/>
              </w:rPr>
            </w:pPr>
            <w:r>
              <w:rPr>
                <w:rFonts w:hint="eastAsia" w:ascii="宋体" w:hAnsi="宋体" w:eastAsia="宋体" w:cs="宋体"/>
                <w:color w:val="000000"/>
                <w:kern w:val="0"/>
                <w:sz w:val="21"/>
                <w:szCs w:val="21"/>
              </w:rPr>
              <w:t>根据投标人提供的产品技术支持资料或证明文件完整性、有效性等进行综合打分：一档得5分；二档4.5分；三档4分；四档3.5分；五档3分；六档2.5分；七档2分；八档1.5分；九档1分；十档0.5分，未提及此项不得分。</w:t>
            </w:r>
          </w:p>
        </w:tc>
        <w:tc>
          <w:tcPr>
            <w:tcW w:w="475" w:type="dxa"/>
            <w:vAlign w:val="center"/>
          </w:tcPr>
          <w:p w14:paraId="0E786811">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000000"/>
                <w:kern w:val="0"/>
                <w:sz w:val="21"/>
                <w:szCs w:val="21"/>
              </w:rPr>
              <w:t>5</w:t>
            </w:r>
          </w:p>
        </w:tc>
      </w:tr>
      <w:tr w14:paraId="6BEF8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5" w:type="dxa"/>
            <w:vAlign w:val="center"/>
          </w:tcPr>
          <w:p w14:paraId="0D6C770F">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w:t>
            </w:r>
          </w:p>
        </w:tc>
        <w:tc>
          <w:tcPr>
            <w:tcW w:w="1058" w:type="dxa"/>
            <w:vAlign w:val="center"/>
          </w:tcPr>
          <w:p w14:paraId="1520259C">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000000"/>
                <w:kern w:val="0"/>
                <w:sz w:val="21"/>
                <w:szCs w:val="21"/>
              </w:rPr>
              <w:t>技术参数响应</w:t>
            </w:r>
          </w:p>
        </w:tc>
        <w:tc>
          <w:tcPr>
            <w:tcW w:w="7138" w:type="dxa"/>
            <w:vAlign w:val="top"/>
          </w:tcPr>
          <w:p w14:paraId="0D4F9D21">
            <w:pPr>
              <w:keepNext w:val="0"/>
              <w:keepLines w:val="0"/>
              <w:pageBreakBefore w:val="0"/>
              <w:widowControl/>
              <w:kinsoku/>
              <w:wordWrap/>
              <w:overflowPunct/>
              <w:topLinePunct w:val="0"/>
              <w:autoSpaceDE/>
              <w:autoSpaceDN/>
              <w:bidi w:val="0"/>
              <w:adjustRightInd/>
              <w:snapToGrid/>
              <w:spacing w:after="0" w:line="260" w:lineRule="auto"/>
              <w:jc w:val="left"/>
              <w:textAlignment w:val="auto"/>
              <w:rPr>
                <w:rFonts w:hint="eastAsia" w:ascii="宋体" w:hAnsi="宋体" w:eastAsia="宋体" w:cs="宋体"/>
                <w:color w:val="auto"/>
                <w:kern w:val="0"/>
                <w:sz w:val="21"/>
                <w:szCs w:val="21"/>
              </w:rPr>
            </w:pPr>
            <w:r>
              <w:rPr>
                <w:rFonts w:hint="eastAsia" w:ascii="宋体" w:hAnsi="宋体" w:eastAsia="宋体" w:cs="宋体"/>
                <w:color w:val="000000"/>
                <w:kern w:val="0"/>
                <w:sz w:val="21"/>
                <w:szCs w:val="21"/>
              </w:rPr>
              <w:t>根据投标产品的技术参数和功能实现是否完全满足招标文件要求，技术指标偏离情况逐条进行评分：</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1.完全满足或高于招标文件要求的，得28分；</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2.标★的参数每项负偏离或未响应的扣1分，其他参数0.5分，扣完为止。</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注：技术参数中要求提供证明材料而未提供的，视为负偏离。</w:t>
            </w:r>
          </w:p>
        </w:tc>
        <w:tc>
          <w:tcPr>
            <w:tcW w:w="475" w:type="dxa"/>
            <w:vAlign w:val="center"/>
          </w:tcPr>
          <w:p w14:paraId="424BAB18">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000000"/>
                <w:kern w:val="0"/>
                <w:sz w:val="21"/>
                <w:szCs w:val="21"/>
              </w:rPr>
              <w:t>28</w:t>
            </w:r>
          </w:p>
        </w:tc>
      </w:tr>
      <w:tr w14:paraId="27E67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5" w:type="dxa"/>
            <w:vAlign w:val="center"/>
          </w:tcPr>
          <w:p w14:paraId="402450F0">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1"/>
                <w:szCs w:val="21"/>
                <w:lang w:eastAsia="zh-CN"/>
              </w:rPr>
            </w:pPr>
            <w:r>
              <w:rPr>
                <w:rFonts w:hint="eastAsia" w:ascii="宋体" w:hAnsi="宋体" w:cs="宋体"/>
                <w:color w:val="auto"/>
                <w:kern w:val="0"/>
                <w:sz w:val="21"/>
                <w:szCs w:val="21"/>
                <w:lang w:val="en-US" w:eastAsia="zh-CN"/>
              </w:rPr>
              <w:t>7</w:t>
            </w:r>
          </w:p>
        </w:tc>
        <w:tc>
          <w:tcPr>
            <w:tcW w:w="1058" w:type="dxa"/>
            <w:vAlign w:val="center"/>
          </w:tcPr>
          <w:p w14:paraId="4C41DE7B">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000000"/>
                <w:kern w:val="0"/>
                <w:sz w:val="21"/>
                <w:szCs w:val="21"/>
              </w:rPr>
              <w:t>施工组织方案</w:t>
            </w:r>
          </w:p>
        </w:tc>
        <w:tc>
          <w:tcPr>
            <w:tcW w:w="7138" w:type="dxa"/>
            <w:vAlign w:val="top"/>
          </w:tcPr>
          <w:p w14:paraId="1600DF9D">
            <w:pPr>
              <w:keepNext w:val="0"/>
              <w:keepLines w:val="0"/>
              <w:pageBreakBefore w:val="0"/>
              <w:widowControl/>
              <w:kinsoku/>
              <w:wordWrap/>
              <w:overflowPunct/>
              <w:topLinePunct w:val="0"/>
              <w:autoSpaceDE/>
              <w:autoSpaceDN/>
              <w:bidi w:val="0"/>
              <w:adjustRightInd/>
              <w:snapToGrid/>
              <w:spacing w:after="0" w:line="260" w:lineRule="auto"/>
              <w:jc w:val="left"/>
              <w:textAlignment w:val="auto"/>
              <w:rPr>
                <w:rFonts w:hint="eastAsia" w:ascii="宋体" w:hAnsi="宋体" w:eastAsia="宋体" w:cs="宋体"/>
                <w:color w:val="auto"/>
                <w:kern w:val="0"/>
                <w:sz w:val="21"/>
                <w:szCs w:val="21"/>
              </w:rPr>
            </w:pPr>
            <w:r>
              <w:rPr>
                <w:rFonts w:hint="eastAsia" w:ascii="宋体" w:hAnsi="宋体" w:eastAsia="宋体" w:cs="宋体"/>
                <w:color w:val="000000"/>
                <w:kern w:val="0"/>
                <w:sz w:val="21"/>
                <w:szCs w:val="21"/>
              </w:rPr>
              <w:t>根据投标人针对本项目提供的施工组织方案，包括施工计划、安全文明施工方案、组织管理措施、项目保障方案等进行综合打分：一档得5分；二档4.5分；三档4分；四档3.5分；五档3分；六档2.5分；七档2分；八档1.5分；九档1分；十档0.5分，未提及此项不得分。</w:t>
            </w:r>
          </w:p>
        </w:tc>
        <w:tc>
          <w:tcPr>
            <w:tcW w:w="475" w:type="dxa"/>
            <w:vAlign w:val="center"/>
          </w:tcPr>
          <w:p w14:paraId="3A8F5617">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000000"/>
                <w:kern w:val="0"/>
                <w:sz w:val="21"/>
                <w:szCs w:val="21"/>
              </w:rPr>
              <w:t>5</w:t>
            </w:r>
          </w:p>
        </w:tc>
      </w:tr>
      <w:tr w14:paraId="51728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5" w:type="dxa"/>
            <w:vAlign w:val="center"/>
          </w:tcPr>
          <w:p w14:paraId="4EAA3BDE">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w:t>
            </w:r>
          </w:p>
        </w:tc>
        <w:tc>
          <w:tcPr>
            <w:tcW w:w="1058" w:type="dxa"/>
            <w:vAlign w:val="center"/>
          </w:tcPr>
          <w:p w14:paraId="73C789AA">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000000"/>
                <w:kern w:val="0"/>
                <w:sz w:val="21"/>
                <w:szCs w:val="21"/>
              </w:rPr>
              <w:t>售后服务方案</w:t>
            </w:r>
          </w:p>
        </w:tc>
        <w:tc>
          <w:tcPr>
            <w:tcW w:w="7138" w:type="dxa"/>
            <w:vAlign w:val="top"/>
          </w:tcPr>
          <w:p w14:paraId="48F92CAD">
            <w:pPr>
              <w:keepNext w:val="0"/>
              <w:keepLines w:val="0"/>
              <w:pageBreakBefore w:val="0"/>
              <w:widowControl/>
              <w:kinsoku/>
              <w:wordWrap/>
              <w:overflowPunct/>
              <w:topLinePunct w:val="0"/>
              <w:autoSpaceDE/>
              <w:autoSpaceDN/>
              <w:bidi w:val="0"/>
              <w:adjustRightInd/>
              <w:snapToGrid/>
              <w:spacing w:after="0" w:line="260" w:lineRule="auto"/>
              <w:jc w:val="left"/>
              <w:textAlignment w:val="auto"/>
              <w:rPr>
                <w:rFonts w:hint="eastAsia" w:ascii="宋体" w:hAnsi="宋体" w:eastAsia="宋体" w:cs="宋体"/>
                <w:color w:val="auto"/>
                <w:kern w:val="0"/>
                <w:sz w:val="21"/>
                <w:szCs w:val="21"/>
              </w:rPr>
            </w:pPr>
            <w:r>
              <w:rPr>
                <w:rFonts w:hint="eastAsia" w:ascii="宋体" w:hAnsi="宋体" w:eastAsia="宋体" w:cs="宋体"/>
                <w:color w:val="000000"/>
                <w:kern w:val="0"/>
                <w:sz w:val="21"/>
                <w:szCs w:val="21"/>
              </w:rPr>
              <w:t>根据投标人针对本项目制定的售后服务方案，包括服务内容、响应时间、故障修复时间、服务保障制度等进行综合打分：一档得5分；二档4.5分；三档4分；四档3.5分；五档3分；六档2.5分；七档2分；八档1.5分；九档1分；十档0.5分，未提及此项不得分。</w:t>
            </w:r>
          </w:p>
        </w:tc>
        <w:tc>
          <w:tcPr>
            <w:tcW w:w="475" w:type="dxa"/>
            <w:vAlign w:val="center"/>
          </w:tcPr>
          <w:p w14:paraId="1A33D4AC">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000000"/>
                <w:kern w:val="0"/>
                <w:sz w:val="21"/>
                <w:szCs w:val="21"/>
              </w:rPr>
              <w:t>5</w:t>
            </w:r>
          </w:p>
        </w:tc>
      </w:tr>
      <w:tr w14:paraId="11F43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5" w:type="dxa"/>
            <w:vAlign w:val="center"/>
          </w:tcPr>
          <w:p w14:paraId="32879ED2">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9</w:t>
            </w:r>
          </w:p>
        </w:tc>
        <w:tc>
          <w:tcPr>
            <w:tcW w:w="1058" w:type="dxa"/>
            <w:vAlign w:val="center"/>
          </w:tcPr>
          <w:p w14:paraId="17E4B9B4">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000000"/>
                <w:kern w:val="0"/>
                <w:sz w:val="21"/>
                <w:szCs w:val="21"/>
              </w:rPr>
              <w:t>售后保障能力</w:t>
            </w:r>
          </w:p>
        </w:tc>
        <w:tc>
          <w:tcPr>
            <w:tcW w:w="7138" w:type="dxa"/>
            <w:vAlign w:val="top"/>
          </w:tcPr>
          <w:p w14:paraId="3CB4F8F2">
            <w:pPr>
              <w:keepNext w:val="0"/>
              <w:keepLines w:val="0"/>
              <w:pageBreakBefore w:val="0"/>
              <w:widowControl/>
              <w:kinsoku/>
              <w:wordWrap/>
              <w:overflowPunct/>
              <w:topLinePunct w:val="0"/>
              <w:autoSpaceDE/>
              <w:autoSpaceDN/>
              <w:bidi w:val="0"/>
              <w:adjustRightInd/>
              <w:snapToGrid/>
              <w:spacing w:after="0" w:line="260" w:lineRule="auto"/>
              <w:jc w:val="left"/>
              <w:textAlignment w:val="auto"/>
              <w:rPr>
                <w:rFonts w:hint="eastAsia" w:ascii="宋体" w:hAnsi="宋体" w:eastAsia="宋体" w:cs="宋体"/>
                <w:color w:val="auto"/>
                <w:kern w:val="0"/>
                <w:sz w:val="21"/>
                <w:szCs w:val="21"/>
              </w:rPr>
            </w:pPr>
            <w:r>
              <w:rPr>
                <w:rFonts w:hint="eastAsia" w:ascii="宋体" w:hAnsi="宋体" w:eastAsia="宋体" w:cs="宋体"/>
                <w:color w:val="000000"/>
                <w:kern w:val="0"/>
                <w:sz w:val="21"/>
                <w:szCs w:val="21"/>
              </w:rPr>
              <w:t>根据投标人提供的售后保障能力，包括售后网点设置、售后服务人员配备、售后服务方案等进行综合打分：一档得5分；二档4.5分；三档4分；四档3.5分；五档3分；六档2.5分；七档2分；八档1.5分；九档1分；十档0.5分，未提及此项不得分。（需提供售后网点现场照片、售后服务人员配备情况）</w:t>
            </w:r>
          </w:p>
        </w:tc>
        <w:tc>
          <w:tcPr>
            <w:tcW w:w="475" w:type="dxa"/>
            <w:vAlign w:val="center"/>
          </w:tcPr>
          <w:p w14:paraId="05BF2B7E">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000000"/>
                <w:kern w:val="0"/>
                <w:sz w:val="21"/>
                <w:szCs w:val="21"/>
              </w:rPr>
              <w:t>5</w:t>
            </w:r>
          </w:p>
        </w:tc>
      </w:tr>
      <w:tr w14:paraId="45087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5" w:type="dxa"/>
            <w:vAlign w:val="center"/>
          </w:tcPr>
          <w:p w14:paraId="69F1CC9E">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058" w:type="dxa"/>
            <w:vAlign w:val="center"/>
          </w:tcPr>
          <w:p w14:paraId="1FD4870C">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000000"/>
                <w:kern w:val="0"/>
                <w:sz w:val="21"/>
                <w:szCs w:val="21"/>
              </w:rPr>
              <w:t>类似业绩</w:t>
            </w:r>
          </w:p>
        </w:tc>
        <w:tc>
          <w:tcPr>
            <w:tcW w:w="7138" w:type="dxa"/>
            <w:vAlign w:val="top"/>
          </w:tcPr>
          <w:p w14:paraId="6C46341D">
            <w:pPr>
              <w:keepNext w:val="0"/>
              <w:keepLines w:val="0"/>
              <w:pageBreakBefore w:val="0"/>
              <w:widowControl/>
              <w:kinsoku/>
              <w:wordWrap/>
              <w:overflowPunct/>
              <w:topLinePunct w:val="0"/>
              <w:autoSpaceDE/>
              <w:autoSpaceDN/>
              <w:bidi w:val="0"/>
              <w:adjustRightInd/>
              <w:snapToGrid/>
              <w:spacing w:after="0" w:line="260" w:lineRule="auto"/>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提供2023年1月1日以来（以合同签订时间为准）承接过类似项目业绩，每一份得1分，最高3分。</w:t>
            </w:r>
          </w:p>
          <w:p w14:paraId="1A62666E">
            <w:pPr>
              <w:keepNext w:val="0"/>
              <w:keepLines w:val="0"/>
              <w:pageBreakBefore w:val="0"/>
              <w:widowControl/>
              <w:kinsoku/>
              <w:wordWrap/>
              <w:overflowPunct/>
              <w:topLinePunct w:val="0"/>
              <w:autoSpaceDE/>
              <w:autoSpaceDN/>
              <w:bidi w:val="0"/>
              <w:adjustRightInd/>
              <w:snapToGrid/>
              <w:spacing w:after="0" w:line="260" w:lineRule="auto"/>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备注：</w:t>
            </w:r>
          </w:p>
          <w:p w14:paraId="2D591AB8">
            <w:pPr>
              <w:keepNext w:val="0"/>
              <w:keepLines w:val="0"/>
              <w:pageBreakBefore w:val="0"/>
              <w:widowControl/>
              <w:kinsoku/>
              <w:wordWrap/>
              <w:overflowPunct/>
              <w:topLinePunct w:val="0"/>
              <w:autoSpaceDE/>
              <w:autoSpaceDN/>
              <w:bidi w:val="0"/>
              <w:adjustRightInd/>
              <w:snapToGrid/>
              <w:spacing w:after="0" w:line="260" w:lineRule="auto"/>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1、合同业绩须为本次投标人的业绩，投标人的独立法人子公司、参股公司的业绩均不予认可。</w:t>
            </w:r>
          </w:p>
          <w:p w14:paraId="2D31FB7C">
            <w:pPr>
              <w:keepNext w:val="0"/>
              <w:keepLines w:val="0"/>
              <w:pageBreakBefore w:val="0"/>
              <w:widowControl/>
              <w:kinsoku/>
              <w:wordWrap/>
              <w:overflowPunct/>
              <w:topLinePunct w:val="0"/>
              <w:autoSpaceDE/>
              <w:autoSpaceDN/>
              <w:bidi w:val="0"/>
              <w:adjustRightInd/>
              <w:snapToGrid/>
              <w:spacing w:after="0" w:line="260" w:lineRule="auto"/>
              <w:jc w:val="left"/>
              <w:textAlignment w:val="auto"/>
              <w:rPr>
                <w:rFonts w:hint="eastAsia" w:ascii="宋体" w:hAnsi="宋体" w:eastAsia="宋体" w:cs="宋体"/>
                <w:color w:val="auto"/>
                <w:kern w:val="0"/>
                <w:sz w:val="21"/>
                <w:szCs w:val="21"/>
              </w:rPr>
            </w:pPr>
            <w:r>
              <w:rPr>
                <w:rFonts w:hint="eastAsia" w:ascii="宋体" w:hAnsi="宋体" w:eastAsia="宋体" w:cs="宋体"/>
                <w:color w:val="000000"/>
                <w:kern w:val="0"/>
                <w:sz w:val="21"/>
                <w:szCs w:val="21"/>
              </w:rPr>
              <w:t>2、如投标人提供的合同扫描件或发票扫描件因模糊不清而造成评标委员会在评审时做出对投标人不利的评审由投标人自行承担</w:t>
            </w:r>
          </w:p>
        </w:tc>
        <w:tc>
          <w:tcPr>
            <w:tcW w:w="475" w:type="dxa"/>
            <w:vAlign w:val="center"/>
          </w:tcPr>
          <w:p w14:paraId="2E3C33E1">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000000"/>
                <w:kern w:val="0"/>
                <w:sz w:val="21"/>
                <w:szCs w:val="21"/>
              </w:rPr>
              <w:t>3</w:t>
            </w:r>
          </w:p>
        </w:tc>
      </w:tr>
      <w:tr w14:paraId="48C60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5" w:type="dxa"/>
            <w:vAlign w:val="center"/>
          </w:tcPr>
          <w:p w14:paraId="613C2C82">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11</w:t>
            </w:r>
          </w:p>
        </w:tc>
        <w:tc>
          <w:tcPr>
            <w:tcW w:w="1058" w:type="dxa"/>
            <w:vAlign w:val="center"/>
          </w:tcPr>
          <w:p w14:paraId="403490F9">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000000"/>
                <w:kern w:val="0"/>
                <w:sz w:val="21"/>
                <w:szCs w:val="21"/>
              </w:rPr>
              <w:t>商务分</w:t>
            </w:r>
          </w:p>
        </w:tc>
        <w:tc>
          <w:tcPr>
            <w:tcW w:w="7138" w:type="dxa"/>
            <w:vAlign w:val="top"/>
          </w:tcPr>
          <w:p w14:paraId="7CD870F9">
            <w:pPr>
              <w:keepNext w:val="0"/>
              <w:keepLines w:val="0"/>
              <w:pageBreakBefore w:val="0"/>
              <w:widowControl/>
              <w:kinsoku/>
              <w:wordWrap/>
              <w:overflowPunct/>
              <w:topLinePunct w:val="0"/>
              <w:autoSpaceDE/>
              <w:autoSpaceDN/>
              <w:bidi w:val="0"/>
              <w:adjustRightInd/>
              <w:snapToGrid/>
              <w:spacing w:after="0" w:line="260" w:lineRule="auto"/>
              <w:jc w:val="left"/>
              <w:textAlignment w:val="auto"/>
              <w:rPr>
                <w:rFonts w:hint="eastAsia" w:ascii="宋体" w:hAnsi="宋体" w:eastAsia="宋体" w:cs="宋体"/>
                <w:color w:val="auto"/>
                <w:kern w:val="0"/>
                <w:sz w:val="21"/>
                <w:szCs w:val="21"/>
              </w:rPr>
            </w:pPr>
            <w:r>
              <w:rPr>
                <w:rFonts w:hint="eastAsia" w:ascii="宋体" w:hAnsi="宋体" w:eastAsia="宋体" w:cs="宋体"/>
                <w:color w:val="000000"/>
                <w:kern w:val="0"/>
                <w:sz w:val="21"/>
                <w:szCs w:val="21"/>
              </w:rPr>
              <w:t>以合格投标人有效投标总报价中的最低价为基准价，基准价为30分。投标报价得分＝（评标基准价/投标报价）×30%×100（小数点后保留2位小数）。</w:t>
            </w:r>
          </w:p>
        </w:tc>
        <w:tc>
          <w:tcPr>
            <w:tcW w:w="475" w:type="dxa"/>
            <w:vAlign w:val="center"/>
          </w:tcPr>
          <w:p w14:paraId="1F151AF4">
            <w:pPr>
              <w:keepNext w:val="0"/>
              <w:keepLines w:val="0"/>
              <w:pageBreakBefore w:val="0"/>
              <w:widowControl/>
              <w:kinsoku/>
              <w:wordWrap/>
              <w:overflowPunct/>
              <w:topLinePunct w:val="0"/>
              <w:autoSpaceDE/>
              <w:autoSpaceDN/>
              <w:bidi w:val="0"/>
              <w:adjustRightInd/>
              <w:snapToGrid/>
              <w:spacing w:after="0" w:line="26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000000"/>
                <w:kern w:val="0"/>
                <w:sz w:val="21"/>
                <w:szCs w:val="21"/>
              </w:rPr>
              <w:t>30</w:t>
            </w:r>
          </w:p>
        </w:tc>
      </w:tr>
    </w:tbl>
    <w:p w14:paraId="1CC56B2C">
      <w:pPr>
        <w:spacing w:after="0" w:line="312" w:lineRule="auto"/>
        <w:rPr>
          <w:rFonts w:hint="eastAsia" w:ascii="宋体" w:hAnsi="宋体" w:cs="宋体"/>
          <w:b/>
          <w:color w:val="auto"/>
          <w:szCs w:val="21"/>
        </w:rPr>
      </w:pPr>
      <w:r>
        <w:rPr>
          <w:rFonts w:hint="eastAsia" w:ascii="宋体" w:hAnsi="宋体" w:cs="宋体"/>
          <w:b/>
          <w:color w:val="auto"/>
          <w:szCs w:val="21"/>
        </w:rPr>
        <w:t>注：合同、证书、报告及其他相关证明材料，将原件扫描上传至电子投标文件，并加盖电子印章。</w:t>
      </w:r>
    </w:p>
    <w:p w14:paraId="5CAD42CF">
      <w:pPr>
        <w:rPr>
          <w:rFonts w:hint="eastAsia" w:ascii="宋体" w:hAnsi="宋体" w:cs="宋体"/>
          <w:b/>
          <w:color w:val="auto"/>
          <w:sz w:val="36"/>
          <w:szCs w:val="36"/>
        </w:rPr>
      </w:pPr>
      <w:r>
        <w:rPr>
          <w:rFonts w:hint="eastAsia" w:ascii="宋体" w:hAnsi="宋体" w:cs="宋体"/>
          <w:b/>
          <w:color w:val="auto"/>
          <w:sz w:val="36"/>
          <w:szCs w:val="36"/>
        </w:rPr>
        <w:br w:type="page"/>
      </w:r>
    </w:p>
    <w:p w14:paraId="7DE8F881">
      <w:pPr>
        <w:pStyle w:val="2"/>
        <w:rPr>
          <w:color w:val="auto"/>
        </w:rPr>
      </w:pPr>
      <w:r>
        <w:rPr>
          <w:rFonts w:hint="eastAsia"/>
          <w:color w:val="auto"/>
        </w:rPr>
        <w:t>第五章   政府采购合同主要条款指引</w:t>
      </w:r>
    </w:p>
    <w:p w14:paraId="6D926FFC">
      <w:pPr>
        <w:widowControl/>
        <w:shd w:val="clear" w:color="auto"/>
        <w:spacing w:after="0" w:line="360" w:lineRule="auto"/>
        <w:ind w:firstLine="480"/>
        <w:jc w:val="left"/>
        <w:rPr>
          <w:rFonts w:hint="eastAsia" w:ascii="宋体" w:hAnsi="宋体" w:eastAsia="宋体" w:cs="宋体"/>
          <w:b/>
          <w:color w:val="auto"/>
          <w:sz w:val="21"/>
          <w:szCs w:val="21"/>
        </w:rPr>
      </w:pPr>
    </w:p>
    <w:p w14:paraId="25DF11F5">
      <w:pPr>
        <w:widowControl/>
        <w:shd w:val="clear" w:color="auto"/>
        <w:spacing w:after="0" w:line="360" w:lineRule="auto"/>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以下为成交后签定本项目合同的通用条款，成交供应商不得提出实质性的修改，关于专用条款将由采购人与成交供应商结合本项目具体情况协商后签订。</w:t>
      </w:r>
    </w:p>
    <w:p w14:paraId="79C09DC5">
      <w:pPr>
        <w:pStyle w:val="13"/>
        <w:snapToGrid w:val="0"/>
        <w:spacing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项目名称：</w:t>
      </w:r>
      <w:r>
        <w:rPr>
          <w:rFonts w:hint="eastAsia" w:hAnsi="宋体" w:cs="宋体"/>
          <w:color w:val="auto"/>
          <w:sz w:val="21"/>
          <w:szCs w:val="21"/>
          <w:lang w:eastAsia="zh-CN"/>
        </w:rPr>
        <w:t>北洋镇应急中心改造提升工程（智能化）</w:t>
      </w:r>
      <w:r>
        <w:rPr>
          <w:rFonts w:hint="eastAsia" w:ascii="宋体" w:hAnsi="宋体" w:eastAsia="宋体" w:cs="宋体"/>
          <w:color w:val="auto"/>
          <w:sz w:val="21"/>
          <w:szCs w:val="21"/>
        </w:rPr>
        <w:t xml:space="preserve">                                      </w:t>
      </w:r>
    </w:p>
    <w:p w14:paraId="6D71907D">
      <w:pPr>
        <w:pStyle w:val="13"/>
        <w:snapToGrid w:val="0"/>
        <w:spacing w:after="0"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项目编号：</w:t>
      </w:r>
      <w:r>
        <w:rPr>
          <w:rFonts w:hint="eastAsia" w:hAnsi="宋体" w:cs="宋体"/>
          <w:color w:val="auto"/>
          <w:sz w:val="21"/>
          <w:szCs w:val="21"/>
          <w:lang w:eastAsia="zh-CN"/>
        </w:rPr>
        <w:t>331003267110020000014-JC-GK2026-014号</w:t>
      </w:r>
    </w:p>
    <w:p w14:paraId="38C10A6A">
      <w:pPr>
        <w:pStyle w:val="13"/>
        <w:snapToGrid w:val="0"/>
        <w:spacing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甲方：（采购单位）                            所在地：                              </w:t>
      </w:r>
    </w:p>
    <w:p w14:paraId="60B959D9">
      <w:pPr>
        <w:pStyle w:val="13"/>
        <w:snapToGrid w:val="0"/>
        <w:spacing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乙方：（中标供应商）                          所在地：</w:t>
      </w:r>
    </w:p>
    <w:p w14:paraId="41B8D5C3">
      <w:pPr>
        <w:pStyle w:val="13"/>
        <w:snapToGrid w:val="0"/>
        <w:spacing w:after="0" w:line="360" w:lineRule="auto"/>
        <w:rPr>
          <w:rFonts w:hint="eastAsia" w:ascii="宋体" w:hAnsi="宋体" w:eastAsia="宋体" w:cs="宋体"/>
          <w:b/>
          <w:color w:val="auto"/>
          <w:sz w:val="21"/>
          <w:szCs w:val="21"/>
        </w:rPr>
      </w:pPr>
      <w:r>
        <w:rPr>
          <w:rFonts w:hint="eastAsia" w:ascii="宋体" w:hAnsi="宋体" w:eastAsia="宋体" w:cs="宋体"/>
          <w:color w:val="auto"/>
          <w:sz w:val="21"/>
          <w:szCs w:val="21"/>
        </w:rPr>
        <w:t xml:space="preserve">    甲、乙双方根据</w:t>
      </w:r>
      <w:r>
        <w:rPr>
          <w:rFonts w:hint="eastAsia" w:ascii="宋体" w:hAnsi="宋体" w:eastAsia="宋体" w:cs="宋体"/>
          <w:color w:val="auto"/>
          <w:sz w:val="21"/>
          <w:szCs w:val="21"/>
          <w:lang w:eastAsia="zh-CN"/>
        </w:rPr>
        <w:t>台州市玖诚工程管理有限公司</w:t>
      </w:r>
      <w:r>
        <w:rPr>
          <w:rFonts w:hint="eastAsia" w:ascii="宋体" w:hAnsi="宋体" w:eastAsia="宋体" w:cs="宋体"/>
          <w:color w:val="auto"/>
          <w:sz w:val="21"/>
          <w:szCs w:val="21"/>
        </w:rPr>
        <w:t>关于××单位××项目公开招标的结果，签署本合同。</w:t>
      </w:r>
    </w:p>
    <w:p w14:paraId="6AED8450">
      <w:pPr>
        <w:spacing w:after="0" w:line="360" w:lineRule="auto"/>
        <w:rPr>
          <w:rFonts w:hint="eastAsia" w:ascii="宋体" w:hAnsi="宋体" w:eastAsia="宋体" w:cs="宋体"/>
          <w:b/>
          <w:bCs/>
          <w:color w:val="auto"/>
          <w:sz w:val="21"/>
          <w:szCs w:val="21"/>
          <w:lang w:val="zh-CN"/>
        </w:rPr>
      </w:pPr>
      <w:r>
        <w:rPr>
          <w:rFonts w:hint="eastAsia" w:ascii="宋体" w:hAnsi="宋体" w:eastAsia="宋体" w:cs="宋体"/>
          <w:b/>
          <w:bCs/>
          <w:color w:val="auto"/>
          <w:sz w:val="21"/>
          <w:szCs w:val="21"/>
          <w:lang w:val="zh-CN"/>
        </w:rPr>
        <w:t xml:space="preserve">一、合同文件： </w:t>
      </w:r>
    </w:p>
    <w:p w14:paraId="34F9CF2C">
      <w:pPr>
        <w:spacing w:after="0" w:line="360" w:lineRule="auto"/>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1.合同条款。</w:t>
      </w:r>
    </w:p>
    <w:p w14:paraId="6E8DAA37">
      <w:pPr>
        <w:spacing w:after="0" w:line="360" w:lineRule="auto"/>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2.中标通知书。</w:t>
      </w:r>
    </w:p>
    <w:p w14:paraId="4BC7FB03">
      <w:pPr>
        <w:spacing w:after="0" w:line="360" w:lineRule="auto"/>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3.更正补充文件。</w:t>
      </w:r>
    </w:p>
    <w:p w14:paraId="51F585D2">
      <w:pPr>
        <w:spacing w:after="0" w:line="360" w:lineRule="auto"/>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4.招标文件。</w:t>
      </w:r>
    </w:p>
    <w:p w14:paraId="531B9A10">
      <w:pPr>
        <w:spacing w:after="0" w:line="360" w:lineRule="auto"/>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5.中标供应商投标文件。</w:t>
      </w:r>
    </w:p>
    <w:p w14:paraId="64F22A4E">
      <w:pPr>
        <w:spacing w:after="0" w:line="360" w:lineRule="auto"/>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6.其他。</w:t>
      </w:r>
    </w:p>
    <w:p w14:paraId="394DF204">
      <w:pPr>
        <w:pStyle w:val="13"/>
        <w:snapToGrid w:val="0"/>
        <w:spacing w:after="0" w:line="360" w:lineRule="auto"/>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上述所指合同文件应认为是互相补充和解释的，但是有模棱两可或互相矛盾之处，以其所列内容顺序为准。</w:t>
      </w:r>
    </w:p>
    <w:p w14:paraId="7E4A4AB5">
      <w:pPr>
        <w:spacing w:line="360" w:lineRule="auto"/>
        <w:jc w:val="left"/>
        <w:rPr>
          <w:rFonts w:hint="eastAsia" w:ascii="宋体" w:hAnsi="宋体" w:eastAsia="宋体" w:cs="宋体"/>
          <w:b/>
          <w:color w:val="auto"/>
          <w:sz w:val="21"/>
          <w:szCs w:val="21"/>
        </w:rPr>
      </w:pPr>
      <w:r>
        <w:rPr>
          <w:rFonts w:hint="eastAsia" w:ascii="宋体" w:hAnsi="宋体" w:eastAsia="宋体" w:cs="宋体"/>
          <w:b/>
          <w:color w:val="auto"/>
          <w:sz w:val="21"/>
          <w:szCs w:val="21"/>
        </w:rPr>
        <w:t>二、货物内容</w:t>
      </w:r>
    </w:p>
    <w:p w14:paraId="38BDA346">
      <w:pPr>
        <w:pStyle w:val="13"/>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jc w:val="lef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详见项目需求。</w:t>
      </w:r>
    </w:p>
    <w:p w14:paraId="1D6CB386">
      <w:pPr>
        <w:pStyle w:val="13"/>
        <w:snapToGrid w:val="0"/>
        <w:spacing w:after="0" w:line="360" w:lineRule="auto"/>
        <w:jc w:val="left"/>
        <w:rPr>
          <w:rFonts w:hint="eastAsia" w:ascii="宋体" w:hAnsi="宋体" w:eastAsia="宋体" w:cs="宋体"/>
          <w:b/>
          <w:color w:val="auto"/>
          <w:sz w:val="21"/>
          <w:szCs w:val="21"/>
        </w:rPr>
      </w:pPr>
      <w:r>
        <w:rPr>
          <w:rFonts w:hint="eastAsia" w:ascii="宋体" w:hAnsi="宋体" w:eastAsia="宋体" w:cs="宋体"/>
          <w:b/>
          <w:color w:val="auto"/>
          <w:sz w:val="21"/>
          <w:szCs w:val="21"/>
        </w:rPr>
        <w:t>三、合同金额</w:t>
      </w:r>
    </w:p>
    <w:p w14:paraId="6E2FED33">
      <w:pPr>
        <w:pStyle w:val="13"/>
        <w:snapToGrid w:val="0"/>
        <w:spacing w:after="0" w:line="360" w:lineRule="auto"/>
        <w:ind w:left="18" w:leftChars="0" w:hanging="18" w:hangingChars="9"/>
        <w:rPr>
          <w:rFonts w:hint="eastAsia" w:ascii="宋体" w:hAnsi="宋体" w:eastAsia="宋体" w:cs="宋体"/>
          <w:color w:val="auto"/>
          <w:sz w:val="21"/>
          <w:szCs w:val="21"/>
        </w:rPr>
      </w:pPr>
      <w:r>
        <w:rPr>
          <w:rFonts w:hint="eastAsia" w:ascii="宋体" w:hAnsi="宋体" w:eastAsia="宋体" w:cs="宋体"/>
          <w:color w:val="auto"/>
          <w:sz w:val="21"/>
          <w:szCs w:val="21"/>
        </w:rPr>
        <w:t xml:space="preserve">    本合同金额为（大写）：____________元（￥________元）人民币。该价款已包含设备价款、材料费用、运输费、装卸费、安装调试费、培训费、质保期内的售后服务费、税费等一切相关费用，甲方无需额外支付其他费用。</w:t>
      </w:r>
    </w:p>
    <w:p w14:paraId="3FABAF58">
      <w:pPr>
        <w:pStyle w:val="13"/>
        <w:snapToGrid w:val="0"/>
        <w:spacing w:after="0"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四、技术资料</w:t>
      </w:r>
    </w:p>
    <w:p w14:paraId="38729983">
      <w:pPr>
        <w:pStyle w:val="13"/>
        <w:snapToGrid w:val="0"/>
        <w:spacing w:after="0" w:line="360" w:lineRule="auto"/>
        <w:ind w:left="410" w:hanging="359" w:hangingChars="171"/>
        <w:rPr>
          <w:rFonts w:hint="eastAsia" w:ascii="宋体" w:hAnsi="宋体" w:eastAsia="宋体" w:cs="宋体"/>
          <w:color w:val="auto"/>
          <w:sz w:val="21"/>
          <w:szCs w:val="21"/>
        </w:rPr>
      </w:pPr>
      <w:r>
        <w:rPr>
          <w:rFonts w:hint="eastAsia" w:ascii="宋体" w:hAnsi="宋体" w:eastAsia="宋体" w:cs="宋体"/>
          <w:color w:val="auto"/>
          <w:sz w:val="21"/>
          <w:szCs w:val="21"/>
        </w:rPr>
        <w:t xml:space="preserve">    1.乙方应按招标文件规定的时间向甲方提供货物。</w:t>
      </w:r>
    </w:p>
    <w:p w14:paraId="1F780890">
      <w:pPr>
        <w:pStyle w:val="13"/>
        <w:snapToGrid w:val="0"/>
        <w:spacing w:after="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5AED4B36">
      <w:pPr>
        <w:pStyle w:val="13"/>
        <w:snapToGrid w:val="0"/>
        <w:spacing w:after="0" w:line="360" w:lineRule="auto"/>
        <w:ind w:left="412" w:hanging="361" w:hangingChars="171"/>
        <w:rPr>
          <w:rFonts w:hint="eastAsia" w:ascii="宋体" w:hAnsi="宋体" w:eastAsia="宋体" w:cs="宋体"/>
          <w:b/>
          <w:color w:val="auto"/>
          <w:sz w:val="21"/>
          <w:szCs w:val="21"/>
        </w:rPr>
      </w:pPr>
      <w:r>
        <w:rPr>
          <w:rFonts w:hint="eastAsia" w:ascii="宋体" w:hAnsi="宋体" w:eastAsia="宋体" w:cs="宋体"/>
          <w:b/>
          <w:color w:val="auto"/>
          <w:sz w:val="21"/>
          <w:szCs w:val="21"/>
        </w:rPr>
        <w:t>五、知识产权</w:t>
      </w:r>
    </w:p>
    <w:p w14:paraId="5C6B3AB8">
      <w:pPr>
        <w:pStyle w:val="13"/>
        <w:snapToGrid w:val="0"/>
        <w:spacing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1.乙方应保证所提供的货物或其任何一部分均不会侵犯任何第三方的知识产权。</w:t>
      </w:r>
    </w:p>
    <w:p w14:paraId="18B89876">
      <w:pPr>
        <w:pStyle w:val="13"/>
        <w:snapToGrid w:val="0"/>
        <w:spacing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2.若侵犯,由乙方赔偿甲方因此遭受的损失（包括但不限于应对及追偿过程中所支付的律师费、差旅费、诉讼费、保全费、鉴定费、评估费等）。</w:t>
      </w:r>
    </w:p>
    <w:p w14:paraId="7CBDA4C1">
      <w:pPr>
        <w:pStyle w:val="13"/>
        <w:snapToGrid w:val="0"/>
        <w:spacing w:after="0" w:line="360" w:lineRule="auto"/>
        <w:rPr>
          <w:rFonts w:hint="eastAsia" w:ascii="宋体" w:hAnsi="宋体" w:eastAsia="宋体" w:cs="宋体"/>
          <w:color w:val="auto"/>
          <w:sz w:val="21"/>
          <w:szCs w:val="21"/>
          <w:u w:val="single"/>
        </w:rPr>
      </w:pPr>
      <w:r>
        <w:rPr>
          <w:rFonts w:hint="eastAsia" w:ascii="宋体" w:hAnsi="宋体" w:eastAsia="宋体" w:cs="宋体"/>
          <w:b/>
          <w:color w:val="auto"/>
          <w:sz w:val="21"/>
          <w:szCs w:val="21"/>
        </w:rPr>
        <w:t>六、产权担保</w:t>
      </w:r>
    </w:p>
    <w:p w14:paraId="126681AB">
      <w:pPr>
        <w:pStyle w:val="13"/>
        <w:snapToGrid w:val="0"/>
        <w:spacing w:after="0" w:line="360" w:lineRule="auto"/>
        <w:rPr>
          <w:rFonts w:hint="eastAsia" w:ascii="宋体" w:hAnsi="宋体" w:eastAsia="宋体" w:cs="宋体"/>
          <w:color w:val="auto"/>
          <w:sz w:val="21"/>
          <w:szCs w:val="21"/>
          <w:u w:val="single"/>
        </w:rPr>
      </w:pPr>
      <w:r>
        <w:rPr>
          <w:rFonts w:hint="eastAsia" w:ascii="宋体" w:hAnsi="宋体" w:eastAsia="宋体" w:cs="宋体"/>
          <w:color w:val="auto"/>
          <w:sz w:val="21"/>
          <w:szCs w:val="21"/>
        </w:rPr>
        <w:t xml:space="preserve">    乙方保证所交付的货物的所有权完全属于乙方且无任何抵押、查封等产权瑕疵。</w:t>
      </w:r>
    </w:p>
    <w:p w14:paraId="018932D9">
      <w:pPr>
        <w:pStyle w:val="13"/>
        <w:snapToGrid w:val="0"/>
        <w:spacing w:after="0" w:line="360" w:lineRule="auto"/>
        <w:ind w:left="410" w:hanging="358" w:hangingChars="170"/>
        <w:rPr>
          <w:rFonts w:hint="eastAsia" w:ascii="宋体" w:hAnsi="宋体" w:eastAsia="宋体" w:cs="宋体"/>
          <w:b/>
          <w:color w:val="auto"/>
          <w:sz w:val="21"/>
          <w:szCs w:val="21"/>
        </w:rPr>
      </w:pPr>
      <w:r>
        <w:rPr>
          <w:rFonts w:hint="eastAsia" w:ascii="宋体" w:hAnsi="宋体" w:eastAsia="宋体" w:cs="宋体"/>
          <w:b/>
          <w:color w:val="auto"/>
          <w:sz w:val="21"/>
          <w:szCs w:val="21"/>
        </w:rPr>
        <w:t>七、转包或分包</w:t>
      </w:r>
    </w:p>
    <w:p w14:paraId="07706B61">
      <w:pPr>
        <w:snapToGrid w:val="0"/>
        <w:spacing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1.本合同范围的货物，应由乙方直接供应，不得转让他人供应；</w:t>
      </w:r>
    </w:p>
    <w:p w14:paraId="7ED412B8">
      <w:pPr>
        <w:snapToGrid w:val="0"/>
        <w:spacing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2.除非得到甲方的书面同意，乙方不得将本合同范围的货物全部或部分分包给他人供应；</w:t>
      </w:r>
    </w:p>
    <w:p w14:paraId="28DF282D">
      <w:pPr>
        <w:snapToGrid w:val="0"/>
        <w:spacing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3.如有转让和未经甲方同意的分包行为，甲方有权解除合同，追究乙方的违约责任。</w:t>
      </w:r>
    </w:p>
    <w:p w14:paraId="141503DE">
      <w:pPr>
        <w:pStyle w:val="13"/>
        <w:snapToGrid w:val="0"/>
        <w:spacing w:after="0" w:line="360" w:lineRule="auto"/>
        <w:ind w:left="412" w:hanging="361" w:hangingChars="171"/>
        <w:rPr>
          <w:rFonts w:hint="eastAsia" w:ascii="宋体" w:hAnsi="宋体" w:eastAsia="宋体" w:cs="宋体"/>
          <w:b/>
          <w:color w:val="auto"/>
          <w:sz w:val="21"/>
          <w:szCs w:val="21"/>
        </w:rPr>
      </w:pPr>
      <w:r>
        <w:rPr>
          <w:rFonts w:hint="eastAsia" w:ascii="宋体" w:hAnsi="宋体" w:eastAsia="宋体" w:cs="宋体"/>
          <w:b/>
          <w:color w:val="auto"/>
          <w:sz w:val="21"/>
          <w:szCs w:val="21"/>
        </w:rPr>
        <w:t>八、质保期</w:t>
      </w:r>
    </w:p>
    <w:p w14:paraId="60C3ED76">
      <w:pPr>
        <w:pStyle w:val="13"/>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eastAsia="宋体" w:cs="宋体"/>
          <w:b/>
          <w:color w:val="auto"/>
          <w:sz w:val="21"/>
          <w:szCs w:val="21"/>
        </w:rPr>
      </w:pPr>
      <w:r>
        <w:rPr>
          <w:rFonts w:hint="eastAsia" w:ascii="宋体" w:hAnsi="宋体" w:eastAsia="宋体" w:cs="宋体"/>
          <w:snapToGrid w:val="0"/>
          <w:color w:val="auto"/>
          <w:kern w:val="0"/>
          <w:sz w:val="21"/>
          <w:szCs w:val="21"/>
        </w:rPr>
        <w:t>质保期</w:t>
      </w:r>
      <w:r>
        <w:rPr>
          <w:rFonts w:hint="eastAsia" w:ascii="宋体" w:hAnsi="宋体" w:eastAsia="宋体" w:cs="宋体"/>
          <w:strike w:val="0"/>
          <w:dstrike w:val="0"/>
          <w:snapToGrid w:val="0"/>
          <w:color w:val="auto"/>
          <w:kern w:val="0"/>
          <w:sz w:val="21"/>
          <w:szCs w:val="21"/>
          <w:u w:val="single"/>
          <w:lang w:val="en-US" w:eastAsia="zh-CN"/>
        </w:rPr>
        <w:t xml:space="preserve">    </w:t>
      </w:r>
      <w:r>
        <w:rPr>
          <w:rFonts w:hint="eastAsia" w:ascii="宋体" w:hAnsi="宋体" w:eastAsia="宋体" w:cs="宋体"/>
          <w:snapToGrid w:val="0"/>
          <w:color w:val="auto"/>
          <w:kern w:val="0"/>
          <w:sz w:val="21"/>
          <w:szCs w:val="21"/>
        </w:rPr>
        <w:t>年，自最终验收合格之日起计算，按照国家相关法规要求执行。质保期内发现质量问题，中标方须免费更换相应物品。</w:t>
      </w:r>
    </w:p>
    <w:p w14:paraId="249DEFE5">
      <w:pPr>
        <w:pStyle w:val="13"/>
        <w:snapToGrid w:val="0"/>
        <w:spacing w:after="0"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九、交货期、交货方式及交货地点</w:t>
      </w:r>
    </w:p>
    <w:p w14:paraId="5A08E467">
      <w:pPr>
        <w:pStyle w:val="13"/>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1、交货期：</w:t>
      </w:r>
      <w:r>
        <w:rPr>
          <w:rFonts w:hint="eastAsia" w:hAnsi="宋体" w:cs="宋体"/>
          <w:color w:val="auto"/>
          <w:sz w:val="21"/>
          <w:szCs w:val="21"/>
          <w:lang w:eastAsia="zh-CN"/>
        </w:rPr>
        <w:t>合同签订后3个月内完成供货、安装、调试。</w:t>
      </w:r>
      <w:r>
        <w:rPr>
          <w:rFonts w:hint="eastAsia" w:ascii="宋体" w:hAnsi="宋体" w:eastAsia="宋体" w:cs="宋体"/>
          <w:bCs/>
          <w:color w:val="auto"/>
          <w:sz w:val="21"/>
          <w:szCs w:val="21"/>
        </w:rPr>
        <w:t xml:space="preserve">   </w:t>
      </w:r>
    </w:p>
    <w:p w14:paraId="222F36CF">
      <w:pPr>
        <w:pStyle w:val="13"/>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2、交货方式：乙方需按甲方要求将货物送到指定地点。</w:t>
      </w:r>
    </w:p>
    <w:p w14:paraId="0856728D">
      <w:pPr>
        <w:pStyle w:val="13"/>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eastAsia="宋体" w:cs="宋体"/>
          <w:b/>
          <w:color w:val="auto"/>
          <w:sz w:val="21"/>
          <w:szCs w:val="21"/>
        </w:rPr>
      </w:pPr>
      <w:r>
        <w:rPr>
          <w:rFonts w:hint="eastAsia" w:ascii="宋体" w:hAnsi="宋体" w:eastAsia="宋体" w:cs="宋体"/>
          <w:bCs/>
          <w:color w:val="auto"/>
          <w:sz w:val="21"/>
          <w:szCs w:val="21"/>
        </w:rPr>
        <w:t>3、交货地点：甲方指定地点</w:t>
      </w:r>
    </w:p>
    <w:p w14:paraId="77754C68">
      <w:pPr>
        <w:pStyle w:val="13"/>
        <w:snapToGrid w:val="0"/>
        <w:spacing w:after="0"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十、货款支付</w:t>
      </w:r>
    </w:p>
    <w:p w14:paraId="26DCC263">
      <w:pPr>
        <w:pStyle w:val="13"/>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 预付款：合同签订后7个工作日内，采购人支付合同总金额的40%作为预付款。</w:t>
      </w:r>
    </w:p>
    <w:p w14:paraId="1696CE2F">
      <w:pPr>
        <w:pStyle w:val="13"/>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 进度款：所有货物安装调试完成，初验合格后7个工作日内，采购人支付合同总金额的40%。</w:t>
      </w:r>
    </w:p>
    <w:p w14:paraId="708773E1">
      <w:pPr>
        <w:pStyle w:val="13"/>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3. 尾款：试运行期满，终验合格后7个工作日内，采购人支付合同总金额的20%。</w:t>
      </w:r>
    </w:p>
    <w:p w14:paraId="4B0FA07C">
      <w:pPr>
        <w:pStyle w:val="13"/>
        <w:keepNext w:val="0"/>
        <w:keepLines w:val="0"/>
        <w:pageBreakBefore w:val="0"/>
        <w:widowControl w:val="0"/>
        <w:kinsoku/>
        <w:wordWrap/>
        <w:overflowPunct/>
        <w:topLinePunct w:val="0"/>
        <w:autoSpaceDE/>
        <w:autoSpaceDN/>
        <w:bidi w:val="0"/>
        <w:adjustRightInd/>
        <w:snapToGrid w:val="0"/>
        <w:spacing w:after="0" w:line="360" w:lineRule="auto"/>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十一、税费</w:t>
      </w:r>
    </w:p>
    <w:p w14:paraId="318C8213">
      <w:pPr>
        <w:snapToGrid w:val="0"/>
        <w:spacing w:before="156" w:beforeLines="50" w:after="156" w:afterLines="5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本合同执行中相关的一切税费均由乙方负担。</w:t>
      </w:r>
    </w:p>
    <w:p w14:paraId="7666E240">
      <w:pPr>
        <w:pStyle w:val="13"/>
        <w:snapToGrid w:val="0"/>
        <w:spacing w:after="0" w:line="360" w:lineRule="auto"/>
        <w:ind w:left="412" w:hanging="361" w:hangingChars="171"/>
        <w:rPr>
          <w:rFonts w:hint="eastAsia" w:ascii="宋体" w:hAnsi="宋体" w:eastAsia="宋体" w:cs="宋体"/>
          <w:color w:val="auto"/>
          <w:sz w:val="21"/>
          <w:szCs w:val="21"/>
        </w:rPr>
      </w:pPr>
      <w:r>
        <w:rPr>
          <w:rFonts w:hint="eastAsia" w:ascii="宋体" w:hAnsi="宋体" w:eastAsia="宋体" w:cs="宋体"/>
          <w:b/>
          <w:color w:val="auto"/>
          <w:sz w:val="21"/>
          <w:szCs w:val="21"/>
        </w:rPr>
        <w:t>十二、质量保证及售后服务</w:t>
      </w:r>
    </w:p>
    <w:p w14:paraId="640298CD">
      <w:pPr>
        <w:pStyle w:val="13"/>
        <w:snapToGrid w:val="0"/>
        <w:spacing w:after="0" w:line="360" w:lineRule="auto"/>
        <w:ind w:firstLine="484"/>
        <w:rPr>
          <w:rFonts w:hint="eastAsia" w:ascii="宋体" w:hAnsi="宋体" w:eastAsia="宋体" w:cs="宋体"/>
          <w:color w:val="auto"/>
          <w:sz w:val="21"/>
          <w:szCs w:val="21"/>
        </w:rPr>
      </w:pPr>
      <w:r>
        <w:rPr>
          <w:rFonts w:hint="eastAsia" w:ascii="宋体" w:hAnsi="宋体" w:eastAsia="宋体" w:cs="宋体"/>
          <w:color w:val="auto"/>
          <w:sz w:val="21"/>
          <w:szCs w:val="21"/>
        </w:rPr>
        <w:t>1、乙方应按招标文件规定的货物性能、技术要求、质量标准向甲方提供未经使用的全新产品。</w:t>
      </w:r>
    </w:p>
    <w:p w14:paraId="52ACCB82">
      <w:pPr>
        <w:pStyle w:val="13"/>
        <w:snapToGrid w:val="0"/>
        <w:spacing w:after="0"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kern w:val="0"/>
          <w:sz w:val="21"/>
          <w:szCs w:val="21"/>
        </w:rPr>
        <w:t>2、质保期内，应急生活包若发现质量问题，乙方须免费更换相应物品。</w:t>
      </w:r>
    </w:p>
    <w:p w14:paraId="4A082EAA">
      <w:pPr>
        <w:pStyle w:val="13"/>
        <w:snapToGrid w:val="0"/>
        <w:spacing w:after="0"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十三、调试和验收</w:t>
      </w:r>
    </w:p>
    <w:p w14:paraId="36F313F0">
      <w:pPr>
        <w:pStyle w:val="13"/>
        <w:snapToGrid w:val="0"/>
        <w:spacing w:after="0"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1.甲方对乙方提交的货物依据招标文件上的技术规格要求和国家有关质量标准进行现场初步验收，外观、说明书符合招标文件技术要求的，给予签收，初步验收不合格的不予签收。货到后，甲方需在</w:t>
      </w:r>
      <w:r>
        <w:rPr>
          <w:rFonts w:hint="eastAsia" w:ascii="宋体" w:hAnsi="宋体" w:eastAsia="宋体" w:cs="宋体"/>
          <w:color w:val="auto"/>
          <w:sz w:val="21"/>
          <w:szCs w:val="21"/>
          <w:u w:val="single"/>
        </w:rPr>
        <w:t>五</w:t>
      </w:r>
      <w:r>
        <w:rPr>
          <w:rFonts w:hint="eastAsia" w:ascii="宋体" w:hAnsi="宋体" w:eastAsia="宋体" w:cs="宋体"/>
          <w:color w:val="auto"/>
          <w:sz w:val="21"/>
          <w:szCs w:val="21"/>
        </w:rPr>
        <w:t>个工作日内验收。</w:t>
      </w:r>
    </w:p>
    <w:p w14:paraId="2650B269">
      <w:pPr>
        <w:pStyle w:val="13"/>
        <w:snapToGrid w:val="0"/>
        <w:spacing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2.乙方交货前应对产品作出全面检查和对验收文件进行整理，并列出清单，作为甲方收货验收和使用的技术条件依据，检验的结果应随货物交甲方。</w:t>
      </w:r>
    </w:p>
    <w:p w14:paraId="00D91FEB">
      <w:pPr>
        <w:pStyle w:val="13"/>
        <w:snapToGrid w:val="0"/>
        <w:spacing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3.验收时乙方必须在现场，验收完毕后作出验收结果报告；验收费用由乙方负责。</w:t>
      </w:r>
    </w:p>
    <w:p w14:paraId="24AA2F92">
      <w:pPr>
        <w:pStyle w:val="13"/>
        <w:snapToGrid w:val="0"/>
        <w:spacing w:after="0"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十四、货物包装、发运及运输</w:t>
      </w:r>
    </w:p>
    <w:p w14:paraId="2FEFCC88">
      <w:pPr>
        <w:pStyle w:val="13"/>
        <w:snapToGrid w:val="0"/>
        <w:spacing w:after="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1.乙方应在货物发运前对其进行满足运输距离、防潮、防震、防锈和防破损装卸等要求包装，以保证货物安全运达甲方指定地点。</w:t>
      </w:r>
    </w:p>
    <w:p w14:paraId="1D86503E">
      <w:pPr>
        <w:pStyle w:val="13"/>
        <w:snapToGrid w:val="0"/>
        <w:spacing w:after="0" w:line="360" w:lineRule="auto"/>
        <w:ind w:left="480" w:hanging="420" w:hanging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    2.使用说明书、质量检验证明书、随配附件和工具以及清单一并附于货物内。</w:t>
      </w:r>
    </w:p>
    <w:p w14:paraId="44C119A7">
      <w:pPr>
        <w:pStyle w:val="13"/>
        <w:snapToGrid w:val="0"/>
        <w:spacing w:after="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3.乙方在货物发运手续办理完毕后24小时内或货到甲方48小时前通知甲方，以准备接货。</w:t>
      </w:r>
    </w:p>
    <w:p w14:paraId="3F01E390">
      <w:pPr>
        <w:pStyle w:val="13"/>
        <w:snapToGrid w:val="0"/>
        <w:spacing w:after="0" w:line="360" w:lineRule="auto"/>
        <w:ind w:left="480" w:hanging="420" w:hanging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    4.货物在交付甲方前发生的风险均由乙方负责。</w:t>
      </w:r>
    </w:p>
    <w:p w14:paraId="4683DCD6">
      <w:pPr>
        <w:pStyle w:val="13"/>
        <w:snapToGrid w:val="0"/>
        <w:spacing w:after="0" w:line="360" w:lineRule="auto"/>
        <w:ind w:right="26"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5.货物在规定的交付期限内由乙方送达甲方指定的地点视为交付，乙方同时需通知甲方货物已送达。</w:t>
      </w:r>
    </w:p>
    <w:p w14:paraId="4BBBC932">
      <w:pPr>
        <w:pStyle w:val="13"/>
        <w:snapToGrid w:val="0"/>
        <w:spacing w:after="0"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十五、违约责任</w:t>
      </w:r>
    </w:p>
    <w:p w14:paraId="7E2259A1">
      <w:pPr>
        <w:pStyle w:val="13"/>
        <w:snapToGrid w:val="0"/>
        <w:spacing w:after="0" w:line="360" w:lineRule="auto"/>
        <w:ind w:left="410" w:hanging="359" w:hangingChars="171"/>
        <w:rPr>
          <w:rFonts w:hint="eastAsia" w:ascii="宋体" w:hAnsi="宋体" w:eastAsia="宋体" w:cs="宋体"/>
          <w:color w:val="auto"/>
          <w:sz w:val="21"/>
          <w:szCs w:val="21"/>
        </w:rPr>
      </w:pPr>
      <w:r>
        <w:rPr>
          <w:rFonts w:hint="eastAsia" w:ascii="宋体" w:hAnsi="宋体" w:eastAsia="宋体" w:cs="宋体"/>
          <w:color w:val="auto"/>
          <w:sz w:val="21"/>
          <w:szCs w:val="21"/>
        </w:rPr>
        <w:t xml:space="preserve">    1.甲方无正当理由拒收货物的，甲方向乙方偿付拒收货款总值的</w:t>
      </w:r>
      <w:r>
        <w:rPr>
          <w:rFonts w:hint="eastAsia" w:ascii="宋体" w:hAnsi="宋体" w:eastAsia="宋体" w:cs="宋体"/>
          <w:color w:val="auto"/>
          <w:sz w:val="21"/>
          <w:szCs w:val="21"/>
          <w:u w:val="single"/>
        </w:rPr>
        <w:t>百分之五</w:t>
      </w:r>
      <w:r>
        <w:rPr>
          <w:rFonts w:hint="eastAsia" w:ascii="宋体" w:hAnsi="宋体" w:eastAsia="宋体" w:cs="宋体"/>
          <w:color w:val="auto"/>
          <w:sz w:val="21"/>
          <w:szCs w:val="21"/>
        </w:rPr>
        <w:t>违约金。</w:t>
      </w:r>
    </w:p>
    <w:p w14:paraId="06D566DC">
      <w:pPr>
        <w:pStyle w:val="13"/>
        <w:snapToGrid w:val="0"/>
        <w:spacing w:after="0"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2.甲方无故逾期验收和办理货款支付手续的,甲方应按逾期付款总额每日</w:t>
      </w:r>
      <w:r>
        <w:rPr>
          <w:rFonts w:hint="eastAsia" w:ascii="宋体" w:hAnsi="宋体" w:eastAsia="宋体" w:cs="宋体"/>
          <w:color w:val="auto"/>
          <w:sz w:val="21"/>
          <w:szCs w:val="21"/>
          <w:u w:val="single"/>
        </w:rPr>
        <w:t>万分之五</w:t>
      </w:r>
      <w:r>
        <w:rPr>
          <w:rFonts w:hint="eastAsia" w:ascii="宋体" w:hAnsi="宋体" w:eastAsia="宋体" w:cs="宋体"/>
          <w:color w:val="auto"/>
          <w:sz w:val="21"/>
          <w:szCs w:val="21"/>
        </w:rPr>
        <w:t>向乙方支付违约金。</w:t>
      </w:r>
    </w:p>
    <w:p w14:paraId="43D7B2A7">
      <w:pPr>
        <w:pStyle w:val="13"/>
        <w:snapToGrid w:val="0"/>
        <w:spacing w:after="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3.乙方逾期交付货物的，乙方应按逾期交货总额每日</w:t>
      </w:r>
      <w:r>
        <w:rPr>
          <w:rFonts w:hint="eastAsia" w:ascii="宋体" w:hAnsi="宋体" w:eastAsia="宋体" w:cs="宋体"/>
          <w:color w:val="auto"/>
          <w:sz w:val="21"/>
          <w:szCs w:val="21"/>
          <w:u w:val="single"/>
        </w:rPr>
        <w:t>万分之五</w:t>
      </w:r>
      <w:r>
        <w:rPr>
          <w:rFonts w:hint="eastAsia" w:ascii="宋体" w:hAnsi="宋体" w:eastAsia="宋体" w:cs="宋体"/>
          <w:color w:val="auto"/>
          <w:sz w:val="21"/>
          <w:szCs w:val="21"/>
        </w:rPr>
        <w:t>向甲方支付违约金，由甲方从待付货款中扣除。逾期超过约定日期10个工作日不能交货的，甲方可解除本合同。乙方因逾期交货或因其他违约行为导致甲方解除合同的，乙方应向甲方支付合同总值</w:t>
      </w:r>
      <w:r>
        <w:rPr>
          <w:rFonts w:hint="eastAsia" w:ascii="宋体" w:hAnsi="宋体" w:eastAsia="宋体" w:cs="宋体"/>
          <w:color w:val="auto"/>
          <w:sz w:val="21"/>
          <w:szCs w:val="21"/>
          <w:u w:val="single"/>
        </w:rPr>
        <w:t>5%</w:t>
      </w:r>
      <w:r>
        <w:rPr>
          <w:rFonts w:hint="eastAsia" w:ascii="宋体" w:hAnsi="宋体" w:eastAsia="宋体" w:cs="宋体"/>
          <w:color w:val="auto"/>
          <w:sz w:val="21"/>
          <w:szCs w:val="21"/>
        </w:rPr>
        <w:t xml:space="preserve">的违约金，如造成甲方损失超过违约金的，超出部分由乙方继续承担赔偿责任。 </w:t>
      </w:r>
    </w:p>
    <w:p w14:paraId="44ED9B5E">
      <w:pPr>
        <w:pStyle w:val="13"/>
        <w:snapToGrid w:val="0"/>
        <w:spacing w:after="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6A6E31CC">
      <w:pPr>
        <w:pStyle w:val="13"/>
        <w:snapToGrid w:val="0"/>
        <w:spacing w:after="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5.若发生纠纷，由违约方赔偿守约方因纠纷所支付的费用（包括但不限于律师费、差旅费、诉讼费、保全费、鉴定费、评估费等）</w:t>
      </w:r>
    </w:p>
    <w:p w14:paraId="20795858">
      <w:pPr>
        <w:pStyle w:val="13"/>
        <w:snapToGrid w:val="0"/>
        <w:spacing w:after="0"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十六、不可抗力事件处理</w:t>
      </w:r>
    </w:p>
    <w:p w14:paraId="6A3EFDC2">
      <w:pPr>
        <w:pStyle w:val="13"/>
        <w:snapToGrid w:val="0"/>
        <w:spacing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1.在合同有效期内，任何一方因不可抗力事件导致不能履行合同，则合同履行期可延长，其延长期与不可抗力影响期相同。</w:t>
      </w:r>
    </w:p>
    <w:p w14:paraId="0D99FADC">
      <w:pPr>
        <w:pStyle w:val="13"/>
        <w:snapToGrid w:val="0"/>
        <w:spacing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2.不可抗力事件发生后，应立即通知对方，并寄送有关权威机构出具的证明。</w:t>
      </w:r>
    </w:p>
    <w:p w14:paraId="6739754E">
      <w:pPr>
        <w:pStyle w:val="13"/>
        <w:snapToGrid w:val="0"/>
        <w:spacing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3.不可抗力事件延续120天以上，双方应通过友好协商，确定是否继续履行合同。</w:t>
      </w:r>
    </w:p>
    <w:p w14:paraId="225611B2">
      <w:pPr>
        <w:pStyle w:val="13"/>
        <w:snapToGrid w:val="0"/>
        <w:spacing w:after="0"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十七、解决争议的方法</w:t>
      </w:r>
    </w:p>
    <w:p w14:paraId="5AF1A3C4">
      <w:pPr>
        <w:widowControl/>
        <w:spacing w:after="0"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    1.如双方在履行合同时发生纠纷，应协商解决；协商不成时，可提请政府采购管理部门调解；调解不成的通过以下</w:t>
      </w:r>
      <w:r>
        <w:rPr>
          <w:rFonts w:hint="eastAsia" w:ascii="宋体" w:hAnsi="宋体" w:eastAsia="宋体" w:cs="宋体"/>
          <w:color w:val="auto"/>
          <w:kern w:val="0"/>
          <w:sz w:val="21"/>
          <w:szCs w:val="21"/>
          <w:u w:val="single"/>
        </w:rPr>
        <w:t xml:space="preserve"> </w:t>
      </w:r>
      <w:r>
        <w:rPr>
          <w:rFonts w:hint="eastAsia" w:ascii="宋体" w:hAnsi="宋体" w:cs="宋体"/>
          <w:color w:val="auto"/>
          <w:kern w:val="0"/>
          <w:sz w:val="21"/>
          <w:szCs w:val="21"/>
          <w:u w:val="single"/>
          <w:lang w:eastAsia="zh-CN"/>
        </w:rPr>
        <w:t>（</w:t>
      </w:r>
      <w:r>
        <w:rPr>
          <w:rFonts w:hint="eastAsia" w:ascii="宋体" w:hAnsi="宋体" w:cs="宋体"/>
          <w:color w:val="auto"/>
          <w:kern w:val="0"/>
          <w:sz w:val="21"/>
          <w:szCs w:val="21"/>
          <w:u w:val="single"/>
          <w:lang w:val="en-US" w:eastAsia="zh-CN"/>
        </w:rPr>
        <w:t>2</w:t>
      </w:r>
      <w:r>
        <w:rPr>
          <w:rFonts w:hint="eastAsia" w:ascii="宋体" w:hAnsi="宋体" w:cs="宋体"/>
          <w:color w:val="auto"/>
          <w:kern w:val="0"/>
          <w:sz w:val="21"/>
          <w:szCs w:val="21"/>
          <w:u w:val="single"/>
          <w:lang w:eastAsia="zh-CN"/>
        </w:rPr>
        <w:t>）</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方式解决（两种解决方式只能择其一）：</w:t>
      </w:r>
    </w:p>
    <w:p w14:paraId="032488B3">
      <w:pPr>
        <w:widowControl/>
        <w:spacing w:after="0"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    （1） 提交</w:t>
      </w:r>
      <w:r>
        <w:rPr>
          <w:rFonts w:hint="eastAsia" w:ascii="宋体" w:hAnsi="宋体" w:eastAsia="宋体" w:cs="宋体"/>
          <w:color w:val="auto"/>
          <w:sz w:val="21"/>
          <w:szCs w:val="21"/>
          <w:u w:val="single"/>
        </w:rPr>
        <w:t>台州</w:t>
      </w:r>
      <w:r>
        <w:rPr>
          <w:rFonts w:hint="eastAsia" w:ascii="宋体" w:hAnsi="宋体" w:eastAsia="宋体" w:cs="宋体"/>
          <w:color w:val="auto"/>
          <w:kern w:val="0"/>
          <w:sz w:val="21"/>
          <w:szCs w:val="21"/>
        </w:rPr>
        <w:t>仲裁委员会仲裁。</w:t>
      </w:r>
    </w:p>
    <w:p w14:paraId="2B9CDD1F">
      <w:pPr>
        <w:widowControl/>
        <w:spacing w:after="0" w:line="360" w:lineRule="auto"/>
        <w:jc w:val="left"/>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    （2） 依法向甲方人民法院提起诉讼。 </w:t>
      </w:r>
    </w:p>
    <w:p w14:paraId="3BDBBA8B">
      <w:pPr>
        <w:pStyle w:val="13"/>
        <w:tabs>
          <w:tab w:val="left" w:pos="5790"/>
        </w:tabs>
        <w:snapToGrid w:val="0"/>
        <w:spacing w:after="0"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十八、合同生效及其它</w:t>
      </w:r>
      <w:r>
        <w:rPr>
          <w:rFonts w:hint="eastAsia" w:ascii="宋体" w:hAnsi="宋体" w:eastAsia="宋体" w:cs="宋体"/>
          <w:b/>
          <w:color w:val="auto"/>
          <w:sz w:val="21"/>
          <w:szCs w:val="21"/>
        </w:rPr>
        <w:tab/>
      </w:r>
    </w:p>
    <w:p w14:paraId="77902D86">
      <w:pPr>
        <w:pStyle w:val="9"/>
        <w:widowControl/>
        <w:spacing w:after="0" w:line="360" w:lineRule="auto"/>
        <w:ind w:right="-88"/>
        <w:rPr>
          <w:rFonts w:hint="eastAsia" w:ascii="宋体" w:hAnsi="宋体" w:eastAsia="宋体" w:cs="宋体"/>
          <w:color w:val="auto"/>
          <w:sz w:val="21"/>
          <w:szCs w:val="21"/>
        </w:rPr>
      </w:pPr>
      <w:r>
        <w:rPr>
          <w:rFonts w:hint="eastAsia" w:ascii="宋体" w:hAnsi="宋体" w:eastAsia="宋体" w:cs="宋体"/>
          <w:color w:val="auto"/>
          <w:sz w:val="21"/>
          <w:szCs w:val="21"/>
        </w:rPr>
        <w:t xml:space="preserve">    1.合同经双方法定代表人或授权代表签字并加盖单位公章后生效。</w:t>
      </w:r>
    </w:p>
    <w:p w14:paraId="712F755F">
      <w:pPr>
        <w:pStyle w:val="9"/>
        <w:widowControl/>
        <w:spacing w:after="0" w:line="360" w:lineRule="auto"/>
        <w:ind w:right="-88"/>
        <w:rPr>
          <w:rFonts w:hint="eastAsia" w:ascii="宋体" w:hAnsi="宋体" w:eastAsia="宋体" w:cs="宋体"/>
          <w:color w:val="auto"/>
          <w:sz w:val="21"/>
          <w:szCs w:val="21"/>
        </w:rPr>
      </w:pPr>
      <w:r>
        <w:rPr>
          <w:rFonts w:hint="eastAsia" w:ascii="宋体" w:hAnsi="宋体" w:eastAsia="宋体" w:cs="宋体"/>
          <w:color w:val="auto"/>
          <w:sz w:val="21"/>
          <w:szCs w:val="21"/>
        </w:rPr>
        <w:t xml:space="preserve">    2.本合同未尽事宜，遵照《中华人民共和国民法典》有关条文执行。</w:t>
      </w:r>
    </w:p>
    <w:p w14:paraId="44B6BBEA">
      <w:pPr>
        <w:pStyle w:val="9"/>
        <w:widowControl/>
        <w:spacing w:after="0" w:line="360" w:lineRule="auto"/>
        <w:ind w:right="-88"/>
        <w:rPr>
          <w:rFonts w:hint="eastAsia" w:ascii="宋体" w:hAnsi="宋体" w:eastAsia="宋体" w:cs="宋体"/>
          <w:color w:val="auto"/>
          <w:sz w:val="21"/>
          <w:szCs w:val="21"/>
        </w:rPr>
      </w:pPr>
      <w:r>
        <w:rPr>
          <w:rFonts w:hint="eastAsia" w:ascii="宋体" w:hAnsi="宋体" w:eastAsia="宋体" w:cs="宋体"/>
          <w:color w:val="auto"/>
          <w:sz w:val="21"/>
          <w:szCs w:val="21"/>
        </w:rPr>
        <w:t xml:space="preserve">    3.本合同一式陆份。甲、乙双方各执俩份，采购组织机构及同级人民政府财政部门各执一份。本项目未尽事宜以招标文件、投标文件及澄清文件等为准。</w:t>
      </w:r>
    </w:p>
    <w:p w14:paraId="3153EA55">
      <w:pPr>
        <w:widowControl/>
        <w:spacing w:after="0" w:line="360" w:lineRule="auto"/>
        <w:rPr>
          <w:rFonts w:hint="eastAsia" w:ascii="宋体" w:hAnsi="宋体" w:eastAsia="宋体" w:cs="宋体"/>
          <w:b/>
          <w:color w:val="auto"/>
          <w:sz w:val="21"/>
          <w:szCs w:val="21"/>
        </w:rPr>
      </w:pPr>
    </w:p>
    <w:p w14:paraId="7B518F0D">
      <w:pPr>
        <w:spacing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甲方（公章）                                     乙方（公章）</w:t>
      </w:r>
    </w:p>
    <w:p w14:paraId="02E9CD34">
      <w:pPr>
        <w:spacing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法定代表人：                                     法定代表人：</w:t>
      </w:r>
    </w:p>
    <w:p w14:paraId="5E71F185">
      <w:pPr>
        <w:spacing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委托代理人：                                     委托代理人：</w:t>
      </w:r>
    </w:p>
    <w:p w14:paraId="544B6CE9">
      <w:pPr>
        <w:spacing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联系电话：                                       联系电话：</w:t>
      </w:r>
    </w:p>
    <w:p w14:paraId="6C9DFF35">
      <w:pPr>
        <w:spacing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开户银行：                                       开户银行：</w:t>
      </w:r>
    </w:p>
    <w:p w14:paraId="045488EC">
      <w:pPr>
        <w:spacing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帐号：                                           帐号：</w:t>
      </w:r>
    </w:p>
    <w:p w14:paraId="3A15722B">
      <w:pPr>
        <w:spacing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地址及邮编：                                     地址及邮编：</w:t>
      </w:r>
    </w:p>
    <w:p w14:paraId="63C9AA72">
      <w:pPr>
        <w:spacing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 xml:space="preserve">                            </w:t>
      </w:r>
      <w:r>
        <w:rPr>
          <w:rFonts w:hint="eastAsia" w:ascii="宋体" w:hAnsi="宋体" w:cs="宋体"/>
          <w:b/>
          <w:color w:val="auto"/>
          <w:sz w:val="21"/>
          <w:szCs w:val="21"/>
          <w:lang w:val="en-US" w:eastAsia="zh-CN"/>
        </w:rPr>
        <w:t xml:space="preserve">                        </w:t>
      </w:r>
      <w:r>
        <w:rPr>
          <w:rFonts w:hint="eastAsia" w:ascii="宋体" w:hAnsi="宋体" w:eastAsia="宋体" w:cs="宋体"/>
          <w:b/>
          <w:color w:val="auto"/>
          <w:sz w:val="21"/>
          <w:szCs w:val="21"/>
        </w:rPr>
        <w:t xml:space="preserve"> </w:t>
      </w:r>
      <w:r>
        <w:rPr>
          <w:rFonts w:hint="eastAsia" w:ascii="宋体" w:hAnsi="宋体" w:eastAsia="宋体" w:cs="宋体"/>
          <w:color w:val="auto"/>
          <w:sz w:val="21"/>
          <w:szCs w:val="21"/>
        </w:rPr>
        <w:t>签订时间：202</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年   月    日</w:t>
      </w:r>
    </w:p>
    <w:p w14:paraId="4A9CB48D">
      <w:pPr>
        <w:spacing w:line="360" w:lineRule="auto"/>
        <w:jc w:val="center"/>
        <w:rPr>
          <w:rFonts w:hint="eastAsia" w:ascii="宋体" w:hAnsi="宋体" w:cs="宋体"/>
          <w:b/>
          <w:color w:val="auto"/>
          <w:sz w:val="36"/>
        </w:rPr>
      </w:pPr>
    </w:p>
    <w:p w14:paraId="78C75697">
      <w:pPr>
        <w:spacing w:line="360" w:lineRule="auto"/>
        <w:jc w:val="center"/>
        <w:rPr>
          <w:rFonts w:hint="eastAsia" w:ascii="宋体" w:hAnsi="宋体" w:cs="宋体"/>
          <w:b/>
          <w:color w:val="auto"/>
          <w:sz w:val="36"/>
        </w:rPr>
      </w:pPr>
    </w:p>
    <w:p w14:paraId="1251E91A">
      <w:pPr>
        <w:spacing w:line="360" w:lineRule="auto"/>
        <w:jc w:val="center"/>
        <w:rPr>
          <w:rFonts w:hint="eastAsia" w:ascii="宋体" w:hAnsi="宋体" w:cs="宋体"/>
          <w:b/>
          <w:color w:val="auto"/>
          <w:sz w:val="36"/>
        </w:rPr>
      </w:pPr>
    </w:p>
    <w:p w14:paraId="6B6842DD">
      <w:pPr>
        <w:spacing w:line="360" w:lineRule="auto"/>
        <w:jc w:val="center"/>
        <w:rPr>
          <w:rFonts w:hint="eastAsia" w:ascii="宋体" w:hAnsi="宋体" w:cs="宋体"/>
          <w:b/>
          <w:color w:val="auto"/>
          <w:sz w:val="36"/>
        </w:rPr>
      </w:pPr>
    </w:p>
    <w:p w14:paraId="19DA0FE0">
      <w:pPr>
        <w:spacing w:line="360" w:lineRule="auto"/>
        <w:jc w:val="center"/>
        <w:rPr>
          <w:rFonts w:hint="eastAsia" w:ascii="宋体" w:hAnsi="宋体" w:cs="宋体"/>
          <w:b/>
          <w:color w:val="auto"/>
          <w:sz w:val="36"/>
        </w:rPr>
      </w:pPr>
    </w:p>
    <w:p w14:paraId="4B748583">
      <w:pPr>
        <w:spacing w:line="360" w:lineRule="auto"/>
        <w:jc w:val="center"/>
        <w:rPr>
          <w:rFonts w:hint="eastAsia" w:ascii="宋体" w:hAnsi="宋体" w:cs="宋体"/>
          <w:b/>
          <w:color w:val="auto"/>
          <w:sz w:val="36"/>
        </w:rPr>
        <w:sectPr>
          <w:headerReference r:id="rId5" w:type="default"/>
          <w:footerReference r:id="rId6" w:type="default"/>
          <w:pgSz w:w="11906" w:h="16838"/>
          <w:pgMar w:top="1440" w:right="1558" w:bottom="1440" w:left="1418" w:header="851" w:footer="992" w:gutter="0"/>
          <w:pgNumType w:fmt="decimal"/>
          <w:cols w:space="425" w:num="1"/>
          <w:docGrid w:type="lines" w:linePitch="312" w:charSpace="0"/>
        </w:sectPr>
      </w:pPr>
    </w:p>
    <w:p w14:paraId="5D9FB3F4">
      <w:pPr>
        <w:spacing w:line="360" w:lineRule="auto"/>
        <w:jc w:val="center"/>
        <w:rPr>
          <w:rFonts w:hint="eastAsia" w:ascii="宋体" w:hAnsi="宋体" w:cs="宋体"/>
          <w:b/>
          <w:color w:val="auto"/>
          <w:sz w:val="36"/>
        </w:rPr>
      </w:pPr>
      <w:r>
        <w:rPr>
          <w:rFonts w:hint="eastAsia" w:ascii="宋体" w:hAnsi="宋体" w:cs="宋体"/>
          <w:b/>
          <w:color w:val="auto"/>
          <w:sz w:val="36"/>
        </w:rPr>
        <w:t>专用条款</w:t>
      </w:r>
    </w:p>
    <w:p w14:paraId="52C77E97">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（如果项目性质特殊，采购人认为需要制定专用条款的，须在提交项目采购需求时一并提供，但条款内容应合法、合理，并符合项目实际需求，且不得与通用条款冲突）</w:t>
      </w:r>
    </w:p>
    <w:p w14:paraId="4A5056B9">
      <w:pPr>
        <w:spacing w:after="0" w:line="312" w:lineRule="auto"/>
        <w:jc w:val="center"/>
        <w:rPr>
          <w:rFonts w:hint="eastAsia" w:ascii="宋体" w:hAnsi="宋体" w:cs="宋体"/>
          <w:b/>
          <w:color w:val="auto"/>
          <w:sz w:val="36"/>
          <w:szCs w:val="36"/>
        </w:rPr>
      </w:pPr>
    </w:p>
    <w:p w14:paraId="071BD851">
      <w:pPr>
        <w:pStyle w:val="23"/>
        <w:rPr>
          <w:rFonts w:hint="eastAsia" w:ascii="宋体" w:hAnsi="宋体"/>
          <w:color w:val="auto"/>
        </w:rPr>
      </w:pPr>
    </w:p>
    <w:p w14:paraId="52465E7C">
      <w:pPr>
        <w:pStyle w:val="23"/>
        <w:rPr>
          <w:rFonts w:hint="eastAsia" w:ascii="宋体" w:hAnsi="宋体"/>
          <w:color w:val="auto"/>
        </w:rPr>
      </w:pPr>
    </w:p>
    <w:p w14:paraId="70A3AAB0">
      <w:pPr>
        <w:spacing w:after="0" w:line="312" w:lineRule="auto"/>
        <w:jc w:val="center"/>
        <w:rPr>
          <w:rFonts w:hint="eastAsia" w:ascii="宋体" w:hAnsi="宋体" w:cs="宋体"/>
          <w:b/>
          <w:color w:val="auto"/>
          <w:sz w:val="36"/>
          <w:szCs w:val="36"/>
        </w:rPr>
      </w:pPr>
    </w:p>
    <w:p w14:paraId="51D81481">
      <w:pPr>
        <w:spacing w:after="0" w:line="312" w:lineRule="auto"/>
        <w:jc w:val="center"/>
        <w:rPr>
          <w:rFonts w:hint="eastAsia" w:ascii="宋体" w:hAnsi="宋体" w:cs="宋体"/>
          <w:b/>
          <w:color w:val="auto"/>
          <w:sz w:val="36"/>
          <w:szCs w:val="36"/>
        </w:rPr>
      </w:pPr>
    </w:p>
    <w:p w14:paraId="6997685C">
      <w:pPr>
        <w:spacing w:after="0" w:line="312" w:lineRule="auto"/>
        <w:jc w:val="center"/>
        <w:rPr>
          <w:rFonts w:hint="eastAsia" w:ascii="宋体" w:hAnsi="宋体" w:cs="宋体"/>
          <w:b/>
          <w:color w:val="auto"/>
          <w:sz w:val="36"/>
          <w:szCs w:val="36"/>
        </w:rPr>
      </w:pPr>
    </w:p>
    <w:p w14:paraId="708B86E8">
      <w:pPr>
        <w:spacing w:after="0" w:line="312" w:lineRule="auto"/>
        <w:jc w:val="center"/>
        <w:rPr>
          <w:rFonts w:hint="eastAsia" w:ascii="宋体" w:hAnsi="宋体" w:cs="宋体"/>
          <w:b/>
          <w:color w:val="auto"/>
          <w:sz w:val="36"/>
          <w:szCs w:val="36"/>
        </w:rPr>
      </w:pPr>
    </w:p>
    <w:p w14:paraId="33C36B4B">
      <w:pPr>
        <w:spacing w:after="0" w:line="312" w:lineRule="auto"/>
        <w:jc w:val="center"/>
        <w:rPr>
          <w:rFonts w:hint="eastAsia" w:ascii="宋体" w:hAnsi="宋体" w:cs="宋体"/>
          <w:b/>
          <w:color w:val="auto"/>
          <w:sz w:val="36"/>
          <w:szCs w:val="36"/>
        </w:rPr>
      </w:pPr>
    </w:p>
    <w:p w14:paraId="6AF7DD35">
      <w:pPr>
        <w:spacing w:after="0" w:line="312" w:lineRule="auto"/>
        <w:jc w:val="center"/>
        <w:rPr>
          <w:rFonts w:hint="eastAsia" w:ascii="宋体" w:hAnsi="宋体" w:cs="宋体"/>
          <w:b/>
          <w:color w:val="auto"/>
          <w:sz w:val="36"/>
          <w:szCs w:val="36"/>
        </w:rPr>
      </w:pPr>
    </w:p>
    <w:p w14:paraId="41EE269A">
      <w:pPr>
        <w:spacing w:after="0" w:line="312" w:lineRule="auto"/>
        <w:jc w:val="center"/>
        <w:rPr>
          <w:rFonts w:hint="eastAsia" w:ascii="宋体" w:hAnsi="宋体" w:cs="宋体"/>
          <w:b/>
          <w:color w:val="auto"/>
          <w:sz w:val="36"/>
          <w:szCs w:val="36"/>
        </w:rPr>
      </w:pPr>
    </w:p>
    <w:p w14:paraId="684BAE98">
      <w:pPr>
        <w:spacing w:after="0" w:line="312" w:lineRule="auto"/>
        <w:jc w:val="center"/>
        <w:rPr>
          <w:rFonts w:hint="eastAsia" w:ascii="宋体" w:hAnsi="宋体" w:cs="宋体"/>
          <w:b/>
          <w:color w:val="auto"/>
          <w:sz w:val="36"/>
          <w:szCs w:val="36"/>
        </w:rPr>
      </w:pPr>
    </w:p>
    <w:p w14:paraId="3A75F674">
      <w:pPr>
        <w:spacing w:after="0" w:line="312" w:lineRule="auto"/>
        <w:jc w:val="center"/>
        <w:rPr>
          <w:rFonts w:hint="eastAsia" w:ascii="宋体" w:hAnsi="宋体" w:cs="宋体"/>
          <w:b/>
          <w:color w:val="auto"/>
          <w:sz w:val="36"/>
          <w:szCs w:val="36"/>
        </w:rPr>
      </w:pPr>
    </w:p>
    <w:p w14:paraId="5A7C95EF">
      <w:pPr>
        <w:spacing w:after="0" w:line="312" w:lineRule="auto"/>
        <w:jc w:val="center"/>
        <w:rPr>
          <w:rFonts w:hint="eastAsia" w:ascii="宋体" w:hAnsi="宋体" w:cs="宋体"/>
          <w:b/>
          <w:color w:val="auto"/>
          <w:sz w:val="36"/>
          <w:szCs w:val="36"/>
        </w:rPr>
      </w:pPr>
    </w:p>
    <w:p w14:paraId="7890CAD6">
      <w:pPr>
        <w:spacing w:after="0" w:line="312" w:lineRule="auto"/>
        <w:jc w:val="center"/>
        <w:rPr>
          <w:rFonts w:hint="eastAsia" w:ascii="宋体" w:hAnsi="宋体" w:cs="宋体"/>
          <w:b/>
          <w:color w:val="auto"/>
          <w:sz w:val="36"/>
          <w:szCs w:val="36"/>
        </w:rPr>
      </w:pPr>
    </w:p>
    <w:p w14:paraId="65C26BDA">
      <w:pPr>
        <w:spacing w:after="0" w:line="312" w:lineRule="auto"/>
        <w:jc w:val="center"/>
        <w:rPr>
          <w:rFonts w:hint="eastAsia" w:ascii="宋体" w:hAnsi="宋体" w:cs="宋体"/>
          <w:b/>
          <w:color w:val="auto"/>
          <w:sz w:val="36"/>
          <w:szCs w:val="36"/>
        </w:rPr>
      </w:pPr>
    </w:p>
    <w:p w14:paraId="6EB06AA0">
      <w:pPr>
        <w:spacing w:after="0" w:line="312" w:lineRule="auto"/>
        <w:jc w:val="center"/>
        <w:rPr>
          <w:rFonts w:hint="eastAsia" w:ascii="宋体" w:hAnsi="宋体" w:cs="宋体"/>
          <w:b/>
          <w:color w:val="auto"/>
          <w:sz w:val="36"/>
          <w:szCs w:val="36"/>
        </w:rPr>
      </w:pPr>
    </w:p>
    <w:p w14:paraId="00F77391">
      <w:pPr>
        <w:spacing w:after="0" w:line="312" w:lineRule="auto"/>
        <w:jc w:val="center"/>
        <w:rPr>
          <w:rFonts w:hint="eastAsia" w:ascii="宋体" w:hAnsi="宋体" w:cs="宋体"/>
          <w:b/>
          <w:color w:val="auto"/>
          <w:sz w:val="36"/>
          <w:szCs w:val="36"/>
        </w:rPr>
      </w:pPr>
    </w:p>
    <w:p w14:paraId="30192378">
      <w:pPr>
        <w:spacing w:after="0" w:line="312" w:lineRule="auto"/>
        <w:jc w:val="center"/>
        <w:rPr>
          <w:rFonts w:hint="eastAsia" w:ascii="宋体" w:hAnsi="宋体" w:cs="宋体"/>
          <w:b/>
          <w:color w:val="auto"/>
          <w:sz w:val="36"/>
          <w:szCs w:val="36"/>
        </w:rPr>
      </w:pPr>
    </w:p>
    <w:p w14:paraId="4F72895C">
      <w:pPr>
        <w:pStyle w:val="2"/>
        <w:rPr>
          <w:color w:val="auto"/>
        </w:rPr>
      </w:pPr>
      <w:r>
        <w:rPr>
          <w:rFonts w:hint="eastAsia"/>
          <w:color w:val="auto"/>
        </w:rPr>
        <w:t>第六章    投标文件格式附件</w:t>
      </w:r>
    </w:p>
    <w:p w14:paraId="780C80CC">
      <w:pPr>
        <w:spacing w:after="0" w:line="312" w:lineRule="auto"/>
        <w:jc w:val="left"/>
        <w:rPr>
          <w:rFonts w:hint="eastAsia" w:ascii="宋体" w:hAnsi="宋体" w:cs="宋体"/>
          <w:b/>
          <w:color w:val="auto"/>
          <w:kern w:val="0"/>
          <w:sz w:val="28"/>
          <w:szCs w:val="28"/>
        </w:rPr>
      </w:pPr>
      <w:r>
        <w:rPr>
          <w:rFonts w:hint="eastAsia" w:ascii="宋体" w:hAnsi="宋体" w:cs="宋体"/>
          <w:b/>
          <w:color w:val="auto"/>
          <w:sz w:val="30"/>
          <w:szCs w:val="30"/>
        </w:rPr>
        <w:t xml:space="preserve"> </w:t>
      </w:r>
      <w:r>
        <w:rPr>
          <w:rFonts w:hint="eastAsia" w:ascii="宋体" w:hAnsi="宋体" w:cs="宋体"/>
          <w:b/>
          <w:color w:val="auto"/>
          <w:kern w:val="0"/>
          <w:sz w:val="28"/>
          <w:szCs w:val="28"/>
        </w:rPr>
        <w:t>附件1</w:t>
      </w:r>
      <w:r>
        <w:rPr>
          <w:rFonts w:hint="eastAsia" w:ascii="宋体" w:hAnsi="宋体" w:cs="宋体"/>
          <w:b/>
          <w:color w:val="auto"/>
          <w:sz w:val="30"/>
          <w:szCs w:val="30"/>
        </w:rPr>
        <w:t xml:space="preserve">                                  </w:t>
      </w:r>
      <w:r>
        <w:rPr>
          <w:rFonts w:hint="eastAsia" w:ascii="宋体" w:hAnsi="宋体" w:cs="宋体"/>
          <w:color w:val="auto"/>
          <w:sz w:val="30"/>
          <w:szCs w:val="30"/>
        </w:rPr>
        <w:t xml:space="preserve"> 　　　</w:t>
      </w:r>
      <w:r>
        <w:rPr>
          <w:rFonts w:hint="eastAsia" w:ascii="宋体" w:hAnsi="宋体" w:cs="宋体"/>
          <w:b/>
          <w:color w:val="auto"/>
          <w:sz w:val="28"/>
        </w:rPr>
        <w:t xml:space="preserve">      </w:t>
      </w:r>
      <w:r>
        <w:rPr>
          <w:rFonts w:hint="eastAsia" w:ascii="宋体" w:hAnsi="宋体" w:cs="宋体"/>
          <w:b/>
          <w:color w:val="auto"/>
          <w:sz w:val="28"/>
          <w:u w:val="single"/>
        </w:rPr>
        <w:t xml:space="preserve">     </w:t>
      </w:r>
      <w:r>
        <w:rPr>
          <w:rFonts w:hint="eastAsia" w:ascii="宋体" w:hAnsi="宋体" w:cs="宋体"/>
          <w:bCs/>
          <w:color w:val="auto"/>
          <w:sz w:val="24"/>
        </w:rPr>
        <w:t>本</w:t>
      </w:r>
    </w:p>
    <w:p w14:paraId="12B609B3">
      <w:pPr>
        <w:spacing w:after="0" w:line="312" w:lineRule="auto"/>
        <w:rPr>
          <w:rFonts w:hint="eastAsia" w:ascii="宋体" w:hAnsi="宋体" w:cs="宋体"/>
          <w:b/>
          <w:color w:val="auto"/>
          <w:sz w:val="30"/>
          <w:szCs w:val="30"/>
        </w:rPr>
      </w:pPr>
    </w:p>
    <w:p w14:paraId="1CFA2374">
      <w:pPr>
        <w:pStyle w:val="9"/>
        <w:rPr>
          <w:color w:val="auto"/>
        </w:rPr>
      </w:pPr>
    </w:p>
    <w:p w14:paraId="771607ED">
      <w:pPr>
        <w:pStyle w:val="10"/>
        <w:ind w:firstLine="480"/>
        <w:rPr>
          <w:color w:val="auto"/>
        </w:rPr>
      </w:pPr>
    </w:p>
    <w:p w14:paraId="6C9EC79B">
      <w:pPr>
        <w:spacing w:after="0" w:line="312" w:lineRule="auto"/>
        <w:ind w:right="-110"/>
        <w:jc w:val="center"/>
        <w:rPr>
          <w:rFonts w:hint="eastAsia" w:ascii="宋体" w:hAnsi="宋体" w:cs="宋体"/>
          <w:color w:val="auto"/>
          <w:spacing w:val="40"/>
          <w:sz w:val="52"/>
          <w:szCs w:val="52"/>
        </w:rPr>
      </w:pPr>
      <w:r>
        <w:rPr>
          <w:rFonts w:hint="eastAsia" w:ascii="宋体" w:hAnsi="宋体" w:cs="宋体"/>
          <w:color w:val="auto"/>
          <w:spacing w:val="40"/>
          <w:sz w:val="52"/>
          <w:szCs w:val="52"/>
        </w:rPr>
        <w:t>项目名称</w:t>
      </w:r>
    </w:p>
    <w:p w14:paraId="225C6C43">
      <w:pPr>
        <w:spacing w:before="312" w:beforeLines="100" w:after="0" w:line="312" w:lineRule="auto"/>
        <w:ind w:right="-108"/>
        <w:jc w:val="center"/>
        <w:rPr>
          <w:rFonts w:hint="eastAsia" w:ascii="宋体" w:hAnsi="宋体" w:cs="宋体"/>
          <w:color w:val="auto"/>
          <w:sz w:val="36"/>
          <w:szCs w:val="36"/>
        </w:rPr>
      </w:pPr>
      <w:r>
        <w:rPr>
          <w:rFonts w:hint="eastAsia" w:ascii="宋体" w:hAnsi="宋体" w:cs="宋体"/>
          <w:color w:val="auto"/>
          <w:sz w:val="36"/>
          <w:szCs w:val="36"/>
        </w:rPr>
        <w:t>项目编号：     （标段 ）</w:t>
      </w:r>
    </w:p>
    <w:p w14:paraId="4EB20FFE">
      <w:pPr>
        <w:autoSpaceDE w:val="0"/>
        <w:autoSpaceDN w:val="0"/>
        <w:adjustRightInd w:val="0"/>
        <w:spacing w:after="0" w:line="312" w:lineRule="auto"/>
        <w:jc w:val="center"/>
        <w:rPr>
          <w:rFonts w:hint="eastAsia" w:ascii="宋体" w:hAnsi="宋体" w:cs="宋体"/>
          <w:color w:val="auto"/>
          <w:sz w:val="84"/>
          <w:szCs w:val="84"/>
          <w:lang w:val="zh-CN"/>
        </w:rPr>
      </w:pPr>
      <w:r>
        <w:rPr>
          <w:rFonts w:hint="eastAsia" w:ascii="宋体" w:hAnsi="宋体" w:cs="宋体"/>
          <w:color w:val="auto"/>
          <w:sz w:val="84"/>
          <w:szCs w:val="84"/>
          <w:lang w:val="zh-CN"/>
        </w:rPr>
        <w:t>投</w:t>
      </w:r>
    </w:p>
    <w:p w14:paraId="201C7252">
      <w:pPr>
        <w:autoSpaceDE w:val="0"/>
        <w:autoSpaceDN w:val="0"/>
        <w:adjustRightInd w:val="0"/>
        <w:spacing w:after="0" w:line="312" w:lineRule="auto"/>
        <w:jc w:val="center"/>
        <w:rPr>
          <w:rFonts w:hint="eastAsia" w:ascii="宋体" w:hAnsi="宋体" w:cs="宋体"/>
          <w:color w:val="auto"/>
          <w:sz w:val="84"/>
          <w:szCs w:val="84"/>
          <w:lang w:val="zh-CN"/>
        </w:rPr>
      </w:pPr>
      <w:r>
        <w:rPr>
          <w:rFonts w:hint="eastAsia" w:ascii="宋体" w:hAnsi="宋体" w:cs="宋体"/>
          <w:color w:val="auto"/>
          <w:sz w:val="84"/>
          <w:szCs w:val="84"/>
          <w:lang w:val="zh-CN"/>
        </w:rPr>
        <w:t>标</w:t>
      </w:r>
    </w:p>
    <w:p w14:paraId="7E5A6E9B">
      <w:pPr>
        <w:autoSpaceDE w:val="0"/>
        <w:autoSpaceDN w:val="0"/>
        <w:adjustRightInd w:val="0"/>
        <w:spacing w:after="0" w:line="312" w:lineRule="auto"/>
        <w:jc w:val="center"/>
        <w:rPr>
          <w:rFonts w:hint="eastAsia" w:ascii="宋体" w:hAnsi="宋体" w:cs="宋体"/>
          <w:color w:val="auto"/>
          <w:sz w:val="84"/>
          <w:szCs w:val="84"/>
        </w:rPr>
      </w:pPr>
      <w:r>
        <w:rPr>
          <w:rFonts w:hint="eastAsia" w:ascii="宋体" w:hAnsi="宋体" w:cs="宋体"/>
          <w:color w:val="auto"/>
          <w:sz w:val="84"/>
          <w:szCs w:val="84"/>
          <w:lang w:val="zh-CN"/>
        </w:rPr>
        <w:t>文</w:t>
      </w:r>
    </w:p>
    <w:p w14:paraId="6E5220B3">
      <w:pPr>
        <w:spacing w:after="0" w:line="312" w:lineRule="auto"/>
        <w:ind w:right="-108"/>
        <w:jc w:val="center"/>
        <w:rPr>
          <w:rFonts w:hint="eastAsia" w:ascii="宋体" w:hAnsi="宋体" w:cs="宋体"/>
          <w:color w:val="auto"/>
          <w:sz w:val="84"/>
          <w:szCs w:val="84"/>
          <w:lang w:val="zh-CN"/>
        </w:rPr>
      </w:pPr>
      <w:r>
        <w:rPr>
          <w:rFonts w:hint="eastAsia" w:ascii="宋体" w:hAnsi="宋体" w:cs="宋体"/>
          <w:color w:val="auto"/>
          <w:sz w:val="84"/>
          <w:szCs w:val="84"/>
          <w:lang w:val="zh-CN"/>
        </w:rPr>
        <w:t>件</w:t>
      </w:r>
    </w:p>
    <w:p w14:paraId="5FBD5E8C">
      <w:pPr>
        <w:spacing w:after="0" w:line="312" w:lineRule="auto"/>
        <w:ind w:right="-108"/>
        <w:jc w:val="center"/>
        <w:rPr>
          <w:rFonts w:hint="eastAsia" w:ascii="宋体" w:hAnsi="宋体" w:cs="宋体"/>
          <w:b/>
          <w:color w:val="auto"/>
          <w:spacing w:val="40"/>
          <w:sz w:val="28"/>
          <w:szCs w:val="28"/>
        </w:rPr>
      </w:pPr>
      <w:r>
        <w:rPr>
          <w:rFonts w:hint="eastAsia" w:ascii="宋体" w:hAnsi="宋体" w:cs="宋体"/>
          <w:b/>
          <w:bCs/>
          <w:color w:val="auto"/>
          <w:sz w:val="28"/>
          <w:szCs w:val="28"/>
          <w:lang w:val="zh-CN"/>
        </w:rPr>
        <w:t>（</w:t>
      </w:r>
      <w:r>
        <w:rPr>
          <w:rFonts w:hint="eastAsia" w:ascii="宋体" w:hAnsi="宋体" w:cs="宋体"/>
          <w:b/>
          <w:color w:val="auto"/>
          <w:spacing w:val="40"/>
          <w:sz w:val="28"/>
          <w:szCs w:val="28"/>
        </w:rPr>
        <w:t>资格证明文件）</w:t>
      </w:r>
    </w:p>
    <w:p w14:paraId="7EE113DF">
      <w:pPr>
        <w:spacing w:after="0" w:line="312" w:lineRule="auto"/>
        <w:ind w:right="532" w:firstLine="720" w:firstLineChars="200"/>
        <w:rPr>
          <w:rFonts w:hint="eastAsia" w:ascii="宋体" w:hAnsi="宋体" w:cs="宋体"/>
          <w:color w:val="auto"/>
          <w:sz w:val="36"/>
          <w:szCs w:val="36"/>
        </w:rPr>
      </w:pPr>
      <w:r>
        <w:rPr>
          <w:rFonts w:hint="eastAsia" w:ascii="宋体" w:hAnsi="宋体" w:cs="宋体"/>
          <w:color w:val="auto"/>
          <w:sz w:val="36"/>
          <w:szCs w:val="36"/>
        </w:rPr>
        <w:t>投标人全称（公章）：</w:t>
      </w:r>
    </w:p>
    <w:p w14:paraId="1BC44B40">
      <w:pPr>
        <w:spacing w:after="0" w:line="312" w:lineRule="auto"/>
        <w:ind w:right="532" w:firstLine="720" w:firstLineChars="200"/>
        <w:rPr>
          <w:rFonts w:hint="eastAsia" w:ascii="宋体" w:hAnsi="宋体" w:cs="宋体"/>
          <w:color w:val="auto"/>
          <w:sz w:val="36"/>
          <w:szCs w:val="36"/>
        </w:rPr>
      </w:pPr>
      <w:r>
        <w:rPr>
          <w:rFonts w:hint="eastAsia" w:ascii="宋体" w:hAnsi="宋体" w:cs="宋体"/>
          <w:color w:val="auto"/>
          <w:sz w:val="36"/>
          <w:szCs w:val="36"/>
        </w:rPr>
        <w:t>地    址：</w:t>
      </w:r>
    </w:p>
    <w:p w14:paraId="548785D4">
      <w:pPr>
        <w:spacing w:after="0" w:line="312" w:lineRule="auto"/>
        <w:ind w:right="532" w:firstLine="720" w:firstLineChars="200"/>
        <w:rPr>
          <w:rFonts w:hint="eastAsia" w:ascii="宋体" w:hAnsi="宋体" w:cs="宋体"/>
          <w:color w:val="auto"/>
          <w:sz w:val="36"/>
          <w:szCs w:val="36"/>
        </w:rPr>
      </w:pPr>
      <w:r>
        <w:rPr>
          <w:rFonts w:hint="eastAsia" w:ascii="宋体" w:hAnsi="宋体" w:cs="宋体"/>
          <w:color w:val="auto"/>
          <w:sz w:val="36"/>
          <w:szCs w:val="36"/>
        </w:rPr>
        <w:t>时    间：</w:t>
      </w:r>
    </w:p>
    <w:p w14:paraId="6E25FCF7">
      <w:pPr>
        <w:snapToGrid w:val="0"/>
        <w:spacing w:before="50" w:after="0" w:line="312" w:lineRule="auto"/>
        <w:rPr>
          <w:rFonts w:hint="eastAsia" w:ascii="宋体" w:hAnsi="宋体" w:cs="宋体"/>
          <w:b/>
          <w:color w:val="auto"/>
          <w:sz w:val="36"/>
          <w:szCs w:val="36"/>
        </w:rPr>
      </w:pPr>
    </w:p>
    <w:p w14:paraId="42667F99">
      <w:pPr>
        <w:snapToGrid w:val="0"/>
        <w:spacing w:before="50" w:after="0" w:line="312" w:lineRule="auto"/>
        <w:rPr>
          <w:rFonts w:hint="eastAsia" w:ascii="宋体" w:hAnsi="宋体" w:cs="宋体"/>
          <w:b/>
          <w:color w:val="auto"/>
          <w:sz w:val="36"/>
          <w:szCs w:val="36"/>
        </w:rPr>
      </w:pPr>
    </w:p>
    <w:p w14:paraId="56FCB63B">
      <w:pPr>
        <w:rPr>
          <w:color w:val="auto"/>
        </w:rPr>
      </w:pPr>
    </w:p>
    <w:p w14:paraId="37E7E0F5">
      <w:pPr>
        <w:snapToGrid w:val="0"/>
        <w:spacing w:before="50" w:after="50" w:line="360" w:lineRule="auto"/>
        <w:jc w:val="center"/>
        <w:rPr>
          <w:rFonts w:hint="eastAsia" w:ascii="宋体" w:hAnsi="宋体" w:cs="宋体"/>
          <w:b/>
          <w:bCs/>
          <w:color w:val="auto"/>
          <w:sz w:val="36"/>
          <w:szCs w:val="36"/>
        </w:rPr>
      </w:pPr>
      <w:r>
        <w:rPr>
          <w:rFonts w:hint="eastAsia" w:ascii="宋体" w:hAnsi="宋体" w:cs="宋体"/>
          <w:b/>
          <w:bCs/>
          <w:color w:val="auto"/>
          <w:sz w:val="36"/>
          <w:szCs w:val="36"/>
        </w:rPr>
        <w:t>资格证明文件目录</w:t>
      </w:r>
    </w:p>
    <w:p w14:paraId="55ADE394">
      <w:pPr>
        <w:snapToGrid w:val="0"/>
        <w:spacing w:before="50" w:after="50" w:line="360" w:lineRule="auto"/>
        <w:jc w:val="center"/>
        <w:rPr>
          <w:rFonts w:hint="eastAsia" w:ascii="宋体" w:hAnsi="宋体" w:cs="宋体"/>
          <w:b/>
          <w:bCs/>
          <w:color w:val="auto"/>
          <w:sz w:val="36"/>
          <w:szCs w:val="36"/>
        </w:rPr>
      </w:pPr>
    </w:p>
    <w:p w14:paraId="0B009709">
      <w:pPr>
        <w:snapToGrid w:val="0"/>
        <w:spacing w:after="0" w:line="480" w:lineRule="auto"/>
        <w:rPr>
          <w:rFonts w:hint="eastAsia" w:ascii="宋体" w:hAnsi="宋体" w:cs="宋体"/>
          <w:color w:val="auto"/>
          <w:sz w:val="24"/>
        </w:rPr>
      </w:pPr>
      <w:r>
        <w:rPr>
          <w:rFonts w:hint="eastAsia" w:ascii="宋体" w:hAnsi="宋体" w:cs="宋体"/>
          <w:color w:val="auto"/>
          <w:sz w:val="24"/>
        </w:rPr>
        <w:t>1、声明书（附件2）；</w:t>
      </w:r>
    </w:p>
    <w:p w14:paraId="30AEE7D2">
      <w:pPr>
        <w:snapToGrid w:val="0"/>
        <w:spacing w:after="0" w:line="480" w:lineRule="auto"/>
        <w:rPr>
          <w:rFonts w:hint="eastAsia" w:ascii="宋体" w:hAnsi="宋体" w:cs="宋体"/>
          <w:color w:val="auto"/>
          <w:sz w:val="24"/>
        </w:rPr>
      </w:pPr>
      <w:r>
        <w:rPr>
          <w:rFonts w:hint="eastAsia" w:ascii="宋体" w:hAnsi="宋体" w:cs="宋体"/>
          <w:color w:val="auto"/>
          <w:sz w:val="24"/>
        </w:rPr>
        <w:t>2、授权委托书或法定代表人证明书（适用法定代表人亲自办理投标事宜)（附件3）；</w:t>
      </w:r>
    </w:p>
    <w:p w14:paraId="41003BEE">
      <w:pPr>
        <w:snapToGrid w:val="0"/>
        <w:spacing w:after="0" w:line="480" w:lineRule="auto"/>
        <w:rPr>
          <w:rFonts w:hint="eastAsia" w:ascii="宋体" w:hAnsi="宋体" w:cs="宋体"/>
          <w:color w:val="auto"/>
          <w:sz w:val="24"/>
        </w:rPr>
      </w:pPr>
      <w:r>
        <w:rPr>
          <w:rFonts w:hint="eastAsia" w:ascii="宋体" w:hAnsi="宋体" w:cs="宋体"/>
          <w:color w:val="auto"/>
          <w:sz w:val="24"/>
        </w:rPr>
        <w:t>3、企业或者其他组织的营业执照等证明文件，自然人的身份证明；</w:t>
      </w:r>
    </w:p>
    <w:p w14:paraId="4107EEBB">
      <w:pPr>
        <w:snapToGrid w:val="0"/>
        <w:spacing w:after="0" w:line="480" w:lineRule="auto"/>
        <w:rPr>
          <w:rFonts w:hint="eastAsia" w:ascii="宋体" w:hAnsi="宋体" w:cs="宋体"/>
          <w:color w:val="auto"/>
          <w:sz w:val="24"/>
        </w:rPr>
      </w:pPr>
      <w:r>
        <w:rPr>
          <w:rFonts w:hint="eastAsia" w:ascii="宋体" w:hAnsi="宋体" w:cs="宋体"/>
          <w:color w:val="auto"/>
          <w:sz w:val="24"/>
        </w:rPr>
        <w:t>4、符合参与政府采购活动的资格条件，具备良好的商业信誉和健全的财务会计制度并且没有税收缴纳、社会保障等方面的失信记录的承诺函（附件4）；</w:t>
      </w:r>
    </w:p>
    <w:p w14:paraId="685E4A88">
      <w:pPr>
        <w:snapToGrid w:val="0"/>
        <w:spacing w:after="0" w:line="480" w:lineRule="auto"/>
        <w:rPr>
          <w:rFonts w:hint="eastAsia" w:ascii="宋体" w:hAnsi="宋体" w:cs="宋体"/>
          <w:color w:val="auto"/>
          <w:sz w:val="24"/>
        </w:rPr>
      </w:pPr>
      <w:r>
        <w:rPr>
          <w:rFonts w:hint="eastAsia" w:ascii="宋体" w:hAnsi="宋体" w:cs="宋体"/>
          <w:color w:val="auto"/>
          <w:sz w:val="24"/>
        </w:rPr>
        <w:t>5、具备履行合同所必需的设备和专业技术能力的承诺函（附件5）；</w:t>
      </w:r>
    </w:p>
    <w:p w14:paraId="045E3201">
      <w:pPr>
        <w:snapToGrid w:val="0"/>
        <w:spacing w:after="0" w:line="480" w:lineRule="auto"/>
        <w:rPr>
          <w:rFonts w:hint="eastAsia" w:ascii="宋体" w:hAnsi="宋体" w:cs="宋体"/>
          <w:color w:val="auto"/>
          <w:sz w:val="24"/>
        </w:rPr>
      </w:pPr>
      <w:r>
        <w:rPr>
          <w:rFonts w:hint="eastAsia" w:ascii="宋体" w:hAnsi="宋体" w:cs="宋体"/>
          <w:color w:val="auto"/>
          <w:sz w:val="24"/>
        </w:rPr>
        <w:t>6、中小企业声明函（附件16）</w:t>
      </w:r>
    </w:p>
    <w:p w14:paraId="2CB107BD">
      <w:pPr>
        <w:spacing w:after="0" w:line="312" w:lineRule="auto"/>
        <w:rPr>
          <w:rFonts w:hint="eastAsia" w:ascii="宋体" w:hAnsi="宋体" w:cs="宋体"/>
          <w:b/>
          <w:color w:val="auto"/>
          <w:sz w:val="28"/>
        </w:rPr>
      </w:pPr>
    </w:p>
    <w:p w14:paraId="1E829A0E">
      <w:pPr>
        <w:spacing w:after="0" w:line="312" w:lineRule="auto"/>
        <w:rPr>
          <w:rFonts w:hint="eastAsia" w:ascii="宋体" w:hAnsi="宋体" w:cs="宋体"/>
          <w:b/>
          <w:color w:val="auto"/>
          <w:sz w:val="28"/>
        </w:rPr>
      </w:pPr>
    </w:p>
    <w:p w14:paraId="135CCE00">
      <w:pPr>
        <w:spacing w:after="0" w:line="312" w:lineRule="auto"/>
        <w:rPr>
          <w:rFonts w:hint="eastAsia" w:ascii="宋体" w:hAnsi="宋体" w:cs="宋体"/>
          <w:b/>
          <w:color w:val="auto"/>
          <w:sz w:val="28"/>
        </w:rPr>
      </w:pPr>
    </w:p>
    <w:p w14:paraId="6A579157">
      <w:pPr>
        <w:spacing w:after="0" w:line="312" w:lineRule="auto"/>
        <w:rPr>
          <w:rFonts w:hint="eastAsia" w:ascii="宋体" w:hAnsi="宋体" w:cs="宋体"/>
          <w:b/>
          <w:color w:val="auto"/>
          <w:sz w:val="28"/>
        </w:rPr>
      </w:pPr>
    </w:p>
    <w:p w14:paraId="3C6FB16A">
      <w:pPr>
        <w:pStyle w:val="23"/>
        <w:rPr>
          <w:rFonts w:hint="eastAsia" w:ascii="宋体" w:hAnsi="宋体"/>
          <w:b/>
          <w:color w:val="auto"/>
          <w:sz w:val="28"/>
        </w:rPr>
      </w:pPr>
    </w:p>
    <w:p w14:paraId="23F5FE2F">
      <w:pPr>
        <w:pStyle w:val="23"/>
        <w:rPr>
          <w:rFonts w:hint="eastAsia" w:ascii="宋体" w:hAnsi="宋体"/>
          <w:b/>
          <w:color w:val="auto"/>
          <w:sz w:val="28"/>
        </w:rPr>
      </w:pPr>
    </w:p>
    <w:p w14:paraId="2F252046">
      <w:pPr>
        <w:pStyle w:val="23"/>
        <w:rPr>
          <w:rFonts w:hint="eastAsia" w:ascii="宋体" w:hAnsi="宋体"/>
          <w:b/>
          <w:color w:val="auto"/>
          <w:sz w:val="28"/>
        </w:rPr>
      </w:pPr>
    </w:p>
    <w:p w14:paraId="3E53F70B">
      <w:pPr>
        <w:pStyle w:val="23"/>
        <w:rPr>
          <w:rFonts w:hint="eastAsia" w:ascii="宋体" w:hAnsi="宋体"/>
          <w:b/>
          <w:color w:val="auto"/>
          <w:sz w:val="28"/>
        </w:rPr>
      </w:pPr>
    </w:p>
    <w:p w14:paraId="36394421">
      <w:pPr>
        <w:pStyle w:val="23"/>
        <w:rPr>
          <w:rFonts w:hint="eastAsia" w:ascii="宋体" w:hAnsi="宋体"/>
          <w:b/>
          <w:color w:val="auto"/>
          <w:sz w:val="28"/>
        </w:rPr>
      </w:pPr>
    </w:p>
    <w:p w14:paraId="4DF76561">
      <w:pPr>
        <w:spacing w:after="0" w:line="336" w:lineRule="auto"/>
        <w:rPr>
          <w:rFonts w:hint="eastAsia" w:ascii="宋体" w:hAnsi="宋体" w:cs="宋体"/>
          <w:b/>
          <w:color w:val="auto"/>
          <w:sz w:val="28"/>
        </w:rPr>
      </w:pPr>
    </w:p>
    <w:p w14:paraId="26F90757">
      <w:pPr>
        <w:spacing w:after="0" w:line="336" w:lineRule="auto"/>
        <w:rPr>
          <w:rFonts w:hint="eastAsia" w:ascii="宋体" w:hAnsi="宋体" w:cs="宋体"/>
          <w:b/>
          <w:color w:val="auto"/>
          <w:sz w:val="28"/>
        </w:rPr>
      </w:pPr>
    </w:p>
    <w:p w14:paraId="048F0381">
      <w:pPr>
        <w:widowControl/>
        <w:spacing w:after="0" w:line="240" w:lineRule="auto"/>
        <w:jc w:val="left"/>
        <w:rPr>
          <w:rFonts w:hint="eastAsia" w:ascii="宋体" w:hAnsi="宋体" w:cs="宋体"/>
          <w:b/>
          <w:color w:val="auto"/>
          <w:sz w:val="28"/>
        </w:rPr>
      </w:pPr>
      <w:r>
        <w:rPr>
          <w:rFonts w:hint="eastAsia" w:ascii="宋体" w:hAnsi="宋体" w:cs="宋体"/>
          <w:b/>
          <w:color w:val="auto"/>
          <w:sz w:val="28"/>
        </w:rPr>
        <w:br w:type="page"/>
      </w:r>
    </w:p>
    <w:p w14:paraId="3A9B6AEC">
      <w:pPr>
        <w:spacing w:after="0" w:line="336" w:lineRule="auto"/>
        <w:rPr>
          <w:rFonts w:hint="eastAsia" w:ascii="宋体" w:hAnsi="宋体" w:cs="宋体"/>
          <w:b/>
          <w:color w:val="auto"/>
          <w:sz w:val="28"/>
        </w:rPr>
      </w:pPr>
      <w:r>
        <w:rPr>
          <w:rFonts w:hint="eastAsia" w:ascii="宋体" w:hAnsi="宋体" w:cs="宋体"/>
          <w:b/>
          <w:color w:val="auto"/>
          <w:sz w:val="28"/>
        </w:rPr>
        <w:t>附件2</w:t>
      </w:r>
    </w:p>
    <w:p w14:paraId="7761C329">
      <w:pPr>
        <w:adjustRightInd w:val="0"/>
        <w:snapToGrid w:val="0"/>
        <w:spacing w:after="0" w:line="336" w:lineRule="auto"/>
        <w:ind w:right="480"/>
        <w:jc w:val="center"/>
        <w:rPr>
          <w:rFonts w:hint="eastAsia" w:ascii="宋体" w:hAnsi="宋体" w:cs="宋体"/>
          <w:b/>
          <w:color w:val="auto"/>
          <w:kern w:val="0"/>
          <w:sz w:val="32"/>
          <w:szCs w:val="32"/>
          <w:lang w:val="zh-CN"/>
        </w:rPr>
      </w:pPr>
      <w:r>
        <w:rPr>
          <w:rFonts w:hint="eastAsia" w:ascii="宋体" w:hAnsi="宋体" w:cs="宋体"/>
          <w:b/>
          <w:color w:val="auto"/>
          <w:kern w:val="0"/>
          <w:sz w:val="32"/>
          <w:szCs w:val="32"/>
          <w:lang w:val="zh-CN"/>
        </w:rPr>
        <w:t>投标声明书</w:t>
      </w:r>
    </w:p>
    <w:p w14:paraId="7C88FD84">
      <w:pPr>
        <w:snapToGrid w:val="0"/>
        <w:spacing w:after="0" w:line="336" w:lineRule="auto"/>
        <w:rPr>
          <w:rFonts w:hint="eastAsia" w:ascii="宋体" w:hAnsi="宋体" w:cs="宋体"/>
          <w:color w:val="auto"/>
          <w:kern w:val="0"/>
          <w:sz w:val="24"/>
        </w:rPr>
      </w:pPr>
      <w:r>
        <w:rPr>
          <w:rFonts w:hint="eastAsia" w:ascii="宋体" w:hAnsi="宋体" w:cs="宋体"/>
          <w:color w:val="auto"/>
          <w:sz w:val="24"/>
          <w:lang w:eastAsia="zh-CN"/>
        </w:rPr>
        <w:t>台州市玖诚工程管理有限公司</w:t>
      </w:r>
      <w:r>
        <w:rPr>
          <w:rFonts w:hint="eastAsia" w:ascii="宋体" w:hAnsi="宋体" w:cs="宋体"/>
          <w:color w:val="auto"/>
          <w:kern w:val="0"/>
          <w:sz w:val="24"/>
        </w:rPr>
        <w:t>：</w:t>
      </w:r>
    </w:p>
    <w:p w14:paraId="2E72BA73">
      <w:pPr>
        <w:snapToGrid w:val="0"/>
        <w:spacing w:after="0" w:line="336" w:lineRule="auto"/>
        <w:ind w:firstLine="480" w:firstLineChars="200"/>
        <w:rPr>
          <w:rFonts w:hint="eastAsia" w:ascii="宋体" w:hAnsi="宋体" w:cs="宋体"/>
          <w:color w:val="auto"/>
          <w:kern w:val="0"/>
          <w:sz w:val="24"/>
        </w:rPr>
      </w:pPr>
      <w:r>
        <w:rPr>
          <w:rFonts w:hint="eastAsia" w:ascii="宋体" w:hAnsi="宋体" w:cs="宋体"/>
          <w:color w:val="auto"/>
          <w:kern w:val="0"/>
          <w:sz w:val="24"/>
        </w:rPr>
        <w:t>（投标人名称）系中华人民共和国合法企业，经营地址</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02678D3F">
      <w:pPr>
        <w:snapToGrid w:val="0"/>
        <w:spacing w:after="0" w:line="336" w:lineRule="auto"/>
        <w:ind w:firstLine="480" w:firstLineChars="200"/>
        <w:rPr>
          <w:rFonts w:hint="eastAsia" w:ascii="宋体" w:hAnsi="宋体" w:cs="宋体"/>
          <w:color w:val="auto"/>
          <w:kern w:val="0"/>
          <w:sz w:val="24"/>
        </w:rPr>
      </w:pPr>
      <w:r>
        <w:rPr>
          <w:rFonts w:hint="eastAsia" w:ascii="宋体" w:hAnsi="宋体" w:cs="宋体"/>
          <w:color w:val="auto"/>
          <w:kern w:val="0"/>
          <w:sz w:val="24"/>
        </w:rPr>
        <w:t>我（</w:t>
      </w:r>
      <w:r>
        <w:rPr>
          <w:rFonts w:hint="eastAsia" w:ascii="宋体" w:hAnsi="宋体" w:cs="宋体"/>
          <w:color w:val="auto"/>
          <w:kern w:val="0"/>
          <w:sz w:val="24"/>
          <w:u w:val="single"/>
        </w:rPr>
        <w:t xml:space="preserve"> 姓名 </w:t>
      </w:r>
      <w:r>
        <w:rPr>
          <w:rFonts w:hint="eastAsia" w:ascii="宋体" w:hAnsi="宋体" w:cs="宋体"/>
          <w:color w:val="auto"/>
          <w:kern w:val="0"/>
          <w:sz w:val="24"/>
        </w:rPr>
        <w:t>）系（</w:t>
      </w:r>
      <w:r>
        <w:rPr>
          <w:rFonts w:hint="eastAsia" w:ascii="宋体" w:hAnsi="宋体" w:cs="宋体"/>
          <w:color w:val="auto"/>
          <w:kern w:val="0"/>
          <w:sz w:val="24"/>
          <w:u w:val="single"/>
        </w:rPr>
        <w:t xml:space="preserve"> 投标人名称 </w:t>
      </w:r>
      <w:r>
        <w:rPr>
          <w:rFonts w:hint="eastAsia" w:ascii="宋体" w:hAnsi="宋体" w:cs="宋体"/>
          <w:color w:val="auto"/>
          <w:kern w:val="0"/>
          <w:sz w:val="24"/>
        </w:rPr>
        <w:t>）的法定代表人，我公司自愿参加贵方组织的（</w:t>
      </w:r>
      <w:r>
        <w:rPr>
          <w:rFonts w:hint="eastAsia" w:ascii="宋体" w:hAnsi="宋体" w:cs="宋体"/>
          <w:color w:val="auto"/>
          <w:kern w:val="0"/>
          <w:sz w:val="24"/>
          <w:u w:val="single"/>
        </w:rPr>
        <w:t>招标项目名称</w:t>
      </w:r>
      <w:r>
        <w:rPr>
          <w:rFonts w:hint="eastAsia" w:ascii="宋体" w:hAnsi="宋体" w:cs="宋体"/>
          <w:color w:val="auto"/>
          <w:kern w:val="0"/>
          <w:sz w:val="24"/>
        </w:rPr>
        <w:t>）（编号为   ）的投标，为此，我公司就本次投标有关事项郑重声明如下：</w:t>
      </w:r>
    </w:p>
    <w:p w14:paraId="59A25797">
      <w:pPr>
        <w:snapToGrid w:val="0"/>
        <w:spacing w:after="0" w:line="336" w:lineRule="auto"/>
        <w:ind w:firstLine="480" w:firstLineChars="200"/>
        <w:rPr>
          <w:rFonts w:hint="eastAsia" w:ascii="宋体" w:hAnsi="宋体" w:cs="宋体"/>
          <w:b/>
          <w:color w:val="auto"/>
          <w:kern w:val="0"/>
          <w:sz w:val="24"/>
        </w:rPr>
      </w:pPr>
      <w:r>
        <w:rPr>
          <w:rFonts w:hint="eastAsia" w:ascii="宋体" w:hAnsi="宋体" w:cs="宋体"/>
          <w:color w:val="auto"/>
          <w:kern w:val="0"/>
          <w:sz w:val="24"/>
        </w:rPr>
        <w:t>1、</w:t>
      </w:r>
      <w:r>
        <w:rPr>
          <w:rFonts w:hint="eastAsia" w:ascii="宋体" w:hAnsi="宋体" w:cs="宋体"/>
          <w:color w:val="auto"/>
          <w:sz w:val="24"/>
        </w:rPr>
        <w:t>我公司声明截止投标时间近三年以来：在政府采购领域中的项目招标、投标和合同履约期间无任何不良行为记录；无重大违法记录（重大违法记录是指供应商因违法经营受到刑事处罚或者责令停产停业、吊销许可证或者执照、较大数额罚款等行政处罚）。</w:t>
      </w:r>
    </w:p>
    <w:p w14:paraId="4407346B">
      <w:pPr>
        <w:snapToGrid w:val="0"/>
        <w:spacing w:after="0" w:line="336" w:lineRule="auto"/>
        <w:ind w:firstLine="480" w:firstLineChars="200"/>
        <w:rPr>
          <w:rFonts w:hint="eastAsia" w:ascii="宋体" w:hAnsi="宋体" w:cs="宋体"/>
          <w:color w:val="auto"/>
          <w:kern w:val="0"/>
          <w:sz w:val="24"/>
        </w:rPr>
      </w:pPr>
      <w:r>
        <w:rPr>
          <w:rFonts w:hint="eastAsia" w:ascii="宋体" w:hAnsi="宋体" w:cs="宋体"/>
          <w:color w:val="auto"/>
          <w:kern w:val="0"/>
          <w:sz w:val="24"/>
        </w:rPr>
        <w:t>2、我公司在参与投标前已详细审查了招标文件和所有相关资料，我方完全明白并认为此招标文件没有倾向性，也没有存在排斥潜在投标人的内容，我方同意招标文件的相关条款，放弃对招标文件提出误解和质疑的一切权利。</w:t>
      </w:r>
      <w:bookmarkStart w:id="51" w:name="_GoBack"/>
      <w:bookmarkEnd w:id="51"/>
    </w:p>
    <w:p w14:paraId="6372C150">
      <w:pPr>
        <w:numPr>
          <w:ilvl w:val="255"/>
          <w:numId w:val="0"/>
        </w:numPr>
        <w:snapToGrid w:val="0"/>
        <w:spacing w:after="0" w:line="336" w:lineRule="auto"/>
        <w:ind w:firstLine="480" w:firstLineChars="200"/>
        <w:rPr>
          <w:rFonts w:hint="eastAsia" w:ascii="宋体" w:hAnsi="宋体" w:cs="宋体"/>
          <w:color w:val="auto"/>
          <w:sz w:val="24"/>
        </w:rPr>
      </w:pPr>
      <w:r>
        <w:rPr>
          <w:rFonts w:hint="eastAsia" w:ascii="宋体" w:hAnsi="宋体" w:cs="宋体"/>
          <w:color w:val="auto"/>
          <w:sz w:val="24"/>
        </w:rPr>
        <w:t>3、我</w:t>
      </w:r>
      <w:r>
        <w:rPr>
          <w:rFonts w:hint="eastAsia" w:ascii="宋体" w:hAnsi="宋体" w:cs="宋体"/>
          <w:color w:val="auto"/>
          <w:kern w:val="0"/>
          <w:sz w:val="24"/>
          <w:lang w:val="zh-CN"/>
        </w:rPr>
        <w:t>公司</w:t>
      </w:r>
      <w:r>
        <w:rPr>
          <w:rFonts w:hint="eastAsia" w:ascii="宋体" w:hAnsi="宋体" w:cs="宋体"/>
          <w:color w:val="auto"/>
          <w:sz w:val="24"/>
        </w:rPr>
        <w:t>不是采购人的附属机构；在获知本项目采购信息后，与采购人聘请的为此项目提供咨询服务的公司及其附属机构没有任何联系。</w:t>
      </w:r>
    </w:p>
    <w:p w14:paraId="446F0F1A">
      <w:pPr>
        <w:snapToGrid w:val="0"/>
        <w:spacing w:after="0" w:line="336" w:lineRule="auto"/>
        <w:ind w:firstLine="480" w:firstLineChars="200"/>
        <w:rPr>
          <w:rFonts w:hint="eastAsia" w:ascii="宋体" w:hAnsi="宋体" w:cs="宋体"/>
          <w:color w:val="auto"/>
          <w:kern w:val="0"/>
          <w:sz w:val="24"/>
          <w:lang w:val="af-ZA"/>
        </w:rPr>
      </w:pPr>
      <w:r>
        <w:rPr>
          <w:rFonts w:hint="eastAsia" w:ascii="宋体" w:hAnsi="宋体" w:cs="宋体"/>
          <w:color w:val="auto"/>
          <w:sz w:val="24"/>
        </w:rPr>
        <w:t>4、</w:t>
      </w:r>
      <w:r>
        <w:rPr>
          <w:rFonts w:hint="eastAsia" w:ascii="宋体" w:hAnsi="宋体" w:cs="宋体"/>
          <w:color w:val="auto"/>
          <w:kern w:val="0"/>
          <w:sz w:val="24"/>
        </w:rPr>
        <w:t>我</w:t>
      </w:r>
      <w:r>
        <w:rPr>
          <w:rFonts w:hint="eastAsia" w:ascii="宋体" w:hAnsi="宋体" w:cs="宋体"/>
          <w:color w:val="auto"/>
          <w:kern w:val="0"/>
          <w:sz w:val="24"/>
          <w:lang w:val="zh-CN"/>
        </w:rPr>
        <w:t>公司</w:t>
      </w:r>
      <w:r>
        <w:rPr>
          <w:rFonts w:hint="eastAsia" w:ascii="宋体" w:hAnsi="宋体" w:cs="宋体"/>
          <w:color w:val="auto"/>
          <w:kern w:val="0"/>
          <w:sz w:val="24"/>
        </w:rPr>
        <w:t>保证，</w:t>
      </w:r>
      <w:r>
        <w:rPr>
          <w:rFonts w:hint="eastAsia" w:ascii="宋体" w:hAnsi="宋体" w:cs="宋体"/>
          <w:color w:val="auto"/>
          <w:kern w:val="0"/>
          <w:sz w:val="24"/>
          <w:lang w:val="af-ZA"/>
        </w:rPr>
        <w:t>采购人在中华人民共和国境内使用</w:t>
      </w:r>
      <w:r>
        <w:rPr>
          <w:rFonts w:hint="eastAsia" w:ascii="宋体" w:hAnsi="宋体" w:cs="宋体"/>
          <w:color w:val="auto"/>
          <w:kern w:val="0"/>
          <w:sz w:val="24"/>
        </w:rPr>
        <w:t>我</w:t>
      </w:r>
      <w:r>
        <w:rPr>
          <w:rFonts w:hint="eastAsia" w:ascii="宋体" w:hAnsi="宋体" w:cs="宋体"/>
          <w:color w:val="auto"/>
          <w:kern w:val="0"/>
          <w:sz w:val="24"/>
          <w:lang w:val="zh-CN"/>
        </w:rPr>
        <w:t>公司</w:t>
      </w:r>
      <w:r>
        <w:rPr>
          <w:rFonts w:hint="eastAsia" w:ascii="宋体" w:hAnsi="宋体" w:cs="宋体"/>
          <w:color w:val="auto"/>
          <w:kern w:val="0"/>
          <w:sz w:val="24"/>
          <w:lang w:val="af-ZA"/>
        </w:rPr>
        <w:t>投标货物、资料、技术、服务或其任何一部分时，享有不受限制的无偿使用权，如有第三方向采购人提出侵犯其专利权、商标权或其它知识产权的主张，该责任由我方承担。我方的投标报价已包含所有应向所有权人支付的专利权、商标权或其它知识产权的一切相关费用。</w:t>
      </w:r>
    </w:p>
    <w:p w14:paraId="73A327A4">
      <w:pPr>
        <w:snapToGrid w:val="0"/>
        <w:spacing w:after="0" w:line="336" w:lineRule="auto"/>
        <w:ind w:firstLine="480" w:firstLineChars="200"/>
        <w:rPr>
          <w:rFonts w:hint="eastAsia" w:ascii="宋体" w:hAnsi="宋体" w:cs="宋体"/>
          <w:color w:val="auto"/>
          <w:sz w:val="24"/>
        </w:rPr>
      </w:pPr>
      <w:r>
        <w:rPr>
          <w:rFonts w:hint="eastAsia" w:ascii="宋体" w:hAnsi="宋体" w:cs="宋体"/>
          <w:color w:val="auto"/>
          <w:kern w:val="0"/>
          <w:sz w:val="24"/>
          <w:lang w:val="af-ZA"/>
        </w:rPr>
        <w:t>5、我</w:t>
      </w:r>
      <w:r>
        <w:rPr>
          <w:rFonts w:hint="eastAsia" w:ascii="宋体" w:hAnsi="宋体" w:cs="宋体"/>
          <w:color w:val="auto"/>
          <w:kern w:val="0"/>
          <w:sz w:val="24"/>
          <w:lang w:val="zh-CN"/>
        </w:rPr>
        <w:t>公司</w:t>
      </w:r>
      <w:r>
        <w:rPr>
          <w:rFonts w:hint="eastAsia" w:ascii="宋体" w:hAnsi="宋体" w:cs="宋体"/>
          <w:color w:val="auto"/>
          <w:kern w:val="0"/>
          <w:sz w:val="24"/>
          <w:lang w:val="af-ZA"/>
        </w:rPr>
        <w:t>严格履行政府采购合同，除在投标文件中明确拒绝的之外，均接受招标文件中的全部条件，不降低合同约定的产品质量和服务，不擅自变更、中止、终止合同，或拒绝履行合同义务；</w:t>
      </w:r>
    </w:p>
    <w:p w14:paraId="5534BE8E">
      <w:pPr>
        <w:snapToGrid w:val="0"/>
        <w:spacing w:after="0" w:line="336" w:lineRule="auto"/>
        <w:ind w:firstLine="480" w:firstLineChars="200"/>
        <w:rPr>
          <w:rFonts w:hint="eastAsia" w:ascii="宋体" w:hAnsi="宋体" w:cs="宋体"/>
          <w:color w:val="auto"/>
          <w:sz w:val="24"/>
        </w:rPr>
      </w:pPr>
      <w:r>
        <w:rPr>
          <w:rFonts w:hint="eastAsia" w:ascii="宋体" w:hAnsi="宋体" w:cs="宋体"/>
          <w:color w:val="auto"/>
          <w:sz w:val="24"/>
        </w:rPr>
        <w:t>6、以上事项如有虚假或隐瞒，我</w:t>
      </w:r>
      <w:r>
        <w:rPr>
          <w:rFonts w:hint="eastAsia" w:ascii="宋体" w:hAnsi="宋体" w:cs="宋体"/>
          <w:color w:val="auto"/>
          <w:kern w:val="0"/>
          <w:sz w:val="24"/>
          <w:lang w:val="zh-CN"/>
        </w:rPr>
        <w:t>公司</w:t>
      </w:r>
      <w:r>
        <w:rPr>
          <w:rFonts w:hint="eastAsia" w:ascii="宋体" w:hAnsi="宋体" w:cs="宋体"/>
          <w:color w:val="auto"/>
          <w:sz w:val="24"/>
        </w:rPr>
        <w:t>愿意承担一切后果，并不再寻求任何旨在减轻或免除法律责任的辩解。</w:t>
      </w:r>
    </w:p>
    <w:p w14:paraId="637F30B7">
      <w:pPr>
        <w:adjustRightInd w:val="0"/>
        <w:snapToGrid w:val="0"/>
        <w:spacing w:after="0" w:line="336" w:lineRule="auto"/>
        <w:ind w:firstLine="480"/>
        <w:rPr>
          <w:rFonts w:hint="eastAsia" w:ascii="宋体" w:hAnsi="宋体" w:cs="宋体"/>
          <w:color w:val="auto"/>
          <w:kern w:val="0"/>
          <w:sz w:val="24"/>
        </w:rPr>
      </w:pPr>
    </w:p>
    <w:p w14:paraId="217CC23C">
      <w:pPr>
        <w:adjustRightInd w:val="0"/>
        <w:snapToGrid w:val="0"/>
        <w:spacing w:after="0" w:line="336" w:lineRule="auto"/>
        <w:ind w:firstLine="4680" w:firstLineChars="1950"/>
        <w:rPr>
          <w:rFonts w:hint="eastAsia" w:ascii="宋体" w:hAnsi="宋体" w:cs="宋体"/>
          <w:color w:val="auto"/>
          <w:kern w:val="0"/>
          <w:sz w:val="24"/>
          <w:lang w:val="zh-CN"/>
        </w:rPr>
      </w:pPr>
      <w:r>
        <w:rPr>
          <w:rFonts w:hint="eastAsia" w:ascii="宋体" w:hAnsi="宋体" w:cs="宋体"/>
          <w:color w:val="auto"/>
          <w:kern w:val="0"/>
          <w:sz w:val="24"/>
          <w:lang w:val="zh-CN"/>
        </w:rPr>
        <w:t xml:space="preserve">    投标人名称(公章)：</w:t>
      </w:r>
    </w:p>
    <w:p w14:paraId="4A3444E6">
      <w:pPr>
        <w:adjustRightInd w:val="0"/>
        <w:snapToGrid w:val="0"/>
        <w:spacing w:after="0" w:line="336" w:lineRule="auto"/>
        <w:rPr>
          <w:rFonts w:hint="eastAsia" w:ascii="宋体" w:hAnsi="宋体" w:cs="宋体"/>
          <w:color w:val="auto"/>
          <w:kern w:val="0"/>
          <w:sz w:val="24"/>
          <w:lang w:val="zh-CN"/>
        </w:rPr>
      </w:pPr>
      <w:r>
        <w:rPr>
          <w:rFonts w:hint="eastAsia" w:ascii="宋体" w:hAnsi="宋体" w:cs="宋体"/>
          <w:color w:val="auto"/>
          <w:kern w:val="0"/>
          <w:sz w:val="24"/>
          <w:lang w:val="zh-CN"/>
        </w:rPr>
        <w:t xml:space="preserve">                                       法定代表人或授权委托人(签字)：</w:t>
      </w:r>
    </w:p>
    <w:p w14:paraId="524401DF">
      <w:pPr>
        <w:adjustRightInd w:val="0"/>
        <w:snapToGrid w:val="0"/>
        <w:spacing w:after="0" w:line="336" w:lineRule="auto"/>
        <w:ind w:right="480"/>
        <w:jc w:val="center"/>
        <w:rPr>
          <w:rFonts w:hint="eastAsia" w:ascii="宋体" w:hAnsi="宋体" w:cs="宋体"/>
          <w:color w:val="auto"/>
          <w:kern w:val="0"/>
          <w:sz w:val="24"/>
          <w:lang w:val="zh-CN"/>
        </w:rPr>
      </w:pPr>
      <w:r>
        <w:rPr>
          <w:rFonts w:hint="eastAsia" w:ascii="宋体" w:hAnsi="宋体" w:cs="宋体"/>
          <w:color w:val="auto"/>
          <w:kern w:val="0"/>
          <w:sz w:val="24"/>
          <w:lang w:val="zh-CN"/>
        </w:rPr>
        <w:t xml:space="preserve">                                  日期：</w:t>
      </w:r>
      <w:r>
        <w:rPr>
          <w:rFonts w:hint="eastAsia" w:ascii="宋体" w:hAnsi="宋体" w:cs="宋体"/>
          <w:color w:val="auto"/>
          <w:sz w:val="24"/>
        </w:rPr>
        <w:t>××</w:t>
      </w:r>
      <w:r>
        <w:rPr>
          <w:rFonts w:hint="eastAsia" w:ascii="宋体" w:hAnsi="宋体" w:cs="宋体"/>
          <w:color w:val="auto"/>
          <w:kern w:val="0"/>
          <w:sz w:val="24"/>
          <w:lang w:val="zh-CN"/>
        </w:rPr>
        <w:t xml:space="preserve">年 </w:t>
      </w:r>
      <w:r>
        <w:rPr>
          <w:rFonts w:hint="eastAsia" w:ascii="宋体" w:hAnsi="宋体" w:cs="宋体"/>
          <w:color w:val="auto"/>
          <w:sz w:val="24"/>
        </w:rPr>
        <w:t>××</w:t>
      </w:r>
      <w:r>
        <w:rPr>
          <w:rFonts w:hint="eastAsia" w:ascii="宋体" w:hAnsi="宋体" w:cs="宋体"/>
          <w:color w:val="auto"/>
          <w:kern w:val="0"/>
          <w:sz w:val="24"/>
          <w:lang w:val="zh-CN"/>
        </w:rPr>
        <w:t xml:space="preserve"> 月 </w:t>
      </w:r>
      <w:r>
        <w:rPr>
          <w:rFonts w:hint="eastAsia" w:ascii="宋体" w:hAnsi="宋体" w:cs="宋体"/>
          <w:color w:val="auto"/>
          <w:sz w:val="24"/>
        </w:rPr>
        <w:t>××</w:t>
      </w:r>
      <w:r>
        <w:rPr>
          <w:rFonts w:hint="eastAsia" w:ascii="宋体" w:hAnsi="宋体" w:cs="宋体"/>
          <w:color w:val="auto"/>
          <w:kern w:val="0"/>
          <w:sz w:val="24"/>
          <w:lang w:val="zh-CN"/>
        </w:rPr>
        <w:t xml:space="preserve"> 日</w:t>
      </w:r>
    </w:p>
    <w:p w14:paraId="1608AB72">
      <w:pPr>
        <w:pStyle w:val="23"/>
        <w:rPr>
          <w:rFonts w:hint="eastAsia" w:ascii="宋体" w:hAnsi="宋体"/>
          <w:color w:val="auto"/>
          <w:kern w:val="0"/>
          <w:sz w:val="24"/>
          <w:lang w:val="zh-CN"/>
        </w:rPr>
      </w:pPr>
    </w:p>
    <w:p w14:paraId="65A5E950">
      <w:pPr>
        <w:pStyle w:val="23"/>
        <w:rPr>
          <w:rFonts w:hint="eastAsia" w:ascii="宋体" w:hAnsi="宋体"/>
          <w:color w:val="auto"/>
          <w:kern w:val="0"/>
          <w:sz w:val="24"/>
          <w:lang w:val="zh-CN"/>
        </w:rPr>
      </w:pPr>
    </w:p>
    <w:p w14:paraId="28F4850B">
      <w:pPr>
        <w:pStyle w:val="23"/>
        <w:rPr>
          <w:rFonts w:hint="eastAsia" w:ascii="宋体" w:hAnsi="宋体"/>
          <w:color w:val="auto"/>
          <w:kern w:val="0"/>
          <w:sz w:val="24"/>
          <w:lang w:val="zh-CN"/>
        </w:rPr>
      </w:pPr>
    </w:p>
    <w:p w14:paraId="47A0CED0">
      <w:pPr>
        <w:adjustRightInd w:val="0"/>
        <w:snapToGrid w:val="0"/>
        <w:spacing w:after="0" w:line="312" w:lineRule="auto"/>
        <w:ind w:right="480"/>
        <w:rPr>
          <w:rFonts w:hint="eastAsia" w:ascii="宋体" w:hAnsi="宋体" w:cs="宋体"/>
          <w:b/>
          <w:color w:val="auto"/>
          <w:sz w:val="30"/>
          <w:szCs w:val="30"/>
        </w:rPr>
      </w:pPr>
      <w:r>
        <w:rPr>
          <w:rFonts w:hint="eastAsia" w:ascii="宋体" w:hAnsi="宋体" w:cs="宋体"/>
          <w:b/>
          <w:color w:val="auto"/>
          <w:sz w:val="28"/>
        </w:rPr>
        <w:t>附件3</w:t>
      </w:r>
    </w:p>
    <w:p w14:paraId="7F2AD6E7">
      <w:pPr>
        <w:spacing w:after="0" w:line="360" w:lineRule="auto"/>
        <w:jc w:val="center"/>
        <w:rPr>
          <w:rFonts w:hint="eastAsia" w:ascii="宋体" w:hAnsi="宋体" w:cs="宋体"/>
          <w:b/>
          <w:color w:val="auto"/>
          <w:sz w:val="32"/>
          <w:szCs w:val="32"/>
          <w:u w:val="single"/>
        </w:rPr>
      </w:pPr>
      <w:r>
        <w:rPr>
          <w:rFonts w:hint="eastAsia" w:ascii="宋体" w:hAnsi="宋体" w:cs="宋体"/>
          <w:b/>
          <w:color w:val="auto"/>
          <w:sz w:val="32"/>
          <w:szCs w:val="32"/>
        </w:rPr>
        <w:t>授权委托书</w:t>
      </w:r>
    </w:p>
    <w:p w14:paraId="298357DA">
      <w:pPr>
        <w:snapToGrid w:val="0"/>
        <w:spacing w:after="0" w:line="360" w:lineRule="auto"/>
        <w:rPr>
          <w:rFonts w:hint="eastAsia" w:ascii="宋体" w:hAnsi="宋体" w:cs="宋体"/>
          <w:color w:val="auto"/>
          <w:kern w:val="0"/>
          <w:sz w:val="24"/>
        </w:rPr>
      </w:pPr>
      <w:r>
        <w:rPr>
          <w:rFonts w:hint="eastAsia" w:ascii="宋体" w:hAnsi="宋体" w:cs="宋体"/>
          <w:color w:val="auto"/>
          <w:sz w:val="24"/>
          <w:lang w:eastAsia="zh-CN"/>
        </w:rPr>
        <w:t>台州市玖诚工程管理有限公司</w:t>
      </w:r>
      <w:r>
        <w:rPr>
          <w:rFonts w:hint="eastAsia" w:ascii="宋体" w:hAnsi="宋体" w:cs="宋体"/>
          <w:color w:val="auto"/>
          <w:kern w:val="0"/>
          <w:sz w:val="24"/>
        </w:rPr>
        <w:t>：</w:t>
      </w:r>
    </w:p>
    <w:p w14:paraId="2ECE0A75">
      <w:pPr>
        <w:pStyle w:val="13"/>
        <w:spacing w:after="0" w:line="360" w:lineRule="auto"/>
        <w:ind w:left="240" w:hanging="240" w:hangingChars="100"/>
        <w:rPr>
          <w:rFonts w:hint="eastAsia" w:hAnsi="宋体" w:cs="宋体"/>
          <w:color w:val="auto"/>
          <w:sz w:val="24"/>
          <w:u w:val="single"/>
        </w:rPr>
      </w:pPr>
      <w:r>
        <w:rPr>
          <w:rFonts w:hint="eastAsia" w:hAnsi="宋体" w:cs="宋体"/>
          <w:color w:val="auto"/>
          <w:sz w:val="24"/>
        </w:rPr>
        <w:t xml:space="preserve">    </w:t>
      </w:r>
      <w:r>
        <w:rPr>
          <w:rFonts w:hint="eastAsia" w:hAnsi="宋体" w:cs="宋体"/>
          <w:color w:val="auto"/>
          <w:sz w:val="24"/>
          <w:u w:val="single"/>
        </w:rPr>
        <w:t xml:space="preserve">  （投标人全称）  </w:t>
      </w:r>
      <w:r>
        <w:rPr>
          <w:rFonts w:hint="eastAsia" w:hAnsi="宋体" w:cs="宋体"/>
          <w:color w:val="auto"/>
          <w:sz w:val="24"/>
        </w:rPr>
        <w:t>法定代表人（或营业执照中单位负责人）</w:t>
      </w:r>
      <w:r>
        <w:rPr>
          <w:rFonts w:hint="eastAsia" w:hAnsi="宋体" w:cs="宋体"/>
          <w:color w:val="auto"/>
          <w:sz w:val="24"/>
          <w:u w:val="single"/>
        </w:rPr>
        <w:tab/>
      </w:r>
      <w:r>
        <w:rPr>
          <w:rFonts w:hint="eastAsia" w:hAnsi="宋体" w:cs="宋体"/>
          <w:color w:val="auto"/>
          <w:sz w:val="24"/>
          <w:u w:val="single"/>
        </w:rPr>
        <w:t>（法定代</w:t>
      </w:r>
    </w:p>
    <w:p w14:paraId="3173F030">
      <w:pPr>
        <w:pStyle w:val="13"/>
        <w:spacing w:after="0" w:line="360" w:lineRule="auto"/>
        <w:ind w:left="240" w:hanging="240" w:hangingChars="100"/>
        <w:rPr>
          <w:rFonts w:hint="eastAsia" w:hAnsi="宋体" w:cs="宋体"/>
          <w:color w:val="auto"/>
          <w:sz w:val="24"/>
        </w:rPr>
      </w:pPr>
      <w:r>
        <w:rPr>
          <w:rFonts w:hint="eastAsia" w:hAnsi="宋体" w:cs="宋体"/>
          <w:color w:val="auto"/>
          <w:sz w:val="24"/>
          <w:u w:val="single"/>
        </w:rPr>
        <w:t xml:space="preserve">表人或营业执照中单位负责人姓名） </w:t>
      </w:r>
      <w:r>
        <w:rPr>
          <w:rFonts w:hint="eastAsia" w:hAnsi="宋体" w:cs="宋体"/>
          <w:color w:val="auto"/>
          <w:sz w:val="24"/>
        </w:rPr>
        <w:t>授权</w:t>
      </w:r>
      <w:r>
        <w:rPr>
          <w:rFonts w:hint="eastAsia" w:hAnsi="宋体" w:cs="宋体"/>
          <w:color w:val="auto"/>
          <w:sz w:val="24"/>
          <w:u w:val="single"/>
        </w:rPr>
        <w:t xml:space="preserve">   （授权代表姓名） </w:t>
      </w:r>
      <w:r>
        <w:rPr>
          <w:rFonts w:hint="eastAsia" w:hAnsi="宋体" w:cs="宋体"/>
          <w:color w:val="auto"/>
          <w:sz w:val="24"/>
        </w:rPr>
        <w:t>为授权代表，</w:t>
      </w:r>
    </w:p>
    <w:p w14:paraId="47D2386E">
      <w:pPr>
        <w:pStyle w:val="13"/>
        <w:spacing w:after="0" w:line="360" w:lineRule="auto"/>
        <w:ind w:left="240" w:hanging="240" w:hangingChars="100"/>
        <w:rPr>
          <w:rFonts w:hint="eastAsia" w:hAnsi="宋体" w:cs="宋体"/>
          <w:color w:val="auto"/>
          <w:sz w:val="24"/>
        </w:rPr>
      </w:pPr>
      <w:r>
        <w:rPr>
          <w:rFonts w:hint="eastAsia" w:hAnsi="宋体" w:cs="宋体"/>
          <w:color w:val="auto"/>
          <w:sz w:val="24"/>
        </w:rPr>
        <w:t>参加贵单位组织的</w:t>
      </w:r>
      <w:r>
        <w:rPr>
          <w:rFonts w:hint="eastAsia" w:hAnsi="宋体" w:cs="宋体"/>
          <w:color w:val="auto"/>
          <w:sz w:val="24"/>
          <w:u w:val="single"/>
        </w:rPr>
        <w:tab/>
      </w:r>
      <w:r>
        <w:rPr>
          <w:rFonts w:hint="eastAsia" w:hAnsi="宋体" w:cs="宋体"/>
          <w:color w:val="auto"/>
          <w:sz w:val="24"/>
          <w:u w:val="single"/>
        </w:rPr>
        <w:t xml:space="preserve">    </w:t>
      </w:r>
      <w:r>
        <w:rPr>
          <w:rFonts w:hint="eastAsia" w:hAnsi="宋体" w:cs="宋体"/>
          <w:color w:val="auto"/>
          <w:sz w:val="24"/>
        </w:rPr>
        <w:t>项目的采购活动，并代表我方全权办理针对上述项目的</w:t>
      </w:r>
    </w:p>
    <w:p w14:paraId="66CBA961">
      <w:pPr>
        <w:pStyle w:val="13"/>
        <w:spacing w:after="0" w:line="360" w:lineRule="auto"/>
        <w:ind w:left="240" w:hanging="240" w:hangingChars="100"/>
        <w:rPr>
          <w:rFonts w:hint="eastAsia" w:hAnsi="宋体" w:cs="宋体"/>
          <w:color w:val="auto"/>
          <w:sz w:val="24"/>
        </w:rPr>
      </w:pPr>
      <w:r>
        <w:rPr>
          <w:rFonts w:hint="eastAsia" w:hAnsi="宋体" w:cs="宋体"/>
          <w:color w:val="auto"/>
          <w:sz w:val="24"/>
        </w:rPr>
        <w:t>投标、开标、评标、签约等具体事务和签署相关文件。我方对授权代表的签字事</w:t>
      </w:r>
    </w:p>
    <w:p w14:paraId="2E2DCAC7">
      <w:pPr>
        <w:pStyle w:val="13"/>
        <w:spacing w:after="0" w:line="360" w:lineRule="auto"/>
        <w:ind w:left="240" w:hanging="240" w:hangingChars="100"/>
        <w:rPr>
          <w:rFonts w:hint="eastAsia" w:hAnsi="宋体" w:cs="宋体"/>
          <w:color w:val="auto"/>
          <w:sz w:val="24"/>
        </w:rPr>
      </w:pPr>
      <w:r>
        <w:rPr>
          <w:rFonts w:hint="eastAsia" w:hAnsi="宋体" w:cs="宋体"/>
          <w:color w:val="auto"/>
          <w:sz w:val="24"/>
        </w:rPr>
        <w:t>项负全部责任。</w:t>
      </w:r>
    </w:p>
    <w:p w14:paraId="2DC8F448">
      <w:pPr>
        <w:pStyle w:val="13"/>
        <w:spacing w:after="0" w:line="360" w:lineRule="auto"/>
        <w:ind w:left="139" w:leftChars="66" w:firstLine="480" w:firstLineChars="200"/>
        <w:rPr>
          <w:rFonts w:hint="eastAsia" w:hAnsi="宋体" w:cs="宋体"/>
          <w:color w:val="auto"/>
          <w:sz w:val="24"/>
        </w:rPr>
      </w:pPr>
      <w:r>
        <w:rPr>
          <w:rFonts w:hint="eastAsia" w:hAnsi="宋体" w:cs="宋体"/>
          <w:color w:val="auto"/>
          <w:sz w:val="24"/>
        </w:rPr>
        <w:t>在撤销授权的书面通知以前，本授权书一直有效。授权代表在授权委托书</w:t>
      </w:r>
    </w:p>
    <w:p w14:paraId="11504CA5">
      <w:pPr>
        <w:pStyle w:val="13"/>
        <w:spacing w:after="0" w:line="360" w:lineRule="auto"/>
        <w:rPr>
          <w:rFonts w:hint="eastAsia" w:hAnsi="宋体" w:cs="宋体"/>
          <w:color w:val="auto"/>
          <w:sz w:val="24"/>
        </w:rPr>
      </w:pPr>
      <w:r>
        <w:rPr>
          <w:rFonts w:hint="eastAsia" w:hAnsi="宋体" w:cs="宋体"/>
          <w:color w:val="auto"/>
          <w:sz w:val="24"/>
        </w:rPr>
        <w:t>有效期内签署的所有文件不因授权的撤销而失效。</w:t>
      </w:r>
    </w:p>
    <w:p w14:paraId="50990B4A">
      <w:pPr>
        <w:pStyle w:val="13"/>
        <w:spacing w:after="0" w:line="360" w:lineRule="auto"/>
        <w:ind w:left="139" w:leftChars="66" w:firstLine="480" w:firstLineChars="200"/>
        <w:rPr>
          <w:rFonts w:hint="eastAsia" w:hAnsi="宋体" w:cs="宋体"/>
          <w:color w:val="auto"/>
          <w:sz w:val="24"/>
        </w:rPr>
      </w:pPr>
      <w:r>
        <w:rPr>
          <w:rFonts w:hint="eastAsia" w:hAnsi="宋体" w:cs="宋体"/>
          <w:color w:val="auto"/>
          <w:sz w:val="24"/>
        </w:rPr>
        <w:t>授权代表无转委托权，特此委托。</w:t>
      </w:r>
    </w:p>
    <w:p w14:paraId="1A52FC50">
      <w:pPr>
        <w:spacing w:after="0" w:line="360" w:lineRule="auto"/>
        <w:rPr>
          <w:rFonts w:hint="eastAsia" w:ascii="宋体" w:hAnsi="宋体" w:cs="宋体"/>
          <w:color w:val="auto"/>
          <w:sz w:val="24"/>
        </w:rPr>
      </w:pPr>
      <w:r>
        <w:rPr>
          <w:rFonts w:hint="eastAsia" w:ascii="宋体" w:hAnsi="宋体" w:cs="宋体"/>
          <w:color w:val="auto"/>
          <w:sz w:val="24"/>
        </w:rPr>
        <w:t>法定代表人签字或盖章：</w:t>
      </w:r>
    </w:p>
    <w:p w14:paraId="7CA64826">
      <w:pPr>
        <w:spacing w:line="360" w:lineRule="auto"/>
        <w:rPr>
          <w:rFonts w:hint="eastAsia" w:ascii="宋体" w:hAnsi="宋体" w:cs="宋体"/>
          <w:color w:val="auto"/>
          <w:sz w:val="24"/>
        </w:rPr>
      </w:pPr>
      <w:r>
        <w:rPr>
          <w:rFonts w:hint="eastAsia" w:ascii="宋体" w:hAnsi="宋体" w:cs="宋体"/>
          <w:color w:val="auto"/>
          <w:sz w:val="24"/>
        </w:rPr>
        <w:t>投标人全称（公章）：                              日期：</w:t>
      </w:r>
    </w:p>
    <w:p w14:paraId="122AD7C3">
      <w:pPr>
        <w:spacing w:line="360" w:lineRule="auto"/>
        <w:rPr>
          <w:rFonts w:hint="eastAsia" w:ascii="宋体" w:hAnsi="宋体" w:cs="宋体"/>
          <w:b/>
          <w:color w:val="auto"/>
          <w:sz w:val="24"/>
        </w:rPr>
      </w:pPr>
      <w:r>
        <w:rPr>
          <w:rFonts w:hint="eastAsia" w:ascii="宋体" w:hAnsi="宋体" w:cs="宋体"/>
          <w:b/>
          <w:color w:val="auto"/>
          <w:sz w:val="24"/>
        </w:rPr>
        <w:t>附：</w:t>
      </w:r>
    </w:p>
    <w:tbl>
      <w:tblPr>
        <w:tblStyle w:val="24"/>
        <w:tblpPr w:leftFromText="180" w:rightFromText="180" w:vertAnchor="text" w:tblpX="4209" w:tblpY="321"/>
        <w:tblW w:w="4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0"/>
      </w:tblGrid>
      <w:tr w14:paraId="7E501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trPr>
        <w:tc>
          <w:tcPr>
            <w:tcW w:w="4080" w:type="dxa"/>
          </w:tcPr>
          <w:p w14:paraId="10A4145B">
            <w:pPr>
              <w:spacing w:line="360" w:lineRule="auto"/>
              <w:rPr>
                <w:rFonts w:hint="eastAsia" w:ascii="宋体" w:hAnsi="宋体" w:cs="宋体"/>
                <w:b/>
                <w:color w:val="auto"/>
                <w:sz w:val="24"/>
              </w:rPr>
            </w:pPr>
          </w:p>
          <w:p w14:paraId="01ADA999">
            <w:pPr>
              <w:spacing w:line="360" w:lineRule="auto"/>
              <w:rPr>
                <w:rFonts w:hint="eastAsia" w:ascii="宋体" w:hAnsi="宋体" w:cs="宋体"/>
                <w:b/>
                <w:color w:val="auto"/>
                <w:sz w:val="24"/>
              </w:rPr>
            </w:pPr>
            <w:r>
              <w:rPr>
                <w:rFonts w:hint="eastAsia" w:ascii="宋体" w:hAnsi="宋体" w:cs="宋体"/>
                <w:b/>
                <w:color w:val="auto"/>
                <w:sz w:val="24"/>
              </w:rPr>
              <w:t>法定代表身份证复印件正反面粘帖处</w:t>
            </w:r>
          </w:p>
        </w:tc>
      </w:tr>
    </w:tbl>
    <w:p w14:paraId="60BA2B77">
      <w:pPr>
        <w:spacing w:line="240" w:lineRule="auto"/>
        <w:rPr>
          <w:rFonts w:hint="eastAsia" w:ascii="宋体" w:hAnsi="宋体" w:cs="宋体"/>
          <w:color w:val="auto"/>
          <w:sz w:val="24"/>
        </w:rPr>
      </w:pPr>
      <w:r>
        <w:rPr>
          <w:rFonts w:hint="eastAsia" w:ascii="宋体" w:hAnsi="宋体" w:cs="宋体"/>
          <w:color w:val="auto"/>
          <w:sz w:val="24"/>
        </w:rPr>
        <w:t xml:space="preserve">法定代表人姓名：                                 </w:t>
      </w:r>
    </w:p>
    <w:p w14:paraId="6122581C">
      <w:pPr>
        <w:spacing w:line="240" w:lineRule="auto"/>
        <w:rPr>
          <w:rFonts w:hint="eastAsia" w:ascii="宋体" w:hAnsi="宋体" w:cs="宋体"/>
          <w:color w:val="auto"/>
          <w:sz w:val="24"/>
        </w:rPr>
      </w:pPr>
      <w:r>
        <w:rPr>
          <w:rFonts w:hint="eastAsia" w:ascii="宋体" w:hAnsi="宋体" w:cs="宋体"/>
          <w:color w:val="auto"/>
          <w:sz w:val="24"/>
        </w:rPr>
        <w:t>传真：</w:t>
      </w:r>
    </w:p>
    <w:p w14:paraId="7D9B08E1">
      <w:pPr>
        <w:spacing w:line="240" w:lineRule="auto"/>
        <w:rPr>
          <w:rFonts w:hint="eastAsia" w:ascii="宋体" w:hAnsi="宋体" w:cs="宋体"/>
          <w:color w:val="auto"/>
          <w:sz w:val="24"/>
        </w:rPr>
      </w:pPr>
      <w:r>
        <w:rPr>
          <w:rFonts w:hint="eastAsia" w:ascii="宋体" w:hAnsi="宋体" w:cs="宋体"/>
          <w:color w:val="auto"/>
          <w:sz w:val="24"/>
        </w:rPr>
        <w:t>电话：</w:t>
      </w:r>
    </w:p>
    <w:p w14:paraId="3FB0905B">
      <w:pPr>
        <w:spacing w:line="240" w:lineRule="auto"/>
        <w:rPr>
          <w:rFonts w:hint="eastAsia" w:ascii="宋体" w:hAnsi="宋体" w:cs="宋体"/>
          <w:color w:val="auto"/>
          <w:sz w:val="24"/>
        </w:rPr>
      </w:pPr>
      <w:r>
        <w:rPr>
          <w:rFonts w:hint="eastAsia" w:ascii="宋体" w:hAnsi="宋体" w:cs="宋体"/>
          <w:color w:val="auto"/>
          <w:sz w:val="24"/>
        </w:rPr>
        <w:t>详细通讯地址：</w:t>
      </w:r>
    </w:p>
    <w:p w14:paraId="739ECD32">
      <w:pPr>
        <w:spacing w:line="240" w:lineRule="auto"/>
        <w:rPr>
          <w:rFonts w:hint="eastAsia" w:ascii="宋体" w:hAnsi="宋体" w:cs="宋体"/>
          <w:color w:val="auto"/>
          <w:sz w:val="24"/>
        </w:rPr>
      </w:pPr>
      <w:r>
        <w:rPr>
          <w:rFonts w:hint="eastAsia" w:ascii="宋体" w:hAnsi="宋体" w:cs="宋体"/>
          <w:color w:val="auto"/>
          <w:sz w:val="24"/>
        </w:rPr>
        <w:t>邮政编码：</w:t>
      </w:r>
    </w:p>
    <w:p w14:paraId="2E32E4B6">
      <w:pPr>
        <w:spacing w:line="360" w:lineRule="auto"/>
        <w:rPr>
          <w:rFonts w:hint="eastAsia" w:ascii="宋体" w:hAnsi="宋体" w:cs="宋体"/>
          <w:b/>
          <w:color w:val="auto"/>
          <w:sz w:val="24"/>
        </w:rPr>
      </w:pPr>
    </w:p>
    <w:tbl>
      <w:tblPr>
        <w:tblStyle w:val="24"/>
        <w:tblpPr w:leftFromText="180" w:rightFromText="180" w:vertAnchor="text" w:tblpX="4209" w:tblpY="321"/>
        <w:tblW w:w="4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0"/>
      </w:tblGrid>
      <w:tr w14:paraId="003A5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trPr>
        <w:tc>
          <w:tcPr>
            <w:tcW w:w="4080" w:type="dxa"/>
          </w:tcPr>
          <w:p w14:paraId="717CE32B">
            <w:pPr>
              <w:spacing w:line="360" w:lineRule="auto"/>
              <w:rPr>
                <w:rFonts w:hint="eastAsia" w:ascii="宋体" w:hAnsi="宋体" w:cs="宋体"/>
                <w:b/>
                <w:color w:val="auto"/>
                <w:sz w:val="24"/>
              </w:rPr>
            </w:pPr>
          </w:p>
          <w:p w14:paraId="5F23ECA5">
            <w:pPr>
              <w:spacing w:line="360" w:lineRule="auto"/>
              <w:rPr>
                <w:rFonts w:hint="eastAsia" w:ascii="宋体" w:hAnsi="宋体" w:cs="宋体"/>
                <w:b/>
                <w:color w:val="auto"/>
                <w:sz w:val="24"/>
              </w:rPr>
            </w:pPr>
            <w:r>
              <w:rPr>
                <w:rFonts w:hint="eastAsia" w:ascii="宋体" w:hAnsi="宋体" w:cs="宋体"/>
                <w:b/>
                <w:color w:val="auto"/>
                <w:sz w:val="24"/>
              </w:rPr>
              <w:t>授权代表身份证复印件正反面粘帖处</w:t>
            </w:r>
          </w:p>
        </w:tc>
      </w:tr>
    </w:tbl>
    <w:p w14:paraId="5863F9B5">
      <w:pPr>
        <w:spacing w:line="240" w:lineRule="auto"/>
        <w:rPr>
          <w:rFonts w:hint="eastAsia" w:ascii="宋体" w:hAnsi="宋体" w:cs="宋体"/>
          <w:color w:val="auto"/>
          <w:sz w:val="24"/>
        </w:rPr>
      </w:pPr>
      <w:r>
        <w:rPr>
          <w:rFonts w:hint="eastAsia" w:ascii="宋体" w:hAnsi="宋体" w:cs="宋体"/>
          <w:color w:val="auto"/>
          <w:sz w:val="24"/>
        </w:rPr>
        <w:t xml:space="preserve">授权代表姓名：       </w:t>
      </w:r>
    </w:p>
    <w:p w14:paraId="0E6F6DD9">
      <w:pPr>
        <w:spacing w:line="240" w:lineRule="auto"/>
        <w:rPr>
          <w:rFonts w:hint="eastAsia" w:ascii="宋体" w:hAnsi="宋体" w:cs="宋体"/>
          <w:color w:val="auto"/>
          <w:sz w:val="24"/>
        </w:rPr>
      </w:pPr>
      <w:r>
        <w:rPr>
          <w:rFonts w:hint="eastAsia" w:ascii="宋体" w:hAnsi="宋体" w:cs="宋体"/>
          <w:color w:val="auto"/>
          <w:sz w:val="24"/>
        </w:rPr>
        <w:t xml:space="preserve">职务：                           </w:t>
      </w:r>
    </w:p>
    <w:p w14:paraId="63D5DE91">
      <w:pPr>
        <w:spacing w:line="240" w:lineRule="auto"/>
        <w:rPr>
          <w:rFonts w:hint="eastAsia" w:ascii="宋体" w:hAnsi="宋体" w:cs="宋体"/>
          <w:color w:val="auto"/>
          <w:sz w:val="24"/>
        </w:rPr>
      </w:pPr>
      <w:r>
        <w:rPr>
          <w:rFonts w:hint="eastAsia" w:ascii="宋体" w:hAnsi="宋体" w:cs="宋体"/>
          <w:color w:val="auto"/>
          <w:sz w:val="24"/>
        </w:rPr>
        <w:t>传真：</w:t>
      </w:r>
    </w:p>
    <w:p w14:paraId="1EC85E7C">
      <w:pPr>
        <w:spacing w:line="240" w:lineRule="auto"/>
        <w:rPr>
          <w:rFonts w:hint="eastAsia" w:ascii="宋体" w:hAnsi="宋体" w:cs="宋体"/>
          <w:color w:val="auto"/>
          <w:sz w:val="24"/>
        </w:rPr>
      </w:pPr>
      <w:r>
        <w:rPr>
          <w:rFonts w:hint="eastAsia" w:ascii="宋体" w:hAnsi="宋体" w:cs="宋体"/>
          <w:color w:val="auto"/>
          <w:sz w:val="24"/>
        </w:rPr>
        <w:t>电话：</w:t>
      </w:r>
    </w:p>
    <w:p w14:paraId="07DD6D8D">
      <w:pPr>
        <w:spacing w:line="240" w:lineRule="auto"/>
        <w:rPr>
          <w:rFonts w:hint="eastAsia" w:ascii="宋体" w:hAnsi="宋体" w:cs="宋体"/>
          <w:color w:val="auto"/>
          <w:sz w:val="24"/>
        </w:rPr>
      </w:pPr>
      <w:r>
        <w:rPr>
          <w:rFonts w:hint="eastAsia" w:ascii="宋体" w:hAnsi="宋体" w:cs="宋体"/>
          <w:color w:val="auto"/>
          <w:sz w:val="24"/>
        </w:rPr>
        <w:t>详细通讯地址：</w:t>
      </w:r>
    </w:p>
    <w:p w14:paraId="54C07E08">
      <w:pPr>
        <w:spacing w:line="360" w:lineRule="auto"/>
        <w:rPr>
          <w:rFonts w:hint="eastAsia" w:ascii="宋体" w:hAnsi="宋体" w:cs="宋体"/>
          <w:color w:val="auto"/>
          <w:sz w:val="24"/>
        </w:rPr>
      </w:pPr>
      <w:r>
        <w:rPr>
          <w:rFonts w:hint="eastAsia" w:ascii="宋体" w:hAnsi="宋体" w:cs="宋体"/>
          <w:color w:val="auto"/>
          <w:sz w:val="24"/>
        </w:rPr>
        <w:t>邮政编码：</w:t>
      </w:r>
    </w:p>
    <w:p w14:paraId="77AFE181">
      <w:pPr>
        <w:snapToGrid w:val="0"/>
        <w:spacing w:before="156" w:beforeLines="50" w:after="0" w:line="312" w:lineRule="auto"/>
        <w:rPr>
          <w:rFonts w:hint="eastAsia" w:ascii="宋体" w:hAnsi="宋体" w:cs="宋体"/>
          <w:b/>
          <w:color w:val="auto"/>
          <w:sz w:val="28"/>
        </w:rPr>
        <w:sectPr>
          <w:pgSz w:w="11906" w:h="16838"/>
          <w:pgMar w:top="1440" w:right="1558" w:bottom="1440" w:left="1418" w:header="851" w:footer="992" w:gutter="0"/>
          <w:pgNumType w:fmt="decimal"/>
          <w:cols w:space="425" w:num="1"/>
          <w:docGrid w:type="lines" w:linePitch="312" w:charSpace="0"/>
        </w:sectPr>
      </w:pPr>
    </w:p>
    <w:p w14:paraId="316B0195">
      <w:pPr>
        <w:snapToGrid w:val="0"/>
        <w:spacing w:after="0" w:line="240" w:lineRule="auto"/>
        <w:jc w:val="center"/>
        <w:rPr>
          <w:rFonts w:hint="eastAsia" w:ascii="宋体" w:hAnsi="宋体" w:cs="宋体"/>
          <w:b/>
          <w:color w:val="auto"/>
          <w:sz w:val="28"/>
        </w:rPr>
      </w:pPr>
      <w:r>
        <w:rPr>
          <w:rFonts w:hint="eastAsia" w:ascii="宋体" w:hAnsi="宋体" w:cs="宋体"/>
          <w:b/>
          <w:color w:val="auto"/>
          <w:sz w:val="28"/>
        </w:rPr>
        <w:t>法定代表人证明书</w:t>
      </w:r>
    </w:p>
    <w:p w14:paraId="7128845F">
      <w:pPr>
        <w:pStyle w:val="21"/>
        <w:rPr>
          <w:rFonts w:hint="eastAsia" w:ascii="宋体" w:hAnsi="宋体" w:eastAsia="宋体" w:cs="宋体"/>
          <w:b/>
          <w:color w:val="auto"/>
          <w:sz w:val="28"/>
        </w:rPr>
      </w:pPr>
      <w:r>
        <w:rPr>
          <w:rFonts w:hint="eastAsia" w:ascii="宋体" w:hAnsi="宋体" w:eastAsia="宋体" w:cs="宋体"/>
          <w:b/>
          <w:color w:val="auto"/>
          <w:sz w:val="28"/>
        </w:rPr>
        <w:t xml:space="preserve">     </w:t>
      </w:r>
    </w:p>
    <w:p w14:paraId="3A6B2926">
      <w:pPr>
        <w:rPr>
          <w:rFonts w:hint="eastAsia" w:ascii="宋体" w:hAnsi="宋体" w:cs="宋体"/>
          <w:bCs/>
          <w:color w:val="auto"/>
          <w:sz w:val="24"/>
        </w:rPr>
      </w:pPr>
      <w:r>
        <w:rPr>
          <w:rFonts w:hint="eastAsia" w:ascii="宋体" w:hAnsi="宋体" w:cs="宋体"/>
          <w:bCs/>
          <w:color w:val="auto"/>
          <w:sz w:val="24"/>
        </w:rPr>
        <w:t>单位名称：</w:t>
      </w:r>
      <w:r>
        <w:rPr>
          <w:rFonts w:hint="eastAsia" w:ascii="宋体" w:hAnsi="宋体" w:cs="宋体"/>
          <w:bCs/>
          <w:color w:val="auto"/>
          <w:sz w:val="24"/>
          <w:u w:val="single"/>
        </w:rPr>
        <w:t xml:space="preserve">                                                   </w:t>
      </w:r>
      <w:r>
        <w:rPr>
          <w:rFonts w:hint="eastAsia" w:ascii="宋体" w:hAnsi="宋体" w:cs="宋体"/>
          <w:bCs/>
          <w:color w:val="auto"/>
          <w:sz w:val="24"/>
        </w:rPr>
        <w:t xml:space="preserve"> </w:t>
      </w:r>
    </w:p>
    <w:p w14:paraId="3C165B5D">
      <w:pPr>
        <w:rPr>
          <w:rFonts w:hint="eastAsia" w:ascii="宋体" w:hAnsi="宋体" w:cs="宋体"/>
          <w:bCs/>
          <w:color w:val="auto"/>
          <w:sz w:val="24"/>
          <w:u w:val="single"/>
        </w:rPr>
      </w:pPr>
      <w:r>
        <w:rPr>
          <w:rFonts w:hint="eastAsia" w:ascii="宋体" w:hAnsi="宋体" w:cs="宋体"/>
          <w:bCs/>
          <w:color w:val="auto"/>
          <w:sz w:val="24"/>
        </w:rPr>
        <w:t>单位性质：</w:t>
      </w:r>
      <w:r>
        <w:rPr>
          <w:rFonts w:hint="eastAsia" w:ascii="宋体" w:hAnsi="宋体" w:cs="宋体"/>
          <w:bCs/>
          <w:color w:val="auto"/>
          <w:sz w:val="24"/>
          <w:u w:val="single"/>
        </w:rPr>
        <w:t xml:space="preserve">                                                   </w:t>
      </w:r>
    </w:p>
    <w:p w14:paraId="40BBE058">
      <w:pPr>
        <w:rPr>
          <w:rFonts w:hint="eastAsia" w:ascii="宋体" w:hAnsi="宋体" w:cs="宋体"/>
          <w:bCs/>
          <w:color w:val="auto"/>
          <w:sz w:val="24"/>
        </w:rPr>
      </w:pPr>
      <w:r>
        <w:rPr>
          <w:rFonts w:hint="eastAsia" w:ascii="宋体" w:hAnsi="宋体" w:cs="宋体"/>
          <w:bCs/>
          <w:color w:val="auto"/>
          <w:sz w:val="24"/>
        </w:rPr>
        <w:t>地    址：</w:t>
      </w:r>
      <w:r>
        <w:rPr>
          <w:rFonts w:hint="eastAsia" w:ascii="宋体" w:hAnsi="宋体" w:cs="宋体"/>
          <w:bCs/>
          <w:color w:val="auto"/>
          <w:sz w:val="24"/>
          <w:u w:val="single"/>
        </w:rPr>
        <w:t xml:space="preserve">                                                   </w:t>
      </w:r>
    </w:p>
    <w:p w14:paraId="029A567B">
      <w:pPr>
        <w:rPr>
          <w:rFonts w:hint="eastAsia" w:ascii="宋体" w:hAnsi="宋体" w:cs="宋体"/>
          <w:bCs/>
          <w:color w:val="auto"/>
          <w:sz w:val="24"/>
          <w:u w:val="single"/>
        </w:rPr>
      </w:pPr>
      <w:r>
        <w:rPr>
          <w:rFonts w:hint="eastAsia" w:ascii="宋体" w:hAnsi="宋体" w:cs="宋体"/>
          <w:bCs/>
          <w:color w:val="auto"/>
          <w:sz w:val="24"/>
        </w:rPr>
        <w:t>姓名：</w:t>
      </w:r>
      <w:r>
        <w:rPr>
          <w:rFonts w:hint="eastAsia" w:ascii="宋体" w:hAnsi="宋体" w:cs="宋体"/>
          <w:bCs/>
          <w:color w:val="auto"/>
          <w:sz w:val="24"/>
          <w:u w:val="single"/>
        </w:rPr>
        <w:t xml:space="preserve">                </w:t>
      </w:r>
      <w:r>
        <w:rPr>
          <w:rFonts w:hint="eastAsia" w:ascii="宋体" w:hAnsi="宋体" w:cs="宋体"/>
          <w:bCs/>
          <w:color w:val="auto"/>
          <w:sz w:val="24"/>
        </w:rPr>
        <w:t>性别：</w:t>
      </w:r>
      <w:r>
        <w:rPr>
          <w:rFonts w:hint="eastAsia" w:ascii="宋体" w:hAnsi="宋体" w:cs="宋体"/>
          <w:bCs/>
          <w:color w:val="auto"/>
          <w:sz w:val="24"/>
          <w:u w:val="single"/>
        </w:rPr>
        <w:t xml:space="preserve">          </w:t>
      </w:r>
      <w:r>
        <w:rPr>
          <w:rFonts w:hint="eastAsia" w:ascii="宋体" w:hAnsi="宋体" w:cs="宋体"/>
          <w:bCs/>
          <w:color w:val="auto"/>
          <w:sz w:val="24"/>
        </w:rPr>
        <w:t>年龄：</w:t>
      </w:r>
      <w:r>
        <w:rPr>
          <w:rFonts w:hint="eastAsia" w:ascii="宋体" w:hAnsi="宋体" w:cs="宋体"/>
          <w:bCs/>
          <w:color w:val="auto"/>
          <w:sz w:val="24"/>
          <w:u w:val="single"/>
        </w:rPr>
        <w:t xml:space="preserve">              </w:t>
      </w:r>
    </w:p>
    <w:p w14:paraId="75F45D3C">
      <w:pPr>
        <w:rPr>
          <w:rFonts w:hint="eastAsia" w:ascii="宋体" w:hAnsi="宋体" w:cs="宋体"/>
          <w:bCs/>
          <w:color w:val="auto"/>
          <w:sz w:val="24"/>
        </w:rPr>
      </w:pPr>
      <w:r>
        <w:rPr>
          <w:rFonts w:hint="eastAsia" w:ascii="宋体" w:hAnsi="宋体" w:cs="宋体"/>
          <w:bCs/>
          <w:color w:val="auto"/>
          <w:sz w:val="24"/>
        </w:rPr>
        <w:t>职务：</w:t>
      </w:r>
      <w:r>
        <w:rPr>
          <w:rFonts w:hint="eastAsia" w:ascii="宋体" w:hAnsi="宋体" w:cs="宋体"/>
          <w:bCs/>
          <w:color w:val="auto"/>
          <w:sz w:val="24"/>
          <w:u w:val="single"/>
        </w:rPr>
        <w:t xml:space="preserve">             </w:t>
      </w:r>
      <w:r>
        <w:rPr>
          <w:rFonts w:hint="eastAsia" w:ascii="宋体" w:hAnsi="宋体" w:cs="宋体"/>
          <w:bCs/>
          <w:color w:val="auto"/>
          <w:sz w:val="24"/>
        </w:rPr>
        <w:t xml:space="preserve"> 系</w:t>
      </w:r>
      <w:r>
        <w:rPr>
          <w:rFonts w:hint="eastAsia" w:ascii="宋体" w:hAnsi="宋体" w:cs="宋体"/>
          <w:bCs/>
          <w:color w:val="auto"/>
          <w:sz w:val="24"/>
          <w:u w:val="single"/>
        </w:rPr>
        <w:t xml:space="preserve">                               </w:t>
      </w:r>
      <w:r>
        <w:rPr>
          <w:rFonts w:hint="eastAsia" w:ascii="宋体" w:hAnsi="宋体" w:cs="宋体"/>
          <w:bCs/>
          <w:color w:val="auto"/>
          <w:sz w:val="24"/>
        </w:rPr>
        <w:t>的法定代表人</w:t>
      </w:r>
    </w:p>
    <w:p w14:paraId="3AA9BB9D">
      <w:pPr>
        <w:rPr>
          <w:rFonts w:hint="eastAsia" w:ascii="宋体" w:hAnsi="宋体" w:cs="宋体"/>
          <w:bCs/>
          <w:color w:val="auto"/>
          <w:sz w:val="24"/>
        </w:rPr>
      </w:pPr>
    </w:p>
    <w:p w14:paraId="1C8F4756">
      <w:pPr>
        <w:rPr>
          <w:rFonts w:hint="eastAsia" w:ascii="宋体" w:hAnsi="宋体" w:cs="宋体"/>
          <w:bCs/>
          <w:color w:val="auto"/>
          <w:sz w:val="24"/>
        </w:rPr>
      </w:pPr>
    </w:p>
    <w:p w14:paraId="3FB064CA">
      <w:pPr>
        <w:rPr>
          <w:rFonts w:hint="eastAsia" w:ascii="宋体" w:hAnsi="宋体" w:cs="宋体"/>
          <w:bCs/>
          <w:color w:val="auto"/>
          <w:sz w:val="24"/>
        </w:rPr>
      </w:pPr>
      <w:r>
        <w:rPr>
          <w:rFonts w:hint="eastAsia" w:ascii="宋体" w:hAnsi="宋体" w:cs="宋体"/>
          <w:bCs/>
          <w:color w:val="auto"/>
          <w:sz w:val="24"/>
        </w:rPr>
        <w:t>特此证明。</w:t>
      </w:r>
    </w:p>
    <w:p w14:paraId="6D177C36">
      <w:pPr>
        <w:rPr>
          <w:rFonts w:hint="eastAsia" w:ascii="宋体" w:hAnsi="宋体" w:cs="宋体"/>
          <w:bCs/>
          <w:color w:val="auto"/>
          <w:sz w:val="24"/>
        </w:rPr>
      </w:pPr>
      <w:r>
        <w:rPr>
          <w:rFonts w:hint="eastAsia" w:ascii="宋体" w:hAnsi="宋体" w:cs="宋体"/>
          <w:bCs/>
          <w:color w:val="auto"/>
          <w:sz w:val="24"/>
        </w:rPr>
        <w:t xml:space="preserve">       </w:t>
      </w:r>
    </w:p>
    <w:tbl>
      <w:tblPr>
        <w:tblStyle w:val="24"/>
        <w:tblpPr w:leftFromText="180" w:rightFromText="180" w:vertAnchor="text" w:horzAnchor="page" w:tblpX="1590" w:tblpY="241"/>
        <w:tblW w:w="4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0"/>
      </w:tblGrid>
      <w:tr w14:paraId="796D5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trPr>
        <w:tc>
          <w:tcPr>
            <w:tcW w:w="4080" w:type="dxa"/>
          </w:tcPr>
          <w:p w14:paraId="390513DC">
            <w:pPr>
              <w:spacing w:line="360" w:lineRule="auto"/>
              <w:jc w:val="left"/>
              <w:rPr>
                <w:rFonts w:hint="eastAsia" w:ascii="宋体" w:hAnsi="宋体" w:cs="宋体"/>
                <w:b/>
                <w:color w:val="auto"/>
                <w:sz w:val="24"/>
              </w:rPr>
            </w:pPr>
          </w:p>
          <w:p w14:paraId="12D7BCA9">
            <w:pPr>
              <w:spacing w:line="360" w:lineRule="auto"/>
              <w:ind w:firstLine="361" w:firstLineChars="150"/>
              <w:jc w:val="left"/>
              <w:rPr>
                <w:rFonts w:hint="eastAsia" w:ascii="宋体" w:hAnsi="宋体" w:cs="宋体"/>
                <w:b/>
                <w:color w:val="auto"/>
                <w:sz w:val="24"/>
              </w:rPr>
            </w:pPr>
            <w:r>
              <w:rPr>
                <w:rFonts w:hint="eastAsia" w:ascii="宋体" w:hAnsi="宋体" w:cs="宋体"/>
                <w:b/>
                <w:color w:val="auto"/>
                <w:sz w:val="24"/>
              </w:rPr>
              <w:t>法定代表身份证正面</w:t>
            </w:r>
          </w:p>
        </w:tc>
      </w:tr>
    </w:tbl>
    <w:tbl>
      <w:tblPr>
        <w:tblStyle w:val="24"/>
        <w:tblW w:w="4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0"/>
      </w:tblGrid>
      <w:tr w14:paraId="68573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8" w:hRule="atLeast"/>
        </w:trPr>
        <w:tc>
          <w:tcPr>
            <w:tcW w:w="4080" w:type="dxa"/>
          </w:tcPr>
          <w:p w14:paraId="7367174A">
            <w:pPr>
              <w:spacing w:line="360" w:lineRule="auto"/>
              <w:jc w:val="left"/>
              <w:rPr>
                <w:rFonts w:hint="eastAsia" w:ascii="宋体" w:hAnsi="宋体" w:cs="宋体"/>
                <w:b/>
                <w:color w:val="auto"/>
                <w:sz w:val="24"/>
              </w:rPr>
            </w:pPr>
          </w:p>
          <w:p w14:paraId="54F57A07">
            <w:pPr>
              <w:spacing w:line="360" w:lineRule="auto"/>
              <w:ind w:firstLine="361" w:firstLineChars="150"/>
              <w:jc w:val="left"/>
              <w:rPr>
                <w:rFonts w:hint="eastAsia" w:ascii="宋体" w:hAnsi="宋体" w:cs="宋体"/>
                <w:b/>
                <w:color w:val="auto"/>
                <w:sz w:val="24"/>
              </w:rPr>
            </w:pPr>
            <w:r>
              <w:rPr>
                <w:rFonts w:hint="eastAsia" w:ascii="宋体" w:hAnsi="宋体" w:cs="宋体"/>
                <w:b/>
                <w:color w:val="auto"/>
                <w:sz w:val="24"/>
              </w:rPr>
              <w:t>法定代表身份证反面</w:t>
            </w:r>
          </w:p>
        </w:tc>
      </w:tr>
    </w:tbl>
    <w:p w14:paraId="755A166D">
      <w:pPr>
        <w:jc w:val="left"/>
        <w:rPr>
          <w:rFonts w:hint="eastAsia" w:ascii="宋体" w:hAnsi="宋体" w:cs="宋体"/>
          <w:color w:val="auto"/>
        </w:rPr>
      </w:pPr>
    </w:p>
    <w:p w14:paraId="1C1B456B">
      <w:pPr>
        <w:pStyle w:val="18"/>
        <w:spacing w:line="360" w:lineRule="auto"/>
        <w:ind w:firstLine="2640" w:firstLineChars="1100"/>
        <w:rPr>
          <w:rFonts w:hint="eastAsia" w:ascii="宋体" w:hAnsi="宋体" w:eastAsia="宋体" w:cs="宋体"/>
          <w:color w:val="auto"/>
          <w:sz w:val="24"/>
        </w:rPr>
      </w:pPr>
      <w:r>
        <w:rPr>
          <w:rFonts w:hint="eastAsia" w:ascii="宋体" w:hAnsi="宋体" w:eastAsia="宋体" w:cs="宋体"/>
          <w:color w:val="auto"/>
          <w:sz w:val="24"/>
        </w:rPr>
        <w:t>公司名称（盖章）：</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5D42CA0C">
      <w:pPr>
        <w:widowControl/>
        <w:jc w:val="left"/>
        <w:rPr>
          <w:rFonts w:hint="eastAsia" w:ascii="宋体" w:hAnsi="宋体" w:cs="宋体"/>
          <w:color w:val="auto"/>
          <w:sz w:val="24"/>
        </w:rPr>
      </w:pPr>
      <w:r>
        <w:rPr>
          <w:rFonts w:hint="eastAsia" w:ascii="宋体" w:hAnsi="宋体" w:cs="宋体"/>
          <w:color w:val="auto"/>
          <w:sz w:val="24"/>
        </w:rPr>
        <w:t xml:space="preserve">                              日    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r>
        <w:rPr>
          <w:rFonts w:hint="eastAsia" w:ascii="宋体" w:hAnsi="宋体" w:cs="宋体"/>
          <w:b/>
          <w:color w:val="auto"/>
          <w:sz w:val="28"/>
        </w:rPr>
        <w:br w:type="page"/>
      </w:r>
    </w:p>
    <w:p w14:paraId="664E26B1">
      <w:pPr>
        <w:snapToGrid w:val="0"/>
        <w:spacing w:before="156" w:beforeLines="50" w:after="0" w:line="312" w:lineRule="auto"/>
        <w:rPr>
          <w:rFonts w:hint="eastAsia" w:ascii="宋体" w:hAnsi="宋体" w:cs="宋体"/>
          <w:b/>
          <w:color w:val="auto"/>
          <w:sz w:val="28"/>
        </w:rPr>
        <w:sectPr>
          <w:headerReference r:id="rId7" w:type="default"/>
          <w:pgSz w:w="11906" w:h="16838"/>
          <w:pgMar w:top="1440" w:right="1558" w:bottom="1440" w:left="1418" w:header="851" w:footer="992" w:gutter="0"/>
          <w:pgNumType w:fmt="decimal"/>
          <w:cols w:space="425" w:num="1"/>
          <w:docGrid w:type="lines" w:linePitch="312" w:charSpace="0"/>
        </w:sectPr>
      </w:pPr>
    </w:p>
    <w:p w14:paraId="5F2F4990">
      <w:pPr>
        <w:snapToGrid w:val="0"/>
        <w:spacing w:after="0" w:line="240" w:lineRule="auto"/>
        <w:rPr>
          <w:rFonts w:hint="eastAsia" w:ascii="宋体" w:hAnsi="宋体" w:cs="宋体"/>
          <w:b/>
          <w:color w:val="auto"/>
          <w:sz w:val="28"/>
        </w:rPr>
      </w:pPr>
      <w:r>
        <w:rPr>
          <w:rFonts w:hint="eastAsia" w:ascii="宋体" w:hAnsi="宋体" w:cs="宋体"/>
          <w:b/>
          <w:color w:val="auto"/>
          <w:sz w:val="28"/>
        </w:rPr>
        <w:t>附件4</w:t>
      </w:r>
    </w:p>
    <w:p w14:paraId="3425FD6B">
      <w:pPr>
        <w:rPr>
          <w:rFonts w:hint="eastAsia" w:ascii="宋体" w:hAnsi="宋体" w:cs="宋体"/>
          <w:color w:val="auto"/>
          <w:sz w:val="24"/>
        </w:rPr>
      </w:pPr>
    </w:p>
    <w:p w14:paraId="3077BF20">
      <w:pPr>
        <w:jc w:val="center"/>
        <w:rPr>
          <w:rFonts w:hint="eastAsia" w:ascii="宋体" w:hAnsi="宋体" w:cs="宋体"/>
          <w:b/>
          <w:bCs/>
          <w:color w:val="auto"/>
          <w:sz w:val="32"/>
          <w:szCs w:val="32"/>
        </w:rPr>
      </w:pPr>
      <w:r>
        <w:rPr>
          <w:rFonts w:hint="eastAsia" w:ascii="宋体" w:hAnsi="宋体" w:cs="宋体"/>
          <w:b/>
          <w:bCs/>
          <w:color w:val="auto"/>
          <w:sz w:val="32"/>
          <w:szCs w:val="32"/>
        </w:rPr>
        <w:t>符合参与政府采购活动的资格条件，具备良好的商业信誉和健全的财务会计制度并且没有税收缴纳、社会保障等方面的失信记录的承诺函</w:t>
      </w:r>
    </w:p>
    <w:p w14:paraId="7CEBEC83">
      <w:pPr>
        <w:rPr>
          <w:color w:val="auto"/>
        </w:rPr>
      </w:pPr>
    </w:p>
    <w:p w14:paraId="01DD5F25">
      <w:pPr>
        <w:autoSpaceDE w:val="0"/>
        <w:autoSpaceDN w:val="0"/>
        <w:adjustRightInd w:val="0"/>
        <w:spacing w:after="0" w:line="480" w:lineRule="auto"/>
        <w:jc w:val="left"/>
        <w:rPr>
          <w:rFonts w:hint="eastAsia" w:ascii="宋体" w:hAnsi="宋体" w:cs="宋体"/>
          <w:b/>
          <w:bCs/>
          <w:color w:val="auto"/>
          <w:sz w:val="24"/>
          <w:u w:val="single"/>
        </w:rPr>
      </w:pPr>
      <w:r>
        <w:rPr>
          <w:rFonts w:hint="eastAsia" w:ascii="宋体" w:hAnsi="宋体" w:cs="宋体"/>
          <w:color w:val="auto"/>
          <w:kern w:val="0"/>
          <w:sz w:val="24"/>
          <w:u w:val="single"/>
          <w:lang w:eastAsia="zh-CN"/>
        </w:rPr>
        <w:t>台州市黄岩区北洋镇人民政府</w:t>
      </w:r>
      <w:r>
        <w:rPr>
          <w:rFonts w:hint="eastAsia" w:ascii="宋体" w:hAnsi="宋体" w:cs="宋体"/>
          <w:color w:val="auto"/>
          <w:kern w:val="0"/>
          <w:sz w:val="24"/>
          <w:u w:val="single"/>
        </w:rPr>
        <w:t>：</w:t>
      </w:r>
    </w:p>
    <w:p w14:paraId="2497C42B">
      <w:pPr>
        <w:widowControl/>
        <w:shd w:val="clear" w:color="auto" w:fill="FFFFFF"/>
        <w:spacing w:before="100" w:beforeAutospacing="1" w:after="100" w:afterAutospacing="1" w:line="48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我单位郑重承诺：符合参与政府采购活动的资格条件，具备良好的商业信誉和健全的财务会计制度并且没有税收缴纳、社会保障等方面的失信记录。</w:t>
      </w:r>
    </w:p>
    <w:p w14:paraId="6D4D622A">
      <w:pPr>
        <w:widowControl/>
        <w:shd w:val="clear" w:color="auto" w:fill="FFFFFF"/>
        <w:spacing w:before="100" w:beforeAutospacing="1" w:after="100" w:afterAutospacing="1" w:line="48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特此承诺。</w:t>
      </w:r>
    </w:p>
    <w:p w14:paraId="4CBBCD1C">
      <w:pPr>
        <w:pStyle w:val="23"/>
        <w:rPr>
          <w:rFonts w:hint="eastAsia" w:ascii="宋体" w:hAnsi="宋体"/>
          <w:color w:val="auto"/>
        </w:rPr>
      </w:pPr>
    </w:p>
    <w:p w14:paraId="5BB87BB8">
      <w:pPr>
        <w:pStyle w:val="66"/>
        <w:rPr>
          <w:rFonts w:hint="eastAsia" w:ascii="宋体" w:hAnsi="宋体" w:cs="宋体"/>
          <w:color w:val="auto"/>
        </w:rPr>
      </w:pPr>
    </w:p>
    <w:p w14:paraId="4F6F25CC">
      <w:pPr>
        <w:adjustRightInd w:val="0"/>
        <w:snapToGrid w:val="0"/>
        <w:spacing w:after="0" w:line="336" w:lineRule="auto"/>
        <w:ind w:firstLine="4680" w:firstLineChars="1950"/>
        <w:rPr>
          <w:rFonts w:hint="eastAsia" w:ascii="宋体" w:hAnsi="宋体" w:cs="宋体"/>
          <w:color w:val="auto"/>
          <w:kern w:val="0"/>
          <w:sz w:val="24"/>
          <w:lang w:val="zh-CN"/>
        </w:rPr>
      </w:pPr>
      <w:r>
        <w:rPr>
          <w:rFonts w:hint="eastAsia" w:ascii="宋体" w:hAnsi="宋体" w:cs="宋体"/>
          <w:color w:val="auto"/>
          <w:kern w:val="0"/>
          <w:sz w:val="24"/>
          <w:lang w:val="zh-CN"/>
        </w:rPr>
        <w:t xml:space="preserve"> 投标人名称(公章)：</w:t>
      </w:r>
    </w:p>
    <w:p w14:paraId="7609E8C9">
      <w:pPr>
        <w:adjustRightInd w:val="0"/>
        <w:snapToGrid w:val="0"/>
        <w:spacing w:after="0" w:line="336" w:lineRule="auto"/>
        <w:rPr>
          <w:rFonts w:hint="eastAsia" w:ascii="宋体" w:hAnsi="宋体" w:cs="宋体"/>
          <w:color w:val="auto"/>
          <w:kern w:val="0"/>
          <w:sz w:val="24"/>
          <w:lang w:val="zh-CN"/>
        </w:rPr>
      </w:pPr>
      <w:r>
        <w:rPr>
          <w:rFonts w:hint="eastAsia" w:ascii="宋体" w:hAnsi="宋体" w:cs="宋体"/>
          <w:color w:val="auto"/>
          <w:kern w:val="0"/>
          <w:sz w:val="24"/>
          <w:lang w:val="zh-CN"/>
        </w:rPr>
        <w:t xml:space="preserve">                                       法定代表人或授权委托人(签字)：</w:t>
      </w:r>
    </w:p>
    <w:p w14:paraId="75345383">
      <w:pPr>
        <w:snapToGrid w:val="0"/>
        <w:spacing w:before="156" w:beforeLines="50" w:after="0" w:line="312" w:lineRule="auto"/>
        <w:rPr>
          <w:rFonts w:hint="eastAsia" w:ascii="宋体" w:hAnsi="宋体" w:cs="宋体"/>
          <w:b/>
          <w:color w:val="auto"/>
          <w:sz w:val="28"/>
        </w:rPr>
        <w:sectPr>
          <w:pgSz w:w="11906" w:h="16838"/>
          <w:pgMar w:top="1440" w:right="1558" w:bottom="1440" w:left="1418" w:header="851" w:footer="992" w:gutter="0"/>
          <w:pgNumType w:fmt="decimal"/>
          <w:cols w:space="425" w:num="1"/>
          <w:docGrid w:type="lines" w:linePitch="312" w:charSpace="0"/>
        </w:sectPr>
      </w:pPr>
      <w:r>
        <w:rPr>
          <w:rFonts w:hint="eastAsia" w:ascii="宋体" w:hAnsi="宋体" w:cs="宋体"/>
          <w:color w:val="auto"/>
          <w:kern w:val="0"/>
          <w:sz w:val="24"/>
          <w:lang w:val="zh-CN"/>
        </w:rPr>
        <w:t xml:space="preserve">                                  日期：</w:t>
      </w:r>
      <w:r>
        <w:rPr>
          <w:rFonts w:hint="eastAsia" w:ascii="宋体" w:hAnsi="宋体" w:cs="宋体"/>
          <w:color w:val="auto"/>
          <w:sz w:val="24"/>
        </w:rPr>
        <w:t>××</w:t>
      </w:r>
      <w:r>
        <w:rPr>
          <w:rFonts w:hint="eastAsia" w:ascii="宋体" w:hAnsi="宋体" w:cs="宋体"/>
          <w:color w:val="auto"/>
          <w:kern w:val="0"/>
          <w:sz w:val="24"/>
          <w:lang w:val="zh-CN"/>
        </w:rPr>
        <w:t xml:space="preserve">年 </w:t>
      </w:r>
      <w:r>
        <w:rPr>
          <w:rFonts w:hint="eastAsia" w:ascii="宋体" w:hAnsi="宋体" w:cs="宋体"/>
          <w:color w:val="auto"/>
          <w:sz w:val="24"/>
        </w:rPr>
        <w:t>××</w:t>
      </w:r>
      <w:r>
        <w:rPr>
          <w:rFonts w:hint="eastAsia" w:ascii="宋体" w:hAnsi="宋体" w:cs="宋体"/>
          <w:color w:val="auto"/>
          <w:kern w:val="0"/>
          <w:sz w:val="24"/>
          <w:lang w:val="zh-CN"/>
        </w:rPr>
        <w:t xml:space="preserve"> 月 </w:t>
      </w:r>
      <w:r>
        <w:rPr>
          <w:rFonts w:hint="eastAsia" w:ascii="宋体" w:hAnsi="宋体" w:cs="宋体"/>
          <w:color w:val="auto"/>
          <w:sz w:val="24"/>
        </w:rPr>
        <w:t>××</w:t>
      </w:r>
      <w:r>
        <w:rPr>
          <w:rFonts w:hint="eastAsia" w:ascii="宋体" w:hAnsi="宋体" w:cs="宋体"/>
          <w:color w:val="auto"/>
          <w:kern w:val="0"/>
          <w:sz w:val="24"/>
          <w:lang w:val="zh-CN"/>
        </w:rPr>
        <w:t xml:space="preserve"> 日</w:t>
      </w:r>
    </w:p>
    <w:p w14:paraId="7374C964">
      <w:pPr>
        <w:jc w:val="left"/>
        <w:rPr>
          <w:rFonts w:hint="eastAsia" w:ascii="宋体" w:hAnsi="宋体" w:cs="宋体"/>
          <w:b/>
          <w:color w:val="auto"/>
          <w:kern w:val="0"/>
          <w:sz w:val="32"/>
          <w:szCs w:val="32"/>
        </w:rPr>
      </w:pPr>
      <w:r>
        <w:rPr>
          <w:rFonts w:hint="eastAsia" w:ascii="宋体" w:hAnsi="宋体" w:cs="宋体"/>
          <w:b/>
          <w:color w:val="auto"/>
          <w:kern w:val="0"/>
          <w:sz w:val="32"/>
          <w:szCs w:val="32"/>
        </w:rPr>
        <w:t>附件5</w:t>
      </w:r>
    </w:p>
    <w:p w14:paraId="625EE475">
      <w:pPr>
        <w:jc w:val="center"/>
        <w:rPr>
          <w:rFonts w:hint="eastAsia" w:ascii="宋体" w:hAnsi="宋体" w:cs="宋体"/>
          <w:b/>
          <w:color w:val="auto"/>
          <w:kern w:val="0"/>
          <w:sz w:val="32"/>
          <w:szCs w:val="32"/>
        </w:rPr>
      </w:pPr>
      <w:r>
        <w:rPr>
          <w:rFonts w:hint="eastAsia" w:ascii="宋体" w:hAnsi="宋体" w:cs="宋体"/>
          <w:b/>
          <w:color w:val="auto"/>
          <w:kern w:val="0"/>
          <w:sz w:val="32"/>
          <w:szCs w:val="32"/>
        </w:rPr>
        <w:t>具有履行合同所必须的设备和专业技术能力的承诺函</w:t>
      </w:r>
    </w:p>
    <w:p w14:paraId="6D6F4254">
      <w:pPr>
        <w:pStyle w:val="66"/>
        <w:rPr>
          <w:rFonts w:hint="eastAsia" w:ascii="宋体" w:hAnsi="宋体" w:cs="宋体"/>
          <w:color w:val="auto"/>
        </w:rPr>
      </w:pPr>
    </w:p>
    <w:p w14:paraId="60508AF2">
      <w:pPr>
        <w:autoSpaceDE w:val="0"/>
        <w:autoSpaceDN w:val="0"/>
        <w:adjustRightInd w:val="0"/>
        <w:spacing w:after="0" w:line="480" w:lineRule="auto"/>
        <w:jc w:val="left"/>
        <w:rPr>
          <w:rFonts w:hint="eastAsia" w:ascii="宋体" w:hAnsi="宋体" w:cs="宋体"/>
          <w:b/>
          <w:bCs/>
          <w:color w:val="auto"/>
          <w:sz w:val="24"/>
          <w:u w:val="single"/>
        </w:rPr>
      </w:pPr>
      <w:r>
        <w:rPr>
          <w:rFonts w:hint="eastAsia" w:ascii="宋体" w:hAnsi="宋体" w:cs="宋体"/>
          <w:color w:val="auto"/>
          <w:kern w:val="0"/>
          <w:sz w:val="24"/>
          <w:u w:val="single"/>
          <w:lang w:eastAsia="zh-CN"/>
        </w:rPr>
        <w:t>台州市黄岩区北洋镇人民政府</w:t>
      </w:r>
      <w:r>
        <w:rPr>
          <w:rFonts w:hint="eastAsia" w:ascii="宋体" w:hAnsi="宋体" w:cs="宋体"/>
          <w:color w:val="auto"/>
          <w:kern w:val="0"/>
          <w:sz w:val="24"/>
          <w:u w:val="single"/>
        </w:rPr>
        <w:t>：</w:t>
      </w:r>
    </w:p>
    <w:p w14:paraId="0CEF5EA1">
      <w:pPr>
        <w:rPr>
          <w:color w:val="auto"/>
        </w:rPr>
      </w:pPr>
    </w:p>
    <w:p w14:paraId="560DEB80">
      <w:pPr>
        <w:widowControl/>
        <w:shd w:val="clear" w:color="auto" w:fill="FFFFFF"/>
        <w:spacing w:before="100" w:beforeAutospacing="1" w:after="100" w:afterAutospacing="1" w:line="48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我单位郑重承诺：具有履行</w:t>
      </w:r>
      <w:r>
        <w:rPr>
          <w:rFonts w:hint="eastAsia" w:ascii="宋体" w:hAnsi="宋体" w:cs="宋体"/>
          <w:color w:val="auto"/>
          <w:kern w:val="0"/>
          <w:sz w:val="24"/>
          <w:u w:val="single"/>
          <w:lang w:eastAsia="zh-CN"/>
        </w:rPr>
        <w:t>北洋镇应急中心改造提升工程（智能化）</w:t>
      </w:r>
      <w:r>
        <w:rPr>
          <w:rFonts w:hint="eastAsia" w:ascii="宋体" w:hAnsi="宋体" w:cs="宋体"/>
          <w:color w:val="auto"/>
          <w:sz w:val="24"/>
        </w:rPr>
        <w:t>（</w:t>
      </w:r>
      <w:r>
        <w:rPr>
          <w:rFonts w:hint="eastAsia" w:ascii="宋体" w:hAnsi="宋体" w:cs="宋体"/>
          <w:color w:val="auto"/>
          <w:kern w:val="0"/>
          <w:sz w:val="24"/>
        </w:rPr>
        <w:t>编号为</w:t>
      </w:r>
      <w:r>
        <w:rPr>
          <w:rFonts w:hint="eastAsia" w:ascii="宋体" w:hAnsi="宋体" w:cs="宋体"/>
          <w:color w:val="auto"/>
          <w:kern w:val="0"/>
          <w:sz w:val="24"/>
          <w:u w:val="single"/>
          <w:lang w:eastAsia="zh-CN"/>
        </w:rPr>
        <w:t>331003267110020000014-JC-GK2026-014号</w:t>
      </w:r>
      <w:r>
        <w:rPr>
          <w:rFonts w:hint="eastAsia" w:ascii="宋体" w:hAnsi="宋体" w:cs="宋体"/>
          <w:color w:val="auto"/>
          <w:kern w:val="0"/>
          <w:sz w:val="24"/>
        </w:rPr>
        <w:t>）项目的设备和专业技术能力。</w:t>
      </w:r>
    </w:p>
    <w:p w14:paraId="6F10835C">
      <w:pPr>
        <w:widowControl/>
        <w:shd w:val="clear" w:color="auto" w:fill="FFFFFF"/>
        <w:spacing w:before="100" w:beforeAutospacing="1" w:after="100" w:afterAutospacing="1" w:line="360" w:lineRule="auto"/>
        <w:ind w:firstLine="480" w:firstLineChars="200"/>
        <w:jc w:val="left"/>
        <w:rPr>
          <w:rFonts w:hint="eastAsia" w:ascii="宋体" w:hAnsi="宋体" w:cs="宋体"/>
          <w:color w:val="auto"/>
          <w:kern w:val="0"/>
          <w:sz w:val="24"/>
        </w:rPr>
      </w:pPr>
    </w:p>
    <w:p w14:paraId="678C55E8">
      <w:pPr>
        <w:widowControl/>
        <w:shd w:val="clear" w:color="auto" w:fill="FFFFFF"/>
        <w:spacing w:before="100" w:beforeAutospacing="1" w:after="100" w:afterAutospacing="1"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特此承诺。</w:t>
      </w:r>
    </w:p>
    <w:p w14:paraId="0DC89E4B">
      <w:pPr>
        <w:pStyle w:val="23"/>
        <w:rPr>
          <w:rFonts w:hint="eastAsia" w:ascii="宋体" w:hAnsi="宋体"/>
          <w:color w:val="auto"/>
          <w:kern w:val="0"/>
          <w:sz w:val="24"/>
        </w:rPr>
      </w:pPr>
    </w:p>
    <w:p w14:paraId="646D6422">
      <w:pPr>
        <w:pStyle w:val="23"/>
        <w:rPr>
          <w:rFonts w:hint="eastAsia" w:ascii="宋体" w:hAnsi="宋体"/>
          <w:color w:val="auto"/>
          <w:kern w:val="0"/>
          <w:sz w:val="24"/>
        </w:rPr>
      </w:pPr>
    </w:p>
    <w:p w14:paraId="53A751BB">
      <w:pPr>
        <w:adjustRightInd w:val="0"/>
        <w:snapToGrid w:val="0"/>
        <w:spacing w:line="360" w:lineRule="auto"/>
        <w:ind w:firstLine="4838" w:firstLineChars="2016"/>
        <w:rPr>
          <w:rFonts w:hint="eastAsia" w:ascii="宋体" w:hAnsi="宋体" w:cs="宋体"/>
          <w:color w:val="auto"/>
          <w:kern w:val="0"/>
          <w:sz w:val="24"/>
          <w:lang w:val="zh-CN"/>
        </w:rPr>
      </w:pPr>
      <w:r>
        <w:rPr>
          <w:rFonts w:hint="eastAsia" w:ascii="宋体" w:hAnsi="宋体" w:cs="宋体"/>
          <w:color w:val="auto"/>
          <w:kern w:val="0"/>
          <w:sz w:val="24"/>
          <w:lang w:val="zh-CN"/>
        </w:rPr>
        <w:t>投标人名称（</w:t>
      </w:r>
      <w:r>
        <w:rPr>
          <w:rFonts w:hint="eastAsia" w:ascii="宋体" w:hAnsi="宋体" w:cs="宋体"/>
          <w:color w:val="auto"/>
          <w:sz w:val="24"/>
        </w:rPr>
        <w:t>公章/电子章</w:t>
      </w:r>
      <w:r>
        <w:rPr>
          <w:rFonts w:hint="eastAsia" w:ascii="宋体" w:hAnsi="宋体" w:cs="宋体"/>
          <w:color w:val="auto"/>
          <w:kern w:val="0"/>
          <w:sz w:val="24"/>
          <w:lang w:val="zh-CN"/>
        </w:rPr>
        <w:t>）：</w:t>
      </w:r>
    </w:p>
    <w:p w14:paraId="54F7438E">
      <w:pPr>
        <w:adjustRightInd w:val="0"/>
        <w:snapToGrid w:val="0"/>
        <w:spacing w:line="360" w:lineRule="auto"/>
        <w:ind w:firstLine="4838" w:firstLineChars="2016"/>
        <w:rPr>
          <w:rFonts w:hint="eastAsia" w:ascii="宋体" w:hAnsi="宋体" w:cs="宋体"/>
          <w:color w:val="auto"/>
          <w:kern w:val="0"/>
          <w:sz w:val="24"/>
          <w:lang w:val="zh-CN"/>
        </w:rPr>
      </w:pPr>
      <w:r>
        <w:rPr>
          <w:rFonts w:hint="eastAsia" w:ascii="宋体" w:hAnsi="宋体" w:cs="宋体"/>
          <w:color w:val="auto"/>
          <w:kern w:val="0"/>
          <w:sz w:val="24"/>
          <w:lang w:val="zh-CN"/>
        </w:rPr>
        <w:t>法定代表人或授权委托人签字：</w:t>
      </w:r>
    </w:p>
    <w:p w14:paraId="2CE78983">
      <w:pPr>
        <w:pStyle w:val="19"/>
        <w:ind w:firstLine="5280" w:firstLineChars="2200"/>
        <w:rPr>
          <w:rFonts w:hint="eastAsia" w:ascii="宋体" w:hAnsi="宋体" w:cs="宋体"/>
          <w:color w:val="auto"/>
        </w:rPr>
        <w:sectPr>
          <w:pgSz w:w="11906" w:h="16838"/>
          <w:pgMar w:top="1440" w:right="1558" w:bottom="1440" w:left="1418" w:header="851" w:footer="992" w:gutter="0"/>
          <w:pgNumType w:fmt="decimal"/>
          <w:cols w:space="425" w:num="1"/>
          <w:docGrid w:type="lines" w:linePitch="312" w:charSpace="0"/>
        </w:sectPr>
      </w:pPr>
      <w:r>
        <w:rPr>
          <w:rFonts w:hint="eastAsia" w:ascii="宋体" w:hAnsi="宋体" w:cs="宋体"/>
          <w:color w:val="auto"/>
          <w:kern w:val="0"/>
          <w:sz w:val="24"/>
          <w:lang w:val="zh-CN"/>
        </w:rPr>
        <w:t>日期：</w:t>
      </w:r>
      <w:r>
        <w:rPr>
          <w:rFonts w:hint="eastAsia" w:ascii="宋体" w:hAnsi="宋体" w:cs="宋体"/>
          <w:color w:val="auto"/>
          <w:sz w:val="24"/>
        </w:rPr>
        <w:t>××</w:t>
      </w:r>
      <w:r>
        <w:rPr>
          <w:rFonts w:hint="eastAsia" w:ascii="宋体" w:hAnsi="宋体" w:cs="宋体"/>
          <w:color w:val="auto"/>
          <w:kern w:val="0"/>
          <w:sz w:val="24"/>
          <w:lang w:val="zh-CN"/>
        </w:rPr>
        <w:t xml:space="preserve">年 </w:t>
      </w:r>
      <w:r>
        <w:rPr>
          <w:rFonts w:hint="eastAsia" w:ascii="宋体" w:hAnsi="宋体" w:cs="宋体"/>
          <w:color w:val="auto"/>
          <w:sz w:val="24"/>
        </w:rPr>
        <w:t>××</w:t>
      </w:r>
      <w:r>
        <w:rPr>
          <w:rFonts w:hint="eastAsia" w:ascii="宋体" w:hAnsi="宋体" w:cs="宋体"/>
          <w:color w:val="auto"/>
          <w:kern w:val="0"/>
          <w:sz w:val="24"/>
          <w:lang w:val="zh-CN"/>
        </w:rPr>
        <w:t xml:space="preserve"> 月 </w:t>
      </w:r>
      <w:r>
        <w:rPr>
          <w:rFonts w:hint="eastAsia" w:ascii="宋体" w:hAnsi="宋体" w:cs="宋体"/>
          <w:color w:val="auto"/>
          <w:sz w:val="24"/>
        </w:rPr>
        <w:t>××</w:t>
      </w:r>
      <w:r>
        <w:rPr>
          <w:rFonts w:hint="eastAsia" w:ascii="宋体" w:hAnsi="宋体" w:cs="宋体"/>
          <w:color w:val="auto"/>
          <w:kern w:val="0"/>
          <w:sz w:val="24"/>
          <w:lang w:val="zh-CN"/>
        </w:rPr>
        <w:t xml:space="preserve"> 日</w:t>
      </w:r>
    </w:p>
    <w:p w14:paraId="499321C8">
      <w:pPr>
        <w:snapToGrid w:val="0"/>
        <w:spacing w:before="156" w:beforeLines="50" w:after="0" w:line="312" w:lineRule="auto"/>
        <w:rPr>
          <w:rFonts w:hint="eastAsia" w:ascii="宋体" w:hAnsi="宋体" w:cs="宋体"/>
          <w:b/>
          <w:color w:val="auto"/>
          <w:sz w:val="30"/>
          <w:szCs w:val="30"/>
        </w:rPr>
      </w:pPr>
      <w:r>
        <w:rPr>
          <w:rFonts w:hint="eastAsia" w:ascii="宋体" w:hAnsi="宋体" w:cs="宋体"/>
          <w:b/>
          <w:color w:val="auto"/>
          <w:sz w:val="28"/>
        </w:rPr>
        <w:t xml:space="preserve">附件6：                                                 </w:t>
      </w:r>
      <w:r>
        <w:rPr>
          <w:rFonts w:hint="eastAsia" w:ascii="宋体" w:hAnsi="宋体" w:cs="宋体"/>
          <w:b/>
          <w:color w:val="auto"/>
          <w:sz w:val="28"/>
          <w:u w:val="single"/>
        </w:rPr>
        <w:t xml:space="preserve">     </w:t>
      </w:r>
      <w:r>
        <w:rPr>
          <w:rFonts w:hint="eastAsia" w:ascii="宋体" w:hAnsi="宋体" w:cs="宋体"/>
          <w:bCs/>
          <w:color w:val="auto"/>
          <w:sz w:val="24"/>
        </w:rPr>
        <w:t>本</w:t>
      </w:r>
    </w:p>
    <w:p w14:paraId="2C83E287">
      <w:pPr>
        <w:spacing w:after="0" w:line="312" w:lineRule="auto"/>
        <w:ind w:right="-110"/>
        <w:jc w:val="center"/>
        <w:rPr>
          <w:rFonts w:hint="eastAsia" w:ascii="宋体" w:hAnsi="宋体" w:cs="宋体"/>
          <w:color w:val="auto"/>
          <w:spacing w:val="40"/>
          <w:sz w:val="52"/>
          <w:szCs w:val="52"/>
        </w:rPr>
      </w:pPr>
    </w:p>
    <w:p w14:paraId="5A962BF5">
      <w:pPr>
        <w:spacing w:after="0" w:line="312" w:lineRule="auto"/>
        <w:ind w:right="-110"/>
        <w:jc w:val="center"/>
        <w:rPr>
          <w:rFonts w:hint="eastAsia" w:ascii="宋体" w:hAnsi="宋体" w:cs="宋体"/>
          <w:color w:val="auto"/>
          <w:spacing w:val="40"/>
          <w:sz w:val="52"/>
          <w:szCs w:val="52"/>
        </w:rPr>
      </w:pPr>
      <w:r>
        <w:rPr>
          <w:rFonts w:hint="eastAsia" w:ascii="宋体" w:hAnsi="宋体" w:cs="宋体"/>
          <w:color w:val="auto"/>
          <w:spacing w:val="40"/>
          <w:sz w:val="52"/>
          <w:szCs w:val="52"/>
        </w:rPr>
        <w:t>项目名称</w:t>
      </w:r>
    </w:p>
    <w:p w14:paraId="4E214AD1">
      <w:pPr>
        <w:spacing w:before="312" w:beforeLines="100" w:after="0" w:line="312" w:lineRule="auto"/>
        <w:ind w:right="-108"/>
        <w:jc w:val="center"/>
        <w:rPr>
          <w:rFonts w:hint="eastAsia" w:ascii="宋体" w:hAnsi="宋体" w:cs="宋体"/>
          <w:color w:val="auto"/>
          <w:sz w:val="36"/>
          <w:szCs w:val="36"/>
        </w:rPr>
      </w:pPr>
      <w:r>
        <w:rPr>
          <w:rFonts w:hint="eastAsia" w:ascii="宋体" w:hAnsi="宋体" w:cs="宋体"/>
          <w:color w:val="auto"/>
          <w:sz w:val="36"/>
          <w:szCs w:val="36"/>
        </w:rPr>
        <w:t>项目编号：       （标段 ）</w:t>
      </w:r>
    </w:p>
    <w:p w14:paraId="6E401495">
      <w:pPr>
        <w:autoSpaceDE w:val="0"/>
        <w:autoSpaceDN w:val="0"/>
        <w:adjustRightInd w:val="0"/>
        <w:spacing w:after="0" w:line="312" w:lineRule="auto"/>
        <w:jc w:val="center"/>
        <w:rPr>
          <w:rFonts w:hint="eastAsia" w:ascii="宋体" w:hAnsi="宋体" w:cs="宋体"/>
          <w:color w:val="auto"/>
          <w:sz w:val="84"/>
          <w:szCs w:val="84"/>
          <w:lang w:val="zh-CN"/>
        </w:rPr>
      </w:pPr>
    </w:p>
    <w:p w14:paraId="2B627E1C">
      <w:pPr>
        <w:autoSpaceDE w:val="0"/>
        <w:autoSpaceDN w:val="0"/>
        <w:adjustRightInd w:val="0"/>
        <w:spacing w:after="0" w:line="312" w:lineRule="auto"/>
        <w:jc w:val="center"/>
        <w:rPr>
          <w:rFonts w:hint="eastAsia" w:ascii="宋体" w:hAnsi="宋体" w:cs="宋体"/>
          <w:color w:val="auto"/>
          <w:sz w:val="84"/>
          <w:szCs w:val="84"/>
          <w:lang w:val="zh-CN"/>
        </w:rPr>
      </w:pPr>
      <w:r>
        <w:rPr>
          <w:rFonts w:hint="eastAsia" w:ascii="宋体" w:hAnsi="宋体" w:cs="宋体"/>
          <w:color w:val="auto"/>
          <w:sz w:val="84"/>
          <w:szCs w:val="84"/>
          <w:lang w:val="zh-CN"/>
        </w:rPr>
        <w:t>投</w:t>
      </w:r>
    </w:p>
    <w:p w14:paraId="7C8CB3E3">
      <w:pPr>
        <w:autoSpaceDE w:val="0"/>
        <w:autoSpaceDN w:val="0"/>
        <w:adjustRightInd w:val="0"/>
        <w:spacing w:after="0" w:line="312" w:lineRule="auto"/>
        <w:jc w:val="center"/>
        <w:rPr>
          <w:rFonts w:hint="eastAsia" w:ascii="宋体" w:hAnsi="宋体" w:cs="宋体"/>
          <w:color w:val="auto"/>
          <w:sz w:val="84"/>
          <w:szCs w:val="84"/>
          <w:lang w:val="zh-CN"/>
        </w:rPr>
      </w:pPr>
      <w:r>
        <w:rPr>
          <w:rFonts w:hint="eastAsia" w:ascii="宋体" w:hAnsi="宋体" w:cs="宋体"/>
          <w:color w:val="auto"/>
          <w:sz w:val="84"/>
          <w:szCs w:val="84"/>
          <w:lang w:val="zh-CN"/>
        </w:rPr>
        <w:t>标</w:t>
      </w:r>
    </w:p>
    <w:p w14:paraId="3CDE02C0">
      <w:pPr>
        <w:autoSpaceDE w:val="0"/>
        <w:autoSpaceDN w:val="0"/>
        <w:adjustRightInd w:val="0"/>
        <w:spacing w:after="0" w:line="312" w:lineRule="auto"/>
        <w:jc w:val="center"/>
        <w:rPr>
          <w:rFonts w:hint="eastAsia" w:ascii="宋体" w:hAnsi="宋体" w:cs="宋体"/>
          <w:color w:val="auto"/>
          <w:sz w:val="84"/>
          <w:szCs w:val="84"/>
        </w:rPr>
      </w:pPr>
      <w:r>
        <w:rPr>
          <w:rFonts w:hint="eastAsia" w:ascii="宋体" w:hAnsi="宋体" w:cs="宋体"/>
          <w:color w:val="auto"/>
          <w:sz w:val="84"/>
          <w:szCs w:val="84"/>
          <w:lang w:val="zh-CN"/>
        </w:rPr>
        <w:t>文</w:t>
      </w:r>
    </w:p>
    <w:p w14:paraId="2C1C602F">
      <w:pPr>
        <w:spacing w:after="0" w:line="312" w:lineRule="auto"/>
        <w:ind w:right="-108"/>
        <w:jc w:val="center"/>
        <w:rPr>
          <w:rFonts w:hint="eastAsia" w:ascii="宋体" w:hAnsi="宋体" w:cs="宋体"/>
          <w:color w:val="auto"/>
          <w:sz w:val="84"/>
          <w:szCs w:val="84"/>
          <w:lang w:val="zh-CN"/>
        </w:rPr>
      </w:pPr>
      <w:r>
        <w:rPr>
          <w:rFonts w:hint="eastAsia" w:ascii="宋体" w:hAnsi="宋体" w:cs="宋体"/>
          <w:color w:val="auto"/>
          <w:sz w:val="84"/>
          <w:szCs w:val="84"/>
          <w:lang w:val="zh-CN"/>
        </w:rPr>
        <w:t>件</w:t>
      </w:r>
    </w:p>
    <w:p w14:paraId="57A2BC25">
      <w:pPr>
        <w:spacing w:after="0" w:line="312" w:lineRule="auto"/>
        <w:ind w:right="-108"/>
        <w:jc w:val="center"/>
        <w:rPr>
          <w:rFonts w:hint="eastAsia" w:ascii="宋体" w:hAnsi="宋体" w:cs="宋体"/>
          <w:b/>
          <w:bCs/>
          <w:color w:val="auto"/>
          <w:sz w:val="28"/>
          <w:szCs w:val="28"/>
          <w:lang w:val="zh-CN"/>
        </w:rPr>
      </w:pPr>
      <w:r>
        <w:rPr>
          <w:rFonts w:hint="eastAsia" w:ascii="宋体" w:hAnsi="宋体" w:cs="宋体"/>
          <w:b/>
          <w:bCs/>
          <w:color w:val="auto"/>
          <w:sz w:val="28"/>
          <w:szCs w:val="28"/>
          <w:lang w:val="zh-CN"/>
        </w:rPr>
        <w:t>（商务与技术文件）</w:t>
      </w:r>
    </w:p>
    <w:p w14:paraId="1918C5D0">
      <w:pPr>
        <w:spacing w:after="0" w:line="312" w:lineRule="auto"/>
        <w:ind w:right="532" w:firstLine="720" w:firstLineChars="200"/>
        <w:rPr>
          <w:rFonts w:hint="eastAsia" w:ascii="宋体" w:hAnsi="宋体" w:cs="宋体"/>
          <w:color w:val="auto"/>
          <w:sz w:val="36"/>
          <w:szCs w:val="36"/>
        </w:rPr>
      </w:pPr>
    </w:p>
    <w:p w14:paraId="66698564">
      <w:pPr>
        <w:spacing w:after="0" w:line="312" w:lineRule="auto"/>
        <w:ind w:right="532" w:firstLine="720" w:firstLineChars="200"/>
        <w:rPr>
          <w:rFonts w:hint="eastAsia" w:ascii="宋体" w:hAnsi="宋体" w:cs="宋体"/>
          <w:color w:val="auto"/>
          <w:sz w:val="36"/>
          <w:szCs w:val="36"/>
        </w:rPr>
      </w:pPr>
      <w:r>
        <w:rPr>
          <w:rFonts w:hint="eastAsia" w:ascii="宋体" w:hAnsi="宋体" w:cs="宋体"/>
          <w:color w:val="auto"/>
          <w:sz w:val="36"/>
          <w:szCs w:val="36"/>
        </w:rPr>
        <w:t>投标人全称（公章）：</w:t>
      </w:r>
    </w:p>
    <w:p w14:paraId="792F3C72">
      <w:pPr>
        <w:spacing w:after="0" w:line="312" w:lineRule="auto"/>
        <w:ind w:right="532" w:firstLine="720" w:firstLineChars="200"/>
        <w:rPr>
          <w:rFonts w:hint="eastAsia" w:ascii="宋体" w:hAnsi="宋体" w:cs="宋体"/>
          <w:color w:val="auto"/>
          <w:sz w:val="36"/>
          <w:szCs w:val="36"/>
        </w:rPr>
      </w:pPr>
      <w:r>
        <w:rPr>
          <w:rFonts w:hint="eastAsia" w:ascii="宋体" w:hAnsi="宋体" w:cs="宋体"/>
          <w:color w:val="auto"/>
          <w:sz w:val="36"/>
          <w:szCs w:val="36"/>
        </w:rPr>
        <w:t>地    址：</w:t>
      </w:r>
    </w:p>
    <w:p w14:paraId="242EC991">
      <w:pPr>
        <w:spacing w:after="0" w:line="312" w:lineRule="auto"/>
        <w:ind w:right="532" w:firstLine="720" w:firstLineChars="200"/>
        <w:rPr>
          <w:rFonts w:hint="eastAsia" w:ascii="宋体" w:hAnsi="宋体" w:cs="宋体"/>
          <w:color w:val="auto"/>
          <w:sz w:val="36"/>
          <w:szCs w:val="36"/>
        </w:rPr>
      </w:pPr>
      <w:r>
        <w:rPr>
          <w:rFonts w:hint="eastAsia" w:ascii="宋体" w:hAnsi="宋体" w:cs="宋体"/>
          <w:color w:val="auto"/>
          <w:sz w:val="36"/>
          <w:szCs w:val="36"/>
        </w:rPr>
        <w:t>时    间：</w:t>
      </w:r>
    </w:p>
    <w:p w14:paraId="31F785BC">
      <w:pPr>
        <w:snapToGrid w:val="0"/>
        <w:spacing w:before="50" w:after="0" w:line="312" w:lineRule="auto"/>
        <w:jc w:val="center"/>
        <w:rPr>
          <w:rFonts w:hint="eastAsia" w:ascii="宋体" w:hAnsi="宋体" w:cs="宋体"/>
          <w:b/>
          <w:bCs/>
          <w:color w:val="auto"/>
          <w:sz w:val="32"/>
          <w:szCs w:val="32"/>
          <w:lang w:val="zh-CN"/>
        </w:rPr>
      </w:pPr>
    </w:p>
    <w:p w14:paraId="7FD250C3">
      <w:pPr>
        <w:snapToGrid w:val="0"/>
        <w:spacing w:before="50" w:after="0" w:line="312" w:lineRule="auto"/>
        <w:jc w:val="center"/>
        <w:rPr>
          <w:rFonts w:hint="eastAsia" w:ascii="宋体" w:hAnsi="宋体" w:cs="宋体"/>
          <w:b/>
          <w:bCs/>
          <w:color w:val="auto"/>
          <w:sz w:val="32"/>
          <w:szCs w:val="32"/>
          <w:lang w:val="zh-CN"/>
        </w:rPr>
      </w:pPr>
    </w:p>
    <w:p w14:paraId="42715661">
      <w:pPr>
        <w:snapToGrid w:val="0"/>
        <w:spacing w:before="50" w:after="0" w:line="312" w:lineRule="auto"/>
        <w:jc w:val="center"/>
        <w:rPr>
          <w:rFonts w:hint="eastAsia" w:ascii="宋体" w:hAnsi="宋体" w:cs="宋体"/>
          <w:b/>
          <w:bCs/>
          <w:color w:val="auto"/>
          <w:sz w:val="36"/>
          <w:szCs w:val="36"/>
        </w:rPr>
      </w:pPr>
      <w:r>
        <w:rPr>
          <w:rFonts w:hint="eastAsia" w:ascii="宋体" w:hAnsi="宋体" w:cs="宋体"/>
          <w:b/>
          <w:bCs/>
          <w:color w:val="auto"/>
          <w:sz w:val="36"/>
          <w:szCs w:val="36"/>
          <w:lang w:val="zh-CN"/>
        </w:rPr>
        <w:t>商务与技术文件</w:t>
      </w:r>
      <w:r>
        <w:rPr>
          <w:rFonts w:hint="eastAsia" w:ascii="宋体" w:hAnsi="宋体" w:cs="宋体"/>
          <w:b/>
          <w:bCs/>
          <w:color w:val="auto"/>
          <w:sz w:val="36"/>
          <w:szCs w:val="36"/>
        </w:rPr>
        <w:t>目录</w:t>
      </w:r>
    </w:p>
    <w:p w14:paraId="110BA5BA">
      <w:pPr>
        <w:pStyle w:val="23"/>
        <w:rPr>
          <w:rFonts w:hint="eastAsia" w:ascii="宋体" w:hAnsi="宋体"/>
          <w:color w:val="auto"/>
        </w:rPr>
      </w:pPr>
    </w:p>
    <w:p w14:paraId="06E185EC">
      <w:pPr>
        <w:snapToGrid w:val="0"/>
        <w:spacing w:after="0" w:line="360" w:lineRule="auto"/>
        <w:ind w:firstLine="482" w:firstLineChars="200"/>
        <w:rPr>
          <w:rFonts w:hint="eastAsia" w:ascii="宋体" w:hAnsi="宋体" w:cs="宋体"/>
          <w:b/>
          <w:bCs/>
          <w:color w:val="auto"/>
          <w:sz w:val="24"/>
        </w:rPr>
      </w:pPr>
      <w:r>
        <w:rPr>
          <w:rFonts w:hint="eastAsia" w:ascii="宋体" w:hAnsi="宋体" w:cs="宋体"/>
          <w:b/>
          <w:bCs/>
          <w:color w:val="auto"/>
          <w:sz w:val="24"/>
        </w:rPr>
        <w:t>第一部分  技术方案描述部分</w:t>
      </w:r>
    </w:p>
    <w:p w14:paraId="14DB6ECD">
      <w:pPr>
        <w:snapToGrid w:val="0"/>
        <w:spacing w:after="0" w:line="360" w:lineRule="auto"/>
        <w:ind w:firstLine="480" w:firstLineChars="200"/>
        <w:rPr>
          <w:rFonts w:hint="eastAsia" w:ascii="宋体" w:hAnsi="宋体" w:cs="宋体"/>
          <w:color w:val="auto"/>
          <w:sz w:val="24"/>
        </w:rPr>
      </w:pPr>
      <w:r>
        <w:rPr>
          <w:rFonts w:hint="eastAsia" w:ascii="宋体" w:hAnsi="宋体" w:cs="宋体"/>
          <w:color w:val="auto"/>
          <w:sz w:val="24"/>
        </w:rPr>
        <w:t>1、投标人情况介绍（附件7）；</w:t>
      </w:r>
    </w:p>
    <w:p w14:paraId="41366D90">
      <w:pPr>
        <w:snapToGrid w:val="0"/>
        <w:spacing w:after="0" w:line="360" w:lineRule="auto"/>
        <w:ind w:firstLine="480" w:firstLineChars="200"/>
        <w:rPr>
          <w:rFonts w:hint="eastAsia" w:ascii="宋体" w:hAnsi="宋体" w:cs="宋体"/>
          <w:color w:val="auto"/>
          <w:sz w:val="24"/>
        </w:rPr>
      </w:pPr>
      <w:r>
        <w:rPr>
          <w:rFonts w:hint="eastAsia" w:ascii="宋体" w:hAnsi="宋体" w:cs="宋体"/>
          <w:color w:val="auto"/>
          <w:sz w:val="24"/>
        </w:rPr>
        <w:t xml:space="preserve">2、项目组织实施方案； </w:t>
      </w:r>
    </w:p>
    <w:p w14:paraId="601604E7">
      <w:pPr>
        <w:snapToGrid w:val="0"/>
        <w:spacing w:after="0" w:line="360" w:lineRule="auto"/>
        <w:ind w:firstLine="482" w:firstLineChars="200"/>
        <w:jc w:val="left"/>
        <w:rPr>
          <w:rFonts w:hint="eastAsia" w:ascii="宋体" w:hAnsi="宋体" w:cs="宋体"/>
          <w:b/>
          <w:bCs/>
          <w:color w:val="auto"/>
          <w:sz w:val="24"/>
        </w:rPr>
      </w:pPr>
      <w:r>
        <w:rPr>
          <w:rFonts w:hint="eastAsia" w:ascii="宋体" w:hAnsi="宋体" w:cs="宋体"/>
          <w:b/>
          <w:bCs/>
          <w:color w:val="auto"/>
          <w:sz w:val="24"/>
        </w:rPr>
        <w:t>第二部分  投标产品描述部分</w:t>
      </w:r>
    </w:p>
    <w:p w14:paraId="47C6F8B8">
      <w:pPr>
        <w:snapToGrid w:val="0"/>
        <w:spacing w:after="0" w:line="360" w:lineRule="auto"/>
        <w:ind w:firstLine="470" w:firstLineChars="196"/>
        <w:rPr>
          <w:rFonts w:hint="eastAsia" w:ascii="宋体" w:hAnsi="宋体" w:cs="宋体"/>
          <w:color w:val="auto"/>
          <w:kern w:val="0"/>
          <w:sz w:val="24"/>
        </w:rPr>
      </w:pPr>
      <w:r>
        <w:rPr>
          <w:rFonts w:hint="eastAsia" w:ascii="宋体" w:hAnsi="宋体" w:cs="宋体"/>
          <w:color w:val="auto"/>
          <w:sz w:val="24"/>
        </w:rPr>
        <w:t>1、</w:t>
      </w:r>
      <w:r>
        <w:rPr>
          <w:rFonts w:hint="eastAsia" w:ascii="宋体" w:hAnsi="宋体" w:cs="宋体"/>
          <w:color w:val="auto"/>
          <w:kern w:val="0"/>
          <w:sz w:val="24"/>
        </w:rPr>
        <w:t>投标产品（方案）描述及相关资料（</w:t>
      </w:r>
      <w:r>
        <w:rPr>
          <w:rFonts w:hint="eastAsia" w:ascii="宋体" w:hAnsi="宋体" w:cs="宋体"/>
          <w:color w:val="auto"/>
          <w:sz w:val="24"/>
        </w:rPr>
        <w:t>可视情选用附件8</w:t>
      </w:r>
      <w:r>
        <w:rPr>
          <w:rFonts w:hint="eastAsia" w:ascii="宋体" w:hAnsi="宋体" w:cs="宋体"/>
          <w:color w:val="auto"/>
          <w:kern w:val="0"/>
          <w:sz w:val="24"/>
        </w:rPr>
        <w:t>）；</w:t>
      </w:r>
    </w:p>
    <w:p w14:paraId="37408CC7">
      <w:pPr>
        <w:snapToGrid w:val="0"/>
        <w:spacing w:after="0"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2、</w:t>
      </w:r>
      <w:r>
        <w:rPr>
          <w:rFonts w:hint="eastAsia" w:ascii="宋体" w:hAnsi="宋体" w:cs="宋体"/>
          <w:color w:val="auto"/>
          <w:sz w:val="24"/>
        </w:rPr>
        <w:t>投标人需要说明的其他内容；（包括可能影响投标人技术性能评分项的各类证明材料）</w:t>
      </w:r>
    </w:p>
    <w:p w14:paraId="42657147">
      <w:pPr>
        <w:snapToGrid w:val="0"/>
        <w:spacing w:after="0" w:line="360" w:lineRule="auto"/>
        <w:ind w:firstLine="482" w:firstLineChars="200"/>
        <w:rPr>
          <w:rFonts w:hint="eastAsia" w:ascii="宋体" w:hAnsi="宋体" w:cs="宋体"/>
          <w:b/>
          <w:bCs/>
          <w:color w:val="auto"/>
          <w:kern w:val="0"/>
          <w:sz w:val="24"/>
        </w:rPr>
      </w:pPr>
      <w:r>
        <w:rPr>
          <w:rFonts w:hint="eastAsia" w:ascii="宋体" w:hAnsi="宋体" w:cs="宋体"/>
          <w:b/>
          <w:bCs/>
          <w:color w:val="auto"/>
          <w:kern w:val="0"/>
          <w:sz w:val="24"/>
        </w:rPr>
        <w:t>第三部分  商务响应部分</w:t>
      </w:r>
    </w:p>
    <w:p w14:paraId="48B79978">
      <w:pPr>
        <w:snapToGrid w:val="0"/>
        <w:spacing w:after="0" w:line="360" w:lineRule="auto"/>
        <w:ind w:firstLine="470" w:firstLineChars="196"/>
        <w:rPr>
          <w:rFonts w:hint="eastAsia" w:ascii="宋体" w:hAnsi="宋体" w:cs="宋体"/>
          <w:color w:val="auto"/>
          <w:kern w:val="0"/>
          <w:sz w:val="24"/>
        </w:rPr>
      </w:pPr>
      <w:r>
        <w:rPr>
          <w:rFonts w:hint="eastAsia" w:ascii="宋体" w:hAnsi="宋体" w:cs="宋体"/>
          <w:color w:val="auto"/>
          <w:kern w:val="0"/>
          <w:sz w:val="24"/>
        </w:rPr>
        <w:t>1、证书一览表（附件9）；</w:t>
      </w:r>
    </w:p>
    <w:p w14:paraId="468760EB">
      <w:pPr>
        <w:snapToGrid w:val="0"/>
        <w:spacing w:after="0" w:line="360" w:lineRule="auto"/>
        <w:ind w:firstLine="470" w:firstLineChars="196"/>
        <w:rPr>
          <w:rFonts w:hint="eastAsia" w:ascii="宋体" w:hAnsi="宋体" w:cs="宋体"/>
          <w:color w:val="auto"/>
          <w:kern w:val="0"/>
          <w:sz w:val="24"/>
        </w:rPr>
      </w:pPr>
      <w:r>
        <w:rPr>
          <w:rFonts w:hint="eastAsia" w:ascii="宋体" w:hAnsi="宋体" w:cs="宋体"/>
          <w:color w:val="auto"/>
          <w:kern w:val="0"/>
          <w:sz w:val="24"/>
        </w:rPr>
        <w:t>2、近三年来类似项目的成功案例（附件10）</w:t>
      </w:r>
    </w:p>
    <w:p w14:paraId="529DE66B">
      <w:pPr>
        <w:snapToGrid w:val="0"/>
        <w:spacing w:after="0" w:line="360" w:lineRule="auto"/>
        <w:ind w:firstLine="470" w:firstLineChars="196"/>
        <w:rPr>
          <w:rFonts w:hint="eastAsia" w:ascii="宋体" w:hAnsi="宋体" w:cs="宋体"/>
          <w:color w:val="auto"/>
          <w:kern w:val="0"/>
          <w:sz w:val="24"/>
        </w:rPr>
      </w:pPr>
      <w:r>
        <w:rPr>
          <w:rFonts w:hint="eastAsia" w:ascii="宋体" w:hAnsi="宋体" w:cs="宋体"/>
          <w:color w:val="auto"/>
          <w:kern w:val="0"/>
          <w:sz w:val="24"/>
        </w:rPr>
        <w:t>3、售后服务描述及承诺（可视情选用附件11、附件12）；</w:t>
      </w:r>
    </w:p>
    <w:p w14:paraId="0E9D88EA">
      <w:pPr>
        <w:snapToGrid w:val="0"/>
        <w:spacing w:after="0"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4、投标人需要说明的其他内容。（包括可能影响投标人企业实力及信誉评分项以及售后服务评分项的各类证明材料）</w:t>
      </w:r>
    </w:p>
    <w:p w14:paraId="4C9A3E04">
      <w:pPr>
        <w:snapToGrid w:val="0"/>
        <w:spacing w:after="0" w:line="360" w:lineRule="auto"/>
        <w:ind w:firstLine="482" w:firstLineChars="200"/>
        <w:jc w:val="left"/>
        <w:rPr>
          <w:rFonts w:hint="eastAsia" w:ascii="宋体" w:hAnsi="宋体" w:cs="宋体"/>
          <w:b/>
          <w:bCs/>
          <w:color w:val="auto"/>
          <w:sz w:val="24"/>
        </w:rPr>
      </w:pPr>
      <w:r>
        <w:rPr>
          <w:rFonts w:hint="eastAsia" w:ascii="宋体" w:hAnsi="宋体" w:cs="宋体"/>
          <w:b/>
          <w:bCs/>
          <w:color w:val="auto"/>
          <w:sz w:val="24"/>
        </w:rPr>
        <w:t>第四部分  其他参考表格（此部分视情况选用）</w:t>
      </w:r>
    </w:p>
    <w:p w14:paraId="544A0475">
      <w:pPr>
        <w:snapToGrid w:val="0"/>
        <w:spacing w:after="0" w:line="360" w:lineRule="auto"/>
        <w:ind w:left="374" w:leftChars="178"/>
        <w:rPr>
          <w:rFonts w:hint="eastAsia" w:ascii="宋体" w:hAnsi="宋体" w:cs="宋体"/>
          <w:color w:val="auto"/>
          <w:kern w:val="0"/>
          <w:sz w:val="24"/>
        </w:rPr>
      </w:pPr>
      <w:r>
        <w:rPr>
          <w:rFonts w:hint="eastAsia" w:ascii="宋体" w:hAnsi="宋体" w:cs="宋体"/>
          <w:color w:val="auto"/>
          <w:kern w:val="0"/>
          <w:sz w:val="24"/>
        </w:rPr>
        <w:t>（以上内容具体描述详见“第三部分投标人须知”中“三、投标文件”的组成说明）</w:t>
      </w:r>
    </w:p>
    <w:p w14:paraId="3699D0A6">
      <w:pPr>
        <w:snapToGrid w:val="0"/>
        <w:spacing w:after="0" w:line="312" w:lineRule="auto"/>
        <w:ind w:left="837" w:leftChars="260" w:hanging="291" w:hangingChars="104"/>
        <w:rPr>
          <w:rFonts w:hint="eastAsia" w:ascii="宋体" w:hAnsi="宋体" w:cs="宋体"/>
          <w:color w:val="auto"/>
          <w:kern w:val="0"/>
          <w:sz w:val="28"/>
          <w:szCs w:val="28"/>
        </w:rPr>
      </w:pPr>
    </w:p>
    <w:p w14:paraId="45E64978">
      <w:pPr>
        <w:pStyle w:val="23"/>
        <w:rPr>
          <w:rFonts w:hint="eastAsia" w:ascii="宋体" w:hAnsi="宋体"/>
          <w:color w:val="auto"/>
          <w:kern w:val="0"/>
          <w:sz w:val="28"/>
          <w:szCs w:val="28"/>
        </w:rPr>
      </w:pPr>
    </w:p>
    <w:p w14:paraId="2E9D6047">
      <w:pPr>
        <w:pStyle w:val="23"/>
        <w:rPr>
          <w:rFonts w:hint="eastAsia" w:ascii="宋体" w:hAnsi="宋体"/>
          <w:color w:val="auto"/>
          <w:kern w:val="0"/>
          <w:sz w:val="28"/>
          <w:szCs w:val="28"/>
        </w:rPr>
      </w:pPr>
    </w:p>
    <w:p w14:paraId="66835BE8">
      <w:pPr>
        <w:pStyle w:val="23"/>
        <w:rPr>
          <w:rFonts w:hint="eastAsia" w:ascii="宋体" w:hAnsi="宋体"/>
          <w:color w:val="auto"/>
          <w:kern w:val="0"/>
          <w:sz w:val="28"/>
          <w:szCs w:val="28"/>
        </w:rPr>
      </w:pPr>
    </w:p>
    <w:p w14:paraId="5869C47F">
      <w:pPr>
        <w:pStyle w:val="23"/>
        <w:rPr>
          <w:rFonts w:hint="eastAsia" w:ascii="宋体" w:hAnsi="宋体"/>
          <w:color w:val="auto"/>
          <w:kern w:val="0"/>
          <w:sz w:val="28"/>
          <w:szCs w:val="28"/>
        </w:rPr>
      </w:pPr>
    </w:p>
    <w:p w14:paraId="6CA42795">
      <w:pPr>
        <w:pStyle w:val="23"/>
        <w:rPr>
          <w:rFonts w:hint="eastAsia" w:ascii="宋体" w:hAnsi="宋体"/>
          <w:color w:val="auto"/>
          <w:kern w:val="0"/>
          <w:sz w:val="28"/>
          <w:szCs w:val="28"/>
        </w:rPr>
      </w:pPr>
    </w:p>
    <w:p w14:paraId="708F6B19">
      <w:pPr>
        <w:pStyle w:val="23"/>
        <w:rPr>
          <w:rFonts w:hint="eastAsia" w:ascii="宋体" w:hAnsi="宋体"/>
          <w:color w:val="auto"/>
          <w:kern w:val="0"/>
          <w:sz w:val="28"/>
          <w:szCs w:val="28"/>
        </w:rPr>
      </w:pPr>
    </w:p>
    <w:p w14:paraId="490C948B">
      <w:pPr>
        <w:pStyle w:val="23"/>
        <w:rPr>
          <w:rFonts w:hint="eastAsia" w:ascii="宋体" w:hAnsi="宋体"/>
          <w:color w:val="auto"/>
          <w:kern w:val="0"/>
          <w:sz w:val="28"/>
          <w:szCs w:val="28"/>
        </w:rPr>
      </w:pPr>
    </w:p>
    <w:p w14:paraId="02AB7915">
      <w:pPr>
        <w:pStyle w:val="37"/>
        <w:shd w:val="clear" w:color="auto" w:fill="FFFFFF"/>
        <w:spacing w:before="0" w:beforeAutospacing="0" w:after="0" w:afterAutospacing="0" w:line="312" w:lineRule="auto"/>
        <w:rPr>
          <w:rFonts w:hint="eastAsia"/>
          <w:b/>
          <w:color w:val="auto"/>
          <w:sz w:val="28"/>
        </w:rPr>
      </w:pPr>
      <w:r>
        <w:rPr>
          <w:rFonts w:hint="eastAsia"/>
          <w:b/>
          <w:color w:val="auto"/>
          <w:sz w:val="28"/>
        </w:rPr>
        <w:t>附件7</w:t>
      </w:r>
    </w:p>
    <w:p w14:paraId="0750D347">
      <w:pPr>
        <w:pStyle w:val="37"/>
        <w:shd w:val="clear" w:color="auto" w:fill="FFFFFF"/>
        <w:spacing w:before="0" w:beforeAutospacing="0" w:after="0" w:afterAutospacing="0" w:line="312" w:lineRule="auto"/>
        <w:jc w:val="center"/>
        <w:rPr>
          <w:rFonts w:hint="eastAsia"/>
          <w:b/>
          <w:bCs/>
          <w:color w:val="auto"/>
          <w:spacing w:val="21"/>
          <w:sz w:val="32"/>
          <w:szCs w:val="32"/>
        </w:rPr>
      </w:pPr>
      <w:r>
        <w:rPr>
          <w:rFonts w:hint="eastAsia"/>
          <w:b/>
          <w:color w:val="auto"/>
          <w:sz w:val="32"/>
          <w:szCs w:val="32"/>
        </w:rPr>
        <w:t xml:space="preserve">  投标</w:t>
      </w:r>
      <w:r>
        <w:rPr>
          <w:rFonts w:hint="eastAsia"/>
          <w:b/>
          <w:bCs/>
          <w:color w:val="auto"/>
          <w:spacing w:val="21"/>
          <w:sz w:val="32"/>
          <w:szCs w:val="32"/>
        </w:rPr>
        <w:t>人基本情况表</w:t>
      </w:r>
    </w:p>
    <w:p w14:paraId="42C60A8F">
      <w:pPr>
        <w:pStyle w:val="37"/>
        <w:shd w:val="clear" w:color="auto" w:fill="FFFFFF"/>
        <w:spacing w:before="0" w:beforeAutospacing="0" w:after="0" w:afterAutospacing="0" w:line="312" w:lineRule="auto"/>
        <w:jc w:val="center"/>
        <w:rPr>
          <w:rFonts w:hint="eastAsia"/>
          <w:color w:val="auto"/>
          <w:sz w:val="36"/>
          <w:szCs w:val="36"/>
        </w:rPr>
      </w:pPr>
    </w:p>
    <w:tbl>
      <w:tblPr>
        <w:tblStyle w:val="24"/>
        <w:tblW w:w="8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701"/>
        <w:gridCol w:w="852"/>
        <w:gridCol w:w="58"/>
        <w:gridCol w:w="1163"/>
        <w:gridCol w:w="112"/>
        <w:gridCol w:w="1093"/>
        <w:gridCol w:w="325"/>
        <w:gridCol w:w="1276"/>
        <w:gridCol w:w="400"/>
        <w:gridCol w:w="1218"/>
        <w:gridCol w:w="933"/>
      </w:tblGrid>
      <w:tr w14:paraId="6F9D7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82" w:type="dxa"/>
          </w:tcPr>
          <w:p w14:paraId="428FF086">
            <w:pPr>
              <w:pStyle w:val="37"/>
              <w:shd w:val="clear" w:color="auto" w:fill="FFFFFF"/>
              <w:spacing w:after="0" w:afterAutospacing="0" w:line="312" w:lineRule="auto"/>
              <w:rPr>
                <w:rFonts w:hint="eastAsia"/>
                <w:bCs/>
                <w:color w:val="auto"/>
              </w:rPr>
            </w:pPr>
            <w:r>
              <w:rPr>
                <w:rFonts w:hint="eastAsia"/>
                <w:bCs/>
                <w:color w:val="auto"/>
                <w:spacing w:val="27"/>
              </w:rPr>
              <w:t>企业名称</w:t>
            </w:r>
          </w:p>
        </w:tc>
        <w:tc>
          <w:tcPr>
            <w:tcW w:w="3979" w:type="dxa"/>
            <w:gridSpan w:val="6"/>
          </w:tcPr>
          <w:p w14:paraId="270B1468">
            <w:pPr>
              <w:pStyle w:val="37"/>
              <w:shd w:val="clear" w:color="auto" w:fill="FFFFFF"/>
              <w:spacing w:after="0" w:afterAutospacing="0" w:line="312" w:lineRule="auto"/>
              <w:rPr>
                <w:rFonts w:hint="eastAsia"/>
                <w:bCs/>
                <w:color w:val="auto"/>
              </w:rPr>
            </w:pPr>
          </w:p>
        </w:tc>
        <w:tc>
          <w:tcPr>
            <w:tcW w:w="2001" w:type="dxa"/>
            <w:gridSpan w:val="3"/>
          </w:tcPr>
          <w:p w14:paraId="6F1A9772">
            <w:pPr>
              <w:pStyle w:val="37"/>
              <w:shd w:val="clear" w:color="auto" w:fill="FFFFFF"/>
              <w:spacing w:after="0" w:afterAutospacing="0" w:line="312" w:lineRule="auto"/>
              <w:rPr>
                <w:rFonts w:hint="eastAsia"/>
                <w:bCs/>
                <w:color w:val="auto"/>
              </w:rPr>
            </w:pPr>
            <w:r>
              <w:rPr>
                <w:rFonts w:hint="eastAsia"/>
                <w:bCs/>
                <w:color w:val="auto"/>
                <w:spacing w:val="16"/>
              </w:rPr>
              <w:t>法人代表</w:t>
            </w:r>
          </w:p>
        </w:tc>
        <w:tc>
          <w:tcPr>
            <w:tcW w:w="2151" w:type="dxa"/>
            <w:gridSpan w:val="2"/>
          </w:tcPr>
          <w:p w14:paraId="6A30DD0F">
            <w:pPr>
              <w:pStyle w:val="37"/>
              <w:shd w:val="clear" w:color="auto" w:fill="FFFFFF"/>
              <w:spacing w:after="0" w:afterAutospacing="0" w:line="312" w:lineRule="auto"/>
              <w:rPr>
                <w:rFonts w:hint="eastAsia"/>
                <w:bCs/>
                <w:color w:val="auto"/>
              </w:rPr>
            </w:pPr>
          </w:p>
        </w:tc>
      </w:tr>
      <w:tr w14:paraId="536E2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82" w:type="dxa"/>
          </w:tcPr>
          <w:p w14:paraId="0603E936">
            <w:pPr>
              <w:pStyle w:val="37"/>
              <w:shd w:val="clear" w:color="auto" w:fill="FFFFFF"/>
              <w:spacing w:after="0" w:afterAutospacing="0" w:line="312" w:lineRule="auto"/>
              <w:rPr>
                <w:rFonts w:hint="eastAsia"/>
                <w:bCs/>
                <w:color w:val="auto"/>
                <w:spacing w:val="16"/>
              </w:rPr>
            </w:pPr>
            <w:r>
              <w:rPr>
                <w:rFonts w:hint="eastAsia"/>
                <w:bCs/>
                <w:color w:val="auto"/>
                <w:spacing w:val="27"/>
              </w:rPr>
              <w:t>地址</w:t>
            </w:r>
          </w:p>
        </w:tc>
        <w:tc>
          <w:tcPr>
            <w:tcW w:w="3979" w:type="dxa"/>
            <w:gridSpan w:val="6"/>
            <w:tcBorders>
              <w:bottom w:val="single" w:color="auto" w:sz="4" w:space="0"/>
            </w:tcBorders>
          </w:tcPr>
          <w:p w14:paraId="5F166DB2">
            <w:pPr>
              <w:pStyle w:val="37"/>
              <w:shd w:val="clear" w:color="auto" w:fill="FFFFFF"/>
              <w:spacing w:after="0" w:afterAutospacing="0" w:line="312" w:lineRule="auto"/>
              <w:rPr>
                <w:rFonts w:hint="eastAsia"/>
                <w:bCs/>
                <w:color w:val="auto"/>
                <w:spacing w:val="16"/>
              </w:rPr>
            </w:pPr>
          </w:p>
        </w:tc>
        <w:tc>
          <w:tcPr>
            <w:tcW w:w="2001" w:type="dxa"/>
            <w:gridSpan w:val="3"/>
          </w:tcPr>
          <w:p w14:paraId="7A7B1E87">
            <w:pPr>
              <w:pStyle w:val="37"/>
              <w:shd w:val="clear" w:color="auto" w:fill="FFFFFF"/>
              <w:spacing w:after="0" w:afterAutospacing="0" w:line="312" w:lineRule="auto"/>
              <w:rPr>
                <w:rFonts w:hint="eastAsia"/>
                <w:bCs/>
                <w:color w:val="auto"/>
                <w:spacing w:val="16"/>
              </w:rPr>
            </w:pPr>
            <w:r>
              <w:rPr>
                <w:rFonts w:hint="eastAsia"/>
                <w:bCs/>
                <w:color w:val="auto"/>
                <w:spacing w:val="16"/>
              </w:rPr>
              <w:t>企业性质</w:t>
            </w:r>
          </w:p>
        </w:tc>
        <w:tc>
          <w:tcPr>
            <w:tcW w:w="2151" w:type="dxa"/>
            <w:gridSpan w:val="2"/>
          </w:tcPr>
          <w:p w14:paraId="604F0B37">
            <w:pPr>
              <w:pStyle w:val="37"/>
              <w:shd w:val="clear" w:color="auto" w:fill="FFFFFF"/>
              <w:spacing w:after="0" w:afterAutospacing="0" w:line="312" w:lineRule="auto"/>
              <w:rPr>
                <w:rFonts w:hint="eastAsia"/>
                <w:bCs/>
                <w:color w:val="auto"/>
                <w:spacing w:val="16"/>
              </w:rPr>
            </w:pPr>
          </w:p>
        </w:tc>
      </w:tr>
      <w:tr w14:paraId="7E640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82" w:type="dxa"/>
            <w:tcBorders>
              <w:bottom w:val="single" w:color="auto" w:sz="4" w:space="0"/>
            </w:tcBorders>
          </w:tcPr>
          <w:p w14:paraId="43A76E5B">
            <w:pPr>
              <w:pStyle w:val="37"/>
              <w:shd w:val="clear" w:color="auto" w:fill="FFFFFF"/>
              <w:spacing w:after="0" w:afterAutospacing="0" w:line="312" w:lineRule="auto"/>
              <w:rPr>
                <w:rFonts w:hint="eastAsia"/>
                <w:bCs/>
                <w:color w:val="auto"/>
                <w:spacing w:val="16"/>
              </w:rPr>
            </w:pPr>
            <w:r>
              <w:rPr>
                <w:rFonts w:hint="eastAsia"/>
                <w:bCs/>
                <w:color w:val="auto"/>
                <w:spacing w:val="27"/>
              </w:rPr>
              <w:t>股东姓名</w:t>
            </w:r>
          </w:p>
        </w:tc>
        <w:tc>
          <w:tcPr>
            <w:tcW w:w="701" w:type="dxa"/>
            <w:tcBorders>
              <w:bottom w:val="single" w:color="auto" w:sz="4" w:space="0"/>
            </w:tcBorders>
          </w:tcPr>
          <w:p w14:paraId="0941681D">
            <w:pPr>
              <w:pStyle w:val="37"/>
              <w:shd w:val="clear" w:color="auto" w:fill="FFFFFF"/>
              <w:spacing w:before="0" w:beforeAutospacing="0" w:after="0" w:afterAutospacing="0" w:line="312" w:lineRule="auto"/>
              <w:rPr>
                <w:rFonts w:hint="eastAsia"/>
                <w:bCs/>
                <w:color w:val="auto"/>
                <w:spacing w:val="16"/>
              </w:rPr>
            </w:pPr>
          </w:p>
        </w:tc>
        <w:tc>
          <w:tcPr>
            <w:tcW w:w="910" w:type="dxa"/>
            <w:gridSpan w:val="2"/>
            <w:tcBorders>
              <w:bottom w:val="single" w:color="auto" w:sz="4" w:space="0"/>
            </w:tcBorders>
          </w:tcPr>
          <w:p w14:paraId="2D43C5DA">
            <w:pPr>
              <w:pStyle w:val="37"/>
              <w:shd w:val="clear" w:color="auto" w:fill="FFFFFF"/>
              <w:spacing w:after="0" w:afterAutospacing="0" w:line="312" w:lineRule="auto"/>
              <w:rPr>
                <w:rFonts w:hint="eastAsia"/>
                <w:bCs/>
                <w:color w:val="auto"/>
                <w:spacing w:val="16"/>
              </w:rPr>
            </w:pPr>
            <w:r>
              <w:rPr>
                <w:rFonts w:hint="eastAsia"/>
                <w:bCs/>
                <w:color w:val="auto"/>
                <w:spacing w:val="16"/>
              </w:rPr>
              <w:t>股权结构（%）</w:t>
            </w:r>
          </w:p>
        </w:tc>
        <w:tc>
          <w:tcPr>
            <w:tcW w:w="2368" w:type="dxa"/>
            <w:gridSpan w:val="3"/>
            <w:tcBorders>
              <w:bottom w:val="single" w:color="auto" w:sz="4" w:space="0"/>
            </w:tcBorders>
          </w:tcPr>
          <w:p w14:paraId="1C0A0135">
            <w:pPr>
              <w:widowControl/>
              <w:spacing w:after="0" w:line="312" w:lineRule="auto"/>
              <w:jc w:val="left"/>
              <w:rPr>
                <w:rFonts w:hint="eastAsia" w:ascii="宋体" w:hAnsi="宋体" w:cs="宋体"/>
                <w:bCs/>
                <w:color w:val="auto"/>
                <w:spacing w:val="16"/>
                <w:kern w:val="0"/>
                <w:sz w:val="24"/>
              </w:rPr>
            </w:pPr>
          </w:p>
          <w:p w14:paraId="46DD0CE5">
            <w:pPr>
              <w:pStyle w:val="37"/>
              <w:shd w:val="clear" w:color="auto" w:fill="FFFFFF"/>
              <w:spacing w:after="0" w:afterAutospacing="0" w:line="312" w:lineRule="auto"/>
              <w:rPr>
                <w:rFonts w:hint="eastAsia"/>
                <w:bCs/>
                <w:color w:val="auto"/>
                <w:spacing w:val="16"/>
              </w:rPr>
            </w:pPr>
          </w:p>
        </w:tc>
        <w:tc>
          <w:tcPr>
            <w:tcW w:w="2001" w:type="dxa"/>
            <w:gridSpan w:val="3"/>
          </w:tcPr>
          <w:p w14:paraId="29448156">
            <w:pPr>
              <w:pStyle w:val="37"/>
              <w:shd w:val="clear" w:color="auto" w:fill="FFFFFF"/>
              <w:spacing w:after="0" w:afterAutospacing="0" w:line="312" w:lineRule="auto"/>
              <w:ind w:left="107"/>
              <w:rPr>
                <w:rFonts w:hint="eastAsia"/>
                <w:bCs/>
                <w:color w:val="auto"/>
                <w:spacing w:val="16"/>
              </w:rPr>
            </w:pPr>
            <w:r>
              <w:rPr>
                <w:rFonts w:hint="eastAsia"/>
                <w:bCs/>
                <w:color w:val="auto"/>
                <w:spacing w:val="16"/>
              </w:rPr>
              <w:t>股东关系</w:t>
            </w:r>
          </w:p>
        </w:tc>
        <w:tc>
          <w:tcPr>
            <w:tcW w:w="2151" w:type="dxa"/>
            <w:gridSpan w:val="2"/>
          </w:tcPr>
          <w:p w14:paraId="44229968">
            <w:pPr>
              <w:pStyle w:val="37"/>
              <w:shd w:val="clear" w:color="auto" w:fill="FFFFFF"/>
              <w:spacing w:after="0" w:afterAutospacing="0" w:line="312" w:lineRule="auto"/>
              <w:ind w:left="107"/>
              <w:rPr>
                <w:rFonts w:hint="eastAsia"/>
                <w:bCs/>
                <w:color w:val="auto"/>
                <w:spacing w:val="16"/>
              </w:rPr>
            </w:pPr>
          </w:p>
        </w:tc>
      </w:tr>
      <w:tr w14:paraId="176CD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82" w:type="dxa"/>
            <w:vMerge w:val="restart"/>
          </w:tcPr>
          <w:p w14:paraId="5EF24F58">
            <w:pPr>
              <w:pStyle w:val="37"/>
              <w:shd w:val="clear" w:color="auto" w:fill="FFFFFF"/>
              <w:spacing w:after="0" w:afterAutospacing="0" w:line="312" w:lineRule="auto"/>
              <w:rPr>
                <w:rFonts w:hint="eastAsia"/>
                <w:bCs/>
                <w:color w:val="auto"/>
                <w:spacing w:val="16"/>
              </w:rPr>
            </w:pPr>
            <w:r>
              <w:rPr>
                <w:rFonts w:hint="eastAsia"/>
                <w:bCs/>
                <w:color w:val="auto"/>
                <w:spacing w:val="12"/>
              </w:rPr>
              <w:t>联系人</w:t>
            </w:r>
            <w:r>
              <w:rPr>
                <w:rFonts w:hint="eastAsia"/>
                <w:bCs/>
                <w:color w:val="auto"/>
                <w:spacing w:val="27"/>
              </w:rPr>
              <w:t>姓名</w:t>
            </w:r>
          </w:p>
        </w:tc>
        <w:tc>
          <w:tcPr>
            <w:tcW w:w="701" w:type="dxa"/>
            <w:vMerge w:val="restart"/>
            <w:tcBorders>
              <w:top w:val="nil"/>
            </w:tcBorders>
          </w:tcPr>
          <w:p w14:paraId="10DAD430">
            <w:pPr>
              <w:pStyle w:val="37"/>
              <w:shd w:val="clear" w:color="auto" w:fill="FFFFFF"/>
              <w:spacing w:after="0" w:afterAutospacing="0" w:line="312" w:lineRule="auto"/>
              <w:rPr>
                <w:rFonts w:hint="eastAsia"/>
                <w:bCs/>
                <w:color w:val="auto"/>
                <w:spacing w:val="16"/>
              </w:rPr>
            </w:pPr>
          </w:p>
        </w:tc>
        <w:tc>
          <w:tcPr>
            <w:tcW w:w="910" w:type="dxa"/>
            <w:gridSpan w:val="2"/>
            <w:tcBorders>
              <w:top w:val="nil"/>
              <w:bottom w:val="single" w:color="auto" w:sz="4" w:space="0"/>
            </w:tcBorders>
          </w:tcPr>
          <w:p w14:paraId="360AFA86">
            <w:pPr>
              <w:pStyle w:val="37"/>
              <w:shd w:val="clear" w:color="auto" w:fill="FFFFFF"/>
              <w:spacing w:after="0" w:afterAutospacing="0" w:line="312" w:lineRule="auto"/>
              <w:rPr>
                <w:rFonts w:hint="eastAsia"/>
                <w:bCs/>
                <w:color w:val="auto"/>
                <w:spacing w:val="16"/>
              </w:rPr>
            </w:pPr>
            <w:r>
              <w:rPr>
                <w:rFonts w:hint="eastAsia"/>
                <w:bCs/>
                <w:color w:val="auto"/>
                <w:spacing w:val="16"/>
              </w:rPr>
              <w:t>固定电话</w:t>
            </w:r>
          </w:p>
        </w:tc>
        <w:tc>
          <w:tcPr>
            <w:tcW w:w="2368" w:type="dxa"/>
            <w:gridSpan w:val="3"/>
            <w:tcBorders>
              <w:top w:val="nil"/>
              <w:bottom w:val="single" w:color="auto" w:sz="4" w:space="0"/>
            </w:tcBorders>
          </w:tcPr>
          <w:p w14:paraId="5E39AC49">
            <w:pPr>
              <w:widowControl/>
              <w:spacing w:after="0" w:line="312" w:lineRule="auto"/>
              <w:jc w:val="left"/>
              <w:rPr>
                <w:rFonts w:hint="eastAsia" w:ascii="宋体" w:hAnsi="宋体" w:cs="宋体"/>
                <w:bCs/>
                <w:color w:val="auto"/>
                <w:spacing w:val="16"/>
                <w:kern w:val="0"/>
                <w:sz w:val="24"/>
              </w:rPr>
            </w:pPr>
          </w:p>
          <w:p w14:paraId="659362E7">
            <w:pPr>
              <w:pStyle w:val="37"/>
              <w:shd w:val="clear" w:color="auto" w:fill="FFFFFF"/>
              <w:spacing w:after="0" w:afterAutospacing="0" w:line="312" w:lineRule="auto"/>
              <w:rPr>
                <w:rFonts w:hint="eastAsia"/>
                <w:bCs/>
                <w:color w:val="auto"/>
                <w:spacing w:val="16"/>
              </w:rPr>
            </w:pPr>
          </w:p>
        </w:tc>
        <w:tc>
          <w:tcPr>
            <w:tcW w:w="2001" w:type="dxa"/>
            <w:gridSpan w:val="3"/>
            <w:vMerge w:val="restart"/>
          </w:tcPr>
          <w:p w14:paraId="624637D2">
            <w:pPr>
              <w:pStyle w:val="37"/>
              <w:shd w:val="clear" w:color="auto" w:fill="FFFFFF"/>
              <w:spacing w:before="0" w:beforeAutospacing="0" w:after="0" w:afterAutospacing="0" w:line="312" w:lineRule="auto"/>
              <w:rPr>
                <w:rFonts w:hint="eastAsia"/>
                <w:bCs/>
                <w:color w:val="auto"/>
                <w:spacing w:val="16"/>
              </w:rPr>
            </w:pPr>
            <w:r>
              <w:rPr>
                <w:rFonts w:hint="eastAsia"/>
                <w:bCs/>
                <w:color w:val="auto"/>
                <w:spacing w:val="16"/>
              </w:rPr>
              <w:t>传真</w:t>
            </w:r>
          </w:p>
        </w:tc>
        <w:tc>
          <w:tcPr>
            <w:tcW w:w="2151" w:type="dxa"/>
            <w:gridSpan w:val="2"/>
            <w:vMerge w:val="restart"/>
          </w:tcPr>
          <w:p w14:paraId="3AD84F74">
            <w:pPr>
              <w:pStyle w:val="37"/>
              <w:shd w:val="clear" w:color="auto" w:fill="FFFFFF"/>
              <w:spacing w:after="0" w:afterAutospacing="0" w:line="312" w:lineRule="auto"/>
              <w:rPr>
                <w:rFonts w:hint="eastAsia"/>
                <w:bCs/>
                <w:color w:val="auto"/>
                <w:spacing w:val="16"/>
              </w:rPr>
            </w:pPr>
          </w:p>
        </w:tc>
      </w:tr>
      <w:tr w14:paraId="3A789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682" w:type="dxa"/>
            <w:vMerge w:val="continue"/>
            <w:tcBorders>
              <w:bottom w:val="single" w:color="auto" w:sz="4" w:space="0"/>
            </w:tcBorders>
          </w:tcPr>
          <w:p w14:paraId="45C04B65">
            <w:pPr>
              <w:pStyle w:val="37"/>
              <w:shd w:val="clear" w:color="auto" w:fill="FFFFFF"/>
              <w:spacing w:after="0" w:afterAutospacing="0" w:line="312" w:lineRule="auto"/>
              <w:ind w:left="107"/>
              <w:rPr>
                <w:rFonts w:hint="eastAsia"/>
                <w:bCs/>
                <w:color w:val="auto"/>
              </w:rPr>
            </w:pPr>
          </w:p>
        </w:tc>
        <w:tc>
          <w:tcPr>
            <w:tcW w:w="701" w:type="dxa"/>
            <w:vMerge w:val="continue"/>
            <w:tcBorders>
              <w:bottom w:val="single" w:color="auto" w:sz="4" w:space="0"/>
            </w:tcBorders>
          </w:tcPr>
          <w:p w14:paraId="7D193B87">
            <w:pPr>
              <w:pStyle w:val="37"/>
              <w:shd w:val="clear" w:color="auto" w:fill="FFFFFF"/>
              <w:spacing w:after="0" w:afterAutospacing="0" w:line="312" w:lineRule="auto"/>
              <w:rPr>
                <w:rFonts w:hint="eastAsia"/>
                <w:bCs/>
                <w:color w:val="auto"/>
                <w:spacing w:val="16"/>
              </w:rPr>
            </w:pPr>
          </w:p>
        </w:tc>
        <w:tc>
          <w:tcPr>
            <w:tcW w:w="910" w:type="dxa"/>
            <w:gridSpan w:val="2"/>
            <w:tcBorders>
              <w:bottom w:val="single" w:color="auto" w:sz="4" w:space="0"/>
            </w:tcBorders>
          </w:tcPr>
          <w:p w14:paraId="4C0DA214">
            <w:pPr>
              <w:pStyle w:val="37"/>
              <w:shd w:val="clear" w:color="auto" w:fill="FFFFFF"/>
              <w:spacing w:after="0" w:afterAutospacing="0" w:line="312" w:lineRule="auto"/>
              <w:rPr>
                <w:rFonts w:hint="eastAsia"/>
                <w:bCs/>
                <w:color w:val="auto"/>
                <w:spacing w:val="16"/>
              </w:rPr>
            </w:pPr>
            <w:r>
              <w:rPr>
                <w:rFonts w:hint="eastAsia"/>
                <w:bCs/>
                <w:color w:val="auto"/>
                <w:spacing w:val="27"/>
              </w:rPr>
              <w:t>手机</w:t>
            </w:r>
          </w:p>
        </w:tc>
        <w:tc>
          <w:tcPr>
            <w:tcW w:w="2368" w:type="dxa"/>
            <w:gridSpan w:val="3"/>
            <w:tcBorders>
              <w:bottom w:val="single" w:color="auto" w:sz="4" w:space="0"/>
            </w:tcBorders>
          </w:tcPr>
          <w:p w14:paraId="420FB2CE">
            <w:pPr>
              <w:pStyle w:val="37"/>
              <w:shd w:val="clear" w:color="auto" w:fill="FFFFFF"/>
              <w:spacing w:after="0" w:afterAutospacing="0" w:line="312" w:lineRule="auto"/>
              <w:rPr>
                <w:rFonts w:hint="eastAsia"/>
                <w:bCs/>
                <w:color w:val="auto"/>
                <w:spacing w:val="16"/>
              </w:rPr>
            </w:pPr>
          </w:p>
        </w:tc>
        <w:tc>
          <w:tcPr>
            <w:tcW w:w="2001" w:type="dxa"/>
            <w:gridSpan w:val="3"/>
            <w:vMerge w:val="continue"/>
          </w:tcPr>
          <w:p w14:paraId="6F4B64FF">
            <w:pPr>
              <w:pStyle w:val="37"/>
              <w:shd w:val="clear" w:color="auto" w:fill="FFFFFF"/>
              <w:spacing w:after="0" w:afterAutospacing="0" w:line="312" w:lineRule="auto"/>
              <w:rPr>
                <w:rFonts w:hint="eastAsia"/>
                <w:bCs/>
                <w:color w:val="auto"/>
                <w:spacing w:val="16"/>
              </w:rPr>
            </w:pPr>
          </w:p>
        </w:tc>
        <w:tc>
          <w:tcPr>
            <w:tcW w:w="2151" w:type="dxa"/>
            <w:gridSpan w:val="2"/>
            <w:vMerge w:val="continue"/>
          </w:tcPr>
          <w:p w14:paraId="3A6E7483">
            <w:pPr>
              <w:pStyle w:val="37"/>
              <w:shd w:val="clear" w:color="auto" w:fill="FFFFFF"/>
              <w:spacing w:after="0" w:afterAutospacing="0" w:line="312" w:lineRule="auto"/>
              <w:rPr>
                <w:rFonts w:hint="eastAsia"/>
                <w:bCs/>
                <w:color w:val="auto"/>
                <w:spacing w:val="16"/>
              </w:rPr>
            </w:pPr>
          </w:p>
        </w:tc>
      </w:tr>
      <w:tr w14:paraId="5D360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682" w:type="dxa"/>
            <w:vMerge w:val="restart"/>
          </w:tcPr>
          <w:p w14:paraId="3E94E723">
            <w:pPr>
              <w:pStyle w:val="37"/>
              <w:shd w:val="clear" w:color="auto" w:fill="FFFFFF"/>
              <w:spacing w:after="0" w:afterAutospacing="0" w:line="312" w:lineRule="auto"/>
              <w:ind w:left="107"/>
              <w:rPr>
                <w:rFonts w:hint="eastAsia"/>
                <w:bCs/>
                <w:color w:val="auto"/>
              </w:rPr>
            </w:pPr>
            <w:r>
              <w:rPr>
                <w:rFonts w:hint="eastAsia"/>
                <w:bCs/>
                <w:color w:val="auto"/>
              </w:rPr>
              <w:t>1.</w:t>
            </w:r>
          </w:p>
          <w:p w14:paraId="7173F743">
            <w:pPr>
              <w:pStyle w:val="37"/>
              <w:shd w:val="clear" w:color="auto" w:fill="FFFFFF"/>
              <w:spacing w:after="0" w:afterAutospacing="0" w:line="312" w:lineRule="auto"/>
              <w:ind w:left="107"/>
              <w:rPr>
                <w:rFonts w:hint="eastAsia"/>
                <w:bCs/>
                <w:color w:val="auto"/>
              </w:rPr>
            </w:pPr>
            <w:r>
              <w:rPr>
                <w:rFonts w:hint="eastAsia"/>
                <w:bCs/>
                <w:color w:val="auto"/>
              </w:rPr>
              <w:t>企</w:t>
            </w:r>
          </w:p>
          <w:p w14:paraId="08E1C579">
            <w:pPr>
              <w:pStyle w:val="37"/>
              <w:shd w:val="clear" w:color="auto" w:fill="FFFFFF"/>
              <w:spacing w:after="0" w:afterAutospacing="0" w:line="312" w:lineRule="auto"/>
              <w:ind w:left="107"/>
              <w:rPr>
                <w:rFonts w:hint="eastAsia"/>
                <w:bCs/>
                <w:color w:val="auto"/>
              </w:rPr>
            </w:pPr>
            <w:r>
              <w:rPr>
                <w:rFonts w:hint="eastAsia"/>
                <w:bCs/>
                <w:color w:val="auto"/>
              </w:rPr>
              <w:t>业</w:t>
            </w:r>
          </w:p>
          <w:p w14:paraId="58615772">
            <w:pPr>
              <w:pStyle w:val="37"/>
              <w:shd w:val="clear" w:color="auto" w:fill="FFFFFF"/>
              <w:spacing w:after="0" w:afterAutospacing="0" w:line="312" w:lineRule="auto"/>
              <w:ind w:left="107"/>
              <w:rPr>
                <w:rFonts w:hint="eastAsia"/>
                <w:bCs/>
                <w:color w:val="auto"/>
                <w:spacing w:val="27"/>
              </w:rPr>
            </w:pPr>
            <w:r>
              <w:rPr>
                <w:rFonts w:hint="eastAsia"/>
                <w:bCs/>
                <w:color w:val="auto"/>
                <w:spacing w:val="27"/>
              </w:rPr>
              <w:t>概</w:t>
            </w:r>
          </w:p>
          <w:p w14:paraId="29649BDD">
            <w:pPr>
              <w:pStyle w:val="37"/>
              <w:shd w:val="clear" w:color="auto" w:fill="FFFFFF"/>
              <w:spacing w:after="0" w:afterAutospacing="0" w:line="312" w:lineRule="auto"/>
              <w:ind w:left="107"/>
              <w:rPr>
                <w:rFonts w:hint="eastAsia"/>
                <w:bCs/>
                <w:color w:val="auto"/>
              </w:rPr>
            </w:pPr>
            <w:r>
              <w:rPr>
                <w:rFonts w:hint="eastAsia"/>
                <w:bCs/>
                <w:color w:val="auto"/>
                <w:spacing w:val="27"/>
              </w:rPr>
              <w:t>况</w:t>
            </w:r>
          </w:p>
        </w:tc>
        <w:tc>
          <w:tcPr>
            <w:tcW w:w="701" w:type="dxa"/>
            <w:tcBorders>
              <w:top w:val="nil"/>
            </w:tcBorders>
          </w:tcPr>
          <w:p w14:paraId="13BC32E6">
            <w:pPr>
              <w:pStyle w:val="37"/>
              <w:shd w:val="clear" w:color="auto" w:fill="FFFFFF"/>
              <w:spacing w:after="0" w:afterAutospacing="0" w:line="312" w:lineRule="auto"/>
              <w:rPr>
                <w:rFonts w:hint="eastAsia"/>
                <w:bCs/>
                <w:color w:val="auto"/>
                <w:spacing w:val="16"/>
              </w:rPr>
            </w:pPr>
            <w:r>
              <w:rPr>
                <w:rFonts w:hint="eastAsia"/>
                <w:bCs/>
                <w:color w:val="auto"/>
                <w:spacing w:val="16"/>
              </w:rPr>
              <w:t>职工人数</w:t>
            </w:r>
          </w:p>
        </w:tc>
        <w:tc>
          <w:tcPr>
            <w:tcW w:w="910" w:type="dxa"/>
            <w:gridSpan w:val="2"/>
            <w:tcBorders>
              <w:top w:val="nil"/>
            </w:tcBorders>
          </w:tcPr>
          <w:p w14:paraId="35F94B37">
            <w:pPr>
              <w:pStyle w:val="37"/>
              <w:shd w:val="clear" w:color="auto" w:fill="FFFFFF"/>
              <w:spacing w:after="0" w:afterAutospacing="0" w:line="312" w:lineRule="auto"/>
              <w:rPr>
                <w:rFonts w:hint="eastAsia"/>
                <w:bCs/>
                <w:color w:val="auto"/>
                <w:spacing w:val="16"/>
              </w:rPr>
            </w:pPr>
          </w:p>
        </w:tc>
        <w:tc>
          <w:tcPr>
            <w:tcW w:w="1163" w:type="dxa"/>
            <w:tcBorders>
              <w:top w:val="nil"/>
            </w:tcBorders>
          </w:tcPr>
          <w:p w14:paraId="37C75685">
            <w:pPr>
              <w:pStyle w:val="37"/>
              <w:shd w:val="clear" w:color="auto" w:fill="FFFFFF"/>
              <w:spacing w:before="0" w:beforeAutospacing="0" w:after="0" w:afterAutospacing="0" w:line="312" w:lineRule="auto"/>
              <w:rPr>
                <w:rFonts w:hint="eastAsia"/>
                <w:bCs/>
                <w:color w:val="auto"/>
              </w:rPr>
            </w:pPr>
            <w:r>
              <w:rPr>
                <w:rFonts w:hint="eastAsia"/>
                <w:bCs/>
                <w:color w:val="auto"/>
                <w:spacing w:val="18"/>
              </w:rPr>
              <w:t>具备大专以</w:t>
            </w:r>
            <w:r>
              <w:rPr>
                <w:rFonts w:hint="eastAsia"/>
                <w:bCs/>
                <w:color w:val="auto"/>
                <w:spacing w:val="12"/>
              </w:rPr>
              <w:t>上学历人数</w:t>
            </w:r>
          </w:p>
        </w:tc>
        <w:tc>
          <w:tcPr>
            <w:tcW w:w="1205" w:type="dxa"/>
            <w:gridSpan w:val="2"/>
            <w:tcBorders>
              <w:top w:val="nil"/>
            </w:tcBorders>
          </w:tcPr>
          <w:p w14:paraId="754F087A">
            <w:pPr>
              <w:widowControl/>
              <w:spacing w:after="0" w:line="312" w:lineRule="auto"/>
              <w:jc w:val="left"/>
              <w:rPr>
                <w:rFonts w:hint="eastAsia" w:ascii="宋体" w:hAnsi="宋体" w:cs="宋体"/>
                <w:bCs/>
                <w:color w:val="auto"/>
                <w:spacing w:val="16"/>
                <w:kern w:val="0"/>
                <w:sz w:val="24"/>
              </w:rPr>
            </w:pPr>
          </w:p>
          <w:p w14:paraId="74051A31">
            <w:pPr>
              <w:widowControl/>
              <w:spacing w:after="0" w:line="312" w:lineRule="auto"/>
              <w:jc w:val="left"/>
              <w:rPr>
                <w:rFonts w:hint="eastAsia" w:ascii="宋体" w:hAnsi="宋体" w:cs="宋体"/>
                <w:bCs/>
                <w:color w:val="auto"/>
                <w:spacing w:val="16"/>
                <w:kern w:val="0"/>
                <w:sz w:val="24"/>
              </w:rPr>
            </w:pPr>
          </w:p>
          <w:p w14:paraId="02CABCF8">
            <w:pPr>
              <w:pStyle w:val="37"/>
              <w:shd w:val="clear" w:color="auto" w:fill="FFFFFF"/>
              <w:spacing w:after="0" w:afterAutospacing="0" w:line="312" w:lineRule="auto"/>
              <w:rPr>
                <w:rFonts w:hint="eastAsia"/>
                <w:bCs/>
                <w:color w:val="auto"/>
                <w:spacing w:val="16"/>
              </w:rPr>
            </w:pPr>
          </w:p>
        </w:tc>
        <w:tc>
          <w:tcPr>
            <w:tcW w:w="2001" w:type="dxa"/>
            <w:gridSpan w:val="3"/>
          </w:tcPr>
          <w:p w14:paraId="36C0309D">
            <w:pPr>
              <w:pStyle w:val="37"/>
              <w:shd w:val="clear" w:color="auto" w:fill="FFFFFF"/>
              <w:spacing w:after="0" w:afterAutospacing="0" w:line="312" w:lineRule="auto"/>
              <w:rPr>
                <w:rFonts w:hint="eastAsia"/>
                <w:bCs/>
                <w:color w:val="auto"/>
                <w:spacing w:val="16"/>
              </w:rPr>
            </w:pPr>
            <w:r>
              <w:rPr>
                <w:rFonts w:hint="eastAsia"/>
                <w:bCs/>
                <w:color w:val="auto"/>
                <w:spacing w:val="65"/>
              </w:rPr>
              <w:t>国家授予技</w:t>
            </w:r>
            <w:r>
              <w:rPr>
                <w:rFonts w:hint="eastAsia"/>
                <w:bCs/>
                <w:color w:val="auto"/>
                <w:spacing w:val="12"/>
              </w:rPr>
              <w:t>术职称人数</w:t>
            </w:r>
          </w:p>
        </w:tc>
        <w:tc>
          <w:tcPr>
            <w:tcW w:w="2151" w:type="dxa"/>
            <w:gridSpan w:val="2"/>
          </w:tcPr>
          <w:p w14:paraId="0615CB8F">
            <w:pPr>
              <w:widowControl/>
              <w:spacing w:after="0" w:line="312" w:lineRule="auto"/>
              <w:jc w:val="left"/>
              <w:rPr>
                <w:rFonts w:hint="eastAsia" w:ascii="宋体" w:hAnsi="宋体" w:cs="宋体"/>
                <w:bCs/>
                <w:color w:val="auto"/>
                <w:spacing w:val="16"/>
                <w:kern w:val="0"/>
                <w:sz w:val="24"/>
              </w:rPr>
            </w:pPr>
          </w:p>
          <w:p w14:paraId="0D2EF33C">
            <w:pPr>
              <w:pStyle w:val="37"/>
              <w:shd w:val="clear" w:color="auto" w:fill="FFFFFF"/>
              <w:spacing w:after="0" w:afterAutospacing="0" w:line="312" w:lineRule="auto"/>
              <w:rPr>
                <w:rFonts w:hint="eastAsia"/>
                <w:bCs/>
                <w:color w:val="auto"/>
                <w:spacing w:val="16"/>
              </w:rPr>
            </w:pPr>
          </w:p>
        </w:tc>
      </w:tr>
      <w:tr w14:paraId="5A09D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trPr>
        <w:tc>
          <w:tcPr>
            <w:tcW w:w="682" w:type="dxa"/>
            <w:vMerge w:val="continue"/>
          </w:tcPr>
          <w:p w14:paraId="7CB00E02">
            <w:pPr>
              <w:pStyle w:val="37"/>
              <w:shd w:val="clear" w:color="auto" w:fill="FFFFFF"/>
              <w:spacing w:after="0" w:afterAutospacing="0" w:line="312" w:lineRule="auto"/>
              <w:ind w:left="107"/>
              <w:rPr>
                <w:rFonts w:hint="eastAsia"/>
                <w:bCs/>
                <w:color w:val="auto"/>
              </w:rPr>
            </w:pPr>
          </w:p>
        </w:tc>
        <w:tc>
          <w:tcPr>
            <w:tcW w:w="701" w:type="dxa"/>
          </w:tcPr>
          <w:p w14:paraId="091668A1">
            <w:pPr>
              <w:pStyle w:val="37"/>
              <w:shd w:val="clear" w:color="auto" w:fill="FFFFFF"/>
              <w:spacing w:after="0" w:afterAutospacing="0" w:line="312" w:lineRule="auto"/>
              <w:rPr>
                <w:rFonts w:hint="eastAsia"/>
                <w:bCs/>
                <w:color w:val="auto"/>
              </w:rPr>
            </w:pPr>
            <w:r>
              <w:rPr>
                <w:rFonts w:hint="eastAsia"/>
                <w:bCs/>
                <w:color w:val="auto"/>
                <w:spacing w:val="16"/>
              </w:rPr>
              <w:t>占地面积</w:t>
            </w:r>
          </w:p>
        </w:tc>
        <w:tc>
          <w:tcPr>
            <w:tcW w:w="910" w:type="dxa"/>
            <w:gridSpan w:val="2"/>
          </w:tcPr>
          <w:p w14:paraId="3BB88C61">
            <w:pPr>
              <w:pStyle w:val="37"/>
              <w:shd w:val="clear" w:color="auto" w:fill="FFFFFF"/>
              <w:spacing w:after="0" w:afterAutospacing="0" w:line="312" w:lineRule="auto"/>
              <w:rPr>
                <w:rFonts w:hint="eastAsia"/>
                <w:bCs/>
                <w:color w:val="auto"/>
              </w:rPr>
            </w:pPr>
          </w:p>
        </w:tc>
        <w:tc>
          <w:tcPr>
            <w:tcW w:w="1163" w:type="dxa"/>
          </w:tcPr>
          <w:p w14:paraId="31EE3F4E">
            <w:pPr>
              <w:pStyle w:val="37"/>
              <w:shd w:val="clear" w:color="auto" w:fill="FFFFFF"/>
              <w:spacing w:after="0" w:afterAutospacing="0" w:line="312" w:lineRule="auto"/>
              <w:rPr>
                <w:rFonts w:hint="eastAsia"/>
                <w:bCs/>
                <w:color w:val="auto"/>
              </w:rPr>
            </w:pPr>
            <w:r>
              <w:rPr>
                <w:rFonts w:hint="eastAsia"/>
                <w:bCs/>
                <w:color w:val="auto"/>
                <w:spacing w:val="16"/>
              </w:rPr>
              <w:t>建筑面积</w:t>
            </w:r>
          </w:p>
        </w:tc>
        <w:tc>
          <w:tcPr>
            <w:tcW w:w="1205" w:type="dxa"/>
            <w:gridSpan w:val="2"/>
          </w:tcPr>
          <w:p w14:paraId="1BFF538D">
            <w:pPr>
              <w:pStyle w:val="37"/>
              <w:shd w:val="clear" w:color="auto" w:fill="FFFFFF"/>
              <w:spacing w:after="0" w:afterAutospacing="0" w:line="312" w:lineRule="auto"/>
              <w:ind w:firstLine="480" w:firstLineChars="200"/>
              <w:rPr>
                <w:rFonts w:hint="eastAsia"/>
                <w:bCs/>
                <w:color w:val="auto"/>
              </w:rPr>
            </w:pPr>
            <w:r>
              <w:rPr>
                <w:rFonts w:hint="eastAsia"/>
                <w:bCs/>
                <w:color w:val="auto"/>
              </w:rPr>
              <w:t xml:space="preserve">平方米 </w:t>
            </w:r>
          </w:p>
          <w:p w14:paraId="2D351540">
            <w:pPr>
              <w:pStyle w:val="37"/>
              <w:shd w:val="clear" w:color="auto" w:fill="FFFFFF"/>
              <w:spacing w:after="0" w:afterAutospacing="0" w:line="312" w:lineRule="auto"/>
              <w:rPr>
                <w:rFonts w:hint="eastAsia"/>
                <w:bCs/>
                <w:color w:val="auto"/>
              </w:rPr>
            </w:pPr>
            <w:r>
              <w:rPr>
                <w:rFonts w:hint="eastAsia"/>
                <w:bCs/>
                <w:color w:val="auto"/>
                <w:spacing w:val="16"/>
              </w:rPr>
              <w:t>□自有□租賃</w:t>
            </w:r>
          </w:p>
        </w:tc>
        <w:tc>
          <w:tcPr>
            <w:tcW w:w="2001" w:type="dxa"/>
            <w:gridSpan w:val="3"/>
          </w:tcPr>
          <w:p w14:paraId="687D0799">
            <w:pPr>
              <w:pStyle w:val="37"/>
              <w:shd w:val="clear" w:color="auto" w:fill="FFFFFF"/>
              <w:spacing w:after="0" w:afterAutospacing="0" w:line="312" w:lineRule="auto"/>
              <w:rPr>
                <w:rFonts w:hint="eastAsia"/>
                <w:bCs/>
                <w:color w:val="auto"/>
              </w:rPr>
            </w:pPr>
            <w:r>
              <w:rPr>
                <w:rFonts w:hint="eastAsia"/>
                <w:bCs/>
                <w:color w:val="auto"/>
                <w:spacing w:val="16"/>
              </w:rPr>
              <w:t>生产经营场所及场所的设施与设备</w:t>
            </w:r>
          </w:p>
        </w:tc>
        <w:tc>
          <w:tcPr>
            <w:tcW w:w="2151" w:type="dxa"/>
            <w:gridSpan w:val="2"/>
          </w:tcPr>
          <w:p w14:paraId="1F996023">
            <w:pPr>
              <w:pStyle w:val="37"/>
              <w:shd w:val="clear" w:color="auto" w:fill="FFFFFF"/>
              <w:spacing w:before="0" w:beforeAutospacing="0" w:after="0" w:afterAutospacing="0" w:line="312" w:lineRule="auto"/>
              <w:rPr>
                <w:rFonts w:hint="eastAsia"/>
                <w:bCs/>
                <w:color w:val="auto"/>
                <w:spacing w:val="16"/>
              </w:rPr>
            </w:pPr>
          </w:p>
        </w:tc>
      </w:tr>
      <w:tr w14:paraId="0C3AF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682" w:type="dxa"/>
            <w:vMerge w:val="continue"/>
          </w:tcPr>
          <w:p w14:paraId="45F9B1A9">
            <w:pPr>
              <w:pStyle w:val="37"/>
              <w:shd w:val="clear" w:color="auto" w:fill="FFFFFF"/>
              <w:spacing w:after="0" w:afterAutospacing="0" w:line="312" w:lineRule="auto"/>
              <w:ind w:left="107"/>
              <w:rPr>
                <w:rFonts w:hint="eastAsia"/>
                <w:bCs/>
                <w:color w:val="auto"/>
              </w:rPr>
            </w:pPr>
          </w:p>
        </w:tc>
        <w:tc>
          <w:tcPr>
            <w:tcW w:w="701" w:type="dxa"/>
          </w:tcPr>
          <w:p w14:paraId="17218CD2">
            <w:pPr>
              <w:pStyle w:val="37"/>
              <w:shd w:val="clear" w:color="auto" w:fill="FFFFFF"/>
              <w:spacing w:after="0" w:afterAutospacing="0" w:line="312" w:lineRule="auto"/>
              <w:ind w:left="2"/>
              <w:rPr>
                <w:rFonts w:hint="eastAsia"/>
                <w:bCs/>
                <w:color w:val="auto"/>
                <w:spacing w:val="16"/>
              </w:rPr>
            </w:pPr>
            <w:r>
              <w:rPr>
                <w:rFonts w:hint="eastAsia"/>
                <w:bCs/>
                <w:color w:val="auto"/>
                <w:spacing w:val="16"/>
              </w:rPr>
              <w:t>注册资金</w:t>
            </w:r>
          </w:p>
        </w:tc>
        <w:tc>
          <w:tcPr>
            <w:tcW w:w="910" w:type="dxa"/>
            <w:gridSpan w:val="2"/>
          </w:tcPr>
          <w:p w14:paraId="7D240164">
            <w:pPr>
              <w:pStyle w:val="37"/>
              <w:shd w:val="clear" w:color="auto" w:fill="FFFFFF"/>
              <w:spacing w:after="0" w:afterAutospacing="0" w:line="312" w:lineRule="auto"/>
              <w:ind w:left="2"/>
              <w:rPr>
                <w:rFonts w:hint="eastAsia"/>
                <w:bCs/>
                <w:color w:val="auto"/>
              </w:rPr>
            </w:pPr>
          </w:p>
        </w:tc>
        <w:tc>
          <w:tcPr>
            <w:tcW w:w="1163" w:type="dxa"/>
          </w:tcPr>
          <w:p w14:paraId="695666DE">
            <w:pPr>
              <w:pStyle w:val="37"/>
              <w:shd w:val="clear" w:color="auto" w:fill="FFFFFF"/>
              <w:spacing w:after="0" w:afterAutospacing="0" w:line="312" w:lineRule="auto"/>
              <w:ind w:left="107"/>
              <w:rPr>
                <w:rFonts w:hint="eastAsia"/>
                <w:bCs/>
                <w:color w:val="auto"/>
              </w:rPr>
            </w:pPr>
            <w:r>
              <w:rPr>
                <w:rFonts w:hint="eastAsia"/>
                <w:bCs/>
                <w:color w:val="auto"/>
                <w:spacing w:val="16"/>
              </w:rPr>
              <w:t>注册发证</w:t>
            </w:r>
            <w:r>
              <w:rPr>
                <w:rFonts w:hint="eastAsia"/>
                <w:bCs/>
                <w:color w:val="auto"/>
                <w:spacing w:val="27"/>
              </w:rPr>
              <w:t>机关</w:t>
            </w:r>
          </w:p>
        </w:tc>
        <w:tc>
          <w:tcPr>
            <w:tcW w:w="3206" w:type="dxa"/>
            <w:gridSpan w:val="5"/>
          </w:tcPr>
          <w:p w14:paraId="32B53122">
            <w:pPr>
              <w:widowControl/>
              <w:spacing w:after="0" w:line="312" w:lineRule="auto"/>
              <w:jc w:val="left"/>
              <w:rPr>
                <w:rFonts w:hint="eastAsia" w:ascii="宋体" w:hAnsi="宋体" w:cs="宋体"/>
                <w:bCs/>
                <w:color w:val="auto"/>
                <w:kern w:val="0"/>
                <w:sz w:val="24"/>
              </w:rPr>
            </w:pPr>
          </w:p>
          <w:p w14:paraId="6C2AC110">
            <w:pPr>
              <w:pStyle w:val="37"/>
              <w:shd w:val="clear" w:color="auto" w:fill="FFFFFF"/>
              <w:spacing w:after="0" w:afterAutospacing="0" w:line="312" w:lineRule="auto"/>
              <w:ind w:left="107"/>
              <w:rPr>
                <w:rFonts w:hint="eastAsia"/>
                <w:bCs/>
                <w:color w:val="auto"/>
              </w:rPr>
            </w:pPr>
          </w:p>
        </w:tc>
        <w:tc>
          <w:tcPr>
            <w:tcW w:w="1218" w:type="dxa"/>
          </w:tcPr>
          <w:p w14:paraId="3F3D693D">
            <w:pPr>
              <w:pStyle w:val="37"/>
              <w:shd w:val="clear" w:color="auto" w:fill="FFFFFF"/>
              <w:spacing w:after="0" w:afterAutospacing="0" w:line="312" w:lineRule="auto"/>
              <w:ind w:left="107"/>
              <w:rPr>
                <w:rFonts w:hint="eastAsia"/>
                <w:bCs/>
                <w:color w:val="auto"/>
              </w:rPr>
            </w:pPr>
            <w:r>
              <w:rPr>
                <w:rFonts w:hint="eastAsia"/>
                <w:bCs/>
                <w:color w:val="auto"/>
              </w:rPr>
              <w:t>公司成</w:t>
            </w:r>
            <w:r>
              <w:rPr>
                <w:rFonts w:hint="eastAsia"/>
                <w:bCs/>
                <w:color w:val="auto"/>
                <w:spacing w:val="12"/>
              </w:rPr>
              <w:t>立时间</w:t>
            </w:r>
          </w:p>
        </w:tc>
        <w:tc>
          <w:tcPr>
            <w:tcW w:w="933" w:type="dxa"/>
          </w:tcPr>
          <w:p w14:paraId="31FB2EB0">
            <w:pPr>
              <w:pStyle w:val="37"/>
              <w:shd w:val="clear" w:color="auto" w:fill="FFFFFF"/>
              <w:spacing w:after="0" w:afterAutospacing="0" w:line="312" w:lineRule="auto"/>
              <w:ind w:left="107"/>
              <w:rPr>
                <w:rFonts w:hint="eastAsia"/>
                <w:bCs/>
                <w:color w:val="auto"/>
              </w:rPr>
            </w:pPr>
          </w:p>
        </w:tc>
      </w:tr>
      <w:tr w14:paraId="78E02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682" w:type="dxa"/>
            <w:vMerge w:val="continue"/>
          </w:tcPr>
          <w:p w14:paraId="4CC28ED1">
            <w:pPr>
              <w:pStyle w:val="37"/>
              <w:shd w:val="clear" w:color="auto" w:fill="FFFFFF"/>
              <w:spacing w:after="0" w:afterAutospacing="0" w:line="312" w:lineRule="auto"/>
              <w:ind w:left="107"/>
              <w:rPr>
                <w:rFonts w:hint="eastAsia"/>
                <w:bCs/>
                <w:color w:val="auto"/>
              </w:rPr>
            </w:pPr>
          </w:p>
        </w:tc>
        <w:tc>
          <w:tcPr>
            <w:tcW w:w="701" w:type="dxa"/>
          </w:tcPr>
          <w:p w14:paraId="5EEDCA3B">
            <w:pPr>
              <w:pStyle w:val="37"/>
              <w:shd w:val="clear" w:color="auto" w:fill="FFFFFF"/>
              <w:spacing w:after="0" w:afterAutospacing="0" w:line="312" w:lineRule="auto"/>
              <w:ind w:left="2"/>
              <w:rPr>
                <w:rFonts w:hint="eastAsia"/>
                <w:bCs/>
                <w:color w:val="auto"/>
              </w:rPr>
            </w:pPr>
            <w:r>
              <w:rPr>
                <w:rFonts w:hint="eastAsia"/>
                <w:bCs/>
                <w:color w:val="auto"/>
              </w:rPr>
              <w:t>核准经营范围</w:t>
            </w:r>
          </w:p>
        </w:tc>
        <w:tc>
          <w:tcPr>
            <w:tcW w:w="7430" w:type="dxa"/>
            <w:gridSpan w:val="10"/>
          </w:tcPr>
          <w:p w14:paraId="63741F42">
            <w:pPr>
              <w:pStyle w:val="37"/>
              <w:shd w:val="clear" w:color="auto" w:fill="FFFFFF"/>
              <w:spacing w:after="0" w:afterAutospacing="0" w:line="312" w:lineRule="auto"/>
              <w:ind w:left="107"/>
              <w:rPr>
                <w:rFonts w:hint="eastAsia"/>
                <w:bCs/>
                <w:color w:val="auto"/>
              </w:rPr>
            </w:pPr>
          </w:p>
        </w:tc>
      </w:tr>
      <w:tr w14:paraId="4622A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682" w:type="dxa"/>
            <w:vMerge w:val="continue"/>
          </w:tcPr>
          <w:p w14:paraId="496E8B57">
            <w:pPr>
              <w:pStyle w:val="37"/>
              <w:shd w:val="clear" w:color="auto" w:fill="FFFFFF"/>
              <w:spacing w:after="0" w:afterAutospacing="0" w:line="312" w:lineRule="auto"/>
              <w:ind w:left="107"/>
              <w:rPr>
                <w:rFonts w:hint="eastAsia"/>
                <w:bCs/>
                <w:color w:val="auto"/>
              </w:rPr>
            </w:pPr>
          </w:p>
        </w:tc>
        <w:tc>
          <w:tcPr>
            <w:tcW w:w="8131" w:type="dxa"/>
            <w:gridSpan w:val="11"/>
          </w:tcPr>
          <w:p w14:paraId="30E46C7C">
            <w:pPr>
              <w:pStyle w:val="37"/>
              <w:shd w:val="clear" w:color="auto" w:fill="FFFFFF"/>
              <w:spacing w:after="0" w:afterAutospacing="0" w:line="312" w:lineRule="auto"/>
              <w:rPr>
                <w:rFonts w:hint="eastAsia"/>
                <w:bCs/>
                <w:color w:val="auto"/>
                <w:spacing w:val="13"/>
              </w:rPr>
            </w:pPr>
            <w:r>
              <w:rPr>
                <w:rFonts w:hint="eastAsia"/>
                <w:bCs/>
                <w:color w:val="auto"/>
                <w:spacing w:val="13"/>
              </w:rPr>
              <w:t>发展历程及主要荣誉：</w:t>
            </w:r>
          </w:p>
        </w:tc>
      </w:tr>
      <w:tr w14:paraId="60FF2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682" w:type="dxa"/>
            <w:vMerge w:val="restart"/>
          </w:tcPr>
          <w:p w14:paraId="3BBD6FBB">
            <w:pPr>
              <w:pStyle w:val="37"/>
              <w:shd w:val="clear" w:color="auto" w:fill="FFFFFF"/>
              <w:spacing w:after="0" w:afterAutospacing="0" w:line="312" w:lineRule="auto"/>
              <w:ind w:left="107"/>
              <w:rPr>
                <w:rFonts w:hint="eastAsia"/>
                <w:bCs/>
                <w:color w:val="auto"/>
              </w:rPr>
            </w:pPr>
            <w:r>
              <w:rPr>
                <w:rFonts w:hint="eastAsia"/>
                <w:bCs/>
                <w:color w:val="auto"/>
              </w:rPr>
              <w:t>2．</w:t>
            </w:r>
          </w:p>
          <w:p w14:paraId="6D7432FF">
            <w:pPr>
              <w:pStyle w:val="37"/>
              <w:shd w:val="clear" w:color="auto" w:fill="FFFFFF"/>
              <w:spacing w:after="0" w:afterAutospacing="0" w:line="312" w:lineRule="auto"/>
              <w:ind w:left="107"/>
              <w:rPr>
                <w:rFonts w:hint="eastAsia"/>
                <w:bCs/>
                <w:color w:val="auto"/>
                <w:spacing w:val="16"/>
              </w:rPr>
            </w:pPr>
            <w:r>
              <w:rPr>
                <w:rFonts w:hint="eastAsia"/>
                <w:bCs/>
                <w:color w:val="auto"/>
              </w:rPr>
              <w:t>企</w:t>
            </w:r>
            <w:r>
              <w:rPr>
                <w:rFonts w:hint="eastAsia"/>
                <w:bCs/>
                <w:color w:val="auto"/>
                <w:spacing w:val="12"/>
              </w:rPr>
              <w:t>业有关资质获证情况</w:t>
            </w:r>
          </w:p>
        </w:tc>
        <w:tc>
          <w:tcPr>
            <w:tcW w:w="1553" w:type="dxa"/>
            <w:gridSpan w:val="2"/>
            <w:vMerge w:val="restart"/>
          </w:tcPr>
          <w:p w14:paraId="1DD54737">
            <w:pPr>
              <w:pStyle w:val="37"/>
              <w:shd w:val="clear" w:color="auto" w:fill="FFFFFF"/>
              <w:spacing w:before="0" w:beforeAutospacing="0" w:after="0" w:afterAutospacing="0" w:line="312" w:lineRule="auto"/>
              <w:rPr>
                <w:rFonts w:hint="eastAsia"/>
                <w:bCs/>
                <w:color w:val="auto"/>
                <w:spacing w:val="16"/>
              </w:rPr>
            </w:pPr>
            <w:r>
              <w:rPr>
                <w:rFonts w:hint="eastAsia"/>
                <w:bCs/>
                <w:color w:val="auto"/>
                <w:spacing w:val="12"/>
              </w:rPr>
              <w:t>产品生产许可证情况</w:t>
            </w:r>
            <w:r>
              <w:rPr>
                <w:rFonts w:hint="eastAsia"/>
                <w:bCs/>
                <w:color w:val="auto"/>
                <w:spacing w:val="41"/>
              </w:rPr>
              <w:t>（对需获得生产许可证的</w:t>
            </w:r>
            <w:r>
              <w:rPr>
                <w:rFonts w:hint="eastAsia"/>
                <w:bCs/>
                <w:color w:val="auto"/>
                <w:spacing w:val="11"/>
              </w:rPr>
              <w:t>产品要填写此栏）</w:t>
            </w:r>
          </w:p>
        </w:tc>
        <w:tc>
          <w:tcPr>
            <w:tcW w:w="1333" w:type="dxa"/>
            <w:gridSpan w:val="3"/>
          </w:tcPr>
          <w:p w14:paraId="1A19D616">
            <w:pPr>
              <w:pStyle w:val="37"/>
              <w:shd w:val="clear" w:color="auto" w:fill="FFFFFF"/>
              <w:spacing w:after="0" w:afterAutospacing="0" w:line="312" w:lineRule="auto"/>
              <w:ind w:right="-78" w:rightChars="-37"/>
              <w:rPr>
                <w:rFonts w:hint="eastAsia"/>
                <w:bCs/>
                <w:color w:val="auto"/>
                <w:spacing w:val="16"/>
              </w:rPr>
            </w:pPr>
            <w:r>
              <w:rPr>
                <w:rFonts w:hint="eastAsia"/>
                <w:bCs/>
                <w:color w:val="auto"/>
                <w:spacing w:val="16"/>
              </w:rPr>
              <w:t>产品名称</w:t>
            </w:r>
          </w:p>
        </w:tc>
        <w:tc>
          <w:tcPr>
            <w:tcW w:w="1418" w:type="dxa"/>
            <w:gridSpan w:val="2"/>
          </w:tcPr>
          <w:p w14:paraId="6C36B9F2">
            <w:pPr>
              <w:pStyle w:val="37"/>
              <w:shd w:val="clear" w:color="auto" w:fill="FFFFFF"/>
              <w:spacing w:before="0" w:beforeAutospacing="0" w:after="0" w:afterAutospacing="0" w:line="312" w:lineRule="auto"/>
              <w:rPr>
                <w:rFonts w:hint="eastAsia"/>
                <w:bCs/>
                <w:color w:val="auto"/>
              </w:rPr>
            </w:pPr>
            <w:r>
              <w:rPr>
                <w:rFonts w:hint="eastAsia"/>
                <w:bCs/>
                <w:color w:val="auto"/>
                <w:spacing w:val="16"/>
              </w:rPr>
              <w:t>发证机关</w:t>
            </w:r>
          </w:p>
        </w:tc>
        <w:tc>
          <w:tcPr>
            <w:tcW w:w="1276" w:type="dxa"/>
          </w:tcPr>
          <w:p w14:paraId="0A885C59">
            <w:pPr>
              <w:pStyle w:val="37"/>
              <w:shd w:val="clear" w:color="auto" w:fill="FFFFFF"/>
              <w:spacing w:after="0" w:afterAutospacing="0" w:line="312" w:lineRule="auto"/>
              <w:jc w:val="center"/>
              <w:rPr>
                <w:rFonts w:hint="eastAsia"/>
                <w:bCs/>
                <w:color w:val="auto"/>
              </w:rPr>
            </w:pPr>
            <w:r>
              <w:rPr>
                <w:rFonts w:hint="eastAsia"/>
                <w:bCs/>
                <w:color w:val="auto"/>
                <w:spacing w:val="27"/>
              </w:rPr>
              <w:t>编号</w:t>
            </w:r>
          </w:p>
        </w:tc>
        <w:tc>
          <w:tcPr>
            <w:tcW w:w="1618" w:type="dxa"/>
            <w:gridSpan w:val="2"/>
          </w:tcPr>
          <w:p w14:paraId="2C4B774F">
            <w:pPr>
              <w:pStyle w:val="37"/>
              <w:shd w:val="clear" w:color="auto" w:fill="FFFFFF"/>
              <w:spacing w:after="0" w:afterAutospacing="0" w:line="312" w:lineRule="auto"/>
              <w:jc w:val="center"/>
              <w:rPr>
                <w:rFonts w:hint="eastAsia"/>
                <w:bCs/>
                <w:color w:val="auto"/>
              </w:rPr>
            </w:pPr>
            <w:r>
              <w:rPr>
                <w:rFonts w:hint="eastAsia"/>
                <w:bCs/>
                <w:color w:val="auto"/>
                <w:spacing w:val="16"/>
              </w:rPr>
              <w:t>发证时间</w:t>
            </w:r>
          </w:p>
        </w:tc>
        <w:tc>
          <w:tcPr>
            <w:tcW w:w="933" w:type="dxa"/>
          </w:tcPr>
          <w:p w14:paraId="662CD548">
            <w:pPr>
              <w:pStyle w:val="37"/>
              <w:shd w:val="clear" w:color="auto" w:fill="FFFFFF"/>
              <w:spacing w:before="0" w:beforeAutospacing="0" w:after="0" w:afterAutospacing="0" w:line="312" w:lineRule="auto"/>
              <w:jc w:val="center"/>
              <w:rPr>
                <w:rFonts w:hint="eastAsia"/>
                <w:bCs/>
                <w:color w:val="auto"/>
              </w:rPr>
            </w:pPr>
            <w:r>
              <w:rPr>
                <w:rFonts w:hint="eastAsia"/>
                <w:bCs/>
                <w:color w:val="auto"/>
                <w:spacing w:val="27"/>
              </w:rPr>
              <w:t>期限</w:t>
            </w:r>
          </w:p>
        </w:tc>
      </w:tr>
      <w:tr w14:paraId="6C3AB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682" w:type="dxa"/>
            <w:vMerge w:val="continue"/>
          </w:tcPr>
          <w:p w14:paraId="374384B3">
            <w:pPr>
              <w:pStyle w:val="37"/>
              <w:shd w:val="clear" w:color="auto" w:fill="FFFFFF"/>
              <w:spacing w:after="0" w:afterAutospacing="0" w:line="312" w:lineRule="auto"/>
              <w:ind w:left="107"/>
              <w:rPr>
                <w:rFonts w:hint="eastAsia"/>
                <w:bCs/>
                <w:color w:val="auto"/>
              </w:rPr>
            </w:pPr>
          </w:p>
        </w:tc>
        <w:tc>
          <w:tcPr>
            <w:tcW w:w="1553" w:type="dxa"/>
            <w:gridSpan w:val="2"/>
            <w:vMerge w:val="continue"/>
          </w:tcPr>
          <w:p w14:paraId="34469913">
            <w:pPr>
              <w:pStyle w:val="37"/>
              <w:shd w:val="clear" w:color="auto" w:fill="FFFFFF"/>
              <w:spacing w:after="0" w:afterAutospacing="0" w:line="312" w:lineRule="auto"/>
              <w:rPr>
                <w:rFonts w:hint="eastAsia"/>
                <w:bCs/>
                <w:color w:val="auto"/>
              </w:rPr>
            </w:pPr>
          </w:p>
        </w:tc>
        <w:tc>
          <w:tcPr>
            <w:tcW w:w="1333" w:type="dxa"/>
            <w:gridSpan w:val="3"/>
          </w:tcPr>
          <w:p w14:paraId="136B43C6">
            <w:pPr>
              <w:pStyle w:val="37"/>
              <w:shd w:val="clear" w:color="auto" w:fill="FFFFFF"/>
              <w:spacing w:after="0" w:afterAutospacing="0" w:line="312" w:lineRule="auto"/>
              <w:rPr>
                <w:rFonts w:hint="eastAsia"/>
                <w:bCs/>
                <w:color w:val="auto"/>
              </w:rPr>
            </w:pPr>
          </w:p>
        </w:tc>
        <w:tc>
          <w:tcPr>
            <w:tcW w:w="1418" w:type="dxa"/>
            <w:gridSpan w:val="2"/>
          </w:tcPr>
          <w:p w14:paraId="1513BC8D">
            <w:pPr>
              <w:pStyle w:val="37"/>
              <w:shd w:val="clear" w:color="auto" w:fill="FFFFFF"/>
              <w:spacing w:after="0" w:afterAutospacing="0" w:line="312" w:lineRule="auto"/>
              <w:rPr>
                <w:rFonts w:hint="eastAsia"/>
                <w:bCs/>
                <w:color w:val="auto"/>
              </w:rPr>
            </w:pPr>
          </w:p>
        </w:tc>
        <w:tc>
          <w:tcPr>
            <w:tcW w:w="1276" w:type="dxa"/>
          </w:tcPr>
          <w:p w14:paraId="31353AD9">
            <w:pPr>
              <w:pStyle w:val="37"/>
              <w:shd w:val="clear" w:color="auto" w:fill="FFFFFF"/>
              <w:spacing w:after="0" w:afterAutospacing="0" w:line="312" w:lineRule="auto"/>
              <w:rPr>
                <w:rFonts w:hint="eastAsia"/>
                <w:bCs/>
                <w:color w:val="auto"/>
              </w:rPr>
            </w:pPr>
          </w:p>
        </w:tc>
        <w:tc>
          <w:tcPr>
            <w:tcW w:w="2551" w:type="dxa"/>
            <w:gridSpan w:val="3"/>
          </w:tcPr>
          <w:p w14:paraId="621F7790">
            <w:pPr>
              <w:pStyle w:val="37"/>
              <w:shd w:val="clear" w:color="auto" w:fill="FFFFFF"/>
              <w:spacing w:after="0" w:afterAutospacing="0" w:line="312" w:lineRule="auto"/>
              <w:rPr>
                <w:rFonts w:hint="eastAsia"/>
                <w:bCs/>
                <w:color w:val="auto"/>
              </w:rPr>
            </w:pPr>
          </w:p>
        </w:tc>
      </w:tr>
      <w:tr w14:paraId="7F240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682" w:type="dxa"/>
            <w:vMerge w:val="continue"/>
          </w:tcPr>
          <w:p w14:paraId="24550DDD">
            <w:pPr>
              <w:pStyle w:val="37"/>
              <w:shd w:val="clear" w:color="auto" w:fill="FFFFFF"/>
              <w:spacing w:after="0" w:afterAutospacing="0" w:line="312" w:lineRule="auto"/>
              <w:ind w:left="107"/>
              <w:rPr>
                <w:rFonts w:hint="eastAsia"/>
                <w:bCs/>
                <w:color w:val="auto"/>
                <w:spacing w:val="16"/>
              </w:rPr>
            </w:pPr>
          </w:p>
        </w:tc>
        <w:tc>
          <w:tcPr>
            <w:tcW w:w="1553" w:type="dxa"/>
            <w:gridSpan w:val="2"/>
          </w:tcPr>
          <w:p w14:paraId="6E01A1B0">
            <w:pPr>
              <w:pStyle w:val="37"/>
              <w:shd w:val="clear" w:color="auto" w:fill="FFFFFF"/>
              <w:spacing w:before="0" w:beforeAutospacing="0" w:after="0" w:afterAutospacing="0" w:line="312" w:lineRule="auto"/>
              <w:ind w:right="-107" w:rightChars="-51"/>
              <w:rPr>
                <w:rFonts w:hint="eastAsia"/>
                <w:bCs/>
                <w:color w:val="auto"/>
                <w:spacing w:val="41"/>
              </w:rPr>
            </w:pPr>
            <w:r>
              <w:rPr>
                <w:rFonts w:hint="eastAsia"/>
                <w:bCs/>
                <w:color w:val="auto"/>
                <w:spacing w:val="41"/>
              </w:rPr>
              <w:t>企业通过质量体系、环保</w:t>
            </w:r>
            <w:r>
              <w:rPr>
                <w:rFonts w:hint="eastAsia"/>
                <w:bCs/>
                <w:color w:val="auto"/>
                <w:spacing w:val="11"/>
              </w:rPr>
              <w:t>体系、计量等认证情况</w:t>
            </w:r>
          </w:p>
        </w:tc>
        <w:tc>
          <w:tcPr>
            <w:tcW w:w="6578" w:type="dxa"/>
            <w:gridSpan w:val="9"/>
          </w:tcPr>
          <w:p w14:paraId="4FA4C4F0">
            <w:pPr>
              <w:pStyle w:val="37"/>
              <w:shd w:val="clear" w:color="auto" w:fill="FFFFFF"/>
              <w:spacing w:after="0" w:afterAutospacing="0" w:line="312" w:lineRule="auto"/>
              <w:rPr>
                <w:rFonts w:hint="eastAsia"/>
                <w:bCs/>
                <w:color w:val="auto"/>
                <w:spacing w:val="16"/>
              </w:rPr>
            </w:pPr>
          </w:p>
        </w:tc>
      </w:tr>
      <w:tr w14:paraId="21618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682" w:type="dxa"/>
            <w:vMerge w:val="continue"/>
          </w:tcPr>
          <w:p w14:paraId="248E2775">
            <w:pPr>
              <w:pStyle w:val="37"/>
              <w:shd w:val="clear" w:color="auto" w:fill="FFFFFF"/>
              <w:spacing w:after="0" w:afterAutospacing="0" w:line="312" w:lineRule="auto"/>
              <w:ind w:left="107"/>
              <w:rPr>
                <w:rFonts w:hint="eastAsia"/>
                <w:bCs/>
                <w:color w:val="auto"/>
                <w:spacing w:val="27"/>
              </w:rPr>
            </w:pPr>
          </w:p>
        </w:tc>
        <w:tc>
          <w:tcPr>
            <w:tcW w:w="1553" w:type="dxa"/>
            <w:gridSpan w:val="2"/>
          </w:tcPr>
          <w:p w14:paraId="7C8C7BF5">
            <w:pPr>
              <w:pStyle w:val="37"/>
              <w:shd w:val="clear" w:color="auto" w:fill="FFFFFF"/>
              <w:spacing w:after="0" w:afterAutospacing="0" w:line="312" w:lineRule="auto"/>
              <w:rPr>
                <w:rFonts w:hint="eastAsia"/>
                <w:bCs/>
                <w:color w:val="auto"/>
                <w:spacing w:val="16"/>
              </w:rPr>
            </w:pPr>
            <w:r>
              <w:rPr>
                <w:rFonts w:hint="eastAsia"/>
                <w:bCs/>
                <w:color w:val="auto"/>
                <w:spacing w:val="10"/>
              </w:rPr>
              <w:t>企业获得专利情况</w:t>
            </w:r>
          </w:p>
        </w:tc>
        <w:tc>
          <w:tcPr>
            <w:tcW w:w="6578" w:type="dxa"/>
            <w:gridSpan w:val="9"/>
          </w:tcPr>
          <w:p w14:paraId="347C58A5">
            <w:pPr>
              <w:pStyle w:val="37"/>
              <w:shd w:val="clear" w:color="auto" w:fill="FFFFFF"/>
              <w:spacing w:after="0" w:afterAutospacing="0" w:line="312" w:lineRule="auto"/>
              <w:rPr>
                <w:rFonts w:hint="eastAsia"/>
                <w:bCs/>
                <w:color w:val="auto"/>
                <w:spacing w:val="16"/>
              </w:rPr>
            </w:pPr>
          </w:p>
        </w:tc>
      </w:tr>
    </w:tbl>
    <w:p w14:paraId="35BDCF05">
      <w:pPr>
        <w:pStyle w:val="37"/>
        <w:shd w:val="clear" w:color="auto" w:fill="FFFFFF"/>
        <w:spacing w:before="0" w:beforeAutospacing="0" w:after="0" w:afterAutospacing="0" w:line="312" w:lineRule="auto"/>
        <w:rPr>
          <w:rFonts w:hint="eastAsia"/>
          <w:b/>
          <w:color w:val="auto"/>
          <w:sz w:val="21"/>
          <w:szCs w:val="21"/>
        </w:rPr>
      </w:pPr>
      <w:r>
        <w:rPr>
          <w:rFonts w:hint="eastAsia"/>
          <w:b/>
          <w:color w:val="auto"/>
          <w:sz w:val="21"/>
          <w:szCs w:val="21"/>
        </w:rPr>
        <w:t>要求：</w:t>
      </w:r>
    </w:p>
    <w:p w14:paraId="4DBBC1B7">
      <w:pPr>
        <w:pStyle w:val="37"/>
        <w:shd w:val="clear" w:color="auto" w:fill="FFFFFF"/>
        <w:spacing w:before="0" w:beforeAutospacing="0" w:after="0" w:afterAutospacing="0" w:line="312" w:lineRule="auto"/>
        <w:ind w:firstLine="424" w:firstLineChars="202"/>
        <w:rPr>
          <w:rFonts w:hint="eastAsia"/>
          <w:color w:val="auto"/>
        </w:rPr>
      </w:pPr>
      <w:r>
        <w:rPr>
          <w:rFonts w:hint="eastAsia"/>
          <w:color w:val="auto"/>
          <w:sz w:val="21"/>
          <w:szCs w:val="21"/>
        </w:rPr>
        <w:t>1.姓名栏须将所有股东都统计在内，若非股份公司此行（第三行）无需填写；</w:t>
      </w:r>
    </w:p>
    <w:p w14:paraId="37036D96">
      <w:pPr>
        <w:spacing w:after="0" w:line="312" w:lineRule="auto"/>
        <w:ind w:firstLine="424" w:firstLineChars="177"/>
        <w:rPr>
          <w:rFonts w:hint="eastAsia" w:ascii="宋体" w:hAnsi="宋体" w:cs="宋体"/>
          <w:color w:val="auto"/>
          <w:sz w:val="24"/>
        </w:rPr>
      </w:pPr>
      <w:r>
        <w:rPr>
          <w:rFonts w:hint="eastAsia" w:ascii="宋体" w:hAnsi="宋体" w:cs="宋体"/>
          <w:color w:val="auto"/>
          <w:sz w:val="24"/>
        </w:rPr>
        <w:t>投标人名称（盖章）：</w:t>
      </w:r>
    </w:p>
    <w:p w14:paraId="198FE0BF">
      <w:pPr>
        <w:spacing w:after="0" w:line="312" w:lineRule="auto"/>
        <w:ind w:firstLine="424" w:firstLineChars="177"/>
        <w:rPr>
          <w:rFonts w:hint="eastAsia" w:ascii="宋体" w:hAnsi="宋体" w:cs="宋体"/>
          <w:color w:val="auto"/>
          <w:sz w:val="24"/>
        </w:rPr>
      </w:pPr>
      <w:r>
        <w:rPr>
          <w:rFonts w:hint="eastAsia" w:ascii="宋体" w:hAnsi="宋体" w:cs="宋体"/>
          <w:color w:val="auto"/>
          <w:sz w:val="24"/>
        </w:rPr>
        <w:t>投标人代表签字或盖章：</w:t>
      </w:r>
    </w:p>
    <w:p w14:paraId="3FADBD47">
      <w:pPr>
        <w:pStyle w:val="37"/>
        <w:shd w:val="clear" w:color="auto" w:fill="FFFFFF"/>
        <w:spacing w:before="0" w:beforeAutospacing="0" w:after="0" w:afterAutospacing="0" w:line="312" w:lineRule="auto"/>
        <w:ind w:firstLine="424" w:firstLineChars="177"/>
        <w:rPr>
          <w:rFonts w:hint="eastAsia"/>
          <w:color w:val="auto"/>
        </w:rPr>
      </w:pPr>
      <w:r>
        <w:rPr>
          <w:rFonts w:hint="eastAsia"/>
          <w:color w:val="auto"/>
        </w:rPr>
        <w:t>日        期：</w:t>
      </w:r>
    </w:p>
    <w:p w14:paraId="074327FC">
      <w:pPr>
        <w:pStyle w:val="37"/>
        <w:shd w:val="clear" w:color="auto" w:fill="FFFFFF"/>
        <w:spacing w:before="0" w:beforeAutospacing="0" w:after="0" w:afterAutospacing="0" w:line="312" w:lineRule="auto"/>
        <w:ind w:firstLine="424" w:firstLineChars="177"/>
        <w:rPr>
          <w:rFonts w:hint="eastAsia"/>
          <w:color w:val="auto"/>
        </w:rPr>
      </w:pPr>
    </w:p>
    <w:p w14:paraId="3661A432">
      <w:pPr>
        <w:pStyle w:val="37"/>
        <w:shd w:val="clear" w:color="auto" w:fill="FFFFFF"/>
        <w:spacing w:before="0" w:beforeAutospacing="0" w:after="0" w:afterAutospacing="0" w:line="312" w:lineRule="auto"/>
        <w:ind w:firstLine="424" w:firstLineChars="177"/>
        <w:rPr>
          <w:rFonts w:hint="eastAsia"/>
          <w:color w:val="auto"/>
        </w:rPr>
      </w:pPr>
    </w:p>
    <w:p w14:paraId="5AE4EE1A">
      <w:pPr>
        <w:pStyle w:val="37"/>
        <w:shd w:val="clear" w:color="auto" w:fill="FFFFFF"/>
        <w:spacing w:before="0" w:beforeAutospacing="0" w:after="0" w:afterAutospacing="0" w:line="312" w:lineRule="auto"/>
        <w:ind w:firstLine="424" w:firstLineChars="177"/>
        <w:rPr>
          <w:rFonts w:hint="eastAsia"/>
          <w:color w:val="auto"/>
        </w:rPr>
      </w:pPr>
    </w:p>
    <w:p w14:paraId="1B8F306B">
      <w:pPr>
        <w:pStyle w:val="37"/>
        <w:shd w:val="clear" w:color="auto" w:fill="FFFFFF"/>
        <w:spacing w:before="0" w:beforeAutospacing="0" w:after="0" w:afterAutospacing="0" w:line="312" w:lineRule="auto"/>
        <w:ind w:firstLine="424" w:firstLineChars="177"/>
        <w:rPr>
          <w:rFonts w:hint="eastAsia"/>
          <w:color w:val="auto"/>
        </w:rPr>
      </w:pPr>
    </w:p>
    <w:p w14:paraId="5F412B99">
      <w:pPr>
        <w:pStyle w:val="37"/>
        <w:shd w:val="clear" w:color="auto" w:fill="FFFFFF"/>
        <w:spacing w:before="0" w:beforeAutospacing="0" w:after="0" w:afterAutospacing="0" w:line="312" w:lineRule="auto"/>
        <w:ind w:firstLine="424" w:firstLineChars="177"/>
        <w:rPr>
          <w:rFonts w:hint="eastAsia"/>
          <w:color w:val="auto"/>
        </w:rPr>
      </w:pPr>
    </w:p>
    <w:p w14:paraId="6232654C">
      <w:pPr>
        <w:pStyle w:val="37"/>
        <w:shd w:val="clear" w:color="auto" w:fill="FFFFFF"/>
        <w:spacing w:before="0" w:beforeAutospacing="0" w:after="0" w:afterAutospacing="0" w:line="312" w:lineRule="auto"/>
        <w:ind w:firstLine="424" w:firstLineChars="177"/>
        <w:rPr>
          <w:rFonts w:hint="eastAsia"/>
          <w:color w:val="auto"/>
        </w:rPr>
      </w:pPr>
    </w:p>
    <w:p w14:paraId="4264F0D9">
      <w:pPr>
        <w:pStyle w:val="37"/>
        <w:shd w:val="clear" w:color="auto" w:fill="FFFFFF"/>
        <w:spacing w:before="0" w:beforeAutospacing="0" w:after="0" w:afterAutospacing="0" w:line="312" w:lineRule="auto"/>
        <w:ind w:firstLine="424" w:firstLineChars="177"/>
        <w:rPr>
          <w:rFonts w:hint="eastAsia"/>
          <w:color w:val="auto"/>
        </w:rPr>
      </w:pPr>
    </w:p>
    <w:p w14:paraId="35787F50">
      <w:pPr>
        <w:pStyle w:val="37"/>
        <w:shd w:val="clear" w:color="auto" w:fill="FFFFFF"/>
        <w:spacing w:before="0" w:beforeAutospacing="0" w:after="0" w:afterAutospacing="0" w:line="312" w:lineRule="auto"/>
        <w:ind w:firstLine="424" w:firstLineChars="177"/>
        <w:rPr>
          <w:rFonts w:hint="eastAsia"/>
          <w:color w:val="auto"/>
        </w:rPr>
      </w:pPr>
    </w:p>
    <w:p w14:paraId="6AB8E8AA">
      <w:pPr>
        <w:pStyle w:val="23"/>
        <w:ind w:left="0" w:leftChars="0" w:firstLine="0"/>
        <w:rPr>
          <w:rFonts w:hint="eastAsia" w:ascii="宋体" w:hAnsi="宋体"/>
          <w:b/>
          <w:color w:val="auto"/>
          <w:sz w:val="28"/>
        </w:rPr>
      </w:pPr>
    </w:p>
    <w:p w14:paraId="52C2C255">
      <w:pPr>
        <w:snapToGrid w:val="0"/>
        <w:spacing w:before="50" w:after="0" w:line="312" w:lineRule="auto"/>
        <w:rPr>
          <w:rFonts w:hint="eastAsia" w:ascii="宋体" w:hAnsi="宋体" w:cs="宋体"/>
          <w:b/>
          <w:color w:val="auto"/>
          <w:sz w:val="28"/>
        </w:rPr>
      </w:pPr>
    </w:p>
    <w:p w14:paraId="14A62B65">
      <w:pPr>
        <w:snapToGrid w:val="0"/>
        <w:spacing w:before="50" w:after="0" w:line="312" w:lineRule="auto"/>
        <w:rPr>
          <w:rFonts w:hint="eastAsia" w:ascii="宋体" w:hAnsi="宋体" w:cs="宋体"/>
          <w:b/>
          <w:color w:val="auto"/>
          <w:sz w:val="28"/>
        </w:rPr>
      </w:pPr>
      <w:r>
        <w:rPr>
          <w:rFonts w:hint="eastAsia" w:ascii="宋体" w:hAnsi="宋体" w:cs="宋体"/>
          <w:b/>
          <w:color w:val="auto"/>
          <w:sz w:val="28"/>
        </w:rPr>
        <w:t>附件8</w:t>
      </w:r>
    </w:p>
    <w:p w14:paraId="45DB867A">
      <w:pPr>
        <w:spacing w:after="0" w:line="312" w:lineRule="auto"/>
        <w:ind w:left="480"/>
        <w:jc w:val="center"/>
        <w:rPr>
          <w:rFonts w:hint="eastAsia" w:ascii="宋体" w:hAnsi="宋体" w:cs="宋体"/>
          <w:b/>
          <w:bCs/>
          <w:color w:val="auto"/>
          <w:sz w:val="32"/>
          <w:szCs w:val="32"/>
        </w:rPr>
      </w:pPr>
      <w:r>
        <w:rPr>
          <w:rFonts w:hint="eastAsia" w:ascii="宋体" w:hAnsi="宋体" w:cs="宋体"/>
          <w:b/>
          <w:bCs/>
          <w:color w:val="auto"/>
          <w:sz w:val="32"/>
          <w:szCs w:val="32"/>
        </w:rPr>
        <w:t>技术需求响应表(第 标)</w:t>
      </w:r>
    </w:p>
    <w:p w14:paraId="11C2C66C">
      <w:pPr>
        <w:spacing w:after="0" w:line="312" w:lineRule="auto"/>
        <w:rPr>
          <w:rFonts w:hint="eastAsia" w:ascii="宋体" w:hAnsi="宋体" w:cs="宋体"/>
          <w:color w:val="auto"/>
          <w:sz w:val="24"/>
        </w:rPr>
      </w:pPr>
    </w:p>
    <w:tbl>
      <w:tblPr>
        <w:tblStyle w:val="24"/>
        <w:tblW w:w="927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017"/>
        <w:gridCol w:w="1763"/>
        <w:gridCol w:w="1583"/>
        <w:gridCol w:w="1542"/>
        <w:gridCol w:w="1542"/>
      </w:tblGrid>
      <w:tr w14:paraId="7B52E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trPr>
        <w:tc>
          <w:tcPr>
            <w:tcW w:w="830" w:type="dxa"/>
            <w:vAlign w:val="center"/>
          </w:tcPr>
          <w:p w14:paraId="7842D760">
            <w:pPr>
              <w:spacing w:after="0" w:line="312" w:lineRule="auto"/>
              <w:jc w:val="center"/>
              <w:rPr>
                <w:rFonts w:hint="eastAsia" w:ascii="宋体" w:hAnsi="宋体" w:cs="宋体"/>
                <w:b/>
                <w:color w:val="auto"/>
                <w:sz w:val="24"/>
              </w:rPr>
            </w:pPr>
            <w:r>
              <w:rPr>
                <w:rFonts w:hint="eastAsia" w:ascii="宋体" w:hAnsi="宋体" w:cs="宋体"/>
                <w:b/>
                <w:color w:val="auto"/>
                <w:sz w:val="24"/>
              </w:rPr>
              <w:t>序号</w:t>
            </w:r>
          </w:p>
        </w:tc>
        <w:tc>
          <w:tcPr>
            <w:tcW w:w="2017" w:type="dxa"/>
            <w:vAlign w:val="center"/>
          </w:tcPr>
          <w:p w14:paraId="374D7C48">
            <w:pPr>
              <w:spacing w:after="0" w:line="312" w:lineRule="auto"/>
              <w:ind w:left="13" w:leftChars="6" w:firstLine="482" w:firstLineChars="200"/>
              <w:rPr>
                <w:rFonts w:hint="eastAsia" w:ascii="宋体" w:hAnsi="宋体" w:cs="宋体"/>
                <w:b/>
                <w:color w:val="auto"/>
                <w:sz w:val="24"/>
              </w:rPr>
            </w:pPr>
            <w:r>
              <w:rPr>
                <w:rFonts w:hint="eastAsia" w:ascii="宋体" w:hAnsi="宋体" w:cs="宋体"/>
                <w:b/>
                <w:color w:val="auto"/>
                <w:sz w:val="24"/>
              </w:rPr>
              <w:t>名称</w:t>
            </w:r>
          </w:p>
        </w:tc>
        <w:tc>
          <w:tcPr>
            <w:tcW w:w="1763" w:type="dxa"/>
            <w:vAlign w:val="center"/>
          </w:tcPr>
          <w:p w14:paraId="32A59A1E">
            <w:pPr>
              <w:spacing w:after="0" w:line="312" w:lineRule="auto"/>
              <w:ind w:left="152"/>
              <w:jc w:val="center"/>
              <w:rPr>
                <w:rFonts w:hint="eastAsia" w:ascii="宋体" w:hAnsi="宋体" w:cs="宋体"/>
                <w:b/>
                <w:color w:val="auto"/>
                <w:sz w:val="24"/>
              </w:rPr>
            </w:pPr>
            <w:r>
              <w:rPr>
                <w:rFonts w:hint="eastAsia" w:ascii="宋体" w:hAnsi="宋体" w:cs="宋体"/>
                <w:b/>
                <w:color w:val="auto"/>
                <w:sz w:val="24"/>
              </w:rPr>
              <w:t>招标参数</w:t>
            </w:r>
          </w:p>
        </w:tc>
        <w:tc>
          <w:tcPr>
            <w:tcW w:w="1583" w:type="dxa"/>
            <w:vAlign w:val="center"/>
          </w:tcPr>
          <w:p w14:paraId="16164113">
            <w:pPr>
              <w:spacing w:after="0" w:line="312" w:lineRule="auto"/>
              <w:jc w:val="center"/>
              <w:rPr>
                <w:rFonts w:hint="eastAsia" w:ascii="宋体" w:hAnsi="宋体" w:cs="宋体"/>
                <w:b/>
                <w:color w:val="auto"/>
                <w:sz w:val="24"/>
              </w:rPr>
            </w:pPr>
            <w:r>
              <w:rPr>
                <w:rFonts w:hint="eastAsia" w:ascii="宋体" w:hAnsi="宋体" w:cs="宋体"/>
                <w:b/>
                <w:color w:val="auto"/>
                <w:sz w:val="24"/>
              </w:rPr>
              <w:t>投标参数</w:t>
            </w:r>
          </w:p>
        </w:tc>
        <w:tc>
          <w:tcPr>
            <w:tcW w:w="1542" w:type="dxa"/>
            <w:vAlign w:val="center"/>
          </w:tcPr>
          <w:p w14:paraId="6ECB3703">
            <w:pPr>
              <w:spacing w:after="0" w:line="312" w:lineRule="auto"/>
              <w:jc w:val="center"/>
              <w:rPr>
                <w:rFonts w:hint="eastAsia" w:ascii="宋体" w:hAnsi="宋体" w:cs="宋体"/>
                <w:b/>
                <w:color w:val="auto"/>
                <w:sz w:val="24"/>
              </w:rPr>
            </w:pPr>
            <w:r>
              <w:rPr>
                <w:rFonts w:hint="eastAsia" w:ascii="宋体" w:hAnsi="宋体" w:cs="宋体"/>
                <w:b/>
                <w:color w:val="auto"/>
                <w:sz w:val="24"/>
              </w:rPr>
              <w:t>偏离说明</w:t>
            </w:r>
          </w:p>
        </w:tc>
        <w:tc>
          <w:tcPr>
            <w:tcW w:w="1542" w:type="dxa"/>
            <w:vAlign w:val="center"/>
          </w:tcPr>
          <w:p w14:paraId="050A6860">
            <w:pPr>
              <w:spacing w:after="0" w:line="312" w:lineRule="auto"/>
              <w:jc w:val="center"/>
              <w:rPr>
                <w:rFonts w:hint="eastAsia" w:ascii="宋体" w:hAnsi="宋体" w:cs="宋体"/>
                <w:b/>
                <w:color w:val="auto"/>
                <w:sz w:val="24"/>
              </w:rPr>
            </w:pPr>
            <w:r>
              <w:rPr>
                <w:rFonts w:hint="eastAsia" w:ascii="宋体" w:hAnsi="宋体" w:cs="宋体"/>
                <w:b/>
                <w:color w:val="auto"/>
                <w:sz w:val="24"/>
              </w:rPr>
              <w:t>投标人的承诺或说明</w:t>
            </w:r>
          </w:p>
        </w:tc>
      </w:tr>
      <w:tr w14:paraId="6676A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830" w:type="dxa"/>
            <w:vAlign w:val="center"/>
          </w:tcPr>
          <w:p w14:paraId="37ACD766">
            <w:pPr>
              <w:spacing w:after="0" w:line="312" w:lineRule="auto"/>
              <w:rPr>
                <w:rFonts w:hint="eastAsia" w:ascii="宋体" w:hAnsi="宋体" w:cs="宋体"/>
                <w:color w:val="auto"/>
                <w:sz w:val="24"/>
              </w:rPr>
            </w:pPr>
          </w:p>
        </w:tc>
        <w:tc>
          <w:tcPr>
            <w:tcW w:w="2017" w:type="dxa"/>
            <w:vAlign w:val="center"/>
          </w:tcPr>
          <w:p w14:paraId="7CD03B31">
            <w:pPr>
              <w:spacing w:after="0" w:line="312" w:lineRule="auto"/>
              <w:rPr>
                <w:rFonts w:hint="eastAsia" w:ascii="宋体" w:hAnsi="宋体" w:cs="宋体"/>
                <w:color w:val="auto"/>
                <w:sz w:val="24"/>
              </w:rPr>
            </w:pPr>
          </w:p>
        </w:tc>
        <w:tc>
          <w:tcPr>
            <w:tcW w:w="1763" w:type="dxa"/>
            <w:vAlign w:val="center"/>
          </w:tcPr>
          <w:p w14:paraId="5B7BD085">
            <w:pPr>
              <w:spacing w:after="0" w:line="312" w:lineRule="auto"/>
              <w:rPr>
                <w:rFonts w:hint="eastAsia" w:ascii="宋体" w:hAnsi="宋体" w:cs="宋体"/>
                <w:color w:val="auto"/>
                <w:sz w:val="24"/>
              </w:rPr>
            </w:pPr>
          </w:p>
        </w:tc>
        <w:tc>
          <w:tcPr>
            <w:tcW w:w="1583" w:type="dxa"/>
            <w:vAlign w:val="center"/>
          </w:tcPr>
          <w:p w14:paraId="37FB52C3">
            <w:pPr>
              <w:spacing w:after="0" w:line="312" w:lineRule="auto"/>
              <w:rPr>
                <w:rFonts w:hint="eastAsia" w:ascii="宋体" w:hAnsi="宋体" w:cs="宋体"/>
                <w:color w:val="auto"/>
                <w:sz w:val="24"/>
              </w:rPr>
            </w:pPr>
          </w:p>
        </w:tc>
        <w:tc>
          <w:tcPr>
            <w:tcW w:w="1542" w:type="dxa"/>
            <w:vAlign w:val="center"/>
          </w:tcPr>
          <w:p w14:paraId="3FA2D184">
            <w:pPr>
              <w:spacing w:after="0" w:line="312" w:lineRule="auto"/>
              <w:rPr>
                <w:rFonts w:hint="eastAsia" w:ascii="宋体" w:hAnsi="宋体" w:cs="宋体"/>
                <w:color w:val="auto"/>
                <w:sz w:val="24"/>
              </w:rPr>
            </w:pPr>
          </w:p>
        </w:tc>
        <w:tc>
          <w:tcPr>
            <w:tcW w:w="1542" w:type="dxa"/>
          </w:tcPr>
          <w:p w14:paraId="644C8427">
            <w:pPr>
              <w:spacing w:after="0" w:line="312" w:lineRule="auto"/>
              <w:rPr>
                <w:rFonts w:hint="eastAsia" w:ascii="宋体" w:hAnsi="宋体" w:cs="宋体"/>
                <w:color w:val="auto"/>
                <w:sz w:val="24"/>
              </w:rPr>
            </w:pPr>
          </w:p>
        </w:tc>
      </w:tr>
      <w:tr w14:paraId="61456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trPr>
        <w:tc>
          <w:tcPr>
            <w:tcW w:w="830" w:type="dxa"/>
            <w:vAlign w:val="center"/>
          </w:tcPr>
          <w:p w14:paraId="70C2CCC9">
            <w:pPr>
              <w:spacing w:after="0" w:line="312" w:lineRule="auto"/>
              <w:rPr>
                <w:rFonts w:hint="eastAsia" w:ascii="宋体" w:hAnsi="宋体" w:cs="宋体"/>
                <w:color w:val="auto"/>
                <w:sz w:val="24"/>
              </w:rPr>
            </w:pPr>
          </w:p>
        </w:tc>
        <w:tc>
          <w:tcPr>
            <w:tcW w:w="2017" w:type="dxa"/>
            <w:vAlign w:val="center"/>
          </w:tcPr>
          <w:p w14:paraId="7C3720C5">
            <w:pPr>
              <w:spacing w:after="0" w:line="312" w:lineRule="auto"/>
              <w:rPr>
                <w:rFonts w:hint="eastAsia" w:ascii="宋体" w:hAnsi="宋体" w:cs="宋体"/>
                <w:color w:val="auto"/>
                <w:sz w:val="24"/>
              </w:rPr>
            </w:pPr>
          </w:p>
        </w:tc>
        <w:tc>
          <w:tcPr>
            <w:tcW w:w="1763" w:type="dxa"/>
            <w:vAlign w:val="center"/>
          </w:tcPr>
          <w:p w14:paraId="69F1192E">
            <w:pPr>
              <w:spacing w:after="0" w:line="312" w:lineRule="auto"/>
              <w:rPr>
                <w:rFonts w:hint="eastAsia" w:ascii="宋体" w:hAnsi="宋体" w:cs="宋体"/>
                <w:color w:val="auto"/>
                <w:sz w:val="24"/>
              </w:rPr>
            </w:pPr>
          </w:p>
        </w:tc>
        <w:tc>
          <w:tcPr>
            <w:tcW w:w="1583" w:type="dxa"/>
            <w:vAlign w:val="center"/>
          </w:tcPr>
          <w:p w14:paraId="615FDE0A">
            <w:pPr>
              <w:spacing w:after="0" w:line="312" w:lineRule="auto"/>
              <w:rPr>
                <w:rFonts w:hint="eastAsia" w:ascii="宋体" w:hAnsi="宋体" w:cs="宋体"/>
                <w:color w:val="auto"/>
                <w:sz w:val="24"/>
              </w:rPr>
            </w:pPr>
          </w:p>
        </w:tc>
        <w:tc>
          <w:tcPr>
            <w:tcW w:w="1542" w:type="dxa"/>
            <w:vAlign w:val="center"/>
          </w:tcPr>
          <w:p w14:paraId="35D607CA">
            <w:pPr>
              <w:spacing w:after="0" w:line="312" w:lineRule="auto"/>
              <w:rPr>
                <w:rFonts w:hint="eastAsia" w:ascii="宋体" w:hAnsi="宋体" w:cs="宋体"/>
                <w:color w:val="auto"/>
                <w:sz w:val="24"/>
              </w:rPr>
            </w:pPr>
          </w:p>
        </w:tc>
        <w:tc>
          <w:tcPr>
            <w:tcW w:w="1542" w:type="dxa"/>
          </w:tcPr>
          <w:p w14:paraId="6EF5A845">
            <w:pPr>
              <w:spacing w:after="0" w:line="312" w:lineRule="auto"/>
              <w:rPr>
                <w:rFonts w:hint="eastAsia" w:ascii="宋体" w:hAnsi="宋体" w:cs="宋体"/>
                <w:color w:val="auto"/>
                <w:sz w:val="24"/>
              </w:rPr>
            </w:pPr>
          </w:p>
        </w:tc>
      </w:tr>
      <w:tr w14:paraId="198C9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830" w:type="dxa"/>
            <w:vAlign w:val="center"/>
          </w:tcPr>
          <w:p w14:paraId="3DC38779">
            <w:pPr>
              <w:spacing w:after="0" w:line="312" w:lineRule="auto"/>
              <w:rPr>
                <w:rFonts w:hint="eastAsia" w:ascii="宋体" w:hAnsi="宋体" w:cs="宋体"/>
                <w:color w:val="auto"/>
                <w:sz w:val="24"/>
              </w:rPr>
            </w:pPr>
          </w:p>
        </w:tc>
        <w:tc>
          <w:tcPr>
            <w:tcW w:w="2017" w:type="dxa"/>
            <w:vAlign w:val="center"/>
          </w:tcPr>
          <w:p w14:paraId="1130F172">
            <w:pPr>
              <w:spacing w:after="0" w:line="312" w:lineRule="auto"/>
              <w:rPr>
                <w:rFonts w:hint="eastAsia" w:ascii="宋体" w:hAnsi="宋体" w:cs="宋体"/>
                <w:color w:val="auto"/>
                <w:sz w:val="24"/>
              </w:rPr>
            </w:pPr>
          </w:p>
        </w:tc>
        <w:tc>
          <w:tcPr>
            <w:tcW w:w="1763" w:type="dxa"/>
            <w:vAlign w:val="center"/>
          </w:tcPr>
          <w:p w14:paraId="1DAB56A4">
            <w:pPr>
              <w:spacing w:after="0" w:line="312" w:lineRule="auto"/>
              <w:rPr>
                <w:rFonts w:hint="eastAsia" w:ascii="宋体" w:hAnsi="宋体" w:cs="宋体"/>
                <w:color w:val="auto"/>
                <w:sz w:val="24"/>
              </w:rPr>
            </w:pPr>
          </w:p>
        </w:tc>
        <w:tc>
          <w:tcPr>
            <w:tcW w:w="1583" w:type="dxa"/>
            <w:vAlign w:val="center"/>
          </w:tcPr>
          <w:p w14:paraId="51279C35">
            <w:pPr>
              <w:spacing w:after="0" w:line="312" w:lineRule="auto"/>
              <w:rPr>
                <w:rFonts w:hint="eastAsia" w:ascii="宋体" w:hAnsi="宋体" w:cs="宋体"/>
                <w:color w:val="auto"/>
                <w:sz w:val="24"/>
              </w:rPr>
            </w:pPr>
          </w:p>
        </w:tc>
        <w:tc>
          <w:tcPr>
            <w:tcW w:w="1542" w:type="dxa"/>
            <w:vAlign w:val="center"/>
          </w:tcPr>
          <w:p w14:paraId="77A073CB">
            <w:pPr>
              <w:spacing w:after="0" w:line="312" w:lineRule="auto"/>
              <w:rPr>
                <w:rFonts w:hint="eastAsia" w:ascii="宋体" w:hAnsi="宋体" w:cs="宋体"/>
                <w:color w:val="auto"/>
                <w:sz w:val="24"/>
              </w:rPr>
            </w:pPr>
          </w:p>
        </w:tc>
        <w:tc>
          <w:tcPr>
            <w:tcW w:w="1542" w:type="dxa"/>
          </w:tcPr>
          <w:p w14:paraId="61872B14">
            <w:pPr>
              <w:spacing w:after="0" w:line="312" w:lineRule="auto"/>
              <w:rPr>
                <w:rFonts w:hint="eastAsia" w:ascii="宋体" w:hAnsi="宋体" w:cs="宋体"/>
                <w:color w:val="auto"/>
                <w:sz w:val="24"/>
              </w:rPr>
            </w:pPr>
          </w:p>
        </w:tc>
      </w:tr>
      <w:tr w14:paraId="128EF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830" w:type="dxa"/>
            <w:vAlign w:val="center"/>
          </w:tcPr>
          <w:p w14:paraId="410A45E4">
            <w:pPr>
              <w:spacing w:after="0" w:line="312" w:lineRule="auto"/>
              <w:rPr>
                <w:rFonts w:hint="eastAsia" w:ascii="宋体" w:hAnsi="宋体" w:cs="宋体"/>
                <w:color w:val="auto"/>
                <w:sz w:val="24"/>
              </w:rPr>
            </w:pPr>
          </w:p>
        </w:tc>
        <w:tc>
          <w:tcPr>
            <w:tcW w:w="2017" w:type="dxa"/>
            <w:vAlign w:val="center"/>
          </w:tcPr>
          <w:p w14:paraId="422800D6">
            <w:pPr>
              <w:spacing w:after="0" w:line="312" w:lineRule="auto"/>
              <w:rPr>
                <w:rFonts w:hint="eastAsia" w:ascii="宋体" w:hAnsi="宋体" w:cs="宋体"/>
                <w:color w:val="auto"/>
                <w:sz w:val="24"/>
              </w:rPr>
            </w:pPr>
          </w:p>
        </w:tc>
        <w:tc>
          <w:tcPr>
            <w:tcW w:w="1763" w:type="dxa"/>
            <w:vAlign w:val="center"/>
          </w:tcPr>
          <w:p w14:paraId="13B4F6C0">
            <w:pPr>
              <w:spacing w:after="0" w:line="312" w:lineRule="auto"/>
              <w:rPr>
                <w:rFonts w:hint="eastAsia" w:ascii="宋体" w:hAnsi="宋体" w:cs="宋体"/>
                <w:color w:val="auto"/>
                <w:sz w:val="24"/>
              </w:rPr>
            </w:pPr>
          </w:p>
        </w:tc>
        <w:tc>
          <w:tcPr>
            <w:tcW w:w="1583" w:type="dxa"/>
            <w:vAlign w:val="center"/>
          </w:tcPr>
          <w:p w14:paraId="206AD189">
            <w:pPr>
              <w:spacing w:after="0" w:line="312" w:lineRule="auto"/>
              <w:rPr>
                <w:rFonts w:hint="eastAsia" w:ascii="宋体" w:hAnsi="宋体" w:cs="宋体"/>
                <w:color w:val="auto"/>
                <w:sz w:val="24"/>
              </w:rPr>
            </w:pPr>
          </w:p>
        </w:tc>
        <w:tc>
          <w:tcPr>
            <w:tcW w:w="1542" w:type="dxa"/>
            <w:vAlign w:val="center"/>
          </w:tcPr>
          <w:p w14:paraId="3CF52792">
            <w:pPr>
              <w:spacing w:after="0" w:line="312" w:lineRule="auto"/>
              <w:rPr>
                <w:rFonts w:hint="eastAsia" w:ascii="宋体" w:hAnsi="宋体" w:cs="宋体"/>
                <w:color w:val="auto"/>
                <w:sz w:val="24"/>
              </w:rPr>
            </w:pPr>
          </w:p>
        </w:tc>
        <w:tc>
          <w:tcPr>
            <w:tcW w:w="1542" w:type="dxa"/>
          </w:tcPr>
          <w:p w14:paraId="23FBEBB9">
            <w:pPr>
              <w:spacing w:after="0" w:line="312" w:lineRule="auto"/>
              <w:rPr>
                <w:rFonts w:hint="eastAsia" w:ascii="宋体" w:hAnsi="宋体" w:cs="宋体"/>
                <w:color w:val="auto"/>
                <w:sz w:val="24"/>
              </w:rPr>
            </w:pPr>
          </w:p>
        </w:tc>
      </w:tr>
      <w:tr w14:paraId="2FF33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trPr>
        <w:tc>
          <w:tcPr>
            <w:tcW w:w="830" w:type="dxa"/>
            <w:vAlign w:val="center"/>
          </w:tcPr>
          <w:p w14:paraId="10A66B02">
            <w:pPr>
              <w:spacing w:after="0" w:line="312" w:lineRule="auto"/>
              <w:rPr>
                <w:rFonts w:hint="eastAsia" w:ascii="宋体" w:hAnsi="宋体" w:cs="宋体"/>
                <w:color w:val="auto"/>
                <w:sz w:val="24"/>
              </w:rPr>
            </w:pPr>
          </w:p>
        </w:tc>
        <w:tc>
          <w:tcPr>
            <w:tcW w:w="2017" w:type="dxa"/>
            <w:vAlign w:val="center"/>
          </w:tcPr>
          <w:p w14:paraId="5B63F0CF">
            <w:pPr>
              <w:spacing w:after="0" w:line="312" w:lineRule="auto"/>
              <w:rPr>
                <w:rFonts w:hint="eastAsia" w:ascii="宋体" w:hAnsi="宋体" w:cs="宋体"/>
                <w:color w:val="auto"/>
                <w:sz w:val="24"/>
              </w:rPr>
            </w:pPr>
          </w:p>
        </w:tc>
        <w:tc>
          <w:tcPr>
            <w:tcW w:w="1763" w:type="dxa"/>
            <w:vAlign w:val="center"/>
          </w:tcPr>
          <w:p w14:paraId="241A212C">
            <w:pPr>
              <w:spacing w:after="0" w:line="312" w:lineRule="auto"/>
              <w:rPr>
                <w:rFonts w:hint="eastAsia" w:ascii="宋体" w:hAnsi="宋体" w:cs="宋体"/>
                <w:color w:val="auto"/>
                <w:sz w:val="24"/>
              </w:rPr>
            </w:pPr>
          </w:p>
        </w:tc>
        <w:tc>
          <w:tcPr>
            <w:tcW w:w="1583" w:type="dxa"/>
            <w:vAlign w:val="center"/>
          </w:tcPr>
          <w:p w14:paraId="19776503">
            <w:pPr>
              <w:spacing w:after="0" w:line="312" w:lineRule="auto"/>
              <w:rPr>
                <w:rFonts w:hint="eastAsia" w:ascii="宋体" w:hAnsi="宋体" w:cs="宋体"/>
                <w:color w:val="auto"/>
                <w:sz w:val="24"/>
              </w:rPr>
            </w:pPr>
          </w:p>
        </w:tc>
        <w:tc>
          <w:tcPr>
            <w:tcW w:w="1542" w:type="dxa"/>
            <w:vAlign w:val="center"/>
          </w:tcPr>
          <w:p w14:paraId="146AD745">
            <w:pPr>
              <w:spacing w:after="0" w:line="312" w:lineRule="auto"/>
              <w:rPr>
                <w:rFonts w:hint="eastAsia" w:ascii="宋体" w:hAnsi="宋体" w:cs="宋体"/>
                <w:color w:val="auto"/>
                <w:sz w:val="24"/>
              </w:rPr>
            </w:pPr>
          </w:p>
        </w:tc>
        <w:tc>
          <w:tcPr>
            <w:tcW w:w="1542" w:type="dxa"/>
          </w:tcPr>
          <w:p w14:paraId="61D127DD">
            <w:pPr>
              <w:spacing w:after="0" w:line="312" w:lineRule="auto"/>
              <w:rPr>
                <w:rFonts w:hint="eastAsia" w:ascii="宋体" w:hAnsi="宋体" w:cs="宋体"/>
                <w:color w:val="auto"/>
                <w:sz w:val="24"/>
              </w:rPr>
            </w:pPr>
          </w:p>
        </w:tc>
      </w:tr>
      <w:tr w14:paraId="62E95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830" w:type="dxa"/>
            <w:vAlign w:val="center"/>
          </w:tcPr>
          <w:p w14:paraId="1FFE78A0">
            <w:pPr>
              <w:spacing w:after="0" w:line="312" w:lineRule="auto"/>
              <w:rPr>
                <w:rFonts w:hint="eastAsia" w:ascii="宋体" w:hAnsi="宋体" w:cs="宋体"/>
                <w:color w:val="auto"/>
                <w:sz w:val="24"/>
              </w:rPr>
            </w:pPr>
          </w:p>
        </w:tc>
        <w:tc>
          <w:tcPr>
            <w:tcW w:w="2017" w:type="dxa"/>
            <w:vAlign w:val="center"/>
          </w:tcPr>
          <w:p w14:paraId="0066459B">
            <w:pPr>
              <w:spacing w:after="0" w:line="312" w:lineRule="auto"/>
              <w:rPr>
                <w:rFonts w:hint="eastAsia" w:ascii="宋体" w:hAnsi="宋体" w:cs="宋体"/>
                <w:color w:val="auto"/>
                <w:sz w:val="24"/>
              </w:rPr>
            </w:pPr>
          </w:p>
        </w:tc>
        <w:tc>
          <w:tcPr>
            <w:tcW w:w="1763" w:type="dxa"/>
            <w:vAlign w:val="center"/>
          </w:tcPr>
          <w:p w14:paraId="6E88F69D">
            <w:pPr>
              <w:spacing w:after="0" w:line="312" w:lineRule="auto"/>
              <w:rPr>
                <w:rFonts w:hint="eastAsia" w:ascii="宋体" w:hAnsi="宋体" w:cs="宋体"/>
                <w:color w:val="auto"/>
                <w:sz w:val="24"/>
              </w:rPr>
            </w:pPr>
          </w:p>
        </w:tc>
        <w:tc>
          <w:tcPr>
            <w:tcW w:w="1583" w:type="dxa"/>
            <w:vAlign w:val="center"/>
          </w:tcPr>
          <w:p w14:paraId="1769E4CB">
            <w:pPr>
              <w:spacing w:after="0" w:line="312" w:lineRule="auto"/>
              <w:rPr>
                <w:rFonts w:hint="eastAsia" w:ascii="宋体" w:hAnsi="宋体" w:cs="宋体"/>
                <w:color w:val="auto"/>
                <w:sz w:val="24"/>
              </w:rPr>
            </w:pPr>
          </w:p>
        </w:tc>
        <w:tc>
          <w:tcPr>
            <w:tcW w:w="1542" w:type="dxa"/>
            <w:vAlign w:val="center"/>
          </w:tcPr>
          <w:p w14:paraId="547AF611">
            <w:pPr>
              <w:spacing w:after="0" w:line="312" w:lineRule="auto"/>
              <w:rPr>
                <w:rFonts w:hint="eastAsia" w:ascii="宋体" w:hAnsi="宋体" w:cs="宋体"/>
                <w:color w:val="auto"/>
                <w:sz w:val="24"/>
              </w:rPr>
            </w:pPr>
          </w:p>
        </w:tc>
        <w:tc>
          <w:tcPr>
            <w:tcW w:w="1542" w:type="dxa"/>
          </w:tcPr>
          <w:p w14:paraId="0C3EDE78">
            <w:pPr>
              <w:spacing w:after="0" w:line="312" w:lineRule="auto"/>
              <w:rPr>
                <w:rFonts w:hint="eastAsia" w:ascii="宋体" w:hAnsi="宋体" w:cs="宋体"/>
                <w:color w:val="auto"/>
                <w:sz w:val="24"/>
              </w:rPr>
            </w:pPr>
          </w:p>
        </w:tc>
      </w:tr>
      <w:tr w14:paraId="50644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trPr>
        <w:tc>
          <w:tcPr>
            <w:tcW w:w="830" w:type="dxa"/>
            <w:vAlign w:val="center"/>
          </w:tcPr>
          <w:p w14:paraId="2BE76B6C">
            <w:pPr>
              <w:spacing w:after="0" w:line="312" w:lineRule="auto"/>
              <w:rPr>
                <w:rFonts w:hint="eastAsia" w:ascii="宋体" w:hAnsi="宋体" w:cs="宋体"/>
                <w:color w:val="auto"/>
                <w:sz w:val="24"/>
              </w:rPr>
            </w:pPr>
          </w:p>
        </w:tc>
        <w:tc>
          <w:tcPr>
            <w:tcW w:w="2017" w:type="dxa"/>
            <w:vAlign w:val="center"/>
          </w:tcPr>
          <w:p w14:paraId="6810C741">
            <w:pPr>
              <w:spacing w:after="0" w:line="312" w:lineRule="auto"/>
              <w:rPr>
                <w:rFonts w:hint="eastAsia" w:ascii="宋体" w:hAnsi="宋体" w:cs="宋体"/>
                <w:color w:val="auto"/>
                <w:sz w:val="24"/>
              </w:rPr>
            </w:pPr>
          </w:p>
        </w:tc>
        <w:tc>
          <w:tcPr>
            <w:tcW w:w="1763" w:type="dxa"/>
            <w:vAlign w:val="center"/>
          </w:tcPr>
          <w:p w14:paraId="66B8EB38">
            <w:pPr>
              <w:spacing w:after="0" w:line="312" w:lineRule="auto"/>
              <w:rPr>
                <w:rFonts w:hint="eastAsia" w:ascii="宋体" w:hAnsi="宋体" w:cs="宋体"/>
                <w:color w:val="auto"/>
                <w:sz w:val="24"/>
              </w:rPr>
            </w:pPr>
          </w:p>
        </w:tc>
        <w:tc>
          <w:tcPr>
            <w:tcW w:w="1583" w:type="dxa"/>
            <w:vAlign w:val="center"/>
          </w:tcPr>
          <w:p w14:paraId="5F249EAE">
            <w:pPr>
              <w:spacing w:after="0" w:line="312" w:lineRule="auto"/>
              <w:rPr>
                <w:rFonts w:hint="eastAsia" w:ascii="宋体" w:hAnsi="宋体" w:cs="宋体"/>
                <w:color w:val="auto"/>
                <w:sz w:val="24"/>
              </w:rPr>
            </w:pPr>
          </w:p>
        </w:tc>
        <w:tc>
          <w:tcPr>
            <w:tcW w:w="1542" w:type="dxa"/>
            <w:vAlign w:val="center"/>
          </w:tcPr>
          <w:p w14:paraId="1AE8632A">
            <w:pPr>
              <w:spacing w:after="0" w:line="312" w:lineRule="auto"/>
              <w:rPr>
                <w:rFonts w:hint="eastAsia" w:ascii="宋体" w:hAnsi="宋体" w:cs="宋体"/>
                <w:color w:val="auto"/>
                <w:sz w:val="24"/>
              </w:rPr>
            </w:pPr>
          </w:p>
        </w:tc>
        <w:tc>
          <w:tcPr>
            <w:tcW w:w="1542" w:type="dxa"/>
          </w:tcPr>
          <w:p w14:paraId="6030EF96">
            <w:pPr>
              <w:spacing w:after="0" w:line="312" w:lineRule="auto"/>
              <w:rPr>
                <w:rFonts w:hint="eastAsia" w:ascii="宋体" w:hAnsi="宋体" w:cs="宋体"/>
                <w:color w:val="auto"/>
                <w:sz w:val="24"/>
              </w:rPr>
            </w:pPr>
          </w:p>
        </w:tc>
      </w:tr>
    </w:tbl>
    <w:p w14:paraId="32675E73">
      <w:pPr>
        <w:pStyle w:val="39"/>
        <w:tabs>
          <w:tab w:val="left" w:pos="360"/>
        </w:tabs>
        <w:spacing w:line="360" w:lineRule="auto"/>
        <w:ind w:right="84" w:rightChars="40"/>
        <w:rPr>
          <w:rFonts w:hint="eastAsia" w:ascii="宋体" w:hAnsi="宋体" w:cs="宋体"/>
          <w:b/>
          <w:bCs/>
          <w:color w:val="auto"/>
        </w:rPr>
      </w:pPr>
    </w:p>
    <w:p w14:paraId="429F37A5">
      <w:pPr>
        <w:pStyle w:val="39"/>
        <w:tabs>
          <w:tab w:val="left" w:pos="360"/>
        </w:tabs>
        <w:spacing w:line="360" w:lineRule="auto"/>
        <w:ind w:right="84" w:rightChars="40"/>
        <w:rPr>
          <w:rFonts w:hint="eastAsia" w:ascii="宋体" w:hAnsi="宋体" w:cs="宋体"/>
          <w:b/>
          <w:bCs/>
          <w:color w:val="auto"/>
        </w:rPr>
      </w:pPr>
      <w:r>
        <w:rPr>
          <w:rFonts w:hint="eastAsia" w:ascii="宋体" w:hAnsi="宋体" w:cs="宋体"/>
          <w:b/>
          <w:bCs/>
          <w:color w:val="auto"/>
        </w:rPr>
        <w:t>要求：</w:t>
      </w:r>
    </w:p>
    <w:p w14:paraId="712694EC">
      <w:pPr>
        <w:pStyle w:val="39"/>
        <w:tabs>
          <w:tab w:val="left" w:pos="360"/>
        </w:tabs>
        <w:spacing w:line="360" w:lineRule="auto"/>
        <w:ind w:right="84" w:rightChars="40" w:firstLine="420" w:firstLineChars="200"/>
        <w:rPr>
          <w:rFonts w:hint="eastAsia" w:ascii="宋体" w:hAnsi="宋体" w:cs="宋体"/>
          <w:color w:val="auto"/>
        </w:rPr>
      </w:pPr>
      <w:r>
        <w:rPr>
          <w:rFonts w:hint="eastAsia" w:ascii="宋体" w:hAnsi="宋体" w:cs="宋体"/>
          <w:color w:val="auto"/>
        </w:rPr>
        <w:t>1.本表参照本招标文件第二章“采购需求”填制，投标人应根据投标服务指标，对照招标文件要求在“偏离情况”栏注明“正偏离”、“负偏离”或“无偏离”。</w:t>
      </w:r>
    </w:p>
    <w:p w14:paraId="702C15B9">
      <w:pPr>
        <w:spacing w:line="360" w:lineRule="auto"/>
        <w:ind w:left="420"/>
        <w:rPr>
          <w:rFonts w:hint="eastAsia" w:ascii="宋体" w:hAnsi="宋体" w:cs="宋体"/>
          <w:color w:val="auto"/>
          <w:sz w:val="24"/>
        </w:rPr>
      </w:pPr>
    </w:p>
    <w:p w14:paraId="664A3AF0">
      <w:pPr>
        <w:spacing w:line="360" w:lineRule="auto"/>
        <w:ind w:left="420"/>
        <w:rPr>
          <w:rFonts w:hint="eastAsia" w:ascii="宋体" w:hAnsi="宋体" w:cs="宋体"/>
          <w:color w:val="auto"/>
          <w:sz w:val="24"/>
          <w:u w:val="single"/>
        </w:rPr>
      </w:pPr>
      <w:r>
        <w:rPr>
          <w:rFonts w:hint="eastAsia" w:ascii="宋体" w:hAnsi="宋体" w:cs="宋体"/>
          <w:color w:val="auto"/>
          <w:sz w:val="24"/>
        </w:rPr>
        <w:t>投标人名称（盖章）：</w:t>
      </w:r>
    </w:p>
    <w:p w14:paraId="48C3F635">
      <w:pPr>
        <w:spacing w:after="0" w:line="312" w:lineRule="auto"/>
        <w:ind w:firstLine="435"/>
        <w:rPr>
          <w:rFonts w:hint="eastAsia" w:ascii="宋体" w:hAnsi="宋体" w:cs="宋体"/>
          <w:color w:val="auto"/>
          <w:sz w:val="24"/>
        </w:rPr>
      </w:pPr>
      <w:r>
        <w:rPr>
          <w:rFonts w:hint="eastAsia" w:ascii="宋体" w:hAnsi="宋体" w:cs="宋体"/>
          <w:color w:val="auto"/>
          <w:sz w:val="24"/>
        </w:rPr>
        <w:t>投标人代表签字或盖章：</w:t>
      </w:r>
    </w:p>
    <w:p w14:paraId="20C9341C">
      <w:pPr>
        <w:spacing w:line="360" w:lineRule="auto"/>
        <w:ind w:firstLine="435"/>
        <w:rPr>
          <w:rFonts w:hint="eastAsia" w:ascii="宋体" w:hAnsi="宋体" w:cs="宋体"/>
          <w:color w:val="auto"/>
          <w:sz w:val="24"/>
        </w:rPr>
      </w:pPr>
    </w:p>
    <w:p w14:paraId="61E0DC61">
      <w:pPr>
        <w:spacing w:line="360" w:lineRule="auto"/>
        <w:ind w:firstLine="435"/>
        <w:rPr>
          <w:rFonts w:hint="eastAsia" w:ascii="宋体" w:hAnsi="宋体" w:cs="宋体"/>
          <w:color w:val="auto"/>
          <w:sz w:val="24"/>
        </w:rPr>
      </w:pPr>
      <w:r>
        <w:rPr>
          <w:rFonts w:hint="eastAsia" w:ascii="宋体" w:hAnsi="宋体" w:cs="宋体"/>
          <w:color w:val="auto"/>
          <w:sz w:val="24"/>
        </w:rPr>
        <w:t>日        期：</w:t>
      </w:r>
    </w:p>
    <w:p w14:paraId="0A7356A6">
      <w:pPr>
        <w:pStyle w:val="40"/>
        <w:spacing w:after="0" w:line="312" w:lineRule="auto"/>
        <w:jc w:val="left"/>
        <w:rPr>
          <w:rFonts w:hint="eastAsia" w:ascii="宋体" w:hAnsi="宋体" w:cs="宋体"/>
          <w:b/>
          <w:color w:val="auto"/>
          <w:sz w:val="28"/>
        </w:rPr>
      </w:pPr>
      <w:r>
        <w:rPr>
          <w:rFonts w:hint="eastAsia" w:ascii="宋体" w:hAnsi="宋体" w:cs="宋体"/>
          <w:b/>
          <w:bCs/>
          <w:color w:val="auto"/>
          <w:sz w:val="28"/>
          <w:szCs w:val="28"/>
        </w:rPr>
        <w:br w:type="page"/>
      </w:r>
    </w:p>
    <w:p w14:paraId="05CFD6E1">
      <w:pPr>
        <w:pStyle w:val="40"/>
        <w:spacing w:after="0" w:line="312" w:lineRule="auto"/>
        <w:jc w:val="left"/>
        <w:rPr>
          <w:rFonts w:hint="eastAsia" w:ascii="宋体" w:hAnsi="宋体" w:cs="宋体"/>
          <w:b/>
          <w:color w:val="auto"/>
          <w:sz w:val="28"/>
        </w:rPr>
      </w:pPr>
      <w:r>
        <w:rPr>
          <w:rFonts w:hint="eastAsia" w:ascii="宋体" w:hAnsi="宋体" w:cs="宋体"/>
          <w:b/>
          <w:color w:val="auto"/>
          <w:sz w:val="28"/>
        </w:rPr>
        <w:t>附件9</w:t>
      </w:r>
    </w:p>
    <w:p w14:paraId="11732E89">
      <w:pPr>
        <w:pStyle w:val="41"/>
        <w:spacing w:after="0" w:line="312" w:lineRule="auto"/>
        <w:jc w:val="center"/>
        <w:rPr>
          <w:rFonts w:hint="eastAsia" w:ascii="宋体" w:hAnsi="宋体" w:cs="宋体"/>
          <w:b/>
          <w:color w:val="auto"/>
          <w:sz w:val="32"/>
          <w:szCs w:val="32"/>
        </w:rPr>
      </w:pPr>
      <w:r>
        <w:rPr>
          <w:rFonts w:hint="eastAsia" w:ascii="宋体" w:hAnsi="宋体" w:cs="宋体"/>
          <w:b/>
          <w:color w:val="auto"/>
          <w:sz w:val="32"/>
          <w:szCs w:val="32"/>
        </w:rPr>
        <w:t>证书一览表</w:t>
      </w:r>
    </w:p>
    <w:p w14:paraId="0ACD0B79">
      <w:pPr>
        <w:pStyle w:val="41"/>
        <w:spacing w:after="0" w:line="312" w:lineRule="auto"/>
        <w:jc w:val="center"/>
        <w:rPr>
          <w:rFonts w:hint="eastAsia" w:ascii="宋体" w:hAnsi="宋体" w:cs="宋体"/>
          <w:color w:val="auto"/>
          <w:sz w:val="28"/>
          <w:szCs w:val="28"/>
        </w:rPr>
      </w:pPr>
    </w:p>
    <w:tbl>
      <w:tblPr>
        <w:tblStyle w:val="24"/>
        <w:tblW w:w="843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7"/>
        <w:gridCol w:w="2258"/>
        <w:gridCol w:w="2260"/>
        <w:gridCol w:w="2047"/>
      </w:tblGrid>
      <w:tr w14:paraId="402973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867" w:type="dxa"/>
            <w:tcBorders>
              <w:top w:val="single" w:color="auto" w:sz="4" w:space="0"/>
              <w:left w:val="single" w:color="auto" w:sz="4" w:space="0"/>
              <w:bottom w:val="single" w:color="auto" w:sz="4" w:space="0"/>
            </w:tcBorders>
          </w:tcPr>
          <w:p w14:paraId="773DE24B">
            <w:pPr>
              <w:pStyle w:val="41"/>
              <w:spacing w:after="0" w:line="312" w:lineRule="auto"/>
              <w:jc w:val="center"/>
              <w:rPr>
                <w:rFonts w:hint="eastAsia" w:ascii="宋体" w:hAnsi="宋体" w:cs="宋体"/>
                <w:b/>
                <w:bCs/>
                <w:color w:val="auto"/>
                <w:sz w:val="24"/>
              </w:rPr>
            </w:pPr>
            <w:r>
              <w:rPr>
                <w:rFonts w:hint="eastAsia" w:ascii="宋体" w:hAnsi="宋体" w:cs="宋体"/>
                <w:b/>
                <w:bCs/>
                <w:color w:val="auto"/>
                <w:sz w:val="24"/>
              </w:rPr>
              <w:t>证书名称</w:t>
            </w:r>
          </w:p>
        </w:tc>
        <w:tc>
          <w:tcPr>
            <w:tcW w:w="2258" w:type="dxa"/>
            <w:tcBorders>
              <w:top w:val="single" w:color="auto" w:sz="4" w:space="0"/>
              <w:bottom w:val="single" w:color="auto" w:sz="4" w:space="0"/>
            </w:tcBorders>
          </w:tcPr>
          <w:p w14:paraId="1C1F4013">
            <w:pPr>
              <w:pStyle w:val="41"/>
              <w:spacing w:after="0" w:line="312" w:lineRule="auto"/>
              <w:jc w:val="center"/>
              <w:rPr>
                <w:rFonts w:hint="eastAsia" w:ascii="宋体" w:hAnsi="宋体" w:cs="宋体"/>
                <w:b/>
                <w:bCs/>
                <w:color w:val="auto"/>
                <w:sz w:val="24"/>
              </w:rPr>
            </w:pPr>
            <w:r>
              <w:rPr>
                <w:rFonts w:hint="eastAsia" w:ascii="宋体" w:hAnsi="宋体" w:cs="宋体"/>
                <w:b/>
                <w:bCs/>
                <w:color w:val="auto"/>
                <w:sz w:val="24"/>
              </w:rPr>
              <w:t>发证单位</w:t>
            </w:r>
          </w:p>
        </w:tc>
        <w:tc>
          <w:tcPr>
            <w:tcW w:w="2260" w:type="dxa"/>
            <w:tcBorders>
              <w:top w:val="single" w:color="auto" w:sz="4" w:space="0"/>
              <w:bottom w:val="single" w:color="auto" w:sz="4" w:space="0"/>
            </w:tcBorders>
          </w:tcPr>
          <w:p w14:paraId="75E9D0DF">
            <w:pPr>
              <w:pStyle w:val="41"/>
              <w:spacing w:after="0" w:line="312" w:lineRule="auto"/>
              <w:jc w:val="center"/>
              <w:rPr>
                <w:rFonts w:hint="eastAsia" w:ascii="宋体" w:hAnsi="宋体" w:cs="宋体"/>
                <w:b/>
                <w:bCs/>
                <w:color w:val="auto"/>
                <w:sz w:val="24"/>
              </w:rPr>
            </w:pPr>
            <w:r>
              <w:rPr>
                <w:rFonts w:hint="eastAsia" w:ascii="宋体" w:hAnsi="宋体" w:cs="宋体"/>
                <w:b/>
                <w:bCs/>
                <w:color w:val="auto"/>
                <w:sz w:val="24"/>
              </w:rPr>
              <w:t>证书等级</w:t>
            </w:r>
          </w:p>
        </w:tc>
        <w:tc>
          <w:tcPr>
            <w:tcW w:w="2047" w:type="dxa"/>
            <w:tcBorders>
              <w:top w:val="single" w:color="auto" w:sz="4" w:space="0"/>
              <w:bottom w:val="single" w:color="auto" w:sz="4" w:space="0"/>
              <w:right w:val="single" w:color="auto" w:sz="4" w:space="0"/>
            </w:tcBorders>
          </w:tcPr>
          <w:p w14:paraId="25FEEF27">
            <w:pPr>
              <w:pStyle w:val="41"/>
              <w:spacing w:after="0" w:line="312" w:lineRule="auto"/>
              <w:jc w:val="center"/>
              <w:rPr>
                <w:rFonts w:hint="eastAsia" w:ascii="宋体" w:hAnsi="宋体" w:cs="宋体"/>
                <w:b/>
                <w:bCs/>
                <w:color w:val="auto"/>
                <w:sz w:val="24"/>
              </w:rPr>
            </w:pPr>
            <w:r>
              <w:rPr>
                <w:rFonts w:hint="eastAsia" w:ascii="宋体" w:hAnsi="宋体" w:cs="宋体"/>
                <w:b/>
                <w:bCs/>
                <w:color w:val="auto"/>
                <w:sz w:val="24"/>
              </w:rPr>
              <w:t>证书有效期</w:t>
            </w:r>
          </w:p>
        </w:tc>
      </w:tr>
      <w:tr w14:paraId="0E28ED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7" w:type="dxa"/>
            <w:tcBorders>
              <w:top w:val="single" w:color="auto" w:sz="4" w:space="0"/>
              <w:left w:val="single" w:color="auto" w:sz="4" w:space="0"/>
            </w:tcBorders>
          </w:tcPr>
          <w:p w14:paraId="11458D68">
            <w:pPr>
              <w:pStyle w:val="41"/>
              <w:spacing w:after="0" w:line="312" w:lineRule="auto"/>
              <w:jc w:val="center"/>
              <w:rPr>
                <w:rFonts w:hint="eastAsia" w:ascii="宋体" w:hAnsi="宋体" w:cs="宋体"/>
                <w:color w:val="auto"/>
                <w:szCs w:val="21"/>
              </w:rPr>
            </w:pPr>
          </w:p>
        </w:tc>
        <w:tc>
          <w:tcPr>
            <w:tcW w:w="2258" w:type="dxa"/>
            <w:tcBorders>
              <w:top w:val="single" w:color="auto" w:sz="4" w:space="0"/>
            </w:tcBorders>
          </w:tcPr>
          <w:p w14:paraId="344E7ED0">
            <w:pPr>
              <w:pStyle w:val="41"/>
              <w:spacing w:after="0" w:line="312" w:lineRule="auto"/>
              <w:jc w:val="center"/>
              <w:rPr>
                <w:rFonts w:hint="eastAsia" w:ascii="宋体" w:hAnsi="宋体" w:cs="宋体"/>
                <w:color w:val="auto"/>
                <w:szCs w:val="21"/>
              </w:rPr>
            </w:pPr>
          </w:p>
        </w:tc>
        <w:tc>
          <w:tcPr>
            <w:tcW w:w="2260" w:type="dxa"/>
            <w:tcBorders>
              <w:top w:val="single" w:color="auto" w:sz="4" w:space="0"/>
            </w:tcBorders>
          </w:tcPr>
          <w:p w14:paraId="4263B599">
            <w:pPr>
              <w:pStyle w:val="41"/>
              <w:spacing w:after="0" w:line="312" w:lineRule="auto"/>
              <w:jc w:val="center"/>
              <w:rPr>
                <w:rFonts w:hint="eastAsia" w:ascii="宋体" w:hAnsi="宋体" w:cs="宋体"/>
                <w:color w:val="auto"/>
                <w:szCs w:val="21"/>
              </w:rPr>
            </w:pPr>
          </w:p>
        </w:tc>
        <w:tc>
          <w:tcPr>
            <w:tcW w:w="2047" w:type="dxa"/>
            <w:tcBorders>
              <w:top w:val="single" w:color="auto" w:sz="4" w:space="0"/>
              <w:right w:val="single" w:color="auto" w:sz="4" w:space="0"/>
            </w:tcBorders>
          </w:tcPr>
          <w:p w14:paraId="063A85BA">
            <w:pPr>
              <w:pStyle w:val="41"/>
              <w:spacing w:after="0" w:line="312" w:lineRule="auto"/>
              <w:jc w:val="center"/>
              <w:rPr>
                <w:rFonts w:hint="eastAsia" w:ascii="宋体" w:hAnsi="宋体" w:cs="宋体"/>
                <w:color w:val="auto"/>
                <w:szCs w:val="21"/>
              </w:rPr>
            </w:pPr>
          </w:p>
        </w:tc>
      </w:tr>
      <w:tr w14:paraId="779315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7" w:type="dxa"/>
            <w:tcBorders>
              <w:left w:val="single" w:color="auto" w:sz="4" w:space="0"/>
            </w:tcBorders>
          </w:tcPr>
          <w:p w14:paraId="532E819B">
            <w:pPr>
              <w:pStyle w:val="41"/>
              <w:spacing w:after="0" w:line="312" w:lineRule="auto"/>
              <w:jc w:val="center"/>
              <w:rPr>
                <w:rFonts w:hint="eastAsia" w:ascii="宋体" w:hAnsi="宋体" w:cs="宋体"/>
                <w:color w:val="auto"/>
                <w:szCs w:val="21"/>
              </w:rPr>
            </w:pPr>
          </w:p>
        </w:tc>
        <w:tc>
          <w:tcPr>
            <w:tcW w:w="2258" w:type="dxa"/>
          </w:tcPr>
          <w:p w14:paraId="3A2EFE69">
            <w:pPr>
              <w:pStyle w:val="41"/>
              <w:spacing w:after="0" w:line="312" w:lineRule="auto"/>
              <w:jc w:val="center"/>
              <w:rPr>
                <w:rFonts w:hint="eastAsia" w:ascii="宋体" w:hAnsi="宋体" w:cs="宋体"/>
                <w:color w:val="auto"/>
                <w:szCs w:val="21"/>
              </w:rPr>
            </w:pPr>
          </w:p>
        </w:tc>
        <w:tc>
          <w:tcPr>
            <w:tcW w:w="2260" w:type="dxa"/>
          </w:tcPr>
          <w:p w14:paraId="37E2D996">
            <w:pPr>
              <w:pStyle w:val="41"/>
              <w:spacing w:after="0" w:line="312" w:lineRule="auto"/>
              <w:jc w:val="center"/>
              <w:rPr>
                <w:rFonts w:hint="eastAsia" w:ascii="宋体" w:hAnsi="宋体" w:cs="宋体"/>
                <w:color w:val="auto"/>
                <w:szCs w:val="21"/>
              </w:rPr>
            </w:pPr>
          </w:p>
        </w:tc>
        <w:tc>
          <w:tcPr>
            <w:tcW w:w="2047" w:type="dxa"/>
            <w:tcBorders>
              <w:right w:val="single" w:color="auto" w:sz="4" w:space="0"/>
            </w:tcBorders>
          </w:tcPr>
          <w:p w14:paraId="14C2285C">
            <w:pPr>
              <w:pStyle w:val="41"/>
              <w:spacing w:after="0" w:line="312" w:lineRule="auto"/>
              <w:jc w:val="center"/>
              <w:rPr>
                <w:rFonts w:hint="eastAsia" w:ascii="宋体" w:hAnsi="宋体" w:cs="宋体"/>
                <w:color w:val="auto"/>
                <w:szCs w:val="21"/>
              </w:rPr>
            </w:pPr>
          </w:p>
        </w:tc>
      </w:tr>
      <w:tr w14:paraId="69795F8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7" w:type="dxa"/>
            <w:tcBorders>
              <w:left w:val="single" w:color="auto" w:sz="4" w:space="0"/>
            </w:tcBorders>
          </w:tcPr>
          <w:p w14:paraId="60A26108">
            <w:pPr>
              <w:pStyle w:val="41"/>
              <w:spacing w:after="0" w:line="312" w:lineRule="auto"/>
              <w:jc w:val="center"/>
              <w:rPr>
                <w:rFonts w:hint="eastAsia" w:ascii="宋体" w:hAnsi="宋体" w:cs="宋体"/>
                <w:color w:val="auto"/>
                <w:szCs w:val="21"/>
              </w:rPr>
            </w:pPr>
          </w:p>
        </w:tc>
        <w:tc>
          <w:tcPr>
            <w:tcW w:w="2258" w:type="dxa"/>
          </w:tcPr>
          <w:p w14:paraId="50715FA0">
            <w:pPr>
              <w:pStyle w:val="41"/>
              <w:spacing w:after="0" w:line="312" w:lineRule="auto"/>
              <w:jc w:val="center"/>
              <w:rPr>
                <w:rFonts w:hint="eastAsia" w:ascii="宋体" w:hAnsi="宋体" w:cs="宋体"/>
                <w:color w:val="auto"/>
                <w:szCs w:val="21"/>
              </w:rPr>
            </w:pPr>
          </w:p>
        </w:tc>
        <w:tc>
          <w:tcPr>
            <w:tcW w:w="2260" w:type="dxa"/>
          </w:tcPr>
          <w:p w14:paraId="286E504C">
            <w:pPr>
              <w:pStyle w:val="41"/>
              <w:spacing w:after="0" w:line="312" w:lineRule="auto"/>
              <w:jc w:val="center"/>
              <w:rPr>
                <w:rFonts w:hint="eastAsia" w:ascii="宋体" w:hAnsi="宋体" w:cs="宋体"/>
                <w:color w:val="auto"/>
                <w:szCs w:val="21"/>
              </w:rPr>
            </w:pPr>
          </w:p>
        </w:tc>
        <w:tc>
          <w:tcPr>
            <w:tcW w:w="2047" w:type="dxa"/>
            <w:tcBorders>
              <w:right w:val="single" w:color="auto" w:sz="4" w:space="0"/>
            </w:tcBorders>
          </w:tcPr>
          <w:p w14:paraId="2B0B3EEA">
            <w:pPr>
              <w:pStyle w:val="41"/>
              <w:spacing w:after="0" w:line="312" w:lineRule="auto"/>
              <w:jc w:val="center"/>
              <w:rPr>
                <w:rFonts w:hint="eastAsia" w:ascii="宋体" w:hAnsi="宋体" w:cs="宋体"/>
                <w:color w:val="auto"/>
                <w:szCs w:val="21"/>
              </w:rPr>
            </w:pPr>
          </w:p>
        </w:tc>
      </w:tr>
      <w:tr w14:paraId="066D3E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7" w:type="dxa"/>
            <w:tcBorders>
              <w:left w:val="single" w:color="auto" w:sz="4" w:space="0"/>
            </w:tcBorders>
          </w:tcPr>
          <w:p w14:paraId="70530460">
            <w:pPr>
              <w:pStyle w:val="41"/>
              <w:spacing w:after="0" w:line="312" w:lineRule="auto"/>
              <w:jc w:val="center"/>
              <w:rPr>
                <w:rFonts w:hint="eastAsia" w:ascii="宋体" w:hAnsi="宋体" w:cs="宋体"/>
                <w:color w:val="auto"/>
                <w:szCs w:val="21"/>
              </w:rPr>
            </w:pPr>
          </w:p>
        </w:tc>
        <w:tc>
          <w:tcPr>
            <w:tcW w:w="2258" w:type="dxa"/>
          </w:tcPr>
          <w:p w14:paraId="3BDBCF83">
            <w:pPr>
              <w:pStyle w:val="41"/>
              <w:spacing w:after="0" w:line="312" w:lineRule="auto"/>
              <w:jc w:val="center"/>
              <w:rPr>
                <w:rFonts w:hint="eastAsia" w:ascii="宋体" w:hAnsi="宋体" w:cs="宋体"/>
                <w:color w:val="auto"/>
                <w:szCs w:val="21"/>
              </w:rPr>
            </w:pPr>
          </w:p>
        </w:tc>
        <w:tc>
          <w:tcPr>
            <w:tcW w:w="2260" w:type="dxa"/>
          </w:tcPr>
          <w:p w14:paraId="7AB49925">
            <w:pPr>
              <w:pStyle w:val="41"/>
              <w:spacing w:after="0" w:line="312" w:lineRule="auto"/>
              <w:jc w:val="center"/>
              <w:rPr>
                <w:rFonts w:hint="eastAsia" w:ascii="宋体" w:hAnsi="宋体" w:cs="宋体"/>
                <w:color w:val="auto"/>
                <w:szCs w:val="21"/>
              </w:rPr>
            </w:pPr>
          </w:p>
        </w:tc>
        <w:tc>
          <w:tcPr>
            <w:tcW w:w="2047" w:type="dxa"/>
            <w:tcBorders>
              <w:right w:val="single" w:color="auto" w:sz="4" w:space="0"/>
            </w:tcBorders>
          </w:tcPr>
          <w:p w14:paraId="7D64285C">
            <w:pPr>
              <w:pStyle w:val="41"/>
              <w:spacing w:after="0" w:line="312" w:lineRule="auto"/>
              <w:jc w:val="center"/>
              <w:rPr>
                <w:rFonts w:hint="eastAsia" w:ascii="宋体" w:hAnsi="宋体" w:cs="宋体"/>
                <w:color w:val="auto"/>
                <w:szCs w:val="21"/>
              </w:rPr>
            </w:pPr>
          </w:p>
        </w:tc>
      </w:tr>
      <w:tr w14:paraId="539FF57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7" w:type="dxa"/>
            <w:tcBorders>
              <w:left w:val="single" w:color="auto" w:sz="4" w:space="0"/>
            </w:tcBorders>
          </w:tcPr>
          <w:p w14:paraId="280159FB">
            <w:pPr>
              <w:pStyle w:val="41"/>
              <w:spacing w:after="0" w:line="312" w:lineRule="auto"/>
              <w:jc w:val="center"/>
              <w:rPr>
                <w:rFonts w:hint="eastAsia" w:ascii="宋体" w:hAnsi="宋体" w:cs="宋体"/>
                <w:color w:val="auto"/>
                <w:szCs w:val="21"/>
              </w:rPr>
            </w:pPr>
          </w:p>
        </w:tc>
        <w:tc>
          <w:tcPr>
            <w:tcW w:w="2258" w:type="dxa"/>
          </w:tcPr>
          <w:p w14:paraId="56E5BF5C">
            <w:pPr>
              <w:pStyle w:val="41"/>
              <w:spacing w:after="0" w:line="312" w:lineRule="auto"/>
              <w:jc w:val="center"/>
              <w:rPr>
                <w:rFonts w:hint="eastAsia" w:ascii="宋体" w:hAnsi="宋体" w:cs="宋体"/>
                <w:color w:val="auto"/>
                <w:szCs w:val="21"/>
              </w:rPr>
            </w:pPr>
          </w:p>
        </w:tc>
        <w:tc>
          <w:tcPr>
            <w:tcW w:w="2260" w:type="dxa"/>
          </w:tcPr>
          <w:p w14:paraId="46EB09B5">
            <w:pPr>
              <w:pStyle w:val="41"/>
              <w:spacing w:after="0" w:line="312" w:lineRule="auto"/>
              <w:jc w:val="center"/>
              <w:rPr>
                <w:rFonts w:hint="eastAsia" w:ascii="宋体" w:hAnsi="宋体" w:cs="宋体"/>
                <w:color w:val="auto"/>
                <w:szCs w:val="21"/>
              </w:rPr>
            </w:pPr>
          </w:p>
        </w:tc>
        <w:tc>
          <w:tcPr>
            <w:tcW w:w="2047" w:type="dxa"/>
            <w:tcBorders>
              <w:right w:val="single" w:color="auto" w:sz="4" w:space="0"/>
            </w:tcBorders>
          </w:tcPr>
          <w:p w14:paraId="41E04410">
            <w:pPr>
              <w:pStyle w:val="41"/>
              <w:spacing w:after="0" w:line="312" w:lineRule="auto"/>
              <w:jc w:val="center"/>
              <w:rPr>
                <w:rFonts w:hint="eastAsia" w:ascii="宋体" w:hAnsi="宋体" w:cs="宋体"/>
                <w:color w:val="auto"/>
                <w:szCs w:val="21"/>
              </w:rPr>
            </w:pPr>
          </w:p>
        </w:tc>
      </w:tr>
      <w:tr w14:paraId="0B7770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7" w:type="dxa"/>
            <w:tcBorders>
              <w:left w:val="single" w:color="auto" w:sz="4" w:space="0"/>
            </w:tcBorders>
          </w:tcPr>
          <w:p w14:paraId="3A981C3D">
            <w:pPr>
              <w:pStyle w:val="41"/>
              <w:spacing w:after="0" w:line="312" w:lineRule="auto"/>
              <w:jc w:val="center"/>
              <w:rPr>
                <w:rFonts w:hint="eastAsia" w:ascii="宋体" w:hAnsi="宋体" w:cs="宋体"/>
                <w:color w:val="auto"/>
                <w:szCs w:val="21"/>
              </w:rPr>
            </w:pPr>
          </w:p>
        </w:tc>
        <w:tc>
          <w:tcPr>
            <w:tcW w:w="2258" w:type="dxa"/>
          </w:tcPr>
          <w:p w14:paraId="7880135E">
            <w:pPr>
              <w:pStyle w:val="41"/>
              <w:spacing w:after="0" w:line="312" w:lineRule="auto"/>
              <w:jc w:val="center"/>
              <w:rPr>
                <w:rFonts w:hint="eastAsia" w:ascii="宋体" w:hAnsi="宋体" w:cs="宋体"/>
                <w:color w:val="auto"/>
                <w:szCs w:val="21"/>
              </w:rPr>
            </w:pPr>
          </w:p>
        </w:tc>
        <w:tc>
          <w:tcPr>
            <w:tcW w:w="2260" w:type="dxa"/>
          </w:tcPr>
          <w:p w14:paraId="6473FABA">
            <w:pPr>
              <w:pStyle w:val="41"/>
              <w:spacing w:after="0" w:line="312" w:lineRule="auto"/>
              <w:jc w:val="center"/>
              <w:rPr>
                <w:rFonts w:hint="eastAsia" w:ascii="宋体" w:hAnsi="宋体" w:cs="宋体"/>
                <w:color w:val="auto"/>
                <w:szCs w:val="21"/>
              </w:rPr>
            </w:pPr>
          </w:p>
        </w:tc>
        <w:tc>
          <w:tcPr>
            <w:tcW w:w="2047" w:type="dxa"/>
            <w:tcBorders>
              <w:right w:val="single" w:color="auto" w:sz="4" w:space="0"/>
            </w:tcBorders>
          </w:tcPr>
          <w:p w14:paraId="50669BE5">
            <w:pPr>
              <w:pStyle w:val="41"/>
              <w:spacing w:after="0" w:line="312" w:lineRule="auto"/>
              <w:jc w:val="center"/>
              <w:rPr>
                <w:rFonts w:hint="eastAsia" w:ascii="宋体" w:hAnsi="宋体" w:cs="宋体"/>
                <w:color w:val="auto"/>
                <w:szCs w:val="21"/>
              </w:rPr>
            </w:pPr>
          </w:p>
        </w:tc>
      </w:tr>
      <w:tr w14:paraId="38A5FE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7" w:type="dxa"/>
            <w:tcBorders>
              <w:left w:val="single" w:color="auto" w:sz="4" w:space="0"/>
              <w:bottom w:val="single" w:color="auto" w:sz="4" w:space="0"/>
            </w:tcBorders>
          </w:tcPr>
          <w:p w14:paraId="001E8744">
            <w:pPr>
              <w:pStyle w:val="41"/>
              <w:spacing w:after="0" w:line="312" w:lineRule="auto"/>
              <w:jc w:val="center"/>
              <w:rPr>
                <w:rFonts w:hint="eastAsia" w:ascii="宋体" w:hAnsi="宋体" w:cs="宋体"/>
                <w:color w:val="auto"/>
                <w:szCs w:val="21"/>
              </w:rPr>
            </w:pPr>
          </w:p>
        </w:tc>
        <w:tc>
          <w:tcPr>
            <w:tcW w:w="2258" w:type="dxa"/>
            <w:tcBorders>
              <w:bottom w:val="single" w:color="auto" w:sz="4" w:space="0"/>
            </w:tcBorders>
          </w:tcPr>
          <w:p w14:paraId="2E37E943">
            <w:pPr>
              <w:pStyle w:val="41"/>
              <w:spacing w:after="0" w:line="312" w:lineRule="auto"/>
              <w:jc w:val="center"/>
              <w:rPr>
                <w:rFonts w:hint="eastAsia" w:ascii="宋体" w:hAnsi="宋体" w:cs="宋体"/>
                <w:color w:val="auto"/>
                <w:szCs w:val="21"/>
              </w:rPr>
            </w:pPr>
          </w:p>
        </w:tc>
        <w:tc>
          <w:tcPr>
            <w:tcW w:w="2260" w:type="dxa"/>
            <w:tcBorders>
              <w:bottom w:val="single" w:color="auto" w:sz="4" w:space="0"/>
            </w:tcBorders>
          </w:tcPr>
          <w:p w14:paraId="31FC739A">
            <w:pPr>
              <w:pStyle w:val="41"/>
              <w:spacing w:after="0" w:line="312" w:lineRule="auto"/>
              <w:jc w:val="center"/>
              <w:rPr>
                <w:rFonts w:hint="eastAsia" w:ascii="宋体" w:hAnsi="宋体" w:cs="宋体"/>
                <w:color w:val="auto"/>
                <w:szCs w:val="21"/>
              </w:rPr>
            </w:pPr>
          </w:p>
        </w:tc>
        <w:tc>
          <w:tcPr>
            <w:tcW w:w="2047" w:type="dxa"/>
            <w:tcBorders>
              <w:bottom w:val="single" w:color="auto" w:sz="4" w:space="0"/>
              <w:right w:val="single" w:color="auto" w:sz="4" w:space="0"/>
            </w:tcBorders>
          </w:tcPr>
          <w:p w14:paraId="3CEBAF04">
            <w:pPr>
              <w:pStyle w:val="41"/>
              <w:spacing w:after="0" w:line="312" w:lineRule="auto"/>
              <w:jc w:val="center"/>
              <w:rPr>
                <w:rFonts w:hint="eastAsia" w:ascii="宋体" w:hAnsi="宋体" w:cs="宋体"/>
                <w:color w:val="auto"/>
                <w:szCs w:val="21"/>
              </w:rPr>
            </w:pPr>
          </w:p>
        </w:tc>
      </w:tr>
    </w:tbl>
    <w:p w14:paraId="53270A1C">
      <w:pPr>
        <w:pStyle w:val="41"/>
        <w:tabs>
          <w:tab w:val="left" w:pos="1050"/>
        </w:tabs>
        <w:spacing w:after="0" w:line="312" w:lineRule="auto"/>
        <w:rPr>
          <w:rFonts w:hint="eastAsia" w:ascii="宋体" w:hAnsi="宋体" w:cs="宋体"/>
          <w:color w:val="auto"/>
          <w:sz w:val="24"/>
        </w:rPr>
      </w:pPr>
    </w:p>
    <w:p w14:paraId="6AE70456">
      <w:pPr>
        <w:pStyle w:val="41"/>
        <w:tabs>
          <w:tab w:val="left" w:pos="1050"/>
        </w:tabs>
        <w:spacing w:after="0" w:line="312" w:lineRule="auto"/>
        <w:rPr>
          <w:rFonts w:hint="eastAsia" w:ascii="宋体" w:hAnsi="宋体" w:cs="宋体"/>
          <w:color w:val="auto"/>
          <w:sz w:val="24"/>
        </w:rPr>
      </w:pPr>
    </w:p>
    <w:p w14:paraId="43F52917">
      <w:pPr>
        <w:pStyle w:val="41"/>
        <w:tabs>
          <w:tab w:val="left" w:pos="1050"/>
        </w:tabs>
        <w:spacing w:after="0" w:line="312" w:lineRule="auto"/>
        <w:rPr>
          <w:rFonts w:hint="eastAsia" w:ascii="宋体" w:hAnsi="宋体" w:cs="宋体"/>
          <w:color w:val="auto"/>
          <w:sz w:val="24"/>
        </w:rPr>
      </w:pPr>
    </w:p>
    <w:p w14:paraId="4D4C39DC">
      <w:pPr>
        <w:pStyle w:val="41"/>
        <w:tabs>
          <w:tab w:val="left" w:pos="1050"/>
        </w:tabs>
        <w:spacing w:after="0" w:line="312" w:lineRule="auto"/>
        <w:rPr>
          <w:rFonts w:hint="eastAsia" w:ascii="宋体" w:hAnsi="宋体" w:cs="宋体"/>
          <w:color w:val="auto"/>
          <w:sz w:val="24"/>
        </w:rPr>
      </w:pPr>
    </w:p>
    <w:p w14:paraId="48BC763D">
      <w:pPr>
        <w:pStyle w:val="41"/>
        <w:tabs>
          <w:tab w:val="left" w:pos="1050"/>
        </w:tabs>
        <w:spacing w:after="0" w:line="312" w:lineRule="auto"/>
        <w:rPr>
          <w:rFonts w:hint="eastAsia" w:ascii="宋体" w:hAnsi="宋体" w:cs="宋体"/>
          <w:color w:val="auto"/>
          <w:sz w:val="24"/>
        </w:rPr>
      </w:pPr>
    </w:p>
    <w:p w14:paraId="01D44988">
      <w:pPr>
        <w:pStyle w:val="41"/>
        <w:tabs>
          <w:tab w:val="left" w:pos="1050"/>
        </w:tabs>
        <w:spacing w:after="0" w:line="312" w:lineRule="auto"/>
        <w:rPr>
          <w:rFonts w:hint="eastAsia" w:ascii="宋体" w:hAnsi="宋体" w:cs="宋体"/>
          <w:color w:val="auto"/>
          <w:sz w:val="24"/>
        </w:rPr>
      </w:pPr>
    </w:p>
    <w:p w14:paraId="00C8A440">
      <w:pPr>
        <w:pStyle w:val="41"/>
        <w:tabs>
          <w:tab w:val="left" w:pos="1050"/>
        </w:tabs>
        <w:spacing w:after="0" w:line="312" w:lineRule="auto"/>
        <w:rPr>
          <w:rFonts w:hint="eastAsia" w:ascii="宋体" w:hAnsi="宋体" w:cs="宋体"/>
          <w:color w:val="auto"/>
          <w:sz w:val="24"/>
        </w:rPr>
      </w:pPr>
    </w:p>
    <w:p w14:paraId="1BBBABEA">
      <w:pPr>
        <w:pStyle w:val="41"/>
        <w:tabs>
          <w:tab w:val="left" w:pos="1050"/>
        </w:tabs>
        <w:spacing w:after="0" w:line="312" w:lineRule="auto"/>
        <w:rPr>
          <w:rFonts w:hint="eastAsia" w:ascii="宋体" w:hAnsi="宋体" w:cs="宋体"/>
          <w:color w:val="auto"/>
          <w:szCs w:val="21"/>
        </w:rPr>
      </w:pPr>
      <w:r>
        <w:rPr>
          <w:rFonts w:hint="eastAsia" w:ascii="宋体" w:hAnsi="宋体" w:cs="宋体"/>
          <w:b/>
          <w:color w:val="auto"/>
          <w:szCs w:val="21"/>
        </w:rPr>
        <w:t>要求：</w:t>
      </w:r>
    </w:p>
    <w:p w14:paraId="09BEFE63">
      <w:pPr>
        <w:pStyle w:val="41"/>
        <w:tabs>
          <w:tab w:val="left" w:pos="1050"/>
        </w:tabs>
        <w:spacing w:after="0" w:line="312" w:lineRule="auto"/>
        <w:ind w:firstLine="424" w:firstLineChars="202"/>
        <w:rPr>
          <w:rFonts w:hint="eastAsia" w:ascii="宋体" w:hAnsi="宋体" w:cs="宋体"/>
          <w:color w:val="auto"/>
          <w:szCs w:val="21"/>
        </w:rPr>
      </w:pPr>
      <w:r>
        <w:rPr>
          <w:rFonts w:hint="eastAsia" w:ascii="宋体" w:hAnsi="宋体" w:cs="宋体"/>
          <w:color w:val="auto"/>
          <w:szCs w:val="21"/>
        </w:rPr>
        <w:t>1.填写投标人获得资质、认证或企业信誉证书；</w:t>
      </w:r>
    </w:p>
    <w:p w14:paraId="7F31CF4A">
      <w:pPr>
        <w:pStyle w:val="41"/>
        <w:tabs>
          <w:tab w:val="left" w:pos="1050"/>
        </w:tabs>
        <w:spacing w:after="0" w:line="312" w:lineRule="auto"/>
        <w:ind w:firstLine="424" w:firstLineChars="202"/>
        <w:rPr>
          <w:rFonts w:hint="eastAsia" w:ascii="宋体" w:hAnsi="宋体" w:cs="宋体"/>
          <w:color w:val="auto"/>
          <w:sz w:val="24"/>
        </w:rPr>
      </w:pPr>
      <w:r>
        <w:rPr>
          <w:rFonts w:hint="eastAsia" w:ascii="宋体" w:hAnsi="宋体" w:cs="宋体"/>
          <w:color w:val="auto"/>
          <w:szCs w:val="21"/>
        </w:rPr>
        <w:t>2.附所列证书复印件或其他证明材料。</w:t>
      </w:r>
    </w:p>
    <w:p w14:paraId="34EA33FB">
      <w:pPr>
        <w:pStyle w:val="41"/>
        <w:tabs>
          <w:tab w:val="left" w:pos="1050"/>
        </w:tabs>
        <w:spacing w:after="0" w:line="312" w:lineRule="auto"/>
        <w:ind w:firstLine="720" w:firstLineChars="300"/>
        <w:rPr>
          <w:rFonts w:hint="eastAsia" w:ascii="宋体" w:hAnsi="宋体" w:cs="宋体"/>
          <w:color w:val="auto"/>
          <w:sz w:val="24"/>
        </w:rPr>
      </w:pPr>
    </w:p>
    <w:p w14:paraId="17D905D1">
      <w:pPr>
        <w:spacing w:after="0" w:line="312" w:lineRule="auto"/>
        <w:ind w:firstLine="424" w:firstLineChars="177"/>
        <w:rPr>
          <w:rFonts w:hint="eastAsia" w:ascii="宋体" w:hAnsi="宋体" w:cs="宋体"/>
          <w:color w:val="auto"/>
          <w:sz w:val="24"/>
          <w:u w:val="single"/>
        </w:rPr>
      </w:pPr>
      <w:r>
        <w:rPr>
          <w:rFonts w:hint="eastAsia" w:ascii="宋体" w:hAnsi="宋体" w:cs="宋体"/>
          <w:color w:val="auto"/>
          <w:sz w:val="24"/>
        </w:rPr>
        <w:t>投标人名称（盖章）：</w:t>
      </w:r>
    </w:p>
    <w:p w14:paraId="7BC0F066">
      <w:pPr>
        <w:spacing w:after="0" w:line="312" w:lineRule="auto"/>
        <w:ind w:firstLine="424" w:firstLineChars="177"/>
        <w:rPr>
          <w:rFonts w:hint="eastAsia" w:ascii="宋体" w:hAnsi="宋体" w:cs="宋体"/>
          <w:color w:val="auto"/>
          <w:sz w:val="24"/>
        </w:rPr>
      </w:pPr>
      <w:r>
        <w:rPr>
          <w:rFonts w:hint="eastAsia" w:ascii="宋体" w:hAnsi="宋体" w:cs="宋体"/>
          <w:color w:val="auto"/>
          <w:sz w:val="24"/>
        </w:rPr>
        <w:t>投标人代表签字或盖章：</w:t>
      </w:r>
    </w:p>
    <w:p w14:paraId="33D37237">
      <w:pPr>
        <w:spacing w:after="0" w:line="312" w:lineRule="auto"/>
        <w:ind w:firstLine="424" w:firstLineChars="177"/>
        <w:rPr>
          <w:rFonts w:hint="eastAsia" w:ascii="宋体" w:hAnsi="宋体" w:cs="宋体"/>
          <w:color w:val="auto"/>
          <w:sz w:val="24"/>
        </w:rPr>
      </w:pPr>
      <w:r>
        <w:rPr>
          <w:rFonts w:hint="eastAsia" w:ascii="宋体" w:hAnsi="宋体" w:cs="宋体"/>
          <w:color w:val="auto"/>
          <w:sz w:val="24"/>
        </w:rPr>
        <w:t>职        务：</w:t>
      </w:r>
    </w:p>
    <w:p w14:paraId="51D176E1">
      <w:pPr>
        <w:pStyle w:val="37"/>
        <w:shd w:val="clear" w:color="auto" w:fill="FFFFFF"/>
        <w:spacing w:before="0" w:beforeAutospacing="0" w:after="0" w:afterAutospacing="0" w:line="312" w:lineRule="auto"/>
        <w:ind w:firstLine="424" w:firstLineChars="177"/>
        <w:rPr>
          <w:rFonts w:hint="eastAsia"/>
          <w:color w:val="auto"/>
        </w:rPr>
      </w:pPr>
      <w:r>
        <w:rPr>
          <w:rFonts w:hint="eastAsia"/>
          <w:color w:val="auto"/>
        </w:rPr>
        <w:t>日        期：</w:t>
      </w:r>
    </w:p>
    <w:p w14:paraId="6BCA79D7">
      <w:pPr>
        <w:pStyle w:val="37"/>
        <w:shd w:val="clear" w:color="auto" w:fill="FFFFFF"/>
        <w:spacing w:before="0" w:beforeAutospacing="0" w:after="0" w:afterAutospacing="0" w:line="312" w:lineRule="auto"/>
        <w:ind w:firstLine="424" w:firstLineChars="177"/>
        <w:rPr>
          <w:rFonts w:hint="eastAsia"/>
          <w:color w:val="auto"/>
        </w:rPr>
      </w:pPr>
    </w:p>
    <w:p w14:paraId="51B120B8">
      <w:pPr>
        <w:pStyle w:val="37"/>
        <w:shd w:val="clear" w:color="auto" w:fill="FFFFFF"/>
        <w:spacing w:before="0" w:beforeAutospacing="0" w:after="0" w:afterAutospacing="0" w:line="312" w:lineRule="auto"/>
        <w:ind w:firstLine="424" w:firstLineChars="177"/>
        <w:rPr>
          <w:rFonts w:hint="eastAsia"/>
          <w:color w:val="auto"/>
        </w:rPr>
      </w:pPr>
    </w:p>
    <w:p w14:paraId="1341172D">
      <w:pPr>
        <w:pStyle w:val="37"/>
        <w:shd w:val="clear" w:color="auto" w:fill="FFFFFF"/>
        <w:spacing w:before="0" w:beforeAutospacing="0" w:after="0" w:afterAutospacing="0" w:line="312" w:lineRule="auto"/>
        <w:ind w:firstLine="424" w:firstLineChars="177"/>
        <w:rPr>
          <w:rFonts w:hint="eastAsia"/>
          <w:color w:val="auto"/>
        </w:rPr>
      </w:pPr>
    </w:p>
    <w:p w14:paraId="4322D524">
      <w:pPr>
        <w:pStyle w:val="37"/>
        <w:shd w:val="clear" w:color="auto" w:fill="FFFFFF"/>
        <w:spacing w:before="0" w:beforeAutospacing="0" w:after="0" w:afterAutospacing="0" w:line="312" w:lineRule="auto"/>
        <w:ind w:firstLine="424" w:firstLineChars="177"/>
        <w:rPr>
          <w:rFonts w:hint="eastAsia"/>
          <w:color w:val="auto"/>
        </w:rPr>
      </w:pPr>
    </w:p>
    <w:p w14:paraId="2A579DF8">
      <w:pPr>
        <w:pStyle w:val="37"/>
        <w:shd w:val="clear" w:color="auto" w:fill="FFFFFF"/>
        <w:spacing w:before="0" w:beforeAutospacing="0" w:after="0" w:afterAutospacing="0" w:line="312" w:lineRule="auto"/>
        <w:ind w:firstLine="424" w:firstLineChars="177"/>
        <w:rPr>
          <w:rFonts w:hint="eastAsia"/>
          <w:color w:val="auto"/>
        </w:rPr>
      </w:pPr>
    </w:p>
    <w:p w14:paraId="604F6841">
      <w:pPr>
        <w:pStyle w:val="37"/>
        <w:shd w:val="clear" w:color="auto" w:fill="FFFFFF"/>
        <w:spacing w:before="0" w:beforeAutospacing="0" w:after="0" w:afterAutospacing="0" w:line="312" w:lineRule="auto"/>
        <w:rPr>
          <w:rFonts w:hint="eastAsia"/>
          <w:color w:val="auto"/>
        </w:rPr>
      </w:pPr>
    </w:p>
    <w:p w14:paraId="615F62BF">
      <w:pPr>
        <w:spacing w:after="0" w:line="312" w:lineRule="auto"/>
        <w:rPr>
          <w:rFonts w:hint="eastAsia" w:ascii="宋体" w:hAnsi="宋体" w:cs="宋体"/>
          <w:b/>
          <w:color w:val="auto"/>
          <w:sz w:val="28"/>
        </w:rPr>
      </w:pPr>
      <w:r>
        <w:rPr>
          <w:rFonts w:hint="eastAsia" w:ascii="宋体" w:hAnsi="宋体" w:cs="宋体"/>
          <w:b/>
          <w:color w:val="auto"/>
          <w:sz w:val="28"/>
        </w:rPr>
        <w:t>附件10</w:t>
      </w:r>
    </w:p>
    <w:p w14:paraId="235C3120">
      <w:pPr>
        <w:pStyle w:val="40"/>
        <w:spacing w:after="0" w:line="312" w:lineRule="auto"/>
        <w:jc w:val="center"/>
        <w:rPr>
          <w:rFonts w:hint="eastAsia" w:ascii="宋体" w:hAnsi="宋体" w:cs="宋体"/>
          <w:b/>
          <w:color w:val="auto"/>
          <w:sz w:val="32"/>
          <w:szCs w:val="32"/>
        </w:rPr>
      </w:pPr>
      <w:r>
        <w:rPr>
          <w:rFonts w:hint="eastAsia" w:ascii="宋体" w:hAnsi="宋体" w:cs="宋体"/>
          <w:b/>
          <w:color w:val="auto"/>
          <w:sz w:val="32"/>
          <w:szCs w:val="32"/>
        </w:rPr>
        <w:t>投标人类似项目实施情况一览表</w:t>
      </w:r>
    </w:p>
    <w:p w14:paraId="22D55625">
      <w:pPr>
        <w:pStyle w:val="40"/>
        <w:spacing w:after="0" w:line="312" w:lineRule="auto"/>
        <w:jc w:val="center"/>
        <w:rPr>
          <w:rFonts w:hint="eastAsia" w:ascii="宋体" w:hAnsi="宋体" w:cs="宋体"/>
          <w:b/>
          <w:color w:val="auto"/>
          <w:sz w:val="28"/>
          <w:szCs w:val="28"/>
        </w:rPr>
      </w:pPr>
    </w:p>
    <w:tbl>
      <w:tblPr>
        <w:tblStyle w:val="24"/>
        <w:tblW w:w="95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293"/>
        <w:gridCol w:w="1575"/>
        <w:gridCol w:w="1260"/>
        <w:gridCol w:w="1452"/>
        <w:gridCol w:w="1383"/>
        <w:gridCol w:w="2037"/>
      </w:tblGrid>
      <w:tr w14:paraId="72761C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6" w:space="0"/>
              <w:left w:val="single" w:color="auto" w:sz="6" w:space="0"/>
              <w:bottom w:val="single" w:color="auto" w:sz="6" w:space="0"/>
              <w:right w:val="single" w:color="auto" w:sz="6" w:space="0"/>
            </w:tcBorders>
            <w:vAlign w:val="center"/>
          </w:tcPr>
          <w:p w14:paraId="6D5681C9">
            <w:pPr>
              <w:pStyle w:val="40"/>
              <w:spacing w:after="0" w:line="312" w:lineRule="auto"/>
              <w:jc w:val="center"/>
              <w:rPr>
                <w:rFonts w:hint="eastAsia" w:ascii="宋体" w:hAnsi="宋体" w:cs="宋体"/>
                <w:b/>
                <w:bCs/>
                <w:color w:val="auto"/>
                <w:sz w:val="24"/>
              </w:rPr>
            </w:pPr>
            <w:r>
              <w:rPr>
                <w:rFonts w:hint="eastAsia" w:ascii="宋体" w:hAnsi="宋体" w:cs="宋体"/>
                <w:b/>
                <w:bCs/>
                <w:color w:val="auto"/>
                <w:sz w:val="24"/>
              </w:rPr>
              <w:t>序号</w:t>
            </w:r>
          </w:p>
        </w:tc>
        <w:tc>
          <w:tcPr>
            <w:tcW w:w="1293" w:type="dxa"/>
            <w:tcBorders>
              <w:top w:val="single" w:color="auto" w:sz="6" w:space="0"/>
              <w:left w:val="single" w:color="auto" w:sz="6" w:space="0"/>
              <w:bottom w:val="single" w:color="auto" w:sz="6" w:space="0"/>
              <w:right w:val="single" w:color="auto" w:sz="6" w:space="0"/>
            </w:tcBorders>
            <w:vAlign w:val="center"/>
          </w:tcPr>
          <w:p w14:paraId="2ABDECA3">
            <w:pPr>
              <w:pStyle w:val="40"/>
              <w:spacing w:after="0" w:line="312" w:lineRule="auto"/>
              <w:jc w:val="center"/>
              <w:rPr>
                <w:rFonts w:hint="eastAsia" w:ascii="宋体" w:hAnsi="宋体" w:cs="宋体"/>
                <w:b/>
                <w:bCs/>
                <w:color w:val="auto"/>
                <w:sz w:val="24"/>
              </w:rPr>
            </w:pPr>
            <w:r>
              <w:rPr>
                <w:rFonts w:hint="eastAsia" w:ascii="宋体" w:hAnsi="宋体" w:cs="宋体"/>
                <w:b/>
                <w:bCs/>
                <w:color w:val="auto"/>
                <w:sz w:val="24"/>
              </w:rPr>
              <w:t>项目名称</w:t>
            </w:r>
          </w:p>
        </w:tc>
        <w:tc>
          <w:tcPr>
            <w:tcW w:w="1575" w:type="dxa"/>
            <w:tcBorders>
              <w:top w:val="single" w:color="auto" w:sz="6" w:space="0"/>
              <w:left w:val="single" w:color="auto" w:sz="6" w:space="0"/>
              <w:bottom w:val="single" w:color="auto" w:sz="6" w:space="0"/>
              <w:right w:val="single" w:color="auto" w:sz="6" w:space="0"/>
            </w:tcBorders>
            <w:vAlign w:val="center"/>
          </w:tcPr>
          <w:p w14:paraId="532C035A">
            <w:pPr>
              <w:pStyle w:val="40"/>
              <w:spacing w:after="0" w:line="312" w:lineRule="auto"/>
              <w:jc w:val="center"/>
              <w:rPr>
                <w:rFonts w:hint="eastAsia" w:ascii="宋体" w:hAnsi="宋体" w:cs="宋体"/>
                <w:b/>
                <w:bCs/>
                <w:color w:val="auto"/>
                <w:sz w:val="24"/>
              </w:rPr>
            </w:pPr>
            <w:r>
              <w:rPr>
                <w:rFonts w:hint="eastAsia" w:ascii="宋体" w:hAnsi="宋体" w:cs="宋体"/>
                <w:b/>
                <w:bCs/>
                <w:color w:val="auto"/>
                <w:sz w:val="24"/>
              </w:rPr>
              <w:t>项目地址</w:t>
            </w:r>
          </w:p>
        </w:tc>
        <w:tc>
          <w:tcPr>
            <w:tcW w:w="1260" w:type="dxa"/>
            <w:tcBorders>
              <w:top w:val="single" w:color="auto" w:sz="6" w:space="0"/>
              <w:left w:val="single" w:color="auto" w:sz="6" w:space="0"/>
              <w:bottom w:val="single" w:color="auto" w:sz="6" w:space="0"/>
              <w:right w:val="single" w:color="auto" w:sz="6" w:space="0"/>
            </w:tcBorders>
            <w:vAlign w:val="center"/>
          </w:tcPr>
          <w:p w14:paraId="5A89813D">
            <w:pPr>
              <w:pStyle w:val="40"/>
              <w:spacing w:after="0" w:line="312" w:lineRule="auto"/>
              <w:jc w:val="center"/>
              <w:rPr>
                <w:rFonts w:hint="eastAsia" w:ascii="宋体" w:hAnsi="宋体" w:cs="宋体"/>
                <w:b/>
                <w:bCs/>
                <w:color w:val="auto"/>
                <w:sz w:val="24"/>
              </w:rPr>
            </w:pPr>
            <w:r>
              <w:rPr>
                <w:rFonts w:hint="eastAsia" w:ascii="宋体" w:hAnsi="宋体" w:cs="宋体"/>
                <w:b/>
                <w:bCs/>
                <w:color w:val="auto"/>
                <w:sz w:val="24"/>
              </w:rPr>
              <w:t>合同总价</w:t>
            </w:r>
          </w:p>
        </w:tc>
        <w:tc>
          <w:tcPr>
            <w:tcW w:w="1452" w:type="dxa"/>
            <w:tcBorders>
              <w:top w:val="single" w:color="auto" w:sz="6" w:space="0"/>
              <w:left w:val="single" w:color="auto" w:sz="6" w:space="0"/>
              <w:bottom w:val="single" w:color="auto" w:sz="6" w:space="0"/>
              <w:right w:val="single" w:color="auto" w:sz="6" w:space="0"/>
            </w:tcBorders>
            <w:vAlign w:val="center"/>
          </w:tcPr>
          <w:p w14:paraId="682FF06D">
            <w:pPr>
              <w:pStyle w:val="40"/>
              <w:spacing w:after="0" w:line="312" w:lineRule="auto"/>
              <w:jc w:val="center"/>
              <w:rPr>
                <w:rFonts w:hint="eastAsia" w:ascii="宋体" w:hAnsi="宋体" w:cs="宋体"/>
                <w:b/>
                <w:bCs/>
                <w:color w:val="auto"/>
                <w:sz w:val="24"/>
              </w:rPr>
            </w:pPr>
            <w:r>
              <w:rPr>
                <w:rFonts w:hint="eastAsia" w:ascii="宋体" w:hAnsi="宋体" w:cs="宋体"/>
                <w:b/>
                <w:bCs/>
                <w:color w:val="auto"/>
                <w:sz w:val="24"/>
              </w:rPr>
              <w:t>实施时间</w:t>
            </w:r>
          </w:p>
        </w:tc>
        <w:tc>
          <w:tcPr>
            <w:tcW w:w="1383" w:type="dxa"/>
            <w:tcBorders>
              <w:top w:val="single" w:color="auto" w:sz="6" w:space="0"/>
              <w:left w:val="single" w:color="auto" w:sz="6" w:space="0"/>
              <w:bottom w:val="single" w:color="auto" w:sz="6" w:space="0"/>
              <w:right w:val="single" w:color="auto" w:sz="6" w:space="0"/>
            </w:tcBorders>
            <w:vAlign w:val="center"/>
          </w:tcPr>
          <w:p w14:paraId="12277BB0">
            <w:pPr>
              <w:pStyle w:val="40"/>
              <w:spacing w:after="0" w:line="312" w:lineRule="auto"/>
              <w:jc w:val="center"/>
              <w:rPr>
                <w:rFonts w:hint="eastAsia" w:ascii="宋体" w:hAnsi="宋体" w:cs="宋体"/>
                <w:b/>
                <w:bCs/>
                <w:color w:val="auto"/>
                <w:sz w:val="24"/>
              </w:rPr>
            </w:pPr>
            <w:r>
              <w:rPr>
                <w:rFonts w:hint="eastAsia" w:ascii="宋体" w:hAnsi="宋体" w:cs="宋体"/>
                <w:b/>
                <w:bCs/>
                <w:color w:val="auto"/>
                <w:sz w:val="24"/>
              </w:rPr>
              <w:t>项目质量</w:t>
            </w:r>
          </w:p>
        </w:tc>
        <w:tc>
          <w:tcPr>
            <w:tcW w:w="2037" w:type="dxa"/>
            <w:tcBorders>
              <w:top w:val="single" w:color="auto" w:sz="6" w:space="0"/>
              <w:left w:val="single" w:color="auto" w:sz="6" w:space="0"/>
              <w:bottom w:val="single" w:color="auto" w:sz="6" w:space="0"/>
              <w:right w:val="single" w:color="auto" w:sz="6" w:space="0"/>
            </w:tcBorders>
            <w:vAlign w:val="center"/>
          </w:tcPr>
          <w:p w14:paraId="0FC0CC9B">
            <w:pPr>
              <w:pStyle w:val="40"/>
              <w:spacing w:after="0" w:line="312" w:lineRule="auto"/>
              <w:jc w:val="center"/>
              <w:rPr>
                <w:rFonts w:hint="eastAsia" w:ascii="宋体" w:hAnsi="宋体" w:cs="宋体"/>
                <w:b/>
                <w:bCs/>
                <w:color w:val="auto"/>
                <w:sz w:val="24"/>
              </w:rPr>
            </w:pPr>
            <w:r>
              <w:rPr>
                <w:rFonts w:hint="eastAsia" w:ascii="宋体" w:hAnsi="宋体" w:cs="宋体"/>
                <w:b/>
                <w:bCs/>
                <w:color w:val="auto"/>
                <w:sz w:val="24"/>
              </w:rPr>
              <w:t>项目单位名称及其联系人电话</w:t>
            </w:r>
          </w:p>
        </w:tc>
      </w:tr>
      <w:tr w14:paraId="4B4AF9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540" w:type="dxa"/>
            <w:tcBorders>
              <w:top w:val="single" w:color="auto" w:sz="6" w:space="0"/>
              <w:left w:val="single" w:color="auto" w:sz="6" w:space="0"/>
              <w:bottom w:val="single" w:color="auto" w:sz="6" w:space="0"/>
              <w:right w:val="single" w:color="auto" w:sz="6" w:space="0"/>
            </w:tcBorders>
          </w:tcPr>
          <w:p w14:paraId="3833B53B">
            <w:pPr>
              <w:pStyle w:val="40"/>
              <w:spacing w:after="0" w:line="312" w:lineRule="auto"/>
              <w:jc w:val="center"/>
              <w:rPr>
                <w:rFonts w:hint="eastAsia" w:ascii="宋体" w:hAnsi="宋体" w:cs="宋体"/>
                <w:color w:val="auto"/>
                <w:sz w:val="24"/>
              </w:rPr>
            </w:pPr>
            <w:r>
              <w:rPr>
                <w:rFonts w:hint="eastAsia" w:ascii="宋体" w:hAnsi="宋体" w:cs="宋体"/>
                <w:color w:val="auto"/>
                <w:sz w:val="24"/>
              </w:rPr>
              <w:t>1</w:t>
            </w:r>
          </w:p>
        </w:tc>
        <w:tc>
          <w:tcPr>
            <w:tcW w:w="1293" w:type="dxa"/>
            <w:tcBorders>
              <w:top w:val="single" w:color="auto" w:sz="6" w:space="0"/>
              <w:left w:val="single" w:color="auto" w:sz="6" w:space="0"/>
              <w:bottom w:val="single" w:color="auto" w:sz="6" w:space="0"/>
              <w:right w:val="single" w:color="auto" w:sz="6" w:space="0"/>
            </w:tcBorders>
          </w:tcPr>
          <w:p w14:paraId="32BC7353">
            <w:pPr>
              <w:pStyle w:val="40"/>
              <w:spacing w:after="0" w:line="312" w:lineRule="auto"/>
              <w:rPr>
                <w:rFonts w:hint="eastAsia" w:ascii="宋体" w:hAnsi="宋体" w:cs="宋体"/>
                <w:color w:val="auto"/>
                <w:sz w:val="24"/>
              </w:rPr>
            </w:pPr>
          </w:p>
        </w:tc>
        <w:tc>
          <w:tcPr>
            <w:tcW w:w="1575" w:type="dxa"/>
            <w:tcBorders>
              <w:top w:val="single" w:color="auto" w:sz="6" w:space="0"/>
              <w:left w:val="single" w:color="auto" w:sz="6" w:space="0"/>
              <w:bottom w:val="single" w:color="auto" w:sz="6" w:space="0"/>
              <w:right w:val="single" w:color="auto" w:sz="6" w:space="0"/>
            </w:tcBorders>
          </w:tcPr>
          <w:p w14:paraId="02A0F74C">
            <w:pPr>
              <w:pStyle w:val="40"/>
              <w:spacing w:after="0" w:line="312" w:lineRule="auto"/>
              <w:rPr>
                <w:rFonts w:hint="eastAsia" w:ascii="宋体" w:hAnsi="宋体" w:cs="宋体"/>
                <w:color w:val="auto"/>
                <w:sz w:val="24"/>
              </w:rPr>
            </w:pPr>
          </w:p>
        </w:tc>
        <w:tc>
          <w:tcPr>
            <w:tcW w:w="1260" w:type="dxa"/>
            <w:tcBorders>
              <w:top w:val="single" w:color="auto" w:sz="6" w:space="0"/>
              <w:left w:val="single" w:color="auto" w:sz="6" w:space="0"/>
              <w:bottom w:val="single" w:color="auto" w:sz="6" w:space="0"/>
              <w:right w:val="single" w:color="auto" w:sz="6" w:space="0"/>
            </w:tcBorders>
          </w:tcPr>
          <w:p w14:paraId="743BBE4D">
            <w:pPr>
              <w:pStyle w:val="40"/>
              <w:spacing w:after="0" w:line="312" w:lineRule="auto"/>
              <w:rPr>
                <w:rFonts w:hint="eastAsia" w:ascii="宋体" w:hAnsi="宋体" w:cs="宋体"/>
                <w:color w:val="auto"/>
                <w:sz w:val="24"/>
              </w:rPr>
            </w:pPr>
          </w:p>
        </w:tc>
        <w:tc>
          <w:tcPr>
            <w:tcW w:w="1452" w:type="dxa"/>
            <w:tcBorders>
              <w:top w:val="single" w:color="auto" w:sz="6" w:space="0"/>
              <w:left w:val="single" w:color="auto" w:sz="6" w:space="0"/>
              <w:bottom w:val="single" w:color="auto" w:sz="6" w:space="0"/>
              <w:right w:val="single" w:color="auto" w:sz="6" w:space="0"/>
            </w:tcBorders>
          </w:tcPr>
          <w:p w14:paraId="330089CF">
            <w:pPr>
              <w:pStyle w:val="40"/>
              <w:spacing w:after="0" w:line="312" w:lineRule="auto"/>
              <w:rPr>
                <w:rFonts w:hint="eastAsia" w:ascii="宋体" w:hAnsi="宋体" w:cs="宋体"/>
                <w:color w:val="auto"/>
                <w:sz w:val="24"/>
              </w:rPr>
            </w:pPr>
          </w:p>
        </w:tc>
        <w:tc>
          <w:tcPr>
            <w:tcW w:w="1383" w:type="dxa"/>
            <w:tcBorders>
              <w:top w:val="single" w:color="auto" w:sz="6" w:space="0"/>
              <w:left w:val="single" w:color="auto" w:sz="6" w:space="0"/>
              <w:bottom w:val="single" w:color="auto" w:sz="6" w:space="0"/>
              <w:right w:val="single" w:color="auto" w:sz="6" w:space="0"/>
            </w:tcBorders>
          </w:tcPr>
          <w:p w14:paraId="36B3A217">
            <w:pPr>
              <w:pStyle w:val="40"/>
              <w:spacing w:after="0" w:line="312" w:lineRule="auto"/>
              <w:rPr>
                <w:rFonts w:hint="eastAsia" w:ascii="宋体" w:hAnsi="宋体" w:cs="宋体"/>
                <w:color w:val="auto"/>
                <w:sz w:val="24"/>
              </w:rPr>
            </w:pPr>
          </w:p>
        </w:tc>
        <w:tc>
          <w:tcPr>
            <w:tcW w:w="2037" w:type="dxa"/>
            <w:tcBorders>
              <w:top w:val="single" w:color="auto" w:sz="6" w:space="0"/>
              <w:left w:val="single" w:color="auto" w:sz="6" w:space="0"/>
              <w:bottom w:val="single" w:color="auto" w:sz="6" w:space="0"/>
              <w:right w:val="single" w:color="auto" w:sz="6" w:space="0"/>
            </w:tcBorders>
          </w:tcPr>
          <w:p w14:paraId="245E28AB">
            <w:pPr>
              <w:pStyle w:val="40"/>
              <w:spacing w:after="0" w:line="312" w:lineRule="auto"/>
              <w:rPr>
                <w:rFonts w:hint="eastAsia" w:ascii="宋体" w:hAnsi="宋体" w:cs="宋体"/>
                <w:color w:val="auto"/>
                <w:sz w:val="24"/>
              </w:rPr>
            </w:pPr>
          </w:p>
        </w:tc>
      </w:tr>
      <w:tr w14:paraId="61C006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540" w:type="dxa"/>
            <w:tcBorders>
              <w:top w:val="single" w:color="auto" w:sz="6" w:space="0"/>
              <w:left w:val="single" w:color="auto" w:sz="6" w:space="0"/>
              <w:bottom w:val="single" w:color="auto" w:sz="6" w:space="0"/>
              <w:right w:val="single" w:color="auto" w:sz="6" w:space="0"/>
            </w:tcBorders>
          </w:tcPr>
          <w:p w14:paraId="16551A87">
            <w:pPr>
              <w:pStyle w:val="40"/>
              <w:spacing w:after="0" w:line="312" w:lineRule="auto"/>
              <w:jc w:val="center"/>
              <w:rPr>
                <w:rFonts w:hint="eastAsia" w:ascii="宋体" w:hAnsi="宋体" w:cs="宋体"/>
                <w:color w:val="auto"/>
                <w:sz w:val="24"/>
              </w:rPr>
            </w:pPr>
            <w:r>
              <w:rPr>
                <w:rFonts w:hint="eastAsia" w:ascii="宋体" w:hAnsi="宋体" w:cs="宋体"/>
                <w:color w:val="auto"/>
                <w:sz w:val="24"/>
              </w:rPr>
              <w:t>2</w:t>
            </w:r>
          </w:p>
        </w:tc>
        <w:tc>
          <w:tcPr>
            <w:tcW w:w="1293" w:type="dxa"/>
            <w:tcBorders>
              <w:top w:val="single" w:color="auto" w:sz="6" w:space="0"/>
              <w:left w:val="single" w:color="auto" w:sz="6" w:space="0"/>
              <w:bottom w:val="single" w:color="auto" w:sz="6" w:space="0"/>
              <w:right w:val="single" w:color="auto" w:sz="6" w:space="0"/>
            </w:tcBorders>
          </w:tcPr>
          <w:p w14:paraId="59E76144">
            <w:pPr>
              <w:pStyle w:val="40"/>
              <w:spacing w:after="0" w:line="312" w:lineRule="auto"/>
              <w:rPr>
                <w:rFonts w:hint="eastAsia" w:ascii="宋体" w:hAnsi="宋体" w:cs="宋体"/>
                <w:color w:val="auto"/>
                <w:sz w:val="24"/>
              </w:rPr>
            </w:pPr>
          </w:p>
        </w:tc>
        <w:tc>
          <w:tcPr>
            <w:tcW w:w="1575" w:type="dxa"/>
            <w:tcBorders>
              <w:top w:val="single" w:color="auto" w:sz="6" w:space="0"/>
              <w:left w:val="single" w:color="auto" w:sz="6" w:space="0"/>
              <w:bottom w:val="single" w:color="auto" w:sz="6" w:space="0"/>
              <w:right w:val="single" w:color="auto" w:sz="6" w:space="0"/>
            </w:tcBorders>
          </w:tcPr>
          <w:p w14:paraId="1C8B5EB3">
            <w:pPr>
              <w:pStyle w:val="40"/>
              <w:spacing w:after="0" w:line="312" w:lineRule="auto"/>
              <w:rPr>
                <w:rFonts w:hint="eastAsia" w:ascii="宋体" w:hAnsi="宋体" w:cs="宋体"/>
                <w:color w:val="auto"/>
                <w:sz w:val="24"/>
              </w:rPr>
            </w:pPr>
          </w:p>
        </w:tc>
        <w:tc>
          <w:tcPr>
            <w:tcW w:w="1260" w:type="dxa"/>
            <w:tcBorders>
              <w:top w:val="single" w:color="auto" w:sz="6" w:space="0"/>
              <w:left w:val="single" w:color="auto" w:sz="6" w:space="0"/>
              <w:bottom w:val="single" w:color="auto" w:sz="6" w:space="0"/>
              <w:right w:val="single" w:color="auto" w:sz="6" w:space="0"/>
            </w:tcBorders>
          </w:tcPr>
          <w:p w14:paraId="29BCA935">
            <w:pPr>
              <w:pStyle w:val="40"/>
              <w:spacing w:after="0" w:line="312" w:lineRule="auto"/>
              <w:rPr>
                <w:rFonts w:hint="eastAsia" w:ascii="宋体" w:hAnsi="宋体" w:cs="宋体"/>
                <w:color w:val="auto"/>
                <w:sz w:val="24"/>
              </w:rPr>
            </w:pPr>
          </w:p>
        </w:tc>
        <w:tc>
          <w:tcPr>
            <w:tcW w:w="1452" w:type="dxa"/>
            <w:tcBorders>
              <w:top w:val="single" w:color="auto" w:sz="6" w:space="0"/>
              <w:left w:val="single" w:color="auto" w:sz="6" w:space="0"/>
              <w:bottom w:val="single" w:color="auto" w:sz="6" w:space="0"/>
              <w:right w:val="single" w:color="auto" w:sz="6" w:space="0"/>
            </w:tcBorders>
          </w:tcPr>
          <w:p w14:paraId="45B4283A">
            <w:pPr>
              <w:pStyle w:val="40"/>
              <w:spacing w:after="0" w:line="312" w:lineRule="auto"/>
              <w:rPr>
                <w:rFonts w:hint="eastAsia" w:ascii="宋体" w:hAnsi="宋体" w:cs="宋体"/>
                <w:color w:val="auto"/>
                <w:sz w:val="24"/>
              </w:rPr>
            </w:pPr>
          </w:p>
        </w:tc>
        <w:tc>
          <w:tcPr>
            <w:tcW w:w="1383" w:type="dxa"/>
            <w:tcBorders>
              <w:top w:val="single" w:color="auto" w:sz="6" w:space="0"/>
              <w:left w:val="single" w:color="auto" w:sz="6" w:space="0"/>
              <w:bottom w:val="single" w:color="auto" w:sz="6" w:space="0"/>
              <w:right w:val="single" w:color="auto" w:sz="6" w:space="0"/>
            </w:tcBorders>
          </w:tcPr>
          <w:p w14:paraId="2B7807F9">
            <w:pPr>
              <w:pStyle w:val="40"/>
              <w:spacing w:after="0" w:line="312" w:lineRule="auto"/>
              <w:rPr>
                <w:rFonts w:hint="eastAsia" w:ascii="宋体" w:hAnsi="宋体" w:cs="宋体"/>
                <w:color w:val="auto"/>
                <w:sz w:val="24"/>
              </w:rPr>
            </w:pPr>
          </w:p>
        </w:tc>
        <w:tc>
          <w:tcPr>
            <w:tcW w:w="2037" w:type="dxa"/>
            <w:tcBorders>
              <w:top w:val="single" w:color="auto" w:sz="6" w:space="0"/>
              <w:left w:val="single" w:color="auto" w:sz="6" w:space="0"/>
              <w:bottom w:val="single" w:color="auto" w:sz="6" w:space="0"/>
              <w:right w:val="single" w:color="auto" w:sz="6" w:space="0"/>
            </w:tcBorders>
          </w:tcPr>
          <w:p w14:paraId="36D69933">
            <w:pPr>
              <w:pStyle w:val="40"/>
              <w:spacing w:after="0" w:line="312" w:lineRule="auto"/>
              <w:rPr>
                <w:rFonts w:hint="eastAsia" w:ascii="宋体" w:hAnsi="宋体" w:cs="宋体"/>
                <w:color w:val="auto"/>
                <w:sz w:val="24"/>
              </w:rPr>
            </w:pPr>
          </w:p>
        </w:tc>
      </w:tr>
      <w:tr w14:paraId="575671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540" w:type="dxa"/>
            <w:tcBorders>
              <w:top w:val="single" w:color="auto" w:sz="6" w:space="0"/>
              <w:left w:val="single" w:color="auto" w:sz="6" w:space="0"/>
              <w:bottom w:val="single" w:color="auto" w:sz="6" w:space="0"/>
              <w:right w:val="single" w:color="auto" w:sz="6" w:space="0"/>
            </w:tcBorders>
          </w:tcPr>
          <w:p w14:paraId="1ED0E48D">
            <w:pPr>
              <w:pStyle w:val="40"/>
              <w:spacing w:after="0" w:line="312" w:lineRule="auto"/>
              <w:jc w:val="center"/>
              <w:rPr>
                <w:rFonts w:hint="eastAsia" w:ascii="宋体" w:hAnsi="宋体" w:cs="宋体"/>
                <w:color w:val="auto"/>
                <w:sz w:val="24"/>
              </w:rPr>
            </w:pPr>
            <w:r>
              <w:rPr>
                <w:rFonts w:hint="eastAsia" w:ascii="宋体" w:hAnsi="宋体" w:cs="宋体"/>
                <w:color w:val="auto"/>
                <w:sz w:val="24"/>
              </w:rPr>
              <w:t>3</w:t>
            </w:r>
          </w:p>
        </w:tc>
        <w:tc>
          <w:tcPr>
            <w:tcW w:w="1293" w:type="dxa"/>
            <w:tcBorders>
              <w:top w:val="single" w:color="auto" w:sz="6" w:space="0"/>
              <w:left w:val="single" w:color="auto" w:sz="6" w:space="0"/>
              <w:bottom w:val="single" w:color="auto" w:sz="6" w:space="0"/>
              <w:right w:val="single" w:color="auto" w:sz="6" w:space="0"/>
            </w:tcBorders>
          </w:tcPr>
          <w:p w14:paraId="4EDCAA0C">
            <w:pPr>
              <w:pStyle w:val="40"/>
              <w:spacing w:after="0" w:line="312" w:lineRule="auto"/>
              <w:rPr>
                <w:rFonts w:hint="eastAsia" w:ascii="宋体" w:hAnsi="宋体" w:cs="宋体"/>
                <w:color w:val="auto"/>
                <w:sz w:val="24"/>
              </w:rPr>
            </w:pPr>
          </w:p>
        </w:tc>
        <w:tc>
          <w:tcPr>
            <w:tcW w:w="1575" w:type="dxa"/>
            <w:tcBorders>
              <w:top w:val="single" w:color="auto" w:sz="6" w:space="0"/>
              <w:left w:val="single" w:color="auto" w:sz="6" w:space="0"/>
              <w:bottom w:val="single" w:color="auto" w:sz="6" w:space="0"/>
              <w:right w:val="single" w:color="auto" w:sz="6" w:space="0"/>
            </w:tcBorders>
          </w:tcPr>
          <w:p w14:paraId="02746A60">
            <w:pPr>
              <w:pStyle w:val="40"/>
              <w:spacing w:after="0" w:line="312" w:lineRule="auto"/>
              <w:rPr>
                <w:rFonts w:hint="eastAsia" w:ascii="宋体" w:hAnsi="宋体" w:cs="宋体"/>
                <w:color w:val="auto"/>
                <w:sz w:val="24"/>
              </w:rPr>
            </w:pPr>
          </w:p>
        </w:tc>
        <w:tc>
          <w:tcPr>
            <w:tcW w:w="1260" w:type="dxa"/>
            <w:tcBorders>
              <w:top w:val="single" w:color="auto" w:sz="6" w:space="0"/>
              <w:left w:val="single" w:color="auto" w:sz="6" w:space="0"/>
              <w:bottom w:val="single" w:color="auto" w:sz="6" w:space="0"/>
              <w:right w:val="single" w:color="auto" w:sz="6" w:space="0"/>
            </w:tcBorders>
          </w:tcPr>
          <w:p w14:paraId="47219A73">
            <w:pPr>
              <w:pStyle w:val="40"/>
              <w:spacing w:after="0" w:line="312" w:lineRule="auto"/>
              <w:rPr>
                <w:rFonts w:hint="eastAsia" w:ascii="宋体" w:hAnsi="宋体" w:cs="宋体"/>
                <w:color w:val="auto"/>
                <w:sz w:val="24"/>
              </w:rPr>
            </w:pPr>
          </w:p>
        </w:tc>
        <w:tc>
          <w:tcPr>
            <w:tcW w:w="1452" w:type="dxa"/>
            <w:tcBorders>
              <w:top w:val="single" w:color="auto" w:sz="6" w:space="0"/>
              <w:left w:val="single" w:color="auto" w:sz="6" w:space="0"/>
              <w:bottom w:val="single" w:color="auto" w:sz="6" w:space="0"/>
              <w:right w:val="single" w:color="auto" w:sz="6" w:space="0"/>
            </w:tcBorders>
          </w:tcPr>
          <w:p w14:paraId="6F2F02BF">
            <w:pPr>
              <w:pStyle w:val="40"/>
              <w:spacing w:after="0" w:line="312" w:lineRule="auto"/>
              <w:rPr>
                <w:rFonts w:hint="eastAsia" w:ascii="宋体" w:hAnsi="宋体" w:cs="宋体"/>
                <w:color w:val="auto"/>
                <w:sz w:val="24"/>
              </w:rPr>
            </w:pPr>
          </w:p>
        </w:tc>
        <w:tc>
          <w:tcPr>
            <w:tcW w:w="1383" w:type="dxa"/>
            <w:tcBorders>
              <w:top w:val="single" w:color="auto" w:sz="6" w:space="0"/>
              <w:left w:val="single" w:color="auto" w:sz="6" w:space="0"/>
              <w:bottom w:val="single" w:color="auto" w:sz="6" w:space="0"/>
              <w:right w:val="single" w:color="auto" w:sz="6" w:space="0"/>
            </w:tcBorders>
          </w:tcPr>
          <w:p w14:paraId="7989497A">
            <w:pPr>
              <w:pStyle w:val="40"/>
              <w:spacing w:after="0" w:line="312" w:lineRule="auto"/>
              <w:rPr>
                <w:rFonts w:hint="eastAsia" w:ascii="宋体" w:hAnsi="宋体" w:cs="宋体"/>
                <w:color w:val="auto"/>
                <w:sz w:val="24"/>
              </w:rPr>
            </w:pPr>
          </w:p>
        </w:tc>
        <w:tc>
          <w:tcPr>
            <w:tcW w:w="2037" w:type="dxa"/>
            <w:tcBorders>
              <w:top w:val="single" w:color="auto" w:sz="6" w:space="0"/>
              <w:left w:val="single" w:color="auto" w:sz="6" w:space="0"/>
              <w:bottom w:val="single" w:color="auto" w:sz="6" w:space="0"/>
              <w:right w:val="single" w:color="auto" w:sz="6" w:space="0"/>
            </w:tcBorders>
          </w:tcPr>
          <w:p w14:paraId="22D4C356">
            <w:pPr>
              <w:pStyle w:val="40"/>
              <w:spacing w:after="0" w:line="312" w:lineRule="auto"/>
              <w:rPr>
                <w:rFonts w:hint="eastAsia" w:ascii="宋体" w:hAnsi="宋体" w:cs="宋体"/>
                <w:color w:val="auto"/>
                <w:sz w:val="24"/>
              </w:rPr>
            </w:pPr>
          </w:p>
        </w:tc>
      </w:tr>
      <w:tr w14:paraId="64EB64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540" w:type="dxa"/>
            <w:tcBorders>
              <w:top w:val="single" w:color="auto" w:sz="6" w:space="0"/>
              <w:left w:val="single" w:color="auto" w:sz="6" w:space="0"/>
              <w:bottom w:val="single" w:color="auto" w:sz="6" w:space="0"/>
              <w:right w:val="single" w:color="auto" w:sz="6" w:space="0"/>
            </w:tcBorders>
          </w:tcPr>
          <w:p w14:paraId="2A3A77D4">
            <w:pPr>
              <w:pStyle w:val="40"/>
              <w:spacing w:after="0" w:line="312" w:lineRule="auto"/>
              <w:rPr>
                <w:rFonts w:hint="eastAsia" w:ascii="宋体" w:hAnsi="宋体" w:cs="宋体"/>
                <w:color w:val="auto"/>
                <w:sz w:val="24"/>
              </w:rPr>
            </w:pPr>
            <w:r>
              <w:rPr>
                <w:rFonts w:hint="eastAsia" w:ascii="宋体" w:hAnsi="宋体" w:cs="宋体"/>
                <w:color w:val="auto"/>
                <w:sz w:val="24"/>
              </w:rPr>
              <w:t>…</w:t>
            </w:r>
          </w:p>
        </w:tc>
        <w:tc>
          <w:tcPr>
            <w:tcW w:w="1293" w:type="dxa"/>
            <w:tcBorders>
              <w:top w:val="single" w:color="auto" w:sz="6" w:space="0"/>
              <w:left w:val="single" w:color="auto" w:sz="6" w:space="0"/>
              <w:bottom w:val="single" w:color="auto" w:sz="6" w:space="0"/>
              <w:right w:val="single" w:color="auto" w:sz="6" w:space="0"/>
            </w:tcBorders>
          </w:tcPr>
          <w:p w14:paraId="2013BD89">
            <w:pPr>
              <w:pStyle w:val="40"/>
              <w:spacing w:after="0" w:line="312" w:lineRule="auto"/>
              <w:rPr>
                <w:rFonts w:hint="eastAsia" w:ascii="宋体" w:hAnsi="宋体" w:cs="宋体"/>
                <w:color w:val="auto"/>
                <w:sz w:val="24"/>
              </w:rPr>
            </w:pPr>
          </w:p>
        </w:tc>
        <w:tc>
          <w:tcPr>
            <w:tcW w:w="1575" w:type="dxa"/>
            <w:tcBorders>
              <w:top w:val="single" w:color="auto" w:sz="6" w:space="0"/>
              <w:left w:val="single" w:color="auto" w:sz="6" w:space="0"/>
              <w:bottom w:val="single" w:color="auto" w:sz="6" w:space="0"/>
              <w:right w:val="single" w:color="auto" w:sz="6" w:space="0"/>
            </w:tcBorders>
          </w:tcPr>
          <w:p w14:paraId="305AE91E">
            <w:pPr>
              <w:pStyle w:val="40"/>
              <w:spacing w:after="0" w:line="312" w:lineRule="auto"/>
              <w:rPr>
                <w:rFonts w:hint="eastAsia" w:ascii="宋体" w:hAnsi="宋体" w:cs="宋体"/>
                <w:color w:val="auto"/>
                <w:sz w:val="24"/>
              </w:rPr>
            </w:pPr>
          </w:p>
        </w:tc>
        <w:tc>
          <w:tcPr>
            <w:tcW w:w="1260" w:type="dxa"/>
            <w:tcBorders>
              <w:top w:val="single" w:color="auto" w:sz="6" w:space="0"/>
              <w:left w:val="single" w:color="auto" w:sz="6" w:space="0"/>
              <w:bottom w:val="single" w:color="auto" w:sz="6" w:space="0"/>
              <w:right w:val="single" w:color="auto" w:sz="6" w:space="0"/>
            </w:tcBorders>
          </w:tcPr>
          <w:p w14:paraId="2AADEE27">
            <w:pPr>
              <w:pStyle w:val="40"/>
              <w:spacing w:after="0" w:line="312" w:lineRule="auto"/>
              <w:rPr>
                <w:rFonts w:hint="eastAsia" w:ascii="宋体" w:hAnsi="宋体" w:cs="宋体"/>
                <w:color w:val="auto"/>
                <w:sz w:val="24"/>
              </w:rPr>
            </w:pPr>
          </w:p>
        </w:tc>
        <w:tc>
          <w:tcPr>
            <w:tcW w:w="1452" w:type="dxa"/>
            <w:tcBorders>
              <w:top w:val="single" w:color="auto" w:sz="6" w:space="0"/>
              <w:left w:val="single" w:color="auto" w:sz="6" w:space="0"/>
              <w:bottom w:val="single" w:color="auto" w:sz="6" w:space="0"/>
              <w:right w:val="single" w:color="auto" w:sz="6" w:space="0"/>
            </w:tcBorders>
          </w:tcPr>
          <w:p w14:paraId="6D96283B">
            <w:pPr>
              <w:pStyle w:val="40"/>
              <w:spacing w:after="0" w:line="312" w:lineRule="auto"/>
              <w:rPr>
                <w:rFonts w:hint="eastAsia" w:ascii="宋体" w:hAnsi="宋体" w:cs="宋体"/>
                <w:color w:val="auto"/>
                <w:sz w:val="24"/>
              </w:rPr>
            </w:pPr>
          </w:p>
        </w:tc>
        <w:tc>
          <w:tcPr>
            <w:tcW w:w="1383" w:type="dxa"/>
            <w:tcBorders>
              <w:top w:val="single" w:color="auto" w:sz="6" w:space="0"/>
              <w:left w:val="single" w:color="auto" w:sz="6" w:space="0"/>
              <w:bottom w:val="single" w:color="auto" w:sz="6" w:space="0"/>
              <w:right w:val="single" w:color="auto" w:sz="6" w:space="0"/>
            </w:tcBorders>
          </w:tcPr>
          <w:p w14:paraId="34924603">
            <w:pPr>
              <w:pStyle w:val="40"/>
              <w:spacing w:after="0" w:line="312" w:lineRule="auto"/>
              <w:rPr>
                <w:rFonts w:hint="eastAsia" w:ascii="宋体" w:hAnsi="宋体" w:cs="宋体"/>
                <w:color w:val="auto"/>
                <w:sz w:val="24"/>
              </w:rPr>
            </w:pPr>
          </w:p>
        </w:tc>
        <w:tc>
          <w:tcPr>
            <w:tcW w:w="2037" w:type="dxa"/>
            <w:tcBorders>
              <w:top w:val="single" w:color="auto" w:sz="6" w:space="0"/>
              <w:left w:val="single" w:color="auto" w:sz="6" w:space="0"/>
              <w:bottom w:val="single" w:color="auto" w:sz="6" w:space="0"/>
              <w:right w:val="single" w:color="auto" w:sz="6" w:space="0"/>
            </w:tcBorders>
          </w:tcPr>
          <w:p w14:paraId="6A94AE30">
            <w:pPr>
              <w:pStyle w:val="40"/>
              <w:spacing w:after="0" w:line="312" w:lineRule="auto"/>
              <w:rPr>
                <w:rFonts w:hint="eastAsia" w:ascii="宋体" w:hAnsi="宋体" w:cs="宋体"/>
                <w:color w:val="auto"/>
                <w:sz w:val="24"/>
              </w:rPr>
            </w:pPr>
          </w:p>
        </w:tc>
      </w:tr>
      <w:tr w14:paraId="7084E1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540" w:type="dxa"/>
            <w:tcBorders>
              <w:top w:val="single" w:color="auto" w:sz="6" w:space="0"/>
              <w:left w:val="single" w:color="auto" w:sz="6" w:space="0"/>
              <w:bottom w:val="single" w:color="auto" w:sz="6" w:space="0"/>
              <w:right w:val="single" w:color="auto" w:sz="6" w:space="0"/>
            </w:tcBorders>
          </w:tcPr>
          <w:p w14:paraId="356CB654">
            <w:pPr>
              <w:pStyle w:val="40"/>
              <w:spacing w:after="0" w:line="312" w:lineRule="auto"/>
              <w:rPr>
                <w:rFonts w:hint="eastAsia" w:ascii="宋体" w:hAnsi="宋体" w:cs="宋体"/>
                <w:color w:val="auto"/>
                <w:sz w:val="24"/>
              </w:rPr>
            </w:pPr>
          </w:p>
        </w:tc>
        <w:tc>
          <w:tcPr>
            <w:tcW w:w="1293" w:type="dxa"/>
            <w:tcBorders>
              <w:top w:val="single" w:color="auto" w:sz="6" w:space="0"/>
              <w:left w:val="single" w:color="auto" w:sz="6" w:space="0"/>
              <w:bottom w:val="single" w:color="auto" w:sz="6" w:space="0"/>
              <w:right w:val="single" w:color="auto" w:sz="6" w:space="0"/>
            </w:tcBorders>
          </w:tcPr>
          <w:p w14:paraId="269B8FC8">
            <w:pPr>
              <w:pStyle w:val="40"/>
              <w:spacing w:after="0" w:line="312" w:lineRule="auto"/>
              <w:rPr>
                <w:rFonts w:hint="eastAsia" w:ascii="宋体" w:hAnsi="宋体" w:cs="宋体"/>
                <w:color w:val="auto"/>
                <w:sz w:val="24"/>
              </w:rPr>
            </w:pPr>
          </w:p>
        </w:tc>
        <w:tc>
          <w:tcPr>
            <w:tcW w:w="1575" w:type="dxa"/>
            <w:tcBorders>
              <w:top w:val="single" w:color="auto" w:sz="6" w:space="0"/>
              <w:left w:val="single" w:color="auto" w:sz="6" w:space="0"/>
              <w:bottom w:val="single" w:color="auto" w:sz="6" w:space="0"/>
              <w:right w:val="single" w:color="auto" w:sz="6" w:space="0"/>
            </w:tcBorders>
          </w:tcPr>
          <w:p w14:paraId="38E7A846">
            <w:pPr>
              <w:pStyle w:val="40"/>
              <w:spacing w:after="0" w:line="312" w:lineRule="auto"/>
              <w:rPr>
                <w:rFonts w:hint="eastAsia" w:ascii="宋体" w:hAnsi="宋体" w:cs="宋体"/>
                <w:color w:val="auto"/>
                <w:sz w:val="24"/>
              </w:rPr>
            </w:pPr>
          </w:p>
        </w:tc>
        <w:tc>
          <w:tcPr>
            <w:tcW w:w="1260" w:type="dxa"/>
            <w:tcBorders>
              <w:top w:val="single" w:color="auto" w:sz="6" w:space="0"/>
              <w:left w:val="single" w:color="auto" w:sz="6" w:space="0"/>
              <w:bottom w:val="single" w:color="auto" w:sz="6" w:space="0"/>
              <w:right w:val="single" w:color="auto" w:sz="6" w:space="0"/>
            </w:tcBorders>
          </w:tcPr>
          <w:p w14:paraId="2A2F5D3F">
            <w:pPr>
              <w:pStyle w:val="40"/>
              <w:spacing w:after="0" w:line="312" w:lineRule="auto"/>
              <w:rPr>
                <w:rFonts w:hint="eastAsia" w:ascii="宋体" w:hAnsi="宋体" w:cs="宋体"/>
                <w:color w:val="auto"/>
                <w:sz w:val="24"/>
              </w:rPr>
            </w:pPr>
          </w:p>
        </w:tc>
        <w:tc>
          <w:tcPr>
            <w:tcW w:w="1452" w:type="dxa"/>
            <w:tcBorders>
              <w:top w:val="single" w:color="auto" w:sz="6" w:space="0"/>
              <w:left w:val="single" w:color="auto" w:sz="6" w:space="0"/>
              <w:bottom w:val="single" w:color="auto" w:sz="6" w:space="0"/>
              <w:right w:val="single" w:color="auto" w:sz="6" w:space="0"/>
            </w:tcBorders>
          </w:tcPr>
          <w:p w14:paraId="76190F3A">
            <w:pPr>
              <w:pStyle w:val="40"/>
              <w:spacing w:after="0" w:line="312" w:lineRule="auto"/>
              <w:rPr>
                <w:rFonts w:hint="eastAsia" w:ascii="宋体" w:hAnsi="宋体" w:cs="宋体"/>
                <w:color w:val="auto"/>
                <w:sz w:val="24"/>
              </w:rPr>
            </w:pPr>
          </w:p>
        </w:tc>
        <w:tc>
          <w:tcPr>
            <w:tcW w:w="1383" w:type="dxa"/>
            <w:tcBorders>
              <w:top w:val="single" w:color="auto" w:sz="6" w:space="0"/>
              <w:left w:val="single" w:color="auto" w:sz="6" w:space="0"/>
              <w:bottom w:val="single" w:color="auto" w:sz="6" w:space="0"/>
              <w:right w:val="single" w:color="auto" w:sz="6" w:space="0"/>
            </w:tcBorders>
          </w:tcPr>
          <w:p w14:paraId="3A6A2001">
            <w:pPr>
              <w:pStyle w:val="40"/>
              <w:spacing w:after="0" w:line="312" w:lineRule="auto"/>
              <w:rPr>
                <w:rFonts w:hint="eastAsia" w:ascii="宋体" w:hAnsi="宋体" w:cs="宋体"/>
                <w:color w:val="auto"/>
                <w:sz w:val="24"/>
              </w:rPr>
            </w:pPr>
          </w:p>
        </w:tc>
        <w:tc>
          <w:tcPr>
            <w:tcW w:w="2037" w:type="dxa"/>
            <w:tcBorders>
              <w:top w:val="single" w:color="auto" w:sz="6" w:space="0"/>
              <w:left w:val="single" w:color="auto" w:sz="6" w:space="0"/>
              <w:bottom w:val="single" w:color="auto" w:sz="6" w:space="0"/>
              <w:right w:val="single" w:color="auto" w:sz="6" w:space="0"/>
            </w:tcBorders>
          </w:tcPr>
          <w:p w14:paraId="145A8AA0">
            <w:pPr>
              <w:pStyle w:val="40"/>
              <w:spacing w:after="0" w:line="312" w:lineRule="auto"/>
              <w:rPr>
                <w:rFonts w:hint="eastAsia" w:ascii="宋体" w:hAnsi="宋体" w:cs="宋体"/>
                <w:color w:val="auto"/>
                <w:sz w:val="24"/>
              </w:rPr>
            </w:pPr>
          </w:p>
        </w:tc>
      </w:tr>
      <w:tr w14:paraId="2E883C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540" w:type="dxa"/>
            <w:tcBorders>
              <w:top w:val="single" w:color="auto" w:sz="6" w:space="0"/>
              <w:left w:val="single" w:color="auto" w:sz="6" w:space="0"/>
              <w:bottom w:val="single" w:color="auto" w:sz="6" w:space="0"/>
              <w:right w:val="single" w:color="auto" w:sz="6" w:space="0"/>
            </w:tcBorders>
          </w:tcPr>
          <w:p w14:paraId="34D79931">
            <w:pPr>
              <w:pStyle w:val="40"/>
              <w:spacing w:after="0" w:line="312" w:lineRule="auto"/>
              <w:rPr>
                <w:rFonts w:hint="eastAsia" w:ascii="宋体" w:hAnsi="宋体" w:cs="宋体"/>
                <w:color w:val="auto"/>
                <w:sz w:val="24"/>
              </w:rPr>
            </w:pPr>
          </w:p>
        </w:tc>
        <w:tc>
          <w:tcPr>
            <w:tcW w:w="1293" w:type="dxa"/>
            <w:tcBorders>
              <w:top w:val="single" w:color="auto" w:sz="6" w:space="0"/>
              <w:left w:val="single" w:color="auto" w:sz="6" w:space="0"/>
              <w:bottom w:val="single" w:color="auto" w:sz="6" w:space="0"/>
              <w:right w:val="single" w:color="auto" w:sz="6" w:space="0"/>
            </w:tcBorders>
          </w:tcPr>
          <w:p w14:paraId="4E1CC24B">
            <w:pPr>
              <w:pStyle w:val="40"/>
              <w:spacing w:after="0" w:line="312" w:lineRule="auto"/>
              <w:rPr>
                <w:rFonts w:hint="eastAsia" w:ascii="宋体" w:hAnsi="宋体" w:cs="宋体"/>
                <w:color w:val="auto"/>
                <w:sz w:val="24"/>
              </w:rPr>
            </w:pPr>
          </w:p>
        </w:tc>
        <w:tc>
          <w:tcPr>
            <w:tcW w:w="1575" w:type="dxa"/>
            <w:tcBorders>
              <w:top w:val="single" w:color="auto" w:sz="6" w:space="0"/>
              <w:left w:val="single" w:color="auto" w:sz="6" w:space="0"/>
              <w:bottom w:val="single" w:color="auto" w:sz="6" w:space="0"/>
              <w:right w:val="single" w:color="auto" w:sz="6" w:space="0"/>
            </w:tcBorders>
          </w:tcPr>
          <w:p w14:paraId="40569AC0">
            <w:pPr>
              <w:pStyle w:val="40"/>
              <w:spacing w:after="0" w:line="312" w:lineRule="auto"/>
              <w:rPr>
                <w:rFonts w:hint="eastAsia" w:ascii="宋体" w:hAnsi="宋体" w:cs="宋体"/>
                <w:color w:val="auto"/>
                <w:sz w:val="24"/>
              </w:rPr>
            </w:pPr>
          </w:p>
        </w:tc>
        <w:tc>
          <w:tcPr>
            <w:tcW w:w="1260" w:type="dxa"/>
            <w:tcBorders>
              <w:top w:val="single" w:color="auto" w:sz="6" w:space="0"/>
              <w:left w:val="single" w:color="auto" w:sz="6" w:space="0"/>
              <w:bottom w:val="single" w:color="auto" w:sz="6" w:space="0"/>
              <w:right w:val="single" w:color="auto" w:sz="6" w:space="0"/>
            </w:tcBorders>
          </w:tcPr>
          <w:p w14:paraId="557B99FB">
            <w:pPr>
              <w:pStyle w:val="40"/>
              <w:spacing w:after="0" w:line="312" w:lineRule="auto"/>
              <w:rPr>
                <w:rFonts w:hint="eastAsia" w:ascii="宋体" w:hAnsi="宋体" w:cs="宋体"/>
                <w:color w:val="auto"/>
                <w:sz w:val="24"/>
              </w:rPr>
            </w:pPr>
          </w:p>
        </w:tc>
        <w:tc>
          <w:tcPr>
            <w:tcW w:w="1452" w:type="dxa"/>
            <w:tcBorders>
              <w:top w:val="single" w:color="auto" w:sz="6" w:space="0"/>
              <w:left w:val="single" w:color="auto" w:sz="6" w:space="0"/>
              <w:bottom w:val="single" w:color="auto" w:sz="6" w:space="0"/>
              <w:right w:val="single" w:color="auto" w:sz="6" w:space="0"/>
            </w:tcBorders>
          </w:tcPr>
          <w:p w14:paraId="01CF110C">
            <w:pPr>
              <w:pStyle w:val="40"/>
              <w:spacing w:after="0" w:line="312" w:lineRule="auto"/>
              <w:rPr>
                <w:rFonts w:hint="eastAsia" w:ascii="宋体" w:hAnsi="宋体" w:cs="宋体"/>
                <w:color w:val="auto"/>
                <w:sz w:val="24"/>
              </w:rPr>
            </w:pPr>
          </w:p>
        </w:tc>
        <w:tc>
          <w:tcPr>
            <w:tcW w:w="1383" w:type="dxa"/>
            <w:tcBorders>
              <w:top w:val="single" w:color="auto" w:sz="6" w:space="0"/>
              <w:left w:val="single" w:color="auto" w:sz="6" w:space="0"/>
              <w:bottom w:val="single" w:color="auto" w:sz="6" w:space="0"/>
              <w:right w:val="single" w:color="auto" w:sz="6" w:space="0"/>
            </w:tcBorders>
          </w:tcPr>
          <w:p w14:paraId="7FCDAB2F">
            <w:pPr>
              <w:pStyle w:val="40"/>
              <w:spacing w:after="0" w:line="312" w:lineRule="auto"/>
              <w:rPr>
                <w:rFonts w:hint="eastAsia" w:ascii="宋体" w:hAnsi="宋体" w:cs="宋体"/>
                <w:color w:val="auto"/>
                <w:sz w:val="24"/>
              </w:rPr>
            </w:pPr>
          </w:p>
        </w:tc>
        <w:tc>
          <w:tcPr>
            <w:tcW w:w="2037" w:type="dxa"/>
            <w:tcBorders>
              <w:top w:val="single" w:color="auto" w:sz="6" w:space="0"/>
              <w:left w:val="single" w:color="auto" w:sz="6" w:space="0"/>
              <w:bottom w:val="single" w:color="auto" w:sz="6" w:space="0"/>
              <w:right w:val="single" w:color="auto" w:sz="6" w:space="0"/>
            </w:tcBorders>
          </w:tcPr>
          <w:p w14:paraId="102D2244">
            <w:pPr>
              <w:pStyle w:val="40"/>
              <w:spacing w:after="0" w:line="312" w:lineRule="auto"/>
              <w:rPr>
                <w:rFonts w:hint="eastAsia" w:ascii="宋体" w:hAnsi="宋体" w:cs="宋体"/>
                <w:color w:val="auto"/>
                <w:sz w:val="24"/>
              </w:rPr>
            </w:pPr>
          </w:p>
        </w:tc>
      </w:tr>
      <w:tr w14:paraId="6A05F7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540" w:type="dxa"/>
            <w:tcBorders>
              <w:top w:val="single" w:color="auto" w:sz="6" w:space="0"/>
              <w:left w:val="single" w:color="auto" w:sz="6" w:space="0"/>
              <w:bottom w:val="single" w:color="auto" w:sz="6" w:space="0"/>
              <w:right w:val="single" w:color="auto" w:sz="6" w:space="0"/>
            </w:tcBorders>
          </w:tcPr>
          <w:p w14:paraId="3B813F7D">
            <w:pPr>
              <w:pStyle w:val="40"/>
              <w:spacing w:after="0" w:line="312" w:lineRule="auto"/>
              <w:rPr>
                <w:rFonts w:hint="eastAsia" w:ascii="宋体" w:hAnsi="宋体" w:cs="宋体"/>
                <w:color w:val="auto"/>
                <w:sz w:val="24"/>
              </w:rPr>
            </w:pPr>
          </w:p>
        </w:tc>
        <w:tc>
          <w:tcPr>
            <w:tcW w:w="1293" w:type="dxa"/>
            <w:tcBorders>
              <w:top w:val="single" w:color="auto" w:sz="6" w:space="0"/>
              <w:left w:val="single" w:color="auto" w:sz="6" w:space="0"/>
              <w:bottom w:val="single" w:color="auto" w:sz="6" w:space="0"/>
              <w:right w:val="single" w:color="auto" w:sz="6" w:space="0"/>
            </w:tcBorders>
          </w:tcPr>
          <w:p w14:paraId="686D679D">
            <w:pPr>
              <w:pStyle w:val="40"/>
              <w:spacing w:after="0" w:line="312" w:lineRule="auto"/>
              <w:rPr>
                <w:rFonts w:hint="eastAsia" w:ascii="宋体" w:hAnsi="宋体" w:cs="宋体"/>
                <w:color w:val="auto"/>
                <w:sz w:val="24"/>
              </w:rPr>
            </w:pPr>
          </w:p>
        </w:tc>
        <w:tc>
          <w:tcPr>
            <w:tcW w:w="1575" w:type="dxa"/>
            <w:tcBorders>
              <w:top w:val="single" w:color="auto" w:sz="6" w:space="0"/>
              <w:left w:val="single" w:color="auto" w:sz="6" w:space="0"/>
              <w:bottom w:val="single" w:color="auto" w:sz="6" w:space="0"/>
              <w:right w:val="single" w:color="auto" w:sz="6" w:space="0"/>
            </w:tcBorders>
          </w:tcPr>
          <w:p w14:paraId="482CDDA2">
            <w:pPr>
              <w:pStyle w:val="40"/>
              <w:spacing w:after="0" w:line="312" w:lineRule="auto"/>
              <w:rPr>
                <w:rFonts w:hint="eastAsia" w:ascii="宋体" w:hAnsi="宋体" w:cs="宋体"/>
                <w:color w:val="auto"/>
                <w:sz w:val="24"/>
              </w:rPr>
            </w:pPr>
          </w:p>
        </w:tc>
        <w:tc>
          <w:tcPr>
            <w:tcW w:w="1260" w:type="dxa"/>
            <w:tcBorders>
              <w:top w:val="single" w:color="auto" w:sz="6" w:space="0"/>
              <w:left w:val="single" w:color="auto" w:sz="6" w:space="0"/>
              <w:bottom w:val="single" w:color="auto" w:sz="6" w:space="0"/>
              <w:right w:val="single" w:color="auto" w:sz="6" w:space="0"/>
            </w:tcBorders>
          </w:tcPr>
          <w:p w14:paraId="7C3F6365">
            <w:pPr>
              <w:pStyle w:val="40"/>
              <w:spacing w:after="0" w:line="312" w:lineRule="auto"/>
              <w:rPr>
                <w:rFonts w:hint="eastAsia" w:ascii="宋体" w:hAnsi="宋体" w:cs="宋体"/>
                <w:color w:val="auto"/>
                <w:sz w:val="24"/>
              </w:rPr>
            </w:pPr>
          </w:p>
        </w:tc>
        <w:tc>
          <w:tcPr>
            <w:tcW w:w="1452" w:type="dxa"/>
            <w:tcBorders>
              <w:top w:val="single" w:color="auto" w:sz="6" w:space="0"/>
              <w:left w:val="single" w:color="auto" w:sz="6" w:space="0"/>
              <w:bottom w:val="single" w:color="auto" w:sz="6" w:space="0"/>
              <w:right w:val="single" w:color="auto" w:sz="6" w:space="0"/>
            </w:tcBorders>
          </w:tcPr>
          <w:p w14:paraId="26D507D6">
            <w:pPr>
              <w:pStyle w:val="40"/>
              <w:spacing w:after="0" w:line="312" w:lineRule="auto"/>
              <w:rPr>
                <w:rFonts w:hint="eastAsia" w:ascii="宋体" w:hAnsi="宋体" w:cs="宋体"/>
                <w:color w:val="auto"/>
                <w:sz w:val="24"/>
              </w:rPr>
            </w:pPr>
          </w:p>
        </w:tc>
        <w:tc>
          <w:tcPr>
            <w:tcW w:w="1383" w:type="dxa"/>
            <w:tcBorders>
              <w:top w:val="single" w:color="auto" w:sz="6" w:space="0"/>
              <w:left w:val="single" w:color="auto" w:sz="6" w:space="0"/>
              <w:bottom w:val="single" w:color="auto" w:sz="6" w:space="0"/>
              <w:right w:val="single" w:color="auto" w:sz="6" w:space="0"/>
            </w:tcBorders>
          </w:tcPr>
          <w:p w14:paraId="559A772E">
            <w:pPr>
              <w:pStyle w:val="40"/>
              <w:spacing w:after="0" w:line="312" w:lineRule="auto"/>
              <w:rPr>
                <w:rFonts w:hint="eastAsia" w:ascii="宋体" w:hAnsi="宋体" w:cs="宋体"/>
                <w:color w:val="auto"/>
                <w:sz w:val="24"/>
              </w:rPr>
            </w:pPr>
          </w:p>
        </w:tc>
        <w:tc>
          <w:tcPr>
            <w:tcW w:w="2037" w:type="dxa"/>
            <w:tcBorders>
              <w:top w:val="single" w:color="auto" w:sz="6" w:space="0"/>
              <w:left w:val="single" w:color="auto" w:sz="6" w:space="0"/>
              <w:bottom w:val="single" w:color="auto" w:sz="6" w:space="0"/>
              <w:right w:val="single" w:color="auto" w:sz="6" w:space="0"/>
            </w:tcBorders>
          </w:tcPr>
          <w:p w14:paraId="21DB02C5">
            <w:pPr>
              <w:pStyle w:val="40"/>
              <w:spacing w:after="0" w:line="312" w:lineRule="auto"/>
              <w:rPr>
                <w:rFonts w:hint="eastAsia" w:ascii="宋体" w:hAnsi="宋体" w:cs="宋体"/>
                <w:color w:val="auto"/>
                <w:sz w:val="24"/>
              </w:rPr>
            </w:pPr>
          </w:p>
        </w:tc>
      </w:tr>
    </w:tbl>
    <w:p w14:paraId="02077623">
      <w:pPr>
        <w:autoSpaceDE w:val="0"/>
        <w:autoSpaceDN w:val="0"/>
        <w:adjustRightInd w:val="0"/>
        <w:spacing w:before="156" w:beforeLines="50" w:after="0" w:line="312" w:lineRule="auto"/>
        <w:rPr>
          <w:rFonts w:hint="eastAsia" w:ascii="宋体" w:hAnsi="宋体" w:cs="宋体"/>
          <w:b/>
          <w:color w:val="auto"/>
          <w:szCs w:val="21"/>
        </w:rPr>
      </w:pPr>
      <w:r>
        <w:rPr>
          <w:rFonts w:hint="eastAsia" w:ascii="宋体" w:hAnsi="宋体" w:cs="宋体"/>
          <w:b/>
          <w:color w:val="auto"/>
          <w:szCs w:val="21"/>
        </w:rPr>
        <w:t>要求：</w:t>
      </w:r>
    </w:p>
    <w:p w14:paraId="734BCC4B">
      <w:pPr>
        <w:autoSpaceDE w:val="0"/>
        <w:autoSpaceDN w:val="0"/>
        <w:adjustRightInd w:val="0"/>
        <w:spacing w:before="156" w:beforeLines="50" w:after="0" w:line="312" w:lineRule="auto"/>
        <w:ind w:firstLine="424" w:firstLineChars="202"/>
        <w:rPr>
          <w:rFonts w:hint="eastAsia" w:ascii="宋体" w:hAnsi="宋体" w:cs="宋体"/>
          <w:b/>
          <w:color w:val="auto"/>
          <w:szCs w:val="21"/>
        </w:rPr>
      </w:pPr>
      <w:r>
        <w:rPr>
          <w:rFonts w:hint="eastAsia" w:ascii="宋体" w:hAnsi="宋体" w:cs="宋体"/>
          <w:color w:val="auto"/>
          <w:szCs w:val="21"/>
        </w:rPr>
        <w:t>1.业绩证明应提供证明材料（合同复印件可只提供首页、含金额页、盖章页并加盖投标人公章）；</w:t>
      </w:r>
    </w:p>
    <w:p w14:paraId="3DE94033">
      <w:pPr>
        <w:spacing w:after="0" w:line="312" w:lineRule="auto"/>
        <w:ind w:firstLine="424" w:firstLineChars="202"/>
        <w:jc w:val="left"/>
        <w:rPr>
          <w:rFonts w:hint="eastAsia" w:ascii="宋体" w:hAnsi="宋体" w:cs="宋体"/>
          <w:color w:val="auto"/>
          <w:sz w:val="22"/>
          <w:szCs w:val="22"/>
        </w:rPr>
      </w:pPr>
      <w:r>
        <w:rPr>
          <w:rFonts w:hint="eastAsia" w:ascii="宋体" w:hAnsi="宋体" w:cs="宋体"/>
          <w:color w:val="auto"/>
          <w:szCs w:val="21"/>
        </w:rPr>
        <w:t>2.报价供应商可按此表格式复制。</w:t>
      </w:r>
    </w:p>
    <w:p w14:paraId="3850C51C">
      <w:pPr>
        <w:spacing w:after="0" w:line="312" w:lineRule="auto"/>
        <w:ind w:left="420"/>
        <w:rPr>
          <w:rFonts w:hint="eastAsia" w:ascii="宋体" w:hAnsi="宋体" w:cs="宋体"/>
          <w:color w:val="auto"/>
          <w:sz w:val="24"/>
        </w:rPr>
      </w:pPr>
    </w:p>
    <w:p w14:paraId="0DA6A22F">
      <w:pPr>
        <w:spacing w:after="0" w:line="312" w:lineRule="auto"/>
        <w:ind w:left="420"/>
        <w:rPr>
          <w:rFonts w:hint="eastAsia" w:ascii="宋体" w:hAnsi="宋体" w:cs="宋体"/>
          <w:color w:val="auto"/>
          <w:sz w:val="24"/>
        </w:rPr>
      </w:pPr>
      <w:r>
        <w:rPr>
          <w:rFonts w:hint="eastAsia" w:ascii="宋体" w:hAnsi="宋体" w:cs="宋体"/>
          <w:color w:val="auto"/>
          <w:sz w:val="24"/>
        </w:rPr>
        <w:t>投标人名称（盖章）：</w:t>
      </w:r>
    </w:p>
    <w:p w14:paraId="4CA8A4D6">
      <w:pPr>
        <w:spacing w:after="0" w:line="312" w:lineRule="auto"/>
        <w:ind w:firstLine="435"/>
        <w:rPr>
          <w:rFonts w:hint="eastAsia" w:ascii="宋体" w:hAnsi="宋体" w:cs="宋体"/>
          <w:color w:val="auto"/>
          <w:sz w:val="24"/>
        </w:rPr>
      </w:pPr>
      <w:r>
        <w:rPr>
          <w:rFonts w:hint="eastAsia" w:ascii="宋体" w:hAnsi="宋体" w:cs="宋体"/>
          <w:color w:val="auto"/>
          <w:sz w:val="24"/>
        </w:rPr>
        <w:t>投标人代表签字或盖章：</w:t>
      </w:r>
    </w:p>
    <w:p w14:paraId="7CC895AF">
      <w:pPr>
        <w:spacing w:after="0" w:line="312" w:lineRule="auto"/>
        <w:ind w:firstLine="435"/>
        <w:rPr>
          <w:rFonts w:hint="eastAsia" w:ascii="宋体" w:hAnsi="宋体" w:cs="宋体"/>
          <w:color w:val="auto"/>
          <w:sz w:val="24"/>
        </w:rPr>
      </w:pPr>
      <w:r>
        <w:rPr>
          <w:rFonts w:hint="eastAsia" w:ascii="宋体" w:hAnsi="宋体" w:cs="宋体"/>
          <w:color w:val="auto"/>
          <w:sz w:val="24"/>
        </w:rPr>
        <w:t>职        务：</w:t>
      </w:r>
    </w:p>
    <w:p w14:paraId="362342A7">
      <w:pPr>
        <w:spacing w:after="0" w:line="312" w:lineRule="auto"/>
        <w:ind w:firstLine="435"/>
        <w:rPr>
          <w:rFonts w:hint="eastAsia" w:ascii="宋体" w:hAnsi="宋体" w:cs="宋体"/>
          <w:color w:val="auto"/>
          <w:sz w:val="24"/>
        </w:rPr>
      </w:pPr>
      <w:r>
        <w:rPr>
          <w:rFonts w:hint="eastAsia" w:ascii="宋体" w:hAnsi="宋体" w:cs="宋体"/>
          <w:color w:val="auto"/>
          <w:sz w:val="24"/>
        </w:rPr>
        <w:t>日        期：</w:t>
      </w:r>
    </w:p>
    <w:p w14:paraId="01C0BFB0">
      <w:pPr>
        <w:pStyle w:val="23"/>
        <w:rPr>
          <w:rFonts w:hint="eastAsia" w:ascii="宋体" w:hAnsi="宋体"/>
          <w:color w:val="auto"/>
          <w:sz w:val="24"/>
        </w:rPr>
      </w:pPr>
    </w:p>
    <w:p w14:paraId="5A866D32">
      <w:pPr>
        <w:pStyle w:val="23"/>
        <w:rPr>
          <w:rFonts w:hint="eastAsia" w:ascii="宋体" w:hAnsi="宋体"/>
          <w:color w:val="auto"/>
          <w:sz w:val="24"/>
        </w:rPr>
      </w:pPr>
    </w:p>
    <w:p w14:paraId="72180216">
      <w:pPr>
        <w:pStyle w:val="23"/>
        <w:rPr>
          <w:rFonts w:hint="eastAsia" w:ascii="宋体" w:hAnsi="宋体"/>
          <w:color w:val="auto"/>
          <w:sz w:val="24"/>
        </w:rPr>
      </w:pPr>
    </w:p>
    <w:p w14:paraId="1E14FE8E">
      <w:pPr>
        <w:pStyle w:val="23"/>
        <w:rPr>
          <w:rFonts w:hint="eastAsia" w:ascii="宋体" w:hAnsi="宋体"/>
          <w:color w:val="auto"/>
          <w:sz w:val="24"/>
        </w:rPr>
      </w:pPr>
    </w:p>
    <w:p w14:paraId="26764B1B">
      <w:pPr>
        <w:pStyle w:val="23"/>
        <w:rPr>
          <w:rFonts w:hint="eastAsia" w:ascii="宋体" w:hAnsi="宋体"/>
          <w:color w:val="auto"/>
          <w:sz w:val="24"/>
        </w:rPr>
      </w:pPr>
    </w:p>
    <w:p w14:paraId="232C0328">
      <w:pPr>
        <w:pStyle w:val="23"/>
        <w:rPr>
          <w:rFonts w:hint="eastAsia" w:ascii="宋体" w:hAnsi="宋体"/>
          <w:color w:val="auto"/>
          <w:sz w:val="24"/>
        </w:rPr>
      </w:pPr>
    </w:p>
    <w:p w14:paraId="6A81DFC8">
      <w:pPr>
        <w:pStyle w:val="23"/>
        <w:rPr>
          <w:rFonts w:hint="eastAsia" w:ascii="宋体" w:hAnsi="宋体"/>
          <w:color w:val="auto"/>
          <w:sz w:val="24"/>
        </w:rPr>
      </w:pPr>
    </w:p>
    <w:p w14:paraId="1372FC16">
      <w:pPr>
        <w:pStyle w:val="23"/>
        <w:ind w:left="0" w:leftChars="0" w:firstLine="0"/>
        <w:rPr>
          <w:rFonts w:hint="eastAsia" w:ascii="宋体" w:hAnsi="宋体"/>
          <w:color w:val="auto"/>
          <w:sz w:val="24"/>
        </w:rPr>
      </w:pPr>
    </w:p>
    <w:p w14:paraId="3D3D9835">
      <w:pPr>
        <w:pStyle w:val="41"/>
        <w:tabs>
          <w:tab w:val="left" w:pos="1050"/>
        </w:tabs>
        <w:spacing w:after="0" w:line="312" w:lineRule="auto"/>
        <w:rPr>
          <w:rFonts w:hint="eastAsia" w:ascii="宋体" w:hAnsi="宋体" w:cs="宋体"/>
          <w:color w:val="auto"/>
          <w:sz w:val="24"/>
        </w:rPr>
      </w:pPr>
      <w:r>
        <w:rPr>
          <w:rFonts w:hint="eastAsia" w:ascii="宋体" w:hAnsi="宋体" w:cs="宋体"/>
          <w:b/>
          <w:color w:val="auto"/>
          <w:sz w:val="28"/>
        </w:rPr>
        <w:t>附件11</w:t>
      </w:r>
    </w:p>
    <w:p w14:paraId="7F04F647">
      <w:pPr>
        <w:spacing w:after="0" w:line="312" w:lineRule="auto"/>
        <w:ind w:left="549" w:hanging="549" w:hangingChars="171"/>
        <w:jc w:val="center"/>
        <w:rPr>
          <w:rFonts w:hint="eastAsia" w:ascii="宋体" w:hAnsi="宋体" w:cs="宋体"/>
          <w:b/>
          <w:color w:val="auto"/>
          <w:sz w:val="32"/>
          <w:szCs w:val="32"/>
        </w:rPr>
      </w:pPr>
      <w:r>
        <w:rPr>
          <w:rFonts w:hint="eastAsia" w:ascii="宋体" w:hAnsi="宋体" w:cs="宋体"/>
          <w:b/>
          <w:color w:val="auto"/>
          <w:sz w:val="32"/>
          <w:szCs w:val="32"/>
        </w:rPr>
        <w:t>资信及商务需求响应表</w:t>
      </w:r>
    </w:p>
    <w:p w14:paraId="7C68F781">
      <w:pPr>
        <w:spacing w:after="0" w:line="312" w:lineRule="auto"/>
        <w:ind w:left="481" w:leftChars="229" w:firstLine="813" w:firstLineChars="450"/>
        <w:rPr>
          <w:rFonts w:hint="eastAsia" w:ascii="宋体" w:hAnsi="宋体" w:cs="宋体"/>
          <w:b/>
          <w:color w:val="auto"/>
          <w:sz w:val="18"/>
          <w:szCs w:val="18"/>
        </w:rPr>
      </w:pPr>
    </w:p>
    <w:tbl>
      <w:tblPr>
        <w:tblStyle w:val="24"/>
        <w:tblW w:w="82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785"/>
        <w:gridCol w:w="1785"/>
        <w:gridCol w:w="1365"/>
        <w:gridCol w:w="2625"/>
      </w:tblGrid>
      <w:tr w14:paraId="60DC6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6" w:hRule="atLeast"/>
        </w:trPr>
        <w:tc>
          <w:tcPr>
            <w:tcW w:w="735" w:type="dxa"/>
            <w:vAlign w:val="center"/>
          </w:tcPr>
          <w:p w14:paraId="61EBF77D">
            <w:pPr>
              <w:spacing w:after="0" w:line="312" w:lineRule="auto"/>
              <w:rPr>
                <w:rFonts w:hint="eastAsia" w:ascii="宋体" w:hAnsi="宋体" w:cs="宋体"/>
                <w:b/>
                <w:color w:val="auto"/>
                <w:sz w:val="24"/>
              </w:rPr>
            </w:pPr>
            <w:r>
              <w:rPr>
                <w:rFonts w:hint="eastAsia" w:ascii="宋体" w:hAnsi="宋体" w:cs="宋体"/>
                <w:b/>
                <w:color w:val="auto"/>
                <w:sz w:val="24"/>
              </w:rPr>
              <w:t>序号</w:t>
            </w:r>
          </w:p>
        </w:tc>
        <w:tc>
          <w:tcPr>
            <w:tcW w:w="1785" w:type="dxa"/>
            <w:vAlign w:val="center"/>
          </w:tcPr>
          <w:p w14:paraId="34825858">
            <w:pPr>
              <w:spacing w:after="0" w:line="312" w:lineRule="auto"/>
              <w:rPr>
                <w:rFonts w:hint="eastAsia" w:ascii="宋体" w:hAnsi="宋体" w:cs="宋体"/>
                <w:b/>
                <w:color w:val="auto"/>
                <w:sz w:val="24"/>
              </w:rPr>
            </w:pPr>
            <w:r>
              <w:rPr>
                <w:rFonts w:hint="eastAsia" w:ascii="宋体" w:hAnsi="宋体" w:cs="宋体"/>
                <w:b/>
                <w:color w:val="auto"/>
                <w:sz w:val="24"/>
              </w:rPr>
              <w:t xml:space="preserve">   内容</w:t>
            </w:r>
          </w:p>
        </w:tc>
        <w:tc>
          <w:tcPr>
            <w:tcW w:w="1785" w:type="dxa"/>
            <w:vAlign w:val="center"/>
          </w:tcPr>
          <w:p w14:paraId="0783EAF5">
            <w:pPr>
              <w:spacing w:after="0" w:line="312" w:lineRule="auto"/>
              <w:ind w:left="53" w:leftChars="25" w:firstLine="241" w:firstLineChars="100"/>
              <w:rPr>
                <w:rFonts w:hint="eastAsia" w:ascii="宋体" w:hAnsi="宋体" w:cs="宋体"/>
                <w:b/>
                <w:color w:val="auto"/>
                <w:sz w:val="24"/>
              </w:rPr>
            </w:pPr>
            <w:r>
              <w:rPr>
                <w:rFonts w:hint="eastAsia" w:ascii="宋体" w:hAnsi="宋体" w:cs="宋体"/>
                <w:b/>
                <w:color w:val="auto"/>
                <w:sz w:val="24"/>
              </w:rPr>
              <w:t>招标需求</w:t>
            </w:r>
          </w:p>
        </w:tc>
        <w:tc>
          <w:tcPr>
            <w:tcW w:w="1365" w:type="dxa"/>
            <w:vAlign w:val="center"/>
          </w:tcPr>
          <w:p w14:paraId="6AD97B50">
            <w:pPr>
              <w:spacing w:after="0" w:line="312" w:lineRule="auto"/>
              <w:ind w:left="152"/>
              <w:rPr>
                <w:rFonts w:hint="eastAsia" w:ascii="宋体" w:hAnsi="宋体" w:cs="宋体"/>
                <w:b/>
                <w:color w:val="auto"/>
                <w:sz w:val="24"/>
              </w:rPr>
            </w:pPr>
            <w:r>
              <w:rPr>
                <w:rFonts w:hint="eastAsia" w:ascii="宋体" w:hAnsi="宋体" w:cs="宋体"/>
                <w:b/>
                <w:color w:val="auto"/>
                <w:sz w:val="24"/>
              </w:rPr>
              <w:t>是否响应</w:t>
            </w:r>
          </w:p>
        </w:tc>
        <w:tc>
          <w:tcPr>
            <w:tcW w:w="2625" w:type="dxa"/>
            <w:vAlign w:val="center"/>
          </w:tcPr>
          <w:p w14:paraId="345CA2C0">
            <w:pPr>
              <w:spacing w:after="0" w:line="312" w:lineRule="auto"/>
              <w:jc w:val="center"/>
              <w:rPr>
                <w:rFonts w:hint="eastAsia" w:ascii="宋体" w:hAnsi="宋体" w:cs="宋体"/>
                <w:b/>
                <w:color w:val="auto"/>
                <w:sz w:val="24"/>
              </w:rPr>
            </w:pPr>
            <w:r>
              <w:rPr>
                <w:rFonts w:hint="eastAsia" w:ascii="宋体" w:hAnsi="宋体" w:cs="宋体"/>
                <w:b/>
                <w:color w:val="auto"/>
                <w:sz w:val="24"/>
              </w:rPr>
              <w:t>投标人的承诺或说明</w:t>
            </w:r>
          </w:p>
        </w:tc>
      </w:tr>
      <w:tr w14:paraId="07EC8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735" w:type="dxa"/>
            <w:vAlign w:val="center"/>
          </w:tcPr>
          <w:p w14:paraId="03937A27">
            <w:pPr>
              <w:spacing w:after="0" w:line="312" w:lineRule="auto"/>
              <w:rPr>
                <w:rFonts w:hint="eastAsia" w:ascii="宋体" w:hAnsi="宋体" w:cs="宋体"/>
                <w:color w:val="auto"/>
                <w:sz w:val="24"/>
              </w:rPr>
            </w:pPr>
          </w:p>
        </w:tc>
        <w:tc>
          <w:tcPr>
            <w:tcW w:w="1785" w:type="dxa"/>
            <w:vAlign w:val="center"/>
          </w:tcPr>
          <w:p w14:paraId="4BC1EF2D">
            <w:pPr>
              <w:snapToGrid w:val="0"/>
              <w:spacing w:after="0" w:line="312" w:lineRule="auto"/>
              <w:rPr>
                <w:rFonts w:hint="eastAsia" w:ascii="宋体" w:hAnsi="宋体" w:cs="宋体"/>
                <w:color w:val="auto"/>
                <w:sz w:val="24"/>
              </w:rPr>
            </w:pPr>
            <w:r>
              <w:rPr>
                <w:rFonts w:hint="eastAsia" w:ascii="宋体" w:hAnsi="宋体" w:cs="宋体"/>
                <w:color w:val="auto"/>
                <w:sz w:val="24"/>
              </w:rPr>
              <w:t>售后服务保障要求</w:t>
            </w:r>
          </w:p>
        </w:tc>
        <w:tc>
          <w:tcPr>
            <w:tcW w:w="1785" w:type="dxa"/>
            <w:vAlign w:val="center"/>
          </w:tcPr>
          <w:p w14:paraId="6A017659">
            <w:pPr>
              <w:spacing w:after="0" w:line="312" w:lineRule="auto"/>
              <w:rPr>
                <w:rFonts w:hint="eastAsia" w:ascii="宋体" w:hAnsi="宋体" w:cs="宋体"/>
                <w:color w:val="auto"/>
                <w:sz w:val="24"/>
              </w:rPr>
            </w:pPr>
          </w:p>
        </w:tc>
        <w:tc>
          <w:tcPr>
            <w:tcW w:w="1365" w:type="dxa"/>
            <w:vAlign w:val="center"/>
          </w:tcPr>
          <w:p w14:paraId="55262ED7">
            <w:pPr>
              <w:spacing w:after="0" w:line="312" w:lineRule="auto"/>
              <w:rPr>
                <w:rFonts w:hint="eastAsia" w:ascii="宋体" w:hAnsi="宋体" w:cs="宋体"/>
                <w:color w:val="auto"/>
                <w:sz w:val="24"/>
              </w:rPr>
            </w:pPr>
          </w:p>
        </w:tc>
        <w:tc>
          <w:tcPr>
            <w:tcW w:w="2625" w:type="dxa"/>
            <w:vAlign w:val="center"/>
          </w:tcPr>
          <w:p w14:paraId="34DFC745">
            <w:pPr>
              <w:spacing w:after="0" w:line="312" w:lineRule="auto"/>
              <w:rPr>
                <w:rFonts w:hint="eastAsia" w:ascii="宋体" w:hAnsi="宋体" w:cs="宋体"/>
                <w:color w:val="auto"/>
                <w:sz w:val="24"/>
              </w:rPr>
            </w:pPr>
          </w:p>
        </w:tc>
      </w:tr>
      <w:tr w14:paraId="5672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35" w:type="dxa"/>
            <w:vAlign w:val="center"/>
          </w:tcPr>
          <w:p w14:paraId="173A7ADE">
            <w:pPr>
              <w:spacing w:after="0" w:line="312" w:lineRule="auto"/>
              <w:rPr>
                <w:rFonts w:hint="eastAsia" w:ascii="宋体" w:hAnsi="宋体" w:cs="宋体"/>
                <w:color w:val="auto"/>
                <w:sz w:val="24"/>
              </w:rPr>
            </w:pPr>
          </w:p>
        </w:tc>
        <w:tc>
          <w:tcPr>
            <w:tcW w:w="1785" w:type="dxa"/>
            <w:vAlign w:val="center"/>
          </w:tcPr>
          <w:p w14:paraId="39886181">
            <w:pPr>
              <w:snapToGrid w:val="0"/>
              <w:spacing w:after="0" w:line="312" w:lineRule="auto"/>
              <w:rPr>
                <w:rFonts w:hint="eastAsia" w:ascii="宋体" w:hAnsi="宋体" w:cs="宋体"/>
                <w:color w:val="auto"/>
                <w:sz w:val="24"/>
              </w:rPr>
            </w:pPr>
            <w:r>
              <w:rPr>
                <w:rFonts w:hint="eastAsia" w:ascii="宋体" w:hAnsi="宋体" w:cs="宋体"/>
                <w:color w:val="auto"/>
                <w:sz w:val="24"/>
              </w:rPr>
              <w:t>质保期</w:t>
            </w:r>
          </w:p>
        </w:tc>
        <w:tc>
          <w:tcPr>
            <w:tcW w:w="1785" w:type="dxa"/>
            <w:vAlign w:val="center"/>
          </w:tcPr>
          <w:p w14:paraId="401156F3">
            <w:pPr>
              <w:spacing w:after="0" w:line="312" w:lineRule="auto"/>
              <w:rPr>
                <w:rFonts w:hint="eastAsia" w:ascii="宋体" w:hAnsi="宋体" w:cs="宋体"/>
                <w:color w:val="auto"/>
                <w:sz w:val="24"/>
              </w:rPr>
            </w:pPr>
          </w:p>
        </w:tc>
        <w:tc>
          <w:tcPr>
            <w:tcW w:w="1365" w:type="dxa"/>
            <w:vAlign w:val="center"/>
          </w:tcPr>
          <w:p w14:paraId="74416DE2">
            <w:pPr>
              <w:spacing w:after="0" w:line="312" w:lineRule="auto"/>
              <w:rPr>
                <w:rFonts w:hint="eastAsia" w:ascii="宋体" w:hAnsi="宋体" w:cs="宋体"/>
                <w:color w:val="auto"/>
                <w:sz w:val="24"/>
              </w:rPr>
            </w:pPr>
          </w:p>
        </w:tc>
        <w:tc>
          <w:tcPr>
            <w:tcW w:w="2625" w:type="dxa"/>
            <w:vAlign w:val="center"/>
          </w:tcPr>
          <w:p w14:paraId="0D216D7E">
            <w:pPr>
              <w:spacing w:after="0" w:line="312" w:lineRule="auto"/>
              <w:rPr>
                <w:rFonts w:hint="eastAsia" w:ascii="宋体" w:hAnsi="宋体" w:cs="宋体"/>
                <w:color w:val="auto"/>
                <w:sz w:val="24"/>
              </w:rPr>
            </w:pPr>
          </w:p>
        </w:tc>
      </w:tr>
      <w:tr w14:paraId="67F8B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35" w:type="dxa"/>
            <w:vAlign w:val="center"/>
          </w:tcPr>
          <w:p w14:paraId="75599F70">
            <w:pPr>
              <w:spacing w:after="0" w:line="312" w:lineRule="auto"/>
              <w:rPr>
                <w:rFonts w:hint="eastAsia" w:ascii="宋体" w:hAnsi="宋体" w:cs="宋体"/>
                <w:color w:val="auto"/>
                <w:sz w:val="24"/>
              </w:rPr>
            </w:pPr>
          </w:p>
        </w:tc>
        <w:tc>
          <w:tcPr>
            <w:tcW w:w="1785" w:type="dxa"/>
            <w:vAlign w:val="center"/>
          </w:tcPr>
          <w:p w14:paraId="0A467591">
            <w:pPr>
              <w:snapToGrid w:val="0"/>
              <w:rPr>
                <w:rFonts w:hint="eastAsia" w:ascii="宋体" w:hAnsi="宋体" w:cs="宋体"/>
                <w:color w:val="auto"/>
                <w:sz w:val="24"/>
              </w:rPr>
            </w:pPr>
            <w:r>
              <w:rPr>
                <w:rFonts w:hint="eastAsia" w:ascii="宋体" w:hAnsi="宋体" w:cs="宋体"/>
                <w:color w:val="auto"/>
                <w:sz w:val="24"/>
              </w:rPr>
              <w:t>交货和服务</w:t>
            </w:r>
          </w:p>
          <w:p w14:paraId="4C18E21D">
            <w:pPr>
              <w:snapToGrid w:val="0"/>
              <w:spacing w:after="0" w:line="312" w:lineRule="auto"/>
              <w:rPr>
                <w:rFonts w:hint="eastAsia" w:ascii="宋体" w:hAnsi="宋体" w:cs="宋体"/>
                <w:color w:val="auto"/>
                <w:sz w:val="24"/>
              </w:rPr>
            </w:pPr>
            <w:r>
              <w:rPr>
                <w:rFonts w:hint="eastAsia" w:ascii="宋体" w:hAnsi="宋体" w:cs="宋体"/>
                <w:color w:val="auto"/>
                <w:sz w:val="24"/>
              </w:rPr>
              <w:t>时间及地点</w:t>
            </w:r>
          </w:p>
        </w:tc>
        <w:tc>
          <w:tcPr>
            <w:tcW w:w="1785" w:type="dxa"/>
            <w:vAlign w:val="center"/>
          </w:tcPr>
          <w:p w14:paraId="71A75357">
            <w:pPr>
              <w:spacing w:after="0" w:line="312" w:lineRule="auto"/>
              <w:rPr>
                <w:rFonts w:hint="eastAsia" w:ascii="宋体" w:hAnsi="宋体" w:cs="宋体"/>
                <w:color w:val="auto"/>
                <w:sz w:val="24"/>
              </w:rPr>
            </w:pPr>
          </w:p>
        </w:tc>
        <w:tc>
          <w:tcPr>
            <w:tcW w:w="1365" w:type="dxa"/>
            <w:vAlign w:val="center"/>
          </w:tcPr>
          <w:p w14:paraId="3B352485">
            <w:pPr>
              <w:spacing w:after="0" w:line="312" w:lineRule="auto"/>
              <w:rPr>
                <w:rFonts w:hint="eastAsia" w:ascii="宋体" w:hAnsi="宋体" w:cs="宋体"/>
                <w:color w:val="auto"/>
                <w:sz w:val="24"/>
              </w:rPr>
            </w:pPr>
          </w:p>
        </w:tc>
        <w:tc>
          <w:tcPr>
            <w:tcW w:w="2625" w:type="dxa"/>
            <w:vAlign w:val="center"/>
          </w:tcPr>
          <w:p w14:paraId="00C6DC29">
            <w:pPr>
              <w:spacing w:after="0" w:line="312" w:lineRule="auto"/>
              <w:rPr>
                <w:rFonts w:hint="eastAsia" w:ascii="宋体" w:hAnsi="宋体" w:cs="宋体"/>
                <w:color w:val="auto"/>
                <w:sz w:val="24"/>
              </w:rPr>
            </w:pPr>
          </w:p>
        </w:tc>
      </w:tr>
      <w:tr w14:paraId="3A514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35" w:type="dxa"/>
            <w:vAlign w:val="center"/>
          </w:tcPr>
          <w:p w14:paraId="4C58F048">
            <w:pPr>
              <w:spacing w:after="0" w:line="312" w:lineRule="auto"/>
              <w:rPr>
                <w:rFonts w:hint="eastAsia" w:ascii="宋体" w:hAnsi="宋体" w:cs="宋体"/>
                <w:color w:val="auto"/>
                <w:sz w:val="24"/>
              </w:rPr>
            </w:pPr>
          </w:p>
        </w:tc>
        <w:tc>
          <w:tcPr>
            <w:tcW w:w="1785" w:type="dxa"/>
            <w:vAlign w:val="center"/>
          </w:tcPr>
          <w:p w14:paraId="0B06D3D9">
            <w:pPr>
              <w:snapToGrid w:val="0"/>
              <w:spacing w:after="0" w:line="312" w:lineRule="auto"/>
              <w:rPr>
                <w:rFonts w:hint="eastAsia" w:ascii="宋体" w:hAnsi="宋体" w:cs="宋体"/>
                <w:color w:val="auto"/>
                <w:sz w:val="24"/>
              </w:rPr>
            </w:pPr>
            <w:r>
              <w:rPr>
                <w:rFonts w:hint="eastAsia" w:ascii="宋体" w:hAnsi="宋体" w:cs="宋体"/>
                <w:color w:val="auto"/>
                <w:sz w:val="24"/>
              </w:rPr>
              <w:t>付款条件</w:t>
            </w:r>
          </w:p>
        </w:tc>
        <w:tc>
          <w:tcPr>
            <w:tcW w:w="1785" w:type="dxa"/>
            <w:vAlign w:val="center"/>
          </w:tcPr>
          <w:p w14:paraId="1FF9EF92">
            <w:pPr>
              <w:spacing w:after="0" w:line="312" w:lineRule="auto"/>
              <w:rPr>
                <w:rFonts w:hint="eastAsia" w:ascii="宋体" w:hAnsi="宋体" w:cs="宋体"/>
                <w:color w:val="auto"/>
                <w:sz w:val="24"/>
              </w:rPr>
            </w:pPr>
          </w:p>
        </w:tc>
        <w:tc>
          <w:tcPr>
            <w:tcW w:w="1365" w:type="dxa"/>
            <w:vAlign w:val="center"/>
          </w:tcPr>
          <w:p w14:paraId="52686F4E">
            <w:pPr>
              <w:spacing w:after="0" w:line="312" w:lineRule="auto"/>
              <w:rPr>
                <w:rFonts w:hint="eastAsia" w:ascii="宋体" w:hAnsi="宋体" w:cs="宋体"/>
                <w:color w:val="auto"/>
                <w:sz w:val="24"/>
              </w:rPr>
            </w:pPr>
          </w:p>
        </w:tc>
        <w:tc>
          <w:tcPr>
            <w:tcW w:w="2625" w:type="dxa"/>
            <w:vAlign w:val="center"/>
          </w:tcPr>
          <w:p w14:paraId="0B82F72E">
            <w:pPr>
              <w:spacing w:after="0" w:line="312" w:lineRule="auto"/>
              <w:rPr>
                <w:rFonts w:hint="eastAsia" w:ascii="宋体" w:hAnsi="宋体" w:cs="宋体"/>
                <w:color w:val="auto"/>
                <w:sz w:val="24"/>
              </w:rPr>
            </w:pPr>
          </w:p>
        </w:tc>
      </w:tr>
      <w:tr w14:paraId="37AC9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35" w:type="dxa"/>
            <w:vAlign w:val="center"/>
          </w:tcPr>
          <w:p w14:paraId="5BE2F644">
            <w:pPr>
              <w:spacing w:after="0" w:line="312" w:lineRule="auto"/>
              <w:rPr>
                <w:rFonts w:hint="eastAsia" w:ascii="宋体" w:hAnsi="宋体" w:cs="宋体"/>
                <w:color w:val="auto"/>
                <w:sz w:val="24"/>
              </w:rPr>
            </w:pPr>
          </w:p>
        </w:tc>
        <w:tc>
          <w:tcPr>
            <w:tcW w:w="1785" w:type="dxa"/>
          </w:tcPr>
          <w:p w14:paraId="2D0E6BD7">
            <w:pPr>
              <w:snapToGrid w:val="0"/>
              <w:spacing w:after="0" w:line="312" w:lineRule="auto"/>
              <w:rPr>
                <w:rFonts w:hint="eastAsia" w:ascii="宋体" w:hAnsi="宋体" w:cs="宋体"/>
                <w:color w:val="auto"/>
                <w:sz w:val="24"/>
              </w:rPr>
            </w:pPr>
            <w:r>
              <w:rPr>
                <w:rFonts w:hint="eastAsia" w:ascii="宋体" w:hAnsi="宋体" w:cs="宋体"/>
                <w:color w:val="auto"/>
                <w:sz w:val="24"/>
              </w:rPr>
              <w:t>……</w:t>
            </w:r>
          </w:p>
        </w:tc>
        <w:tc>
          <w:tcPr>
            <w:tcW w:w="1785" w:type="dxa"/>
            <w:vAlign w:val="center"/>
          </w:tcPr>
          <w:p w14:paraId="1D4BE87B">
            <w:pPr>
              <w:spacing w:after="0" w:line="312" w:lineRule="auto"/>
              <w:rPr>
                <w:rFonts w:hint="eastAsia" w:ascii="宋体" w:hAnsi="宋体" w:cs="宋体"/>
                <w:color w:val="auto"/>
                <w:sz w:val="24"/>
              </w:rPr>
            </w:pPr>
          </w:p>
        </w:tc>
        <w:tc>
          <w:tcPr>
            <w:tcW w:w="1365" w:type="dxa"/>
            <w:vAlign w:val="center"/>
          </w:tcPr>
          <w:p w14:paraId="04227434">
            <w:pPr>
              <w:spacing w:after="0" w:line="312" w:lineRule="auto"/>
              <w:rPr>
                <w:rFonts w:hint="eastAsia" w:ascii="宋体" w:hAnsi="宋体" w:cs="宋体"/>
                <w:color w:val="auto"/>
                <w:sz w:val="24"/>
              </w:rPr>
            </w:pPr>
          </w:p>
        </w:tc>
        <w:tc>
          <w:tcPr>
            <w:tcW w:w="2625" w:type="dxa"/>
            <w:vAlign w:val="center"/>
          </w:tcPr>
          <w:p w14:paraId="38D0A73D">
            <w:pPr>
              <w:spacing w:after="0" w:line="312" w:lineRule="auto"/>
              <w:rPr>
                <w:rFonts w:hint="eastAsia" w:ascii="宋体" w:hAnsi="宋体" w:cs="宋体"/>
                <w:color w:val="auto"/>
                <w:sz w:val="24"/>
              </w:rPr>
            </w:pPr>
          </w:p>
        </w:tc>
      </w:tr>
      <w:tr w14:paraId="37E51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35" w:type="dxa"/>
            <w:vAlign w:val="center"/>
          </w:tcPr>
          <w:p w14:paraId="73865192">
            <w:pPr>
              <w:spacing w:after="0" w:line="312" w:lineRule="auto"/>
              <w:rPr>
                <w:rFonts w:hint="eastAsia" w:ascii="宋体" w:hAnsi="宋体" w:cs="宋体"/>
                <w:color w:val="auto"/>
                <w:sz w:val="24"/>
              </w:rPr>
            </w:pPr>
          </w:p>
        </w:tc>
        <w:tc>
          <w:tcPr>
            <w:tcW w:w="1785" w:type="dxa"/>
          </w:tcPr>
          <w:p w14:paraId="02F4349F">
            <w:pPr>
              <w:snapToGrid w:val="0"/>
              <w:spacing w:after="0" w:line="312" w:lineRule="auto"/>
              <w:rPr>
                <w:rFonts w:hint="eastAsia" w:ascii="宋体" w:hAnsi="宋体" w:cs="宋体"/>
                <w:color w:val="auto"/>
                <w:sz w:val="24"/>
              </w:rPr>
            </w:pPr>
          </w:p>
        </w:tc>
        <w:tc>
          <w:tcPr>
            <w:tcW w:w="1785" w:type="dxa"/>
            <w:vAlign w:val="center"/>
          </w:tcPr>
          <w:p w14:paraId="6D935E7F">
            <w:pPr>
              <w:spacing w:after="0" w:line="312" w:lineRule="auto"/>
              <w:rPr>
                <w:rFonts w:hint="eastAsia" w:ascii="宋体" w:hAnsi="宋体" w:cs="宋体"/>
                <w:color w:val="auto"/>
                <w:sz w:val="24"/>
              </w:rPr>
            </w:pPr>
          </w:p>
        </w:tc>
        <w:tc>
          <w:tcPr>
            <w:tcW w:w="1365" w:type="dxa"/>
            <w:vAlign w:val="center"/>
          </w:tcPr>
          <w:p w14:paraId="499D2AD2">
            <w:pPr>
              <w:spacing w:after="0" w:line="312" w:lineRule="auto"/>
              <w:rPr>
                <w:rFonts w:hint="eastAsia" w:ascii="宋体" w:hAnsi="宋体" w:cs="宋体"/>
                <w:color w:val="auto"/>
                <w:sz w:val="24"/>
              </w:rPr>
            </w:pPr>
          </w:p>
        </w:tc>
        <w:tc>
          <w:tcPr>
            <w:tcW w:w="2625" w:type="dxa"/>
            <w:vAlign w:val="center"/>
          </w:tcPr>
          <w:p w14:paraId="2D808E6F">
            <w:pPr>
              <w:spacing w:after="0" w:line="312" w:lineRule="auto"/>
              <w:rPr>
                <w:rFonts w:hint="eastAsia" w:ascii="宋体" w:hAnsi="宋体" w:cs="宋体"/>
                <w:color w:val="auto"/>
                <w:sz w:val="24"/>
              </w:rPr>
            </w:pPr>
          </w:p>
        </w:tc>
      </w:tr>
      <w:tr w14:paraId="540B2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735" w:type="dxa"/>
            <w:vAlign w:val="center"/>
          </w:tcPr>
          <w:p w14:paraId="69DCC817">
            <w:pPr>
              <w:spacing w:after="0" w:line="312" w:lineRule="auto"/>
              <w:rPr>
                <w:rFonts w:hint="eastAsia" w:ascii="宋体" w:hAnsi="宋体" w:cs="宋体"/>
                <w:color w:val="auto"/>
                <w:sz w:val="24"/>
              </w:rPr>
            </w:pPr>
          </w:p>
        </w:tc>
        <w:tc>
          <w:tcPr>
            <w:tcW w:w="1785" w:type="dxa"/>
          </w:tcPr>
          <w:p w14:paraId="55F518D5">
            <w:pPr>
              <w:snapToGrid w:val="0"/>
              <w:spacing w:after="0" w:line="312" w:lineRule="auto"/>
              <w:rPr>
                <w:rFonts w:hint="eastAsia" w:ascii="宋体" w:hAnsi="宋体" w:cs="宋体"/>
                <w:color w:val="auto"/>
                <w:sz w:val="24"/>
              </w:rPr>
            </w:pPr>
          </w:p>
        </w:tc>
        <w:tc>
          <w:tcPr>
            <w:tcW w:w="1785" w:type="dxa"/>
            <w:vAlign w:val="center"/>
          </w:tcPr>
          <w:p w14:paraId="36C69499">
            <w:pPr>
              <w:spacing w:after="0" w:line="312" w:lineRule="auto"/>
              <w:rPr>
                <w:rFonts w:hint="eastAsia" w:ascii="宋体" w:hAnsi="宋体" w:cs="宋体"/>
                <w:color w:val="auto"/>
                <w:sz w:val="24"/>
              </w:rPr>
            </w:pPr>
          </w:p>
        </w:tc>
        <w:tc>
          <w:tcPr>
            <w:tcW w:w="1365" w:type="dxa"/>
            <w:vAlign w:val="center"/>
          </w:tcPr>
          <w:p w14:paraId="7B3F76AA">
            <w:pPr>
              <w:spacing w:after="0" w:line="312" w:lineRule="auto"/>
              <w:rPr>
                <w:rFonts w:hint="eastAsia" w:ascii="宋体" w:hAnsi="宋体" w:cs="宋体"/>
                <w:color w:val="auto"/>
                <w:sz w:val="24"/>
              </w:rPr>
            </w:pPr>
          </w:p>
        </w:tc>
        <w:tc>
          <w:tcPr>
            <w:tcW w:w="2625" w:type="dxa"/>
            <w:vAlign w:val="center"/>
          </w:tcPr>
          <w:p w14:paraId="4CB843BB">
            <w:pPr>
              <w:spacing w:after="0" w:line="312" w:lineRule="auto"/>
              <w:rPr>
                <w:rFonts w:hint="eastAsia" w:ascii="宋体" w:hAnsi="宋体" w:cs="宋体"/>
                <w:color w:val="auto"/>
                <w:sz w:val="24"/>
              </w:rPr>
            </w:pPr>
          </w:p>
        </w:tc>
      </w:tr>
      <w:tr w14:paraId="39C38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735" w:type="dxa"/>
            <w:vAlign w:val="center"/>
          </w:tcPr>
          <w:p w14:paraId="4BCB6C6A">
            <w:pPr>
              <w:spacing w:after="0" w:line="312" w:lineRule="auto"/>
              <w:rPr>
                <w:rFonts w:hint="eastAsia" w:ascii="宋体" w:hAnsi="宋体" w:cs="宋体"/>
                <w:color w:val="auto"/>
                <w:sz w:val="24"/>
              </w:rPr>
            </w:pPr>
          </w:p>
        </w:tc>
        <w:tc>
          <w:tcPr>
            <w:tcW w:w="1785" w:type="dxa"/>
          </w:tcPr>
          <w:p w14:paraId="560AF68C">
            <w:pPr>
              <w:snapToGrid w:val="0"/>
              <w:spacing w:after="0" w:line="312" w:lineRule="auto"/>
              <w:rPr>
                <w:rFonts w:hint="eastAsia" w:ascii="宋体" w:hAnsi="宋体" w:cs="宋体"/>
                <w:color w:val="auto"/>
                <w:sz w:val="24"/>
              </w:rPr>
            </w:pPr>
          </w:p>
        </w:tc>
        <w:tc>
          <w:tcPr>
            <w:tcW w:w="1785" w:type="dxa"/>
            <w:vAlign w:val="center"/>
          </w:tcPr>
          <w:p w14:paraId="7DA1431B">
            <w:pPr>
              <w:spacing w:after="0" w:line="312" w:lineRule="auto"/>
              <w:rPr>
                <w:rFonts w:hint="eastAsia" w:ascii="宋体" w:hAnsi="宋体" w:cs="宋体"/>
                <w:color w:val="auto"/>
                <w:sz w:val="24"/>
              </w:rPr>
            </w:pPr>
          </w:p>
        </w:tc>
        <w:tc>
          <w:tcPr>
            <w:tcW w:w="1365" w:type="dxa"/>
            <w:vAlign w:val="center"/>
          </w:tcPr>
          <w:p w14:paraId="2E985261">
            <w:pPr>
              <w:spacing w:after="0" w:line="312" w:lineRule="auto"/>
              <w:rPr>
                <w:rFonts w:hint="eastAsia" w:ascii="宋体" w:hAnsi="宋体" w:cs="宋体"/>
                <w:color w:val="auto"/>
                <w:sz w:val="24"/>
              </w:rPr>
            </w:pPr>
          </w:p>
        </w:tc>
        <w:tc>
          <w:tcPr>
            <w:tcW w:w="2625" w:type="dxa"/>
            <w:vAlign w:val="center"/>
          </w:tcPr>
          <w:p w14:paraId="249D188D">
            <w:pPr>
              <w:spacing w:after="0" w:line="312" w:lineRule="auto"/>
              <w:rPr>
                <w:rFonts w:hint="eastAsia" w:ascii="宋体" w:hAnsi="宋体" w:cs="宋体"/>
                <w:color w:val="auto"/>
                <w:sz w:val="24"/>
              </w:rPr>
            </w:pPr>
          </w:p>
        </w:tc>
      </w:tr>
    </w:tbl>
    <w:p w14:paraId="1E135F8A">
      <w:pPr>
        <w:spacing w:after="0" w:line="312" w:lineRule="auto"/>
        <w:rPr>
          <w:rFonts w:hint="eastAsia" w:ascii="宋体" w:hAnsi="宋体" w:cs="宋体"/>
          <w:color w:val="auto"/>
          <w:sz w:val="24"/>
        </w:rPr>
      </w:pPr>
    </w:p>
    <w:p w14:paraId="6844E56E">
      <w:pPr>
        <w:spacing w:after="0" w:line="312" w:lineRule="auto"/>
        <w:ind w:left="420"/>
        <w:rPr>
          <w:rFonts w:hint="eastAsia" w:ascii="宋体" w:hAnsi="宋体" w:cs="宋体"/>
          <w:color w:val="auto"/>
          <w:sz w:val="24"/>
          <w:u w:val="single"/>
        </w:rPr>
      </w:pPr>
      <w:r>
        <w:rPr>
          <w:rFonts w:hint="eastAsia" w:ascii="宋体" w:hAnsi="宋体" w:cs="宋体"/>
          <w:color w:val="auto"/>
          <w:sz w:val="24"/>
        </w:rPr>
        <w:t>投标人名称（盖章）：</w:t>
      </w:r>
    </w:p>
    <w:p w14:paraId="3622A4EC">
      <w:pPr>
        <w:spacing w:after="0" w:line="312" w:lineRule="auto"/>
        <w:ind w:left="420"/>
        <w:rPr>
          <w:rFonts w:hint="eastAsia" w:ascii="宋体" w:hAnsi="宋体" w:cs="宋体"/>
          <w:color w:val="auto"/>
          <w:sz w:val="24"/>
        </w:rPr>
      </w:pPr>
    </w:p>
    <w:p w14:paraId="6A1DC427">
      <w:pPr>
        <w:spacing w:after="0" w:line="312" w:lineRule="auto"/>
        <w:ind w:firstLine="435"/>
        <w:rPr>
          <w:rFonts w:hint="eastAsia" w:ascii="宋体" w:hAnsi="宋体" w:cs="宋体"/>
          <w:color w:val="auto"/>
          <w:sz w:val="24"/>
        </w:rPr>
      </w:pPr>
      <w:r>
        <w:rPr>
          <w:rFonts w:hint="eastAsia" w:ascii="宋体" w:hAnsi="宋体" w:cs="宋体"/>
          <w:color w:val="auto"/>
          <w:sz w:val="24"/>
        </w:rPr>
        <w:t>投标人代表签字或盖章：</w:t>
      </w:r>
    </w:p>
    <w:p w14:paraId="12FB04E1">
      <w:pPr>
        <w:spacing w:after="0" w:line="312" w:lineRule="auto"/>
        <w:rPr>
          <w:rFonts w:hint="eastAsia" w:ascii="宋体" w:hAnsi="宋体" w:cs="宋体"/>
          <w:color w:val="auto"/>
          <w:sz w:val="24"/>
        </w:rPr>
      </w:pPr>
    </w:p>
    <w:p w14:paraId="42F6F71E">
      <w:pPr>
        <w:spacing w:after="0" w:line="312" w:lineRule="auto"/>
        <w:ind w:firstLine="435"/>
        <w:rPr>
          <w:rFonts w:hint="eastAsia" w:ascii="宋体" w:hAnsi="宋体" w:cs="宋体"/>
          <w:color w:val="auto"/>
          <w:sz w:val="24"/>
        </w:rPr>
      </w:pPr>
      <w:r>
        <w:rPr>
          <w:rFonts w:hint="eastAsia" w:ascii="宋体" w:hAnsi="宋体" w:cs="宋体"/>
          <w:color w:val="auto"/>
          <w:sz w:val="24"/>
        </w:rPr>
        <w:t>日        期：</w:t>
      </w:r>
    </w:p>
    <w:p w14:paraId="17730966">
      <w:pPr>
        <w:spacing w:after="0" w:line="312" w:lineRule="auto"/>
        <w:ind w:firstLine="435"/>
        <w:rPr>
          <w:rFonts w:hint="eastAsia" w:ascii="宋体" w:hAnsi="宋体" w:cs="宋体"/>
          <w:color w:val="auto"/>
          <w:sz w:val="24"/>
          <w:u w:val="single"/>
        </w:rPr>
      </w:pPr>
    </w:p>
    <w:p w14:paraId="333C5D2E">
      <w:pPr>
        <w:tabs>
          <w:tab w:val="left" w:pos="2460"/>
        </w:tabs>
        <w:spacing w:after="0" w:line="312" w:lineRule="auto"/>
        <w:rPr>
          <w:rFonts w:hint="eastAsia" w:ascii="宋体" w:hAnsi="宋体" w:cs="宋体"/>
          <w:b/>
          <w:color w:val="auto"/>
          <w:sz w:val="28"/>
        </w:rPr>
      </w:pPr>
    </w:p>
    <w:p w14:paraId="2DCF805C">
      <w:pPr>
        <w:tabs>
          <w:tab w:val="left" w:pos="2460"/>
        </w:tabs>
        <w:spacing w:after="0" w:line="312" w:lineRule="auto"/>
        <w:rPr>
          <w:rFonts w:hint="eastAsia" w:ascii="宋体" w:hAnsi="宋体" w:cs="宋体"/>
          <w:b/>
          <w:color w:val="auto"/>
          <w:sz w:val="28"/>
        </w:rPr>
      </w:pPr>
    </w:p>
    <w:p w14:paraId="0C7C0A50">
      <w:pPr>
        <w:tabs>
          <w:tab w:val="left" w:pos="2460"/>
        </w:tabs>
        <w:spacing w:after="0" w:line="312" w:lineRule="auto"/>
        <w:rPr>
          <w:rFonts w:hint="eastAsia" w:ascii="宋体" w:hAnsi="宋体" w:cs="宋体"/>
          <w:b/>
          <w:color w:val="auto"/>
          <w:sz w:val="28"/>
        </w:rPr>
      </w:pPr>
    </w:p>
    <w:p w14:paraId="0DA45E15">
      <w:pPr>
        <w:tabs>
          <w:tab w:val="left" w:pos="2460"/>
        </w:tabs>
        <w:spacing w:after="0" w:line="312" w:lineRule="auto"/>
        <w:rPr>
          <w:rFonts w:hint="eastAsia" w:ascii="宋体" w:hAnsi="宋体" w:cs="宋体"/>
          <w:b/>
          <w:color w:val="auto"/>
          <w:sz w:val="28"/>
        </w:rPr>
      </w:pPr>
    </w:p>
    <w:p w14:paraId="75B9F5E3">
      <w:pPr>
        <w:tabs>
          <w:tab w:val="left" w:pos="2460"/>
        </w:tabs>
        <w:spacing w:after="0" w:line="312" w:lineRule="auto"/>
        <w:rPr>
          <w:rFonts w:hint="eastAsia" w:ascii="宋体" w:hAnsi="宋体" w:cs="宋体"/>
          <w:b/>
          <w:color w:val="auto"/>
          <w:sz w:val="28"/>
        </w:rPr>
      </w:pPr>
    </w:p>
    <w:p w14:paraId="7A1AF062">
      <w:pPr>
        <w:tabs>
          <w:tab w:val="left" w:pos="2460"/>
        </w:tabs>
        <w:spacing w:after="0" w:line="312" w:lineRule="auto"/>
        <w:rPr>
          <w:rFonts w:hint="eastAsia" w:ascii="宋体" w:hAnsi="宋体" w:cs="宋体"/>
          <w:b/>
          <w:color w:val="auto"/>
          <w:sz w:val="28"/>
        </w:rPr>
      </w:pPr>
      <w:r>
        <w:rPr>
          <w:rFonts w:hint="eastAsia" w:ascii="宋体" w:hAnsi="宋体" w:cs="宋体"/>
          <w:b/>
          <w:color w:val="auto"/>
          <w:sz w:val="28"/>
        </w:rPr>
        <w:t>附件12</w:t>
      </w:r>
      <w:r>
        <w:rPr>
          <w:rFonts w:hint="eastAsia" w:ascii="宋体" w:hAnsi="宋体" w:cs="宋体"/>
          <w:b/>
          <w:color w:val="auto"/>
          <w:sz w:val="28"/>
        </w:rPr>
        <w:tab/>
      </w:r>
    </w:p>
    <w:p w14:paraId="7684E798">
      <w:pPr>
        <w:spacing w:after="0" w:line="312" w:lineRule="auto"/>
        <w:ind w:firstLine="435"/>
        <w:jc w:val="center"/>
        <w:rPr>
          <w:rFonts w:hint="eastAsia" w:ascii="宋体" w:hAnsi="宋体" w:cs="宋体"/>
          <w:b/>
          <w:color w:val="auto"/>
          <w:sz w:val="32"/>
          <w:szCs w:val="32"/>
        </w:rPr>
      </w:pPr>
      <w:r>
        <w:rPr>
          <w:rFonts w:hint="eastAsia" w:ascii="宋体" w:hAnsi="宋体" w:cs="宋体"/>
          <w:b/>
          <w:color w:val="auto"/>
          <w:sz w:val="32"/>
          <w:szCs w:val="32"/>
        </w:rPr>
        <w:t>售后服务情况表</w:t>
      </w:r>
    </w:p>
    <w:p w14:paraId="63B5A622">
      <w:pPr>
        <w:spacing w:after="0" w:line="312" w:lineRule="auto"/>
        <w:ind w:firstLine="435"/>
        <w:jc w:val="center"/>
        <w:rPr>
          <w:rFonts w:hint="eastAsia" w:ascii="宋体" w:hAnsi="宋体" w:cs="宋体"/>
          <w:b/>
          <w:color w:val="auto"/>
          <w:sz w:val="36"/>
          <w:szCs w:val="36"/>
        </w:rPr>
      </w:pPr>
    </w:p>
    <w:tbl>
      <w:tblPr>
        <w:tblStyle w:val="24"/>
        <w:tblW w:w="85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9"/>
        <w:gridCol w:w="2355"/>
        <w:gridCol w:w="4061"/>
        <w:gridCol w:w="1373"/>
      </w:tblGrid>
      <w:tr w14:paraId="721F6D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18" w:hRule="atLeast"/>
          <w:jc w:val="center"/>
        </w:trPr>
        <w:tc>
          <w:tcPr>
            <w:tcW w:w="739" w:type="dxa"/>
            <w:vAlign w:val="center"/>
          </w:tcPr>
          <w:p w14:paraId="4AB34031">
            <w:pPr>
              <w:pStyle w:val="42"/>
              <w:spacing w:after="0" w:line="312" w:lineRule="auto"/>
              <w:jc w:val="center"/>
              <w:rPr>
                <w:rFonts w:hint="eastAsia" w:ascii="宋体" w:hAnsi="宋体" w:cs="宋体"/>
                <w:b/>
                <w:color w:val="auto"/>
                <w:sz w:val="24"/>
              </w:rPr>
            </w:pPr>
            <w:r>
              <w:rPr>
                <w:rFonts w:hint="eastAsia" w:ascii="宋体" w:hAnsi="宋体" w:cs="宋体"/>
                <w:b/>
                <w:color w:val="auto"/>
                <w:sz w:val="24"/>
              </w:rPr>
              <w:t>序号</w:t>
            </w:r>
          </w:p>
        </w:tc>
        <w:tc>
          <w:tcPr>
            <w:tcW w:w="2355" w:type="dxa"/>
            <w:vAlign w:val="center"/>
          </w:tcPr>
          <w:p w14:paraId="59B26979">
            <w:pPr>
              <w:pStyle w:val="42"/>
              <w:spacing w:after="0" w:line="312" w:lineRule="auto"/>
              <w:jc w:val="center"/>
              <w:rPr>
                <w:rFonts w:hint="eastAsia" w:ascii="宋体" w:hAnsi="宋体" w:cs="宋体"/>
                <w:b/>
                <w:color w:val="auto"/>
                <w:sz w:val="24"/>
              </w:rPr>
            </w:pPr>
            <w:r>
              <w:rPr>
                <w:rFonts w:hint="eastAsia" w:ascii="宋体" w:hAnsi="宋体" w:cs="宋体"/>
                <w:b/>
                <w:color w:val="auto"/>
                <w:sz w:val="24"/>
              </w:rPr>
              <w:t>项目</w:t>
            </w:r>
          </w:p>
        </w:tc>
        <w:tc>
          <w:tcPr>
            <w:tcW w:w="4061" w:type="dxa"/>
            <w:vAlign w:val="center"/>
          </w:tcPr>
          <w:p w14:paraId="2C852059">
            <w:pPr>
              <w:pStyle w:val="42"/>
              <w:spacing w:after="0" w:line="312" w:lineRule="auto"/>
              <w:jc w:val="center"/>
              <w:rPr>
                <w:rFonts w:hint="eastAsia" w:ascii="宋体" w:hAnsi="宋体" w:cs="宋体"/>
                <w:b/>
                <w:color w:val="auto"/>
                <w:sz w:val="24"/>
              </w:rPr>
            </w:pPr>
            <w:r>
              <w:rPr>
                <w:rFonts w:hint="eastAsia" w:ascii="宋体" w:hAnsi="宋体" w:cs="宋体"/>
                <w:b/>
                <w:color w:val="auto"/>
                <w:sz w:val="24"/>
              </w:rPr>
              <w:t>投标人情况</w:t>
            </w:r>
          </w:p>
        </w:tc>
        <w:tc>
          <w:tcPr>
            <w:tcW w:w="1373" w:type="dxa"/>
            <w:vAlign w:val="center"/>
          </w:tcPr>
          <w:p w14:paraId="0A36C490">
            <w:pPr>
              <w:pStyle w:val="42"/>
              <w:spacing w:after="0" w:line="312" w:lineRule="auto"/>
              <w:jc w:val="center"/>
              <w:rPr>
                <w:rFonts w:hint="eastAsia" w:ascii="宋体" w:hAnsi="宋体" w:cs="宋体"/>
                <w:b/>
                <w:color w:val="auto"/>
                <w:sz w:val="24"/>
              </w:rPr>
            </w:pPr>
            <w:r>
              <w:rPr>
                <w:rFonts w:hint="eastAsia" w:ascii="宋体" w:hAnsi="宋体" w:cs="宋体"/>
                <w:b/>
                <w:color w:val="auto"/>
                <w:sz w:val="24"/>
              </w:rPr>
              <w:t>备注</w:t>
            </w:r>
          </w:p>
        </w:tc>
      </w:tr>
      <w:tr w14:paraId="6C35707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217" w:hRule="atLeast"/>
          <w:jc w:val="center"/>
        </w:trPr>
        <w:tc>
          <w:tcPr>
            <w:tcW w:w="739" w:type="dxa"/>
            <w:vMerge w:val="restart"/>
            <w:vAlign w:val="center"/>
          </w:tcPr>
          <w:p w14:paraId="3AC05E5E">
            <w:pPr>
              <w:pStyle w:val="42"/>
              <w:spacing w:after="0" w:line="312" w:lineRule="auto"/>
              <w:jc w:val="center"/>
              <w:rPr>
                <w:rFonts w:hint="eastAsia" w:ascii="宋体" w:hAnsi="宋体" w:cs="宋体"/>
                <w:bCs/>
                <w:color w:val="auto"/>
                <w:sz w:val="24"/>
              </w:rPr>
            </w:pPr>
            <w:r>
              <w:rPr>
                <w:rFonts w:hint="eastAsia" w:ascii="宋体" w:hAnsi="宋体" w:cs="宋体"/>
                <w:bCs/>
                <w:color w:val="auto"/>
                <w:sz w:val="24"/>
              </w:rPr>
              <w:t>1</w:t>
            </w:r>
          </w:p>
        </w:tc>
        <w:tc>
          <w:tcPr>
            <w:tcW w:w="2355" w:type="dxa"/>
            <w:vMerge w:val="restart"/>
            <w:vAlign w:val="center"/>
          </w:tcPr>
          <w:p w14:paraId="00F11D2F">
            <w:pPr>
              <w:pStyle w:val="42"/>
              <w:widowControl/>
              <w:spacing w:after="0" w:line="312" w:lineRule="auto"/>
              <w:jc w:val="left"/>
              <w:rPr>
                <w:rFonts w:hint="eastAsia" w:ascii="宋体" w:hAnsi="宋体" w:cs="宋体"/>
                <w:bCs/>
                <w:color w:val="auto"/>
                <w:sz w:val="24"/>
              </w:rPr>
            </w:pPr>
            <w:r>
              <w:rPr>
                <w:rFonts w:hint="eastAsia" w:ascii="宋体" w:hAnsi="宋体" w:cs="宋体"/>
                <w:bCs/>
                <w:color w:val="auto"/>
                <w:sz w:val="24"/>
              </w:rPr>
              <w:t>保修期内售后服务情况(服务方式、服务网点、售后服务的内容和措施等等，可用附页和宣传材料)</w:t>
            </w:r>
          </w:p>
        </w:tc>
        <w:tc>
          <w:tcPr>
            <w:tcW w:w="4061" w:type="dxa"/>
          </w:tcPr>
          <w:p w14:paraId="3CF9502B">
            <w:pPr>
              <w:pStyle w:val="42"/>
              <w:spacing w:after="0" w:line="312" w:lineRule="auto"/>
              <w:rPr>
                <w:rFonts w:hint="eastAsia" w:ascii="宋体" w:hAnsi="宋体" w:cs="宋体"/>
                <w:bCs/>
                <w:color w:val="auto"/>
                <w:sz w:val="24"/>
              </w:rPr>
            </w:pPr>
            <w:r>
              <w:rPr>
                <w:rFonts w:hint="eastAsia" w:ascii="宋体" w:hAnsi="宋体" w:cs="宋体"/>
                <w:bCs/>
                <w:color w:val="auto"/>
                <w:sz w:val="24"/>
              </w:rPr>
              <w:t>生产厂商售后服务情况：</w:t>
            </w:r>
          </w:p>
        </w:tc>
        <w:tc>
          <w:tcPr>
            <w:tcW w:w="1373" w:type="dxa"/>
            <w:vMerge w:val="restart"/>
          </w:tcPr>
          <w:p w14:paraId="43854F06">
            <w:pPr>
              <w:pStyle w:val="42"/>
              <w:spacing w:after="0" w:line="312" w:lineRule="auto"/>
              <w:rPr>
                <w:rFonts w:hint="eastAsia" w:ascii="宋体" w:hAnsi="宋体" w:cs="宋体"/>
                <w:bCs/>
                <w:color w:val="auto"/>
                <w:sz w:val="24"/>
              </w:rPr>
            </w:pPr>
          </w:p>
        </w:tc>
      </w:tr>
      <w:tr w14:paraId="202039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217" w:hRule="atLeast"/>
          <w:jc w:val="center"/>
        </w:trPr>
        <w:tc>
          <w:tcPr>
            <w:tcW w:w="739" w:type="dxa"/>
            <w:vMerge w:val="continue"/>
            <w:vAlign w:val="center"/>
          </w:tcPr>
          <w:p w14:paraId="59289CE2">
            <w:pPr>
              <w:pStyle w:val="42"/>
              <w:spacing w:after="0" w:line="312" w:lineRule="auto"/>
              <w:jc w:val="center"/>
              <w:rPr>
                <w:rFonts w:hint="eastAsia" w:ascii="宋体" w:hAnsi="宋体" w:cs="宋体"/>
                <w:bCs/>
                <w:color w:val="auto"/>
                <w:sz w:val="24"/>
              </w:rPr>
            </w:pPr>
          </w:p>
        </w:tc>
        <w:tc>
          <w:tcPr>
            <w:tcW w:w="2355" w:type="dxa"/>
            <w:vMerge w:val="continue"/>
            <w:vAlign w:val="center"/>
          </w:tcPr>
          <w:p w14:paraId="06177C85">
            <w:pPr>
              <w:pStyle w:val="42"/>
              <w:widowControl/>
              <w:spacing w:after="0" w:line="312" w:lineRule="auto"/>
              <w:jc w:val="left"/>
              <w:rPr>
                <w:rFonts w:hint="eastAsia" w:ascii="宋体" w:hAnsi="宋体" w:cs="宋体"/>
                <w:bCs/>
                <w:color w:val="auto"/>
                <w:sz w:val="24"/>
              </w:rPr>
            </w:pPr>
          </w:p>
        </w:tc>
        <w:tc>
          <w:tcPr>
            <w:tcW w:w="4061" w:type="dxa"/>
          </w:tcPr>
          <w:p w14:paraId="4E10BBCE">
            <w:pPr>
              <w:pStyle w:val="42"/>
              <w:spacing w:after="0" w:line="312" w:lineRule="auto"/>
              <w:rPr>
                <w:rFonts w:hint="eastAsia" w:ascii="宋体" w:hAnsi="宋体" w:cs="宋体"/>
                <w:bCs/>
                <w:color w:val="auto"/>
                <w:sz w:val="24"/>
              </w:rPr>
            </w:pPr>
            <w:r>
              <w:rPr>
                <w:rFonts w:hint="eastAsia" w:ascii="宋体" w:hAnsi="宋体" w:cs="宋体"/>
                <w:bCs/>
                <w:color w:val="auto"/>
                <w:sz w:val="24"/>
              </w:rPr>
              <w:t>投标人售后服务情况：</w:t>
            </w:r>
          </w:p>
        </w:tc>
        <w:tc>
          <w:tcPr>
            <w:tcW w:w="1373" w:type="dxa"/>
            <w:vMerge w:val="continue"/>
          </w:tcPr>
          <w:p w14:paraId="73019E3B">
            <w:pPr>
              <w:pStyle w:val="42"/>
              <w:spacing w:after="0" w:line="312" w:lineRule="auto"/>
              <w:rPr>
                <w:rFonts w:hint="eastAsia" w:ascii="宋体" w:hAnsi="宋体" w:cs="宋体"/>
                <w:bCs/>
                <w:color w:val="auto"/>
                <w:sz w:val="24"/>
              </w:rPr>
            </w:pPr>
          </w:p>
        </w:tc>
      </w:tr>
      <w:tr w14:paraId="23E364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89" w:hRule="exact"/>
          <w:jc w:val="center"/>
        </w:trPr>
        <w:tc>
          <w:tcPr>
            <w:tcW w:w="739" w:type="dxa"/>
            <w:vAlign w:val="center"/>
          </w:tcPr>
          <w:p w14:paraId="0F56CE7C">
            <w:pPr>
              <w:pStyle w:val="42"/>
              <w:widowControl/>
              <w:spacing w:after="0" w:line="312" w:lineRule="auto"/>
              <w:jc w:val="left"/>
              <w:rPr>
                <w:rFonts w:hint="eastAsia" w:ascii="宋体" w:hAnsi="宋体" w:cs="宋体"/>
                <w:bCs/>
                <w:color w:val="auto"/>
                <w:sz w:val="24"/>
              </w:rPr>
            </w:pPr>
            <w:r>
              <w:rPr>
                <w:rFonts w:hint="eastAsia" w:ascii="宋体" w:hAnsi="宋体" w:cs="宋体"/>
                <w:bCs/>
                <w:color w:val="auto"/>
                <w:sz w:val="24"/>
              </w:rPr>
              <w:t>……</w:t>
            </w:r>
          </w:p>
        </w:tc>
        <w:tc>
          <w:tcPr>
            <w:tcW w:w="2355" w:type="dxa"/>
            <w:vAlign w:val="center"/>
          </w:tcPr>
          <w:p w14:paraId="103C306F">
            <w:pPr>
              <w:pStyle w:val="42"/>
              <w:widowControl/>
              <w:spacing w:after="0" w:line="312" w:lineRule="auto"/>
              <w:jc w:val="left"/>
              <w:rPr>
                <w:rFonts w:hint="eastAsia" w:ascii="宋体" w:hAnsi="宋体" w:cs="宋体"/>
                <w:bCs/>
                <w:color w:val="auto"/>
                <w:sz w:val="24"/>
              </w:rPr>
            </w:pPr>
            <w:r>
              <w:rPr>
                <w:rFonts w:hint="eastAsia" w:ascii="宋体" w:hAnsi="宋体" w:cs="宋体"/>
                <w:bCs/>
                <w:color w:val="auto"/>
                <w:sz w:val="24"/>
              </w:rPr>
              <w:t>……</w:t>
            </w:r>
          </w:p>
        </w:tc>
        <w:tc>
          <w:tcPr>
            <w:tcW w:w="4061" w:type="dxa"/>
          </w:tcPr>
          <w:p w14:paraId="701ACD71">
            <w:pPr>
              <w:pStyle w:val="42"/>
              <w:widowControl/>
              <w:spacing w:after="0" w:line="312" w:lineRule="auto"/>
              <w:jc w:val="left"/>
              <w:rPr>
                <w:rFonts w:hint="eastAsia" w:ascii="宋体" w:hAnsi="宋体" w:cs="宋体"/>
                <w:bCs/>
                <w:color w:val="auto"/>
                <w:sz w:val="24"/>
              </w:rPr>
            </w:pPr>
          </w:p>
        </w:tc>
        <w:tc>
          <w:tcPr>
            <w:tcW w:w="1373" w:type="dxa"/>
          </w:tcPr>
          <w:p w14:paraId="4F484DF4">
            <w:pPr>
              <w:pStyle w:val="42"/>
              <w:widowControl/>
              <w:spacing w:after="0" w:line="312" w:lineRule="auto"/>
              <w:jc w:val="left"/>
              <w:rPr>
                <w:rFonts w:hint="eastAsia" w:ascii="宋体" w:hAnsi="宋体" w:cs="宋体"/>
                <w:bCs/>
                <w:color w:val="auto"/>
                <w:sz w:val="24"/>
              </w:rPr>
            </w:pPr>
          </w:p>
        </w:tc>
      </w:tr>
    </w:tbl>
    <w:p w14:paraId="659A3549">
      <w:pPr>
        <w:spacing w:after="0" w:line="312" w:lineRule="auto"/>
        <w:ind w:left="420"/>
        <w:rPr>
          <w:rFonts w:hint="eastAsia" w:ascii="宋体" w:hAnsi="宋体" w:cs="宋体"/>
          <w:color w:val="auto"/>
          <w:sz w:val="24"/>
        </w:rPr>
      </w:pPr>
    </w:p>
    <w:p w14:paraId="67FB15B2">
      <w:pPr>
        <w:spacing w:after="0" w:line="312" w:lineRule="auto"/>
        <w:ind w:left="420"/>
        <w:rPr>
          <w:rFonts w:hint="eastAsia" w:ascii="宋体" w:hAnsi="宋体" w:cs="宋体"/>
          <w:color w:val="auto"/>
          <w:sz w:val="24"/>
        </w:rPr>
      </w:pPr>
    </w:p>
    <w:p w14:paraId="267C4840">
      <w:pPr>
        <w:spacing w:after="0" w:line="312" w:lineRule="auto"/>
        <w:ind w:left="420"/>
        <w:rPr>
          <w:rFonts w:hint="eastAsia" w:ascii="宋体" w:hAnsi="宋体" w:cs="宋体"/>
          <w:color w:val="auto"/>
          <w:sz w:val="24"/>
          <w:u w:val="single"/>
        </w:rPr>
      </w:pPr>
      <w:r>
        <w:rPr>
          <w:rFonts w:hint="eastAsia" w:ascii="宋体" w:hAnsi="宋体" w:cs="宋体"/>
          <w:color w:val="auto"/>
          <w:sz w:val="24"/>
        </w:rPr>
        <w:t>投标人名称（盖章）：</w:t>
      </w:r>
    </w:p>
    <w:p w14:paraId="08EC7906">
      <w:pPr>
        <w:spacing w:after="0" w:line="312" w:lineRule="auto"/>
        <w:ind w:left="420"/>
        <w:rPr>
          <w:rFonts w:hint="eastAsia" w:ascii="宋体" w:hAnsi="宋体" w:cs="宋体"/>
          <w:color w:val="auto"/>
          <w:sz w:val="24"/>
        </w:rPr>
      </w:pPr>
    </w:p>
    <w:p w14:paraId="72EB9060">
      <w:pPr>
        <w:spacing w:after="0" w:line="312" w:lineRule="auto"/>
        <w:ind w:firstLine="435"/>
        <w:rPr>
          <w:rFonts w:hint="eastAsia" w:ascii="宋体" w:hAnsi="宋体" w:cs="宋体"/>
          <w:color w:val="auto"/>
          <w:sz w:val="24"/>
        </w:rPr>
      </w:pPr>
      <w:r>
        <w:rPr>
          <w:rFonts w:hint="eastAsia" w:ascii="宋体" w:hAnsi="宋体" w:cs="宋体"/>
          <w:color w:val="auto"/>
          <w:sz w:val="24"/>
        </w:rPr>
        <w:t>投标人代表签字或盖章：</w:t>
      </w:r>
    </w:p>
    <w:p w14:paraId="520EB1BA">
      <w:pPr>
        <w:spacing w:after="0" w:line="312" w:lineRule="auto"/>
        <w:ind w:firstLine="435"/>
        <w:rPr>
          <w:rFonts w:hint="eastAsia" w:ascii="宋体" w:hAnsi="宋体" w:cs="宋体"/>
          <w:color w:val="auto"/>
          <w:sz w:val="24"/>
        </w:rPr>
      </w:pPr>
    </w:p>
    <w:p w14:paraId="18C51A58">
      <w:pPr>
        <w:spacing w:after="0" w:line="312" w:lineRule="auto"/>
        <w:ind w:firstLine="435"/>
        <w:rPr>
          <w:rFonts w:hint="eastAsia" w:ascii="宋体" w:hAnsi="宋体" w:cs="宋体"/>
          <w:color w:val="auto"/>
          <w:sz w:val="24"/>
          <w:u w:val="single"/>
        </w:rPr>
      </w:pPr>
      <w:r>
        <w:rPr>
          <w:rFonts w:hint="eastAsia" w:ascii="宋体" w:hAnsi="宋体" w:cs="宋体"/>
          <w:color w:val="auto"/>
          <w:sz w:val="24"/>
        </w:rPr>
        <w:t>日        期：</w:t>
      </w:r>
    </w:p>
    <w:p w14:paraId="5C90596A">
      <w:pPr>
        <w:spacing w:after="0" w:line="312" w:lineRule="auto"/>
        <w:ind w:right="-110"/>
        <w:jc w:val="left"/>
        <w:rPr>
          <w:rFonts w:hint="eastAsia" w:ascii="宋体" w:hAnsi="宋体" w:cs="宋体"/>
          <w:b/>
          <w:color w:val="auto"/>
          <w:sz w:val="28"/>
        </w:rPr>
      </w:pPr>
    </w:p>
    <w:p w14:paraId="28C3213C">
      <w:pPr>
        <w:spacing w:after="0" w:line="312" w:lineRule="auto"/>
        <w:ind w:right="-110"/>
        <w:jc w:val="left"/>
        <w:rPr>
          <w:rFonts w:hint="eastAsia" w:ascii="宋体" w:hAnsi="宋体" w:cs="宋体"/>
          <w:b/>
          <w:color w:val="auto"/>
          <w:sz w:val="28"/>
        </w:rPr>
      </w:pPr>
    </w:p>
    <w:p w14:paraId="60DEB996">
      <w:pPr>
        <w:spacing w:after="0" w:line="312" w:lineRule="auto"/>
        <w:ind w:right="-110"/>
        <w:jc w:val="left"/>
        <w:rPr>
          <w:rFonts w:hint="eastAsia" w:ascii="宋体" w:hAnsi="宋体" w:cs="宋体"/>
          <w:b/>
          <w:color w:val="auto"/>
          <w:sz w:val="28"/>
        </w:rPr>
      </w:pPr>
    </w:p>
    <w:p w14:paraId="5B829192">
      <w:pPr>
        <w:spacing w:after="0" w:line="312" w:lineRule="auto"/>
        <w:ind w:right="-110"/>
        <w:jc w:val="left"/>
        <w:rPr>
          <w:rFonts w:hint="eastAsia" w:ascii="宋体" w:hAnsi="宋体" w:cs="宋体"/>
          <w:b/>
          <w:color w:val="auto"/>
          <w:sz w:val="28"/>
        </w:rPr>
      </w:pPr>
    </w:p>
    <w:p w14:paraId="3B178553">
      <w:pPr>
        <w:rPr>
          <w:color w:val="auto"/>
        </w:rPr>
      </w:pPr>
    </w:p>
    <w:p w14:paraId="1062A197">
      <w:pPr>
        <w:rPr>
          <w:rFonts w:hint="eastAsia" w:ascii="宋体" w:hAnsi="宋体" w:cs="宋体"/>
          <w:b/>
          <w:color w:val="auto"/>
          <w:sz w:val="28"/>
        </w:rPr>
      </w:pPr>
    </w:p>
    <w:p w14:paraId="32DDC891">
      <w:pPr>
        <w:rPr>
          <w:color w:val="auto"/>
        </w:rPr>
      </w:pPr>
    </w:p>
    <w:p w14:paraId="01642AB0">
      <w:pPr>
        <w:pStyle w:val="23"/>
        <w:ind w:left="0" w:leftChars="0" w:firstLine="0"/>
        <w:rPr>
          <w:rFonts w:hint="eastAsia" w:ascii="宋体" w:hAnsi="宋体"/>
          <w:color w:val="auto"/>
        </w:rPr>
      </w:pPr>
    </w:p>
    <w:p w14:paraId="0E304146">
      <w:pPr>
        <w:widowControl/>
        <w:spacing w:after="0" w:line="240" w:lineRule="auto"/>
        <w:jc w:val="left"/>
        <w:rPr>
          <w:rFonts w:hint="eastAsia" w:ascii="宋体" w:hAnsi="宋体" w:cs="宋体"/>
          <w:b/>
          <w:color w:val="auto"/>
          <w:sz w:val="28"/>
        </w:rPr>
      </w:pPr>
      <w:r>
        <w:rPr>
          <w:rFonts w:hint="eastAsia" w:ascii="宋体" w:hAnsi="宋体" w:cs="宋体"/>
          <w:b/>
          <w:color w:val="auto"/>
          <w:sz w:val="28"/>
        </w:rPr>
        <w:br w:type="page"/>
      </w:r>
    </w:p>
    <w:p w14:paraId="7AC64467">
      <w:pPr>
        <w:spacing w:after="0" w:line="312" w:lineRule="auto"/>
        <w:ind w:right="-110"/>
        <w:jc w:val="left"/>
        <w:rPr>
          <w:rFonts w:hint="eastAsia" w:ascii="宋体" w:hAnsi="宋体" w:cs="宋体"/>
          <w:color w:val="auto"/>
          <w:spacing w:val="40"/>
          <w:sz w:val="52"/>
          <w:szCs w:val="52"/>
          <w:u w:val="single"/>
        </w:rPr>
      </w:pPr>
      <w:r>
        <w:rPr>
          <w:rFonts w:hint="eastAsia" w:ascii="宋体" w:hAnsi="宋体" w:cs="宋体"/>
          <w:b/>
          <w:color w:val="auto"/>
          <w:sz w:val="28"/>
        </w:rPr>
        <w:t xml:space="preserve">附件13                                                 </w:t>
      </w:r>
      <w:r>
        <w:rPr>
          <w:rFonts w:hint="eastAsia" w:ascii="宋体" w:hAnsi="宋体" w:cs="宋体"/>
          <w:b/>
          <w:color w:val="auto"/>
          <w:sz w:val="28"/>
          <w:u w:val="single"/>
        </w:rPr>
        <w:t xml:space="preserve">   </w:t>
      </w:r>
      <w:r>
        <w:rPr>
          <w:rFonts w:hint="eastAsia" w:ascii="宋体" w:hAnsi="宋体" w:cs="宋体"/>
          <w:b/>
          <w:color w:val="auto"/>
          <w:sz w:val="28"/>
        </w:rPr>
        <w:t>本</w:t>
      </w:r>
    </w:p>
    <w:p w14:paraId="233B128A">
      <w:pPr>
        <w:spacing w:after="0" w:line="312" w:lineRule="auto"/>
        <w:ind w:right="-110"/>
        <w:jc w:val="center"/>
        <w:rPr>
          <w:rFonts w:hint="eastAsia" w:ascii="宋体" w:hAnsi="宋体" w:cs="宋体"/>
          <w:color w:val="auto"/>
          <w:spacing w:val="40"/>
          <w:sz w:val="52"/>
          <w:szCs w:val="52"/>
        </w:rPr>
      </w:pPr>
      <w:r>
        <w:rPr>
          <w:rFonts w:hint="eastAsia" w:ascii="宋体" w:hAnsi="宋体" w:cs="宋体"/>
          <w:color w:val="auto"/>
          <w:spacing w:val="40"/>
          <w:sz w:val="52"/>
          <w:szCs w:val="52"/>
        </w:rPr>
        <w:t>项目名称</w:t>
      </w:r>
    </w:p>
    <w:p w14:paraId="2C430589">
      <w:pPr>
        <w:spacing w:before="312" w:beforeLines="100" w:after="0" w:line="312" w:lineRule="auto"/>
        <w:ind w:right="-108"/>
        <w:jc w:val="center"/>
        <w:rPr>
          <w:rFonts w:hint="eastAsia" w:ascii="宋体" w:hAnsi="宋体" w:cs="宋体"/>
          <w:color w:val="auto"/>
          <w:sz w:val="36"/>
          <w:szCs w:val="36"/>
        </w:rPr>
      </w:pPr>
      <w:r>
        <w:rPr>
          <w:rFonts w:hint="eastAsia" w:ascii="宋体" w:hAnsi="宋体" w:cs="宋体"/>
          <w:color w:val="auto"/>
          <w:sz w:val="36"/>
          <w:szCs w:val="36"/>
        </w:rPr>
        <w:t>项目编号：    （标段 ）</w:t>
      </w:r>
    </w:p>
    <w:p w14:paraId="22382499">
      <w:pPr>
        <w:spacing w:after="0" w:line="312" w:lineRule="auto"/>
        <w:ind w:right="-108"/>
        <w:jc w:val="center"/>
        <w:rPr>
          <w:rFonts w:hint="eastAsia" w:ascii="宋体" w:hAnsi="宋体" w:cs="宋体"/>
          <w:b/>
          <w:color w:val="auto"/>
          <w:spacing w:val="40"/>
          <w:sz w:val="84"/>
          <w:szCs w:val="84"/>
        </w:rPr>
      </w:pPr>
    </w:p>
    <w:p w14:paraId="5EE0D487">
      <w:pPr>
        <w:spacing w:after="0" w:line="312" w:lineRule="auto"/>
        <w:ind w:right="-108"/>
        <w:jc w:val="center"/>
        <w:rPr>
          <w:rFonts w:hint="eastAsia" w:ascii="宋体" w:hAnsi="宋体" w:cs="宋体"/>
          <w:b/>
          <w:color w:val="auto"/>
          <w:spacing w:val="40"/>
          <w:sz w:val="84"/>
          <w:szCs w:val="84"/>
        </w:rPr>
      </w:pPr>
      <w:r>
        <w:rPr>
          <w:rFonts w:hint="eastAsia" w:ascii="宋体" w:hAnsi="宋体" w:cs="宋体"/>
          <w:b/>
          <w:color w:val="auto"/>
          <w:spacing w:val="40"/>
          <w:sz w:val="84"/>
          <w:szCs w:val="84"/>
        </w:rPr>
        <w:t>报</w:t>
      </w:r>
    </w:p>
    <w:p w14:paraId="72461BCD">
      <w:pPr>
        <w:spacing w:after="0" w:line="312" w:lineRule="auto"/>
        <w:ind w:right="-108"/>
        <w:jc w:val="center"/>
        <w:rPr>
          <w:rFonts w:hint="eastAsia" w:ascii="宋体" w:hAnsi="宋体" w:cs="宋体"/>
          <w:b/>
          <w:color w:val="auto"/>
          <w:spacing w:val="40"/>
          <w:sz w:val="84"/>
          <w:szCs w:val="84"/>
        </w:rPr>
      </w:pPr>
      <w:r>
        <w:rPr>
          <w:rFonts w:hint="eastAsia" w:ascii="宋体" w:hAnsi="宋体" w:cs="宋体"/>
          <w:b/>
          <w:color w:val="auto"/>
          <w:spacing w:val="40"/>
          <w:sz w:val="84"/>
          <w:szCs w:val="84"/>
        </w:rPr>
        <w:t>价</w:t>
      </w:r>
    </w:p>
    <w:p w14:paraId="06A582BC">
      <w:pPr>
        <w:spacing w:after="0" w:line="312" w:lineRule="auto"/>
        <w:ind w:right="-108"/>
        <w:jc w:val="center"/>
        <w:rPr>
          <w:rFonts w:hint="eastAsia" w:ascii="宋体" w:hAnsi="宋体" w:cs="宋体"/>
          <w:b/>
          <w:color w:val="auto"/>
          <w:spacing w:val="40"/>
          <w:sz w:val="84"/>
          <w:szCs w:val="84"/>
        </w:rPr>
      </w:pPr>
      <w:r>
        <w:rPr>
          <w:rFonts w:hint="eastAsia" w:ascii="宋体" w:hAnsi="宋体" w:cs="宋体"/>
          <w:b/>
          <w:color w:val="auto"/>
          <w:spacing w:val="40"/>
          <w:sz w:val="84"/>
          <w:szCs w:val="84"/>
        </w:rPr>
        <w:t>文</w:t>
      </w:r>
    </w:p>
    <w:p w14:paraId="16951222">
      <w:pPr>
        <w:spacing w:after="0" w:line="312" w:lineRule="auto"/>
        <w:ind w:right="-108"/>
        <w:jc w:val="center"/>
        <w:rPr>
          <w:rFonts w:hint="eastAsia" w:ascii="宋体" w:hAnsi="宋体" w:cs="宋体"/>
          <w:b/>
          <w:color w:val="auto"/>
          <w:spacing w:val="40"/>
          <w:sz w:val="84"/>
          <w:szCs w:val="84"/>
        </w:rPr>
      </w:pPr>
      <w:r>
        <w:rPr>
          <w:rFonts w:hint="eastAsia" w:ascii="宋体" w:hAnsi="宋体" w:cs="宋体"/>
          <w:b/>
          <w:color w:val="auto"/>
          <w:spacing w:val="40"/>
          <w:sz w:val="84"/>
          <w:szCs w:val="84"/>
        </w:rPr>
        <w:t>件</w:t>
      </w:r>
    </w:p>
    <w:p w14:paraId="6FE55FCA">
      <w:pPr>
        <w:spacing w:after="0" w:line="312" w:lineRule="auto"/>
        <w:ind w:right="532"/>
        <w:jc w:val="center"/>
        <w:rPr>
          <w:rFonts w:hint="eastAsia" w:ascii="宋体" w:hAnsi="宋体" w:cs="宋体"/>
          <w:color w:val="auto"/>
          <w:sz w:val="36"/>
          <w:szCs w:val="36"/>
        </w:rPr>
      </w:pPr>
    </w:p>
    <w:p w14:paraId="4D98C67D">
      <w:pPr>
        <w:spacing w:after="0" w:line="312" w:lineRule="auto"/>
        <w:ind w:right="532" w:firstLine="720" w:firstLineChars="200"/>
        <w:rPr>
          <w:rFonts w:hint="eastAsia" w:ascii="宋体" w:hAnsi="宋体" w:cs="宋体"/>
          <w:color w:val="auto"/>
          <w:sz w:val="36"/>
          <w:szCs w:val="36"/>
        </w:rPr>
      </w:pPr>
      <w:r>
        <w:rPr>
          <w:rFonts w:hint="eastAsia" w:ascii="宋体" w:hAnsi="宋体" w:cs="宋体"/>
          <w:color w:val="auto"/>
          <w:sz w:val="36"/>
          <w:szCs w:val="36"/>
        </w:rPr>
        <w:t>供应商全称（公章）：</w:t>
      </w:r>
    </w:p>
    <w:p w14:paraId="790377DB">
      <w:pPr>
        <w:spacing w:after="0" w:line="312" w:lineRule="auto"/>
        <w:ind w:right="-108" w:firstLine="720" w:firstLineChars="200"/>
        <w:rPr>
          <w:rFonts w:hint="eastAsia" w:ascii="宋体" w:hAnsi="宋体" w:cs="宋体"/>
          <w:color w:val="auto"/>
          <w:sz w:val="36"/>
          <w:szCs w:val="36"/>
        </w:rPr>
      </w:pPr>
      <w:r>
        <w:rPr>
          <w:rFonts w:hint="eastAsia" w:ascii="宋体" w:hAnsi="宋体" w:cs="宋体"/>
          <w:color w:val="auto"/>
          <w:sz w:val="36"/>
          <w:szCs w:val="36"/>
        </w:rPr>
        <w:t>地    址：</w:t>
      </w:r>
    </w:p>
    <w:p w14:paraId="151A1395">
      <w:pPr>
        <w:spacing w:after="0" w:line="312" w:lineRule="auto"/>
        <w:ind w:right="-108" w:firstLine="720" w:firstLineChars="200"/>
        <w:rPr>
          <w:rFonts w:hint="eastAsia" w:ascii="宋体" w:hAnsi="宋体" w:cs="宋体"/>
          <w:color w:val="auto"/>
          <w:sz w:val="36"/>
          <w:szCs w:val="36"/>
        </w:rPr>
      </w:pPr>
      <w:r>
        <w:rPr>
          <w:rFonts w:hint="eastAsia" w:ascii="宋体" w:hAnsi="宋体" w:cs="宋体"/>
          <w:color w:val="auto"/>
          <w:sz w:val="36"/>
          <w:szCs w:val="36"/>
        </w:rPr>
        <w:t>时    间：</w:t>
      </w:r>
    </w:p>
    <w:p w14:paraId="246DFAE5">
      <w:pPr>
        <w:spacing w:after="0" w:line="312" w:lineRule="auto"/>
        <w:ind w:right="-108"/>
        <w:jc w:val="center"/>
        <w:rPr>
          <w:rFonts w:hint="eastAsia" w:ascii="宋体" w:hAnsi="宋体" w:cs="宋体"/>
          <w:b/>
          <w:color w:val="auto"/>
          <w:sz w:val="36"/>
          <w:szCs w:val="36"/>
        </w:rPr>
      </w:pPr>
    </w:p>
    <w:p w14:paraId="2A3EECC6">
      <w:pPr>
        <w:spacing w:after="0" w:line="312" w:lineRule="auto"/>
        <w:ind w:right="-108"/>
        <w:jc w:val="center"/>
        <w:rPr>
          <w:rFonts w:hint="eastAsia" w:ascii="宋体" w:hAnsi="宋体" w:cs="宋体"/>
          <w:b/>
          <w:color w:val="auto"/>
          <w:sz w:val="32"/>
          <w:szCs w:val="32"/>
        </w:rPr>
      </w:pPr>
    </w:p>
    <w:p w14:paraId="4B0E29A4">
      <w:pPr>
        <w:spacing w:after="0" w:line="312" w:lineRule="auto"/>
        <w:ind w:right="-108"/>
        <w:jc w:val="center"/>
        <w:rPr>
          <w:rFonts w:hint="eastAsia" w:ascii="宋体" w:hAnsi="宋体" w:cs="宋体"/>
          <w:b/>
          <w:color w:val="auto"/>
          <w:sz w:val="32"/>
          <w:szCs w:val="32"/>
        </w:rPr>
      </w:pPr>
    </w:p>
    <w:p w14:paraId="79605DE1">
      <w:pPr>
        <w:spacing w:after="0" w:line="312" w:lineRule="auto"/>
        <w:ind w:right="-108"/>
        <w:jc w:val="center"/>
        <w:rPr>
          <w:rFonts w:hint="eastAsia" w:ascii="宋体" w:hAnsi="宋体" w:cs="宋体"/>
          <w:b/>
          <w:color w:val="auto"/>
          <w:sz w:val="32"/>
          <w:szCs w:val="32"/>
        </w:rPr>
      </w:pPr>
    </w:p>
    <w:p w14:paraId="00FE70C3">
      <w:pPr>
        <w:spacing w:after="0" w:line="312" w:lineRule="auto"/>
        <w:ind w:right="-108"/>
        <w:jc w:val="center"/>
        <w:rPr>
          <w:rFonts w:hint="eastAsia" w:ascii="宋体" w:hAnsi="宋体" w:cs="宋体"/>
          <w:b/>
          <w:color w:val="auto"/>
          <w:sz w:val="32"/>
          <w:szCs w:val="32"/>
        </w:rPr>
      </w:pPr>
    </w:p>
    <w:p w14:paraId="3C388B3C">
      <w:pPr>
        <w:spacing w:after="0" w:line="312" w:lineRule="auto"/>
        <w:ind w:right="-108"/>
        <w:jc w:val="center"/>
        <w:rPr>
          <w:rFonts w:hint="eastAsia" w:ascii="宋体" w:hAnsi="宋体" w:cs="宋体"/>
          <w:b/>
          <w:color w:val="auto"/>
          <w:sz w:val="32"/>
          <w:szCs w:val="32"/>
        </w:rPr>
      </w:pPr>
      <w:r>
        <w:rPr>
          <w:rFonts w:hint="eastAsia" w:ascii="宋体" w:hAnsi="宋体" w:cs="宋体"/>
          <w:b/>
          <w:color w:val="auto"/>
          <w:sz w:val="32"/>
          <w:szCs w:val="32"/>
        </w:rPr>
        <w:t>报价文件目录</w:t>
      </w:r>
    </w:p>
    <w:p w14:paraId="60423E95">
      <w:pPr>
        <w:spacing w:after="0" w:line="312" w:lineRule="auto"/>
        <w:ind w:right="-108"/>
        <w:jc w:val="center"/>
        <w:rPr>
          <w:rFonts w:hint="eastAsia" w:ascii="宋体" w:hAnsi="宋体" w:cs="宋体"/>
          <w:b/>
          <w:color w:val="auto"/>
          <w:sz w:val="36"/>
          <w:szCs w:val="36"/>
        </w:rPr>
      </w:pPr>
    </w:p>
    <w:p w14:paraId="6867D1DD">
      <w:pPr>
        <w:spacing w:after="0" w:line="360" w:lineRule="auto"/>
        <w:rPr>
          <w:rFonts w:hint="eastAsia" w:ascii="宋体" w:hAnsi="宋体" w:cs="宋体"/>
          <w:color w:val="auto"/>
          <w:sz w:val="24"/>
        </w:rPr>
      </w:pPr>
    </w:p>
    <w:p w14:paraId="71EAEF29">
      <w:pPr>
        <w:snapToGrid w:val="0"/>
        <w:spacing w:after="0" w:line="360" w:lineRule="auto"/>
        <w:ind w:firstLine="560" w:firstLineChars="200"/>
        <w:jc w:val="left"/>
        <w:rPr>
          <w:rFonts w:hint="eastAsia" w:ascii="宋体" w:hAnsi="宋体" w:cs="宋体"/>
          <w:color w:val="auto"/>
          <w:sz w:val="28"/>
          <w:szCs w:val="28"/>
        </w:rPr>
      </w:pPr>
      <w:r>
        <w:rPr>
          <w:rFonts w:hint="eastAsia" w:ascii="宋体" w:hAnsi="宋体" w:cs="宋体"/>
          <w:color w:val="auto"/>
          <w:sz w:val="28"/>
          <w:szCs w:val="28"/>
        </w:rPr>
        <w:t>1、开标一览表（附件14）；</w:t>
      </w:r>
    </w:p>
    <w:p w14:paraId="5CE5FCF7">
      <w:pPr>
        <w:pStyle w:val="23"/>
        <w:ind w:left="0" w:leftChars="0" w:firstLine="560" w:firstLineChars="200"/>
        <w:rPr>
          <w:rFonts w:hint="eastAsia" w:ascii="宋体" w:hAnsi="宋体"/>
          <w:color w:val="auto"/>
          <w:sz w:val="28"/>
          <w:szCs w:val="28"/>
        </w:rPr>
      </w:pPr>
      <w:r>
        <w:rPr>
          <w:rFonts w:hint="eastAsia" w:ascii="宋体" w:hAnsi="宋体"/>
          <w:color w:val="auto"/>
          <w:sz w:val="28"/>
          <w:szCs w:val="28"/>
        </w:rPr>
        <w:t>2、报价明细表（附件15）；</w:t>
      </w:r>
    </w:p>
    <w:p w14:paraId="7E268058">
      <w:pPr>
        <w:snapToGrid w:val="0"/>
        <w:spacing w:after="0" w:line="360" w:lineRule="auto"/>
        <w:ind w:firstLine="560" w:firstLineChars="200"/>
        <w:rPr>
          <w:rFonts w:hint="eastAsia" w:ascii="宋体" w:hAnsi="宋体" w:cs="宋体"/>
          <w:color w:val="auto"/>
          <w:sz w:val="28"/>
          <w:szCs w:val="28"/>
        </w:rPr>
      </w:pPr>
      <w:r>
        <w:rPr>
          <w:rFonts w:hint="eastAsia" w:ascii="宋体" w:hAnsi="宋体" w:cs="宋体"/>
          <w:color w:val="auto"/>
          <w:sz w:val="28"/>
          <w:szCs w:val="28"/>
        </w:rPr>
        <w:t>3、针对报价投标人认为其他需要说明的；</w:t>
      </w:r>
    </w:p>
    <w:p w14:paraId="2616B066">
      <w:pPr>
        <w:pStyle w:val="23"/>
        <w:spacing w:line="360" w:lineRule="auto"/>
        <w:ind w:left="0" w:leftChars="0" w:firstLine="562" w:firstLineChars="200"/>
        <w:rPr>
          <w:rFonts w:hint="eastAsia" w:ascii="宋体" w:hAnsi="宋体"/>
          <w:b/>
          <w:color w:val="auto"/>
          <w:sz w:val="28"/>
          <w:szCs w:val="28"/>
        </w:rPr>
      </w:pPr>
    </w:p>
    <w:p w14:paraId="4F79F96B">
      <w:pPr>
        <w:spacing w:after="0" w:line="312" w:lineRule="auto"/>
        <w:ind w:left="480"/>
        <w:rPr>
          <w:rFonts w:hint="eastAsia" w:ascii="宋体" w:hAnsi="宋体" w:cs="宋体"/>
          <w:b/>
          <w:color w:val="auto"/>
          <w:sz w:val="28"/>
        </w:rPr>
      </w:pPr>
    </w:p>
    <w:p w14:paraId="156258D6">
      <w:pPr>
        <w:spacing w:after="0" w:line="312" w:lineRule="auto"/>
        <w:ind w:left="480"/>
        <w:rPr>
          <w:rFonts w:hint="eastAsia" w:ascii="宋体" w:hAnsi="宋体" w:cs="宋体"/>
          <w:b/>
          <w:color w:val="auto"/>
          <w:sz w:val="28"/>
        </w:rPr>
      </w:pPr>
    </w:p>
    <w:p w14:paraId="78F6D0D9">
      <w:pPr>
        <w:spacing w:after="0" w:line="312" w:lineRule="auto"/>
        <w:ind w:left="480"/>
        <w:rPr>
          <w:rFonts w:hint="eastAsia" w:ascii="宋体" w:hAnsi="宋体" w:cs="宋体"/>
          <w:b/>
          <w:color w:val="auto"/>
          <w:sz w:val="28"/>
        </w:rPr>
      </w:pPr>
    </w:p>
    <w:p w14:paraId="2FB6FD22">
      <w:pPr>
        <w:spacing w:after="0" w:line="312" w:lineRule="auto"/>
        <w:ind w:left="480"/>
        <w:rPr>
          <w:rFonts w:hint="eastAsia" w:ascii="宋体" w:hAnsi="宋体" w:cs="宋体"/>
          <w:b/>
          <w:color w:val="auto"/>
          <w:sz w:val="28"/>
        </w:rPr>
      </w:pPr>
    </w:p>
    <w:p w14:paraId="1A19D533">
      <w:pPr>
        <w:spacing w:after="0" w:line="312" w:lineRule="auto"/>
        <w:ind w:left="480"/>
        <w:rPr>
          <w:rFonts w:hint="eastAsia" w:ascii="宋体" w:hAnsi="宋体" w:cs="宋体"/>
          <w:b/>
          <w:color w:val="auto"/>
          <w:sz w:val="28"/>
        </w:rPr>
      </w:pPr>
    </w:p>
    <w:p w14:paraId="6C14C2D1">
      <w:pPr>
        <w:spacing w:after="0" w:line="312" w:lineRule="auto"/>
        <w:ind w:left="480"/>
        <w:rPr>
          <w:rFonts w:hint="eastAsia" w:ascii="宋体" w:hAnsi="宋体" w:cs="宋体"/>
          <w:b/>
          <w:color w:val="auto"/>
          <w:sz w:val="28"/>
        </w:rPr>
      </w:pPr>
    </w:p>
    <w:p w14:paraId="7382BC17">
      <w:pPr>
        <w:spacing w:after="0" w:line="312" w:lineRule="auto"/>
        <w:ind w:left="480"/>
        <w:rPr>
          <w:rFonts w:hint="eastAsia" w:ascii="宋体" w:hAnsi="宋体" w:cs="宋体"/>
          <w:b/>
          <w:color w:val="auto"/>
          <w:sz w:val="28"/>
        </w:rPr>
      </w:pPr>
    </w:p>
    <w:p w14:paraId="7976BB68">
      <w:pPr>
        <w:spacing w:after="0" w:line="312" w:lineRule="auto"/>
        <w:ind w:left="480"/>
        <w:rPr>
          <w:rFonts w:hint="eastAsia" w:ascii="宋体" w:hAnsi="宋体" w:cs="宋体"/>
          <w:b/>
          <w:color w:val="auto"/>
          <w:sz w:val="28"/>
        </w:rPr>
      </w:pPr>
    </w:p>
    <w:p w14:paraId="5B008B20">
      <w:pPr>
        <w:spacing w:after="0" w:line="312" w:lineRule="auto"/>
        <w:ind w:left="480"/>
        <w:rPr>
          <w:rFonts w:hint="eastAsia" w:ascii="宋体" w:hAnsi="宋体" w:cs="宋体"/>
          <w:b/>
          <w:color w:val="auto"/>
          <w:sz w:val="28"/>
        </w:rPr>
      </w:pPr>
    </w:p>
    <w:p w14:paraId="3EE63EB0">
      <w:pPr>
        <w:spacing w:after="0" w:line="312" w:lineRule="auto"/>
        <w:rPr>
          <w:rFonts w:hint="eastAsia" w:ascii="宋体" w:hAnsi="宋体" w:cs="宋体"/>
          <w:b/>
          <w:color w:val="auto"/>
          <w:sz w:val="28"/>
        </w:rPr>
      </w:pPr>
    </w:p>
    <w:p w14:paraId="21FFCDA4">
      <w:pPr>
        <w:spacing w:after="0" w:line="312" w:lineRule="auto"/>
        <w:rPr>
          <w:rFonts w:hint="eastAsia" w:ascii="宋体" w:hAnsi="宋体" w:cs="宋体"/>
          <w:b/>
          <w:color w:val="auto"/>
          <w:sz w:val="28"/>
        </w:rPr>
      </w:pPr>
    </w:p>
    <w:p w14:paraId="6D80CF09">
      <w:pPr>
        <w:spacing w:after="0" w:line="312" w:lineRule="auto"/>
        <w:rPr>
          <w:rFonts w:hint="eastAsia" w:ascii="宋体" w:hAnsi="宋体" w:cs="宋体"/>
          <w:b/>
          <w:color w:val="auto"/>
          <w:sz w:val="28"/>
        </w:rPr>
      </w:pPr>
    </w:p>
    <w:p w14:paraId="019390E6">
      <w:pPr>
        <w:spacing w:after="0" w:line="312" w:lineRule="auto"/>
        <w:rPr>
          <w:rFonts w:hint="eastAsia" w:ascii="宋体" w:hAnsi="宋体" w:cs="宋体"/>
          <w:b/>
          <w:color w:val="auto"/>
          <w:sz w:val="28"/>
        </w:rPr>
      </w:pPr>
    </w:p>
    <w:p w14:paraId="152A6827">
      <w:pPr>
        <w:spacing w:after="0" w:line="312" w:lineRule="auto"/>
        <w:rPr>
          <w:rFonts w:hint="eastAsia" w:ascii="宋体" w:hAnsi="宋体" w:cs="宋体"/>
          <w:b/>
          <w:color w:val="auto"/>
          <w:sz w:val="28"/>
        </w:rPr>
      </w:pPr>
    </w:p>
    <w:p w14:paraId="16EA542C">
      <w:pPr>
        <w:spacing w:after="0" w:line="312" w:lineRule="auto"/>
        <w:rPr>
          <w:rFonts w:hint="eastAsia" w:ascii="宋体" w:hAnsi="宋体" w:cs="宋体"/>
          <w:b/>
          <w:color w:val="auto"/>
          <w:sz w:val="28"/>
        </w:rPr>
      </w:pPr>
      <w:r>
        <w:rPr>
          <w:rFonts w:hint="eastAsia" w:ascii="宋体" w:hAnsi="宋体" w:cs="宋体"/>
          <w:b/>
          <w:color w:val="auto"/>
          <w:sz w:val="28"/>
        </w:rPr>
        <w:t>附件14</w:t>
      </w:r>
    </w:p>
    <w:p w14:paraId="36ABDD36">
      <w:pPr>
        <w:pStyle w:val="13"/>
        <w:spacing w:after="0" w:line="312" w:lineRule="auto"/>
        <w:jc w:val="center"/>
        <w:rPr>
          <w:rFonts w:hint="eastAsia" w:hAnsi="宋体" w:cs="宋体"/>
          <w:b/>
          <w:color w:val="auto"/>
          <w:sz w:val="32"/>
          <w:szCs w:val="32"/>
        </w:rPr>
      </w:pPr>
      <w:r>
        <w:rPr>
          <w:rFonts w:hint="eastAsia" w:hAnsi="宋体" w:cs="宋体"/>
          <w:b/>
          <w:color w:val="auto"/>
          <w:sz w:val="36"/>
          <w:szCs w:val="36"/>
        </w:rPr>
        <w:t>开标一览表</w:t>
      </w:r>
    </w:p>
    <w:p w14:paraId="7A522BCE">
      <w:pPr>
        <w:pStyle w:val="13"/>
        <w:spacing w:line="320" w:lineRule="exact"/>
        <w:rPr>
          <w:rFonts w:hint="eastAsia" w:hAnsi="宋体" w:cs="宋体"/>
          <w:b/>
          <w:color w:val="auto"/>
          <w:sz w:val="24"/>
        </w:rPr>
      </w:pPr>
      <w:r>
        <w:rPr>
          <w:rFonts w:hint="eastAsia" w:hAnsi="宋体" w:cs="宋体"/>
          <w:b/>
          <w:color w:val="auto"/>
          <w:sz w:val="24"/>
        </w:rPr>
        <w:t>项目编号：</w:t>
      </w:r>
    </w:p>
    <w:p w14:paraId="3D67756C">
      <w:pPr>
        <w:pStyle w:val="46"/>
        <w:spacing w:line="360" w:lineRule="auto"/>
        <w:ind w:right="480"/>
        <w:jc w:val="left"/>
        <w:rPr>
          <w:rFonts w:hint="eastAsia" w:ascii="宋体" w:hAnsi="宋体" w:cs="宋体"/>
          <w:color w:val="auto"/>
          <w:sz w:val="24"/>
        </w:rPr>
      </w:pPr>
      <w:r>
        <w:rPr>
          <w:rFonts w:hint="eastAsia" w:ascii="宋体" w:hAnsi="宋体" w:cs="宋体"/>
          <w:b/>
          <w:color w:val="auto"/>
          <w:sz w:val="24"/>
        </w:rPr>
        <w:t>项目名称：</w:t>
      </w:r>
      <w:r>
        <w:rPr>
          <w:rFonts w:hint="eastAsia" w:ascii="宋体" w:hAnsi="宋体" w:cs="宋体"/>
          <w:color w:val="auto"/>
          <w:sz w:val="24"/>
        </w:rPr>
        <w:t xml:space="preserve">                                     [货币单位：人民币元]</w:t>
      </w:r>
    </w:p>
    <w:tbl>
      <w:tblPr>
        <w:tblStyle w:val="24"/>
        <w:tblW w:w="8672"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0" w:type="dxa"/>
          <w:bottom w:w="0" w:type="dxa"/>
          <w:right w:w="0" w:type="dxa"/>
        </w:tblCellMar>
      </w:tblPr>
      <w:tblGrid>
        <w:gridCol w:w="2694"/>
        <w:gridCol w:w="1349"/>
        <w:gridCol w:w="4629"/>
      </w:tblGrid>
      <w:tr w14:paraId="21877B6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rPr>
          <w:cantSplit/>
          <w:trHeight w:val="1469" w:hRule="atLeast"/>
          <w:jc w:val="center"/>
        </w:trPr>
        <w:tc>
          <w:tcPr>
            <w:tcW w:w="2694" w:type="dxa"/>
            <w:vMerge w:val="restart"/>
            <w:tcBorders>
              <w:top w:val="single" w:color="auto" w:sz="12" w:space="0"/>
              <w:left w:val="single" w:color="auto" w:sz="12" w:space="0"/>
              <w:bottom w:val="single" w:color="auto" w:sz="4" w:space="0"/>
              <w:right w:val="single" w:color="auto" w:sz="4" w:space="0"/>
            </w:tcBorders>
            <w:vAlign w:val="center"/>
          </w:tcPr>
          <w:p w14:paraId="4510862D">
            <w:pPr>
              <w:autoSpaceDE w:val="0"/>
              <w:autoSpaceDN w:val="0"/>
              <w:spacing w:line="450" w:lineRule="exact"/>
              <w:jc w:val="center"/>
              <w:textAlignment w:val="bottom"/>
              <w:rPr>
                <w:rFonts w:hint="eastAsia" w:ascii="宋体" w:hAnsi="宋体" w:cs="宋体"/>
                <w:color w:val="auto"/>
                <w:sz w:val="24"/>
              </w:rPr>
            </w:pPr>
            <w:r>
              <w:rPr>
                <w:rFonts w:hint="eastAsia" w:ascii="宋体" w:hAnsi="宋体" w:cs="宋体"/>
                <w:color w:val="auto"/>
                <w:sz w:val="24"/>
              </w:rPr>
              <w:t>投标总报价(元)</w:t>
            </w:r>
          </w:p>
        </w:tc>
        <w:tc>
          <w:tcPr>
            <w:tcW w:w="1349" w:type="dxa"/>
            <w:tcBorders>
              <w:top w:val="single" w:color="auto" w:sz="12" w:space="0"/>
              <w:left w:val="single" w:color="auto" w:sz="4" w:space="0"/>
              <w:bottom w:val="single" w:color="auto" w:sz="4" w:space="0"/>
              <w:right w:val="single" w:color="auto" w:sz="4" w:space="0"/>
            </w:tcBorders>
            <w:vAlign w:val="center"/>
          </w:tcPr>
          <w:p w14:paraId="25F8534D">
            <w:pPr>
              <w:autoSpaceDE w:val="0"/>
              <w:autoSpaceDN w:val="0"/>
              <w:spacing w:line="450" w:lineRule="exact"/>
              <w:jc w:val="center"/>
              <w:textAlignment w:val="bottom"/>
              <w:rPr>
                <w:rFonts w:hint="eastAsia" w:ascii="宋体" w:hAnsi="宋体" w:cs="宋体"/>
                <w:color w:val="auto"/>
                <w:sz w:val="24"/>
              </w:rPr>
            </w:pPr>
            <w:r>
              <w:rPr>
                <w:rFonts w:hint="eastAsia" w:ascii="宋体" w:hAnsi="宋体" w:cs="宋体"/>
                <w:color w:val="auto"/>
                <w:sz w:val="24"/>
              </w:rPr>
              <w:t>大写</w:t>
            </w:r>
          </w:p>
        </w:tc>
        <w:tc>
          <w:tcPr>
            <w:tcW w:w="4629" w:type="dxa"/>
            <w:tcBorders>
              <w:top w:val="single" w:color="auto" w:sz="12" w:space="0"/>
              <w:left w:val="single" w:color="auto" w:sz="4" w:space="0"/>
              <w:bottom w:val="single" w:color="auto" w:sz="4" w:space="0"/>
              <w:right w:val="single" w:color="auto" w:sz="12" w:space="0"/>
            </w:tcBorders>
            <w:vAlign w:val="center"/>
          </w:tcPr>
          <w:p w14:paraId="42A07A7A">
            <w:pPr>
              <w:autoSpaceDE w:val="0"/>
              <w:autoSpaceDN w:val="0"/>
              <w:spacing w:line="450" w:lineRule="exact"/>
              <w:jc w:val="center"/>
              <w:textAlignment w:val="bottom"/>
              <w:rPr>
                <w:rFonts w:hint="eastAsia" w:ascii="宋体" w:hAnsi="宋体" w:cs="宋体"/>
                <w:color w:val="auto"/>
                <w:sz w:val="24"/>
              </w:rPr>
            </w:pPr>
          </w:p>
        </w:tc>
      </w:tr>
      <w:tr w14:paraId="74383DF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0" w:type="dxa"/>
            <w:bottom w:w="0" w:type="dxa"/>
            <w:right w:w="0" w:type="dxa"/>
          </w:tblCellMar>
        </w:tblPrEx>
        <w:trPr>
          <w:cantSplit/>
          <w:trHeight w:val="1530" w:hRule="atLeast"/>
          <w:jc w:val="center"/>
        </w:trPr>
        <w:tc>
          <w:tcPr>
            <w:tcW w:w="2694" w:type="dxa"/>
            <w:vMerge w:val="continue"/>
            <w:tcBorders>
              <w:top w:val="single" w:color="auto" w:sz="12" w:space="0"/>
              <w:left w:val="single" w:color="auto" w:sz="12" w:space="0"/>
              <w:bottom w:val="single" w:color="auto" w:sz="4" w:space="0"/>
              <w:right w:val="single" w:color="auto" w:sz="4" w:space="0"/>
            </w:tcBorders>
            <w:vAlign w:val="center"/>
          </w:tcPr>
          <w:p w14:paraId="6596EE05">
            <w:pPr>
              <w:rPr>
                <w:rFonts w:hint="eastAsia" w:ascii="宋体" w:hAnsi="宋体" w:cs="宋体"/>
                <w:color w:val="auto"/>
                <w:sz w:val="24"/>
              </w:rPr>
            </w:pPr>
          </w:p>
        </w:tc>
        <w:tc>
          <w:tcPr>
            <w:tcW w:w="1349" w:type="dxa"/>
            <w:tcBorders>
              <w:top w:val="single" w:color="auto" w:sz="4" w:space="0"/>
              <w:left w:val="single" w:color="auto" w:sz="4" w:space="0"/>
              <w:bottom w:val="single" w:color="auto" w:sz="4" w:space="0"/>
              <w:right w:val="single" w:color="auto" w:sz="4" w:space="0"/>
            </w:tcBorders>
            <w:vAlign w:val="center"/>
          </w:tcPr>
          <w:p w14:paraId="6A362575">
            <w:pPr>
              <w:autoSpaceDE w:val="0"/>
              <w:autoSpaceDN w:val="0"/>
              <w:spacing w:line="450" w:lineRule="exact"/>
              <w:jc w:val="center"/>
              <w:textAlignment w:val="bottom"/>
              <w:rPr>
                <w:rFonts w:hint="eastAsia" w:ascii="宋体" w:hAnsi="宋体" w:cs="宋体"/>
                <w:color w:val="auto"/>
                <w:sz w:val="24"/>
              </w:rPr>
            </w:pPr>
            <w:r>
              <w:rPr>
                <w:rFonts w:hint="eastAsia" w:ascii="宋体" w:hAnsi="宋体" w:cs="宋体"/>
                <w:color w:val="auto"/>
                <w:sz w:val="24"/>
              </w:rPr>
              <w:t>小写</w:t>
            </w:r>
          </w:p>
        </w:tc>
        <w:tc>
          <w:tcPr>
            <w:tcW w:w="4629" w:type="dxa"/>
            <w:tcBorders>
              <w:top w:val="single" w:color="auto" w:sz="4" w:space="0"/>
              <w:left w:val="single" w:color="auto" w:sz="4" w:space="0"/>
              <w:bottom w:val="single" w:color="auto" w:sz="4" w:space="0"/>
              <w:right w:val="single" w:color="auto" w:sz="12" w:space="0"/>
            </w:tcBorders>
            <w:vAlign w:val="center"/>
          </w:tcPr>
          <w:p w14:paraId="3A47EC12">
            <w:pPr>
              <w:autoSpaceDE w:val="0"/>
              <w:autoSpaceDN w:val="0"/>
              <w:spacing w:line="450" w:lineRule="exact"/>
              <w:jc w:val="center"/>
              <w:textAlignment w:val="bottom"/>
              <w:rPr>
                <w:rFonts w:hint="eastAsia" w:ascii="宋体" w:hAnsi="宋体" w:cs="宋体"/>
                <w:color w:val="auto"/>
                <w:sz w:val="24"/>
              </w:rPr>
            </w:pPr>
          </w:p>
        </w:tc>
      </w:tr>
    </w:tbl>
    <w:p w14:paraId="2CADF4E3">
      <w:pPr>
        <w:spacing w:after="0" w:line="240" w:lineRule="auto"/>
        <w:rPr>
          <w:rFonts w:hint="eastAsia" w:ascii="宋体" w:hAnsi="宋体" w:cs="宋体"/>
          <w:b/>
          <w:color w:val="auto"/>
          <w:szCs w:val="21"/>
        </w:rPr>
      </w:pPr>
    </w:p>
    <w:p w14:paraId="28987F4F">
      <w:pPr>
        <w:spacing w:after="0" w:line="240" w:lineRule="auto"/>
        <w:rPr>
          <w:rFonts w:hint="eastAsia" w:ascii="宋体" w:hAnsi="宋体" w:cs="宋体"/>
          <w:color w:val="auto"/>
          <w:sz w:val="24"/>
        </w:rPr>
      </w:pPr>
      <w:r>
        <w:rPr>
          <w:rFonts w:hint="eastAsia" w:ascii="宋体" w:hAnsi="宋体" w:cs="宋体"/>
          <w:b/>
          <w:color w:val="auto"/>
          <w:szCs w:val="21"/>
        </w:rPr>
        <w:t>填报要求：</w:t>
      </w:r>
    </w:p>
    <w:p w14:paraId="7D58C12D">
      <w:pPr>
        <w:pStyle w:val="7"/>
        <w:spacing w:after="0" w:line="240" w:lineRule="auto"/>
        <w:ind w:firstLineChars="200"/>
        <w:rPr>
          <w:rFonts w:hint="eastAsia" w:ascii="宋体" w:hAnsi="宋体" w:cs="宋体"/>
          <w:color w:val="auto"/>
          <w:kern w:val="0"/>
          <w:szCs w:val="21"/>
        </w:rPr>
      </w:pPr>
      <w:r>
        <w:rPr>
          <w:rFonts w:hint="eastAsia" w:ascii="宋体" w:hAnsi="宋体" w:cs="宋体"/>
          <w:color w:val="auto"/>
          <w:kern w:val="0"/>
          <w:szCs w:val="21"/>
        </w:rPr>
        <w:t>1.投标总报价是包括货款、标准附件、备品备件、专用工具、包装、运输、装卸、保险、税金、货到就位以及安装、调试、培训、保修、合同包含的所有风险责任等各项费用及不可预见费等所需的全部费用。</w:t>
      </w:r>
    </w:p>
    <w:p w14:paraId="50F7E67D">
      <w:pPr>
        <w:spacing w:after="0" w:line="240" w:lineRule="auto"/>
        <w:ind w:firstLine="420" w:firstLineChars="200"/>
        <w:rPr>
          <w:rFonts w:hint="eastAsia" w:ascii="宋体" w:hAnsi="宋体" w:cs="宋体"/>
          <w:b/>
          <w:i/>
          <w:color w:val="auto"/>
          <w:szCs w:val="21"/>
          <w:u w:val="single"/>
        </w:rPr>
      </w:pPr>
      <w:r>
        <w:rPr>
          <w:rFonts w:hint="eastAsia" w:ascii="宋体" w:hAnsi="宋体" w:cs="宋体"/>
          <w:color w:val="auto"/>
          <w:kern w:val="0"/>
          <w:szCs w:val="21"/>
        </w:rPr>
        <w:t>2.报价一经涂改，应在涂改处加盖单位公章，或者由法定代表人或授权代表签字或盖章，否则其投标作无效标处理。</w:t>
      </w:r>
    </w:p>
    <w:p w14:paraId="51522F16">
      <w:pPr>
        <w:spacing w:line="360" w:lineRule="auto"/>
        <w:rPr>
          <w:rFonts w:hint="eastAsia" w:ascii="宋体" w:hAnsi="宋体" w:cs="宋体"/>
          <w:color w:val="auto"/>
          <w:sz w:val="24"/>
        </w:rPr>
      </w:pPr>
    </w:p>
    <w:p w14:paraId="58E54B7D">
      <w:pPr>
        <w:spacing w:line="360" w:lineRule="auto"/>
        <w:ind w:left="420"/>
        <w:rPr>
          <w:rFonts w:hint="eastAsia" w:ascii="宋体" w:hAnsi="宋体" w:cs="宋体"/>
          <w:color w:val="auto"/>
          <w:sz w:val="24"/>
          <w:u w:val="single"/>
        </w:rPr>
      </w:pPr>
      <w:r>
        <w:rPr>
          <w:rFonts w:hint="eastAsia" w:ascii="宋体" w:hAnsi="宋体" w:cs="宋体"/>
          <w:color w:val="auto"/>
          <w:sz w:val="24"/>
        </w:rPr>
        <w:t>投标人名称（盖章）：</w:t>
      </w:r>
    </w:p>
    <w:p w14:paraId="6F8DD4D9">
      <w:pPr>
        <w:spacing w:line="360" w:lineRule="auto"/>
        <w:ind w:firstLine="435"/>
        <w:rPr>
          <w:rFonts w:hint="eastAsia" w:ascii="宋体" w:hAnsi="宋体" w:cs="宋体"/>
          <w:color w:val="auto"/>
          <w:sz w:val="24"/>
        </w:rPr>
      </w:pPr>
      <w:r>
        <w:rPr>
          <w:rFonts w:hint="eastAsia" w:ascii="宋体" w:hAnsi="宋体" w:cs="宋体"/>
          <w:color w:val="auto"/>
          <w:sz w:val="24"/>
        </w:rPr>
        <w:t>投标人代表签字或盖章：</w:t>
      </w:r>
    </w:p>
    <w:p w14:paraId="2F2B6BE3">
      <w:pPr>
        <w:spacing w:line="360" w:lineRule="auto"/>
        <w:ind w:firstLine="435"/>
        <w:rPr>
          <w:rFonts w:hint="eastAsia" w:ascii="宋体" w:hAnsi="宋体" w:cs="宋体"/>
          <w:color w:val="auto"/>
          <w:sz w:val="24"/>
        </w:rPr>
      </w:pPr>
      <w:r>
        <w:rPr>
          <w:rFonts w:hint="eastAsia" w:ascii="宋体" w:hAnsi="宋体" w:cs="宋体"/>
          <w:color w:val="auto"/>
          <w:sz w:val="24"/>
        </w:rPr>
        <w:t>日        期：</w:t>
      </w:r>
    </w:p>
    <w:p w14:paraId="2FD6C266">
      <w:pPr>
        <w:snapToGrid w:val="0"/>
        <w:spacing w:before="156" w:beforeLines="50" w:after="0" w:line="312" w:lineRule="auto"/>
        <w:rPr>
          <w:rFonts w:hint="eastAsia" w:ascii="宋体" w:hAnsi="宋体" w:cs="宋体"/>
          <w:b/>
          <w:color w:val="auto"/>
          <w:sz w:val="28"/>
        </w:rPr>
      </w:pPr>
    </w:p>
    <w:p w14:paraId="5CECA236">
      <w:pPr>
        <w:snapToGrid w:val="0"/>
        <w:spacing w:before="156" w:beforeLines="50" w:after="0" w:line="312" w:lineRule="auto"/>
        <w:rPr>
          <w:rFonts w:hint="eastAsia" w:ascii="宋体" w:hAnsi="宋体" w:cs="宋体"/>
          <w:b/>
          <w:color w:val="auto"/>
          <w:sz w:val="28"/>
        </w:rPr>
      </w:pPr>
    </w:p>
    <w:p w14:paraId="7D17E5AD">
      <w:pPr>
        <w:snapToGrid w:val="0"/>
        <w:spacing w:before="156" w:beforeLines="50" w:after="0" w:line="312" w:lineRule="auto"/>
        <w:rPr>
          <w:rFonts w:hint="eastAsia" w:ascii="宋体" w:hAnsi="宋体" w:cs="宋体"/>
          <w:b/>
          <w:color w:val="auto"/>
          <w:sz w:val="28"/>
        </w:rPr>
      </w:pPr>
    </w:p>
    <w:p w14:paraId="18D32BEA">
      <w:pPr>
        <w:snapToGrid w:val="0"/>
        <w:spacing w:before="156" w:beforeLines="50" w:after="0" w:line="312" w:lineRule="auto"/>
        <w:rPr>
          <w:rFonts w:hint="eastAsia" w:ascii="宋体" w:hAnsi="宋体" w:cs="宋体"/>
          <w:b/>
          <w:color w:val="auto"/>
          <w:sz w:val="28"/>
        </w:rPr>
      </w:pPr>
    </w:p>
    <w:p w14:paraId="78487277">
      <w:pPr>
        <w:pStyle w:val="23"/>
        <w:rPr>
          <w:rFonts w:hint="eastAsia" w:ascii="宋体" w:hAnsi="宋体"/>
          <w:color w:val="auto"/>
        </w:rPr>
      </w:pPr>
    </w:p>
    <w:p w14:paraId="0E5C43DB">
      <w:pPr>
        <w:pStyle w:val="23"/>
        <w:rPr>
          <w:rFonts w:hint="eastAsia" w:ascii="宋体" w:hAnsi="宋体"/>
          <w:color w:val="auto"/>
        </w:rPr>
      </w:pPr>
    </w:p>
    <w:p w14:paraId="04A3EF85">
      <w:pPr>
        <w:pStyle w:val="23"/>
        <w:rPr>
          <w:rFonts w:hint="eastAsia" w:ascii="宋体" w:hAnsi="宋体"/>
          <w:color w:val="auto"/>
        </w:rPr>
      </w:pPr>
    </w:p>
    <w:p w14:paraId="20287552">
      <w:pPr>
        <w:snapToGrid w:val="0"/>
        <w:spacing w:before="156" w:beforeLines="50" w:after="0" w:line="312" w:lineRule="auto"/>
        <w:rPr>
          <w:rFonts w:hint="eastAsia" w:ascii="宋体" w:hAnsi="宋体" w:cs="宋体"/>
          <w:b/>
          <w:color w:val="auto"/>
          <w:sz w:val="28"/>
        </w:rPr>
      </w:pPr>
      <w:r>
        <w:rPr>
          <w:rFonts w:hint="eastAsia" w:ascii="宋体" w:hAnsi="宋体" w:cs="宋体"/>
          <w:b/>
          <w:color w:val="auto"/>
          <w:sz w:val="28"/>
        </w:rPr>
        <w:t>附件15</w:t>
      </w:r>
    </w:p>
    <w:p w14:paraId="4B298083">
      <w:pPr>
        <w:spacing w:line="360" w:lineRule="auto"/>
        <w:jc w:val="center"/>
        <w:rPr>
          <w:rFonts w:hint="eastAsia" w:ascii="宋体" w:hAnsi="宋体" w:cs="宋体"/>
          <w:color w:val="auto"/>
        </w:rPr>
      </w:pPr>
      <w:r>
        <w:rPr>
          <w:rFonts w:hint="eastAsia" w:ascii="宋体" w:hAnsi="宋体" w:cs="宋体"/>
          <w:b/>
          <w:color w:val="auto"/>
          <w:sz w:val="32"/>
          <w:szCs w:val="32"/>
        </w:rPr>
        <w:t>报价明细表</w:t>
      </w:r>
    </w:p>
    <w:p w14:paraId="12340480">
      <w:pPr>
        <w:spacing w:line="360" w:lineRule="auto"/>
        <w:ind w:firstLine="480" w:firstLineChars="200"/>
        <w:jc w:val="left"/>
        <w:rPr>
          <w:rFonts w:hint="eastAsia" w:ascii="宋体" w:hAnsi="宋体" w:cs="宋体"/>
          <w:color w:val="auto"/>
          <w:sz w:val="24"/>
          <w:szCs w:val="32"/>
        </w:rPr>
      </w:pPr>
      <w:r>
        <w:rPr>
          <w:rFonts w:hint="eastAsia" w:ascii="宋体" w:hAnsi="宋体" w:cs="宋体"/>
          <w:color w:val="auto"/>
          <w:sz w:val="24"/>
          <w:szCs w:val="32"/>
        </w:rPr>
        <w:t>项目名称：</w:t>
      </w:r>
    </w:p>
    <w:p w14:paraId="709D4CFB">
      <w:pPr>
        <w:spacing w:line="360" w:lineRule="auto"/>
        <w:ind w:firstLine="480" w:firstLineChars="200"/>
        <w:jc w:val="left"/>
        <w:rPr>
          <w:rFonts w:hint="eastAsia" w:ascii="宋体" w:hAnsi="宋体" w:cs="宋体"/>
          <w:color w:val="auto"/>
          <w:sz w:val="24"/>
          <w:szCs w:val="32"/>
        </w:rPr>
      </w:pPr>
      <w:r>
        <w:rPr>
          <w:rFonts w:hint="eastAsia" w:ascii="宋体" w:hAnsi="宋体" w:cs="宋体"/>
          <w:color w:val="auto"/>
          <w:sz w:val="24"/>
          <w:szCs w:val="32"/>
        </w:rPr>
        <w:t>项目编号：                                       [单位：人民币/元]</w:t>
      </w:r>
    </w:p>
    <w:tbl>
      <w:tblPr>
        <w:tblStyle w:val="24"/>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460"/>
        <w:gridCol w:w="1559"/>
        <w:gridCol w:w="1559"/>
        <w:gridCol w:w="851"/>
        <w:gridCol w:w="992"/>
        <w:gridCol w:w="992"/>
        <w:gridCol w:w="709"/>
      </w:tblGrid>
      <w:tr w14:paraId="3AF41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25" w:type="dxa"/>
            <w:vAlign w:val="center"/>
          </w:tcPr>
          <w:p w14:paraId="5D9F3903">
            <w:pPr>
              <w:spacing w:line="360" w:lineRule="auto"/>
              <w:rPr>
                <w:rFonts w:hint="eastAsia" w:ascii="宋体" w:hAnsi="宋体" w:cs="宋体"/>
                <w:b/>
                <w:color w:val="auto"/>
                <w:sz w:val="24"/>
              </w:rPr>
            </w:pPr>
            <w:r>
              <w:rPr>
                <w:rFonts w:hint="eastAsia" w:ascii="宋体" w:hAnsi="宋体" w:cs="宋体"/>
                <w:b/>
                <w:color w:val="auto"/>
                <w:sz w:val="24"/>
              </w:rPr>
              <w:t>序号</w:t>
            </w:r>
          </w:p>
        </w:tc>
        <w:tc>
          <w:tcPr>
            <w:tcW w:w="1460" w:type="dxa"/>
            <w:vAlign w:val="center"/>
          </w:tcPr>
          <w:p w14:paraId="405AFD6F">
            <w:pPr>
              <w:tabs>
                <w:tab w:val="left" w:pos="8280"/>
              </w:tabs>
              <w:autoSpaceDE w:val="0"/>
              <w:autoSpaceDN w:val="0"/>
              <w:adjustRightInd w:val="0"/>
              <w:spacing w:line="360" w:lineRule="auto"/>
              <w:ind w:right="25"/>
              <w:rPr>
                <w:rFonts w:hint="eastAsia" w:ascii="宋体" w:hAnsi="宋体" w:cs="宋体"/>
                <w:b/>
                <w:color w:val="auto"/>
                <w:sz w:val="24"/>
              </w:rPr>
            </w:pPr>
            <w:r>
              <w:rPr>
                <w:rFonts w:hint="eastAsia" w:ascii="宋体" w:hAnsi="宋体" w:cs="宋体"/>
                <w:b/>
                <w:color w:val="auto"/>
                <w:sz w:val="24"/>
              </w:rPr>
              <w:t>报价项目</w:t>
            </w:r>
          </w:p>
        </w:tc>
        <w:tc>
          <w:tcPr>
            <w:tcW w:w="1559" w:type="dxa"/>
            <w:vAlign w:val="center"/>
          </w:tcPr>
          <w:p w14:paraId="7DB960E4">
            <w:pPr>
              <w:tabs>
                <w:tab w:val="left" w:pos="8280"/>
              </w:tabs>
              <w:autoSpaceDE w:val="0"/>
              <w:autoSpaceDN w:val="0"/>
              <w:adjustRightInd w:val="0"/>
              <w:spacing w:line="360" w:lineRule="auto"/>
              <w:ind w:right="25"/>
              <w:jc w:val="center"/>
              <w:rPr>
                <w:rFonts w:hint="eastAsia" w:ascii="宋体" w:hAnsi="宋体" w:cs="宋体"/>
                <w:b/>
                <w:color w:val="auto"/>
                <w:sz w:val="24"/>
              </w:rPr>
            </w:pPr>
            <w:r>
              <w:rPr>
                <w:rFonts w:hint="eastAsia" w:ascii="宋体" w:hAnsi="宋体" w:cs="宋体"/>
                <w:b/>
                <w:color w:val="auto"/>
                <w:sz w:val="24"/>
              </w:rPr>
              <w:t>品牌、产地</w:t>
            </w:r>
          </w:p>
        </w:tc>
        <w:tc>
          <w:tcPr>
            <w:tcW w:w="1559" w:type="dxa"/>
            <w:vAlign w:val="center"/>
          </w:tcPr>
          <w:p w14:paraId="4BC6F54D">
            <w:pPr>
              <w:spacing w:line="360" w:lineRule="auto"/>
              <w:ind w:left="52"/>
              <w:jc w:val="center"/>
              <w:rPr>
                <w:rFonts w:hint="eastAsia" w:ascii="宋体" w:hAnsi="宋体" w:cs="宋体"/>
                <w:b/>
                <w:color w:val="auto"/>
                <w:sz w:val="24"/>
              </w:rPr>
            </w:pPr>
            <w:r>
              <w:rPr>
                <w:rFonts w:hint="eastAsia" w:ascii="宋体" w:hAnsi="宋体" w:cs="宋体"/>
                <w:b/>
                <w:color w:val="auto"/>
                <w:sz w:val="24"/>
              </w:rPr>
              <w:t>型号规格</w:t>
            </w:r>
          </w:p>
        </w:tc>
        <w:tc>
          <w:tcPr>
            <w:tcW w:w="851" w:type="dxa"/>
            <w:vAlign w:val="center"/>
          </w:tcPr>
          <w:p w14:paraId="2ABD6929">
            <w:pPr>
              <w:spacing w:line="360" w:lineRule="auto"/>
              <w:ind w:left="152"/>
              <w:jc w:val="center"/>
              <w:rPr>
                <w:rFonts w:hint="eastAsia" w:ascii="宋体" w:hAnsi="宋体" w:cs="宋体"/>
                <w:b/>
                <w:color w:val="auto"/>
                <w:sz w:val="24"/>
              </w:rPr>
            </w:pPr>
            <w:r>
              <w:rPr>
                <w:rFonts w:hint="eastAsia" w:ascii="宋体" w:hAnsi="宋体" w:cs="宋体"/>
                <w:b/>
                <w:color w:val="auto"/>
                <w:sz w:val="24"/>
              </w:rPr>
              <w:t>数量</w:t>
            </w:r>
          </w:p>
        </w:tc>
        <w:tc>
          <w:tcPr>
            <w:tcW w:w="992" w:type="dxa"/>
            <w:vAlign w:val="center"/>
          </w:tcPr>
          <w:p w14:paraId="3F7809BC">
            <w:pPr>
              <w:spacing w:line="360" w:lineRule="auto"/>
              <w:jc w:val="center"/>
              <w:rPr>
                <w:rFonts w:hint="eastAsia" w:ascii="宋体" w:hAnsi="宋体" w:cs="宋体"/>
                <w:b/>
                <w:color w:val="auto"/>
                <w:sz w:val="24"/>
              </w:rPr>
            </w:pPr>
            <w:r>
              <w:rPr>
                <w:rFonts w:hint="eastAsia" w:ascii="宋体" w:hAnsi="宋体" w:cs="宋体"/>
                <w:b/>
                <w:color w:val="auto"/>
                <w:sz w:val="24"/>
              </w:rPr>
              <w:t>单价</w:t>
            </w:r>
          </w:p>
        </w:tc>
        <w:tc>
          <w:tcPr>
            <w:tcW w:w="992" w:type="dxa"/>
            <w:vAlign w:val="center"/>
          </w:tcPr>
          <w:p w14:paraId="7B1A41D7">
            <w:pPr>
              <w:spacing w:line="360" w:lineRule="auto"/>
              <w:jc w:val="center"/>
              <w:rPr>
                <w:rFonts w:hint="eastAsia" w:ascii="宋体" w:hAnsi="宋体" w:cs="宋体"/>
                <w:b/>
                <w:color w:val="auto"/>
                <w:sz w:val="24"/>
              </w:rPr>
            </w:pPr>
            <w:r>
              <w:rPr>
                <w:rFonts w:hint="eastAsia" w:ascii="宋体" w:hAnsi="宋体" w:cs="宋体"/>
                <w:b/>
                <w:color w:val="auto"/>
                <w:sz w:val="24"/>
              </w:rPr>
              <w:t>小计</w:t>
            </w:r>
          </w:p>
        </w:tc>
        <w:tc>
          <w:tcPr>
            <w:tcW w:w="709" w:type="dxa"/>
            <w:vAlign w:val="center"/>
          </w:tcPr>
          <w:p w14:paraId="395CDF6D">
            <w:pPr>
              <w:spacing w:line="360" w:lineRule="auto"/>
              <w:jc w:val="center"/>
              <w:rPr>
                <w:rFonts w:hint="eastAsia" w:ascii="宋体" w:hAnsi="宋体" w:cs="宋体"/>
                <w:b/>
                <w:color w:val="auto"/>
                <w:sz w:val="24"/>
              </w:rPr>
            </w:pPr>
            <w:r>
              <w:rPr>
                <w:rFonts w:hint="eastAsia" w:ascii="宋体" w:hAnsi="宋体" w:cs="宋体"/>
                <w:b/>
                <w:color w:val="auto"/>
                <w:sz w:val="24"/>
              </w:rPr>
              <w:t>备注</w:t>
            </w:r>
          </w:p>
        </w:tc>
      </w:tr>
      <w:tr w14:paraId="0AC3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525" w:type="dxa"/>
            <w:vAlign w:val="center"/>
          </w:tcPr>
          <w:p w14:paraId="414BF1E2">
            <w:pPr>
              <w:spacing w:line="360" w:lineRule="auto"/>
              <w:rPr>
                <w:rFonts w:hint="eastAsia" w:ascii="宋体" w:hAnsi="宋体" w:cs="宋体"/>
                <w:color w:val="auto"/>
                <w:sz w:val="24"/>
              </w:rPr>
            </w:pPr>
          </w:p>
        </w:tc>
        <w:tc>
          <w:tcPr>
            <w:tcW w:w="1460" w:type="dxa"/>
            <w:vAlign w:val="center"/>
          </w:tcPr>
          <w:p w14:paraId="198B3D4D">
            <w:pPr>
              <w:spacing w:line="360" w:lineRule="auto"/>
              <w:rPr>
                <w:rFonts w:hint="eastAsia" w:ascii="宋体" w:hAnsi="宋体" w:cs="宋体"/>
                <w:color w:val="auto"/>
                <w:sz w:val="24"/>
              </w:rPr>
            </w:pPr>
          </w:p>
        </w:tc>
        <w:tc>
          <w:tcPr>
            <w:tcW w:w="1559" w:type="dxa"/>
            <w:vAlign w:val="center"/>
          </w:tcPr>
          <w:p w14:paraId="0DBB706B">
            <w:pPr>
              <w:spacing w:line="360" w:lineRule="auto"/>
              <w:rPr>
                <w:rFonts w:hint="eastAsia" w:ascii="宋体" w:hAnsi="宋体" w:cs="宋体"/>
                <w:color w:val="auto"/>
                <w:sz w:val="24"/>
              </w:rPr>
            </w:pPr>
          </w:p>
        </w:tc>
        <w:tc>
          <w:tcPr>
            <w:tcW w:w="1559" w:type="dxa"/>
            <w:vAlign w:val="center"/>
          </w:tcPr>
          <w:p w14:paraId="6AD46A3F">
            <w:pPr>
              <w:spacing w:line="360" w:lineRule="auto"/>
              <w:rPr>
                <w:rFonts w:hint="eastAsia" w:ascii="宋体" w:hAnsi="宋体" w:cs="宋体"/>
                <w:color w:val="auto"/>
                <w:sz w:val="24"/>
              </w:rPr>
            </w:pPr>
          </w:p>
        </w:tc>
        <w:tc>
          <w:tcPr>
            <w:tcW w:w="851" w:type="dxa"/>
            <w:vAlign w:val="center"/>
          </w:tcPr>
          <w:p w14:paraId="71FCE79F">
            <w:pPr>
              <w:spacing w:line="360" w:lineRule="auto"/>
              <w:rPr>
                <w:rFonts w:hint="eastAsia" w:ascii="宋体" w:hAnsi="宋体" w:cs="宋体"/>
                <w:color w:val="auto"/>
                <w:sz w:val="24"/>
              </w:rPr>
            </w:pPr>
          </w:p>
        </w:tc>
        <w:tc>
          <w:tcPr>
            <w:tcW w:w="992" w:type="dxa"/>
            <w:vAlign w:val="center"/>
          </w:tcPr>
          <w:p w14:paraId="0E4EBEF8">
            <w:pPr>
              <w:spacing w:line="360" w:lineRule="auto"/>
              <w:rPr>
                <w:rFonts w:hint="eastAsia" w:ascii="宋体" w:hAnsi="宋体" w:cs="宋体"/>
                <w:color w:val="auto"/>
                <w:sz w:val="24"/>
              </w:rPr>
            </w:pPr>
          </w:p>
        </w:tc>
        <w:tc>
          <w:tcPr>
            <w:tcW w:w="992" w:type="dxa"/>
            <w:vAlign w:val="center"/>
          </w:tcPr>
          <w:p w14:paraId="7E00DB79">
            <w:pPr>
              <w:spacing w:line="360" w:lineRule="auto"/>
              <w:rPr>
                <w:rFonts w:hint="eastAsia" w:ascii="宋体" w:hAnsi="宋体" w:cs="宋体"/>
                <w:color w:val="auto"/>
                <w:sz w:val="24"/>
              </w:rPr>
            </w:pPr>
          </w:p>
        </w:tc>
        <w:tc>
          <w:tcPr>
            <w:tcW w:w="709" w:type="dxa"/>
            <w:vAlign w:val="center"/>
          </w:tcPr>
          <w:p w14:paraId="01F0B7AF">
            <w:pPr>
              <w:spacing w:line="360" w:lineRule="auto"/>
              <w:rPr>
                <w:rFonts w:hint="eastAsia" w:ascii="宋体" w:hAnsi="宋体" w:cs="宋体"/>
                <w:color w:val="auto"/>
                <w:sz w:val="24"/>
              </w:rPr>
            </w:pPr>
          </w:p>
        </w:tc>
      </w:tr>
      <w:tr w14:paraId="40222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525" w:type="dxa"/>
            <w:vAlign w:val="center"/>
          </w:tcPr>
          <w:p w14:paraId="0325A74D">
            <w:pPr>
              <w:spacing w:line="360" w:lineRule="auto"/>
              <w:rPr>
                <w:rFonts w:hint="eastAsia" w:ascii="宋体" w:hAnsi="宋体" w:cs="宋体"/>
                <w:color w:val="auto"/>
                <w:sz w:val="24"/>
              </w:rPr>
            </w:pPr>
          </w:p>
        </w:tc>
        <w:tc>
          <w:tcPr>
            <w:tcW w:w="1460" w:type="dxa"/>
            <w:vAlign w:val="center"/>
          </w:tcPr>
          <w:p w14:paraId="568FE5D1">
            <w:pPr>
              <w:spacing w:line="360" w:lineRule="auto"/>
              <w:rPr>
                <w:rFonts w:hint="eastAsia" w:ascii="宋体" w:hAnsi="宋体" w:cs="宋体"/>
                <w:color w:val="auto"/>
                <w:sz w:val="24"/>
              </w:rPr>
            </w:pPr>
          </w:p>
        </w:tc>
        <w:tc>
          <w:tcPr>
            <w:tcW w:w="1559" w:type="dxa"/>
            <w:vAlign w:val="center"/>
          </w:tcPr>
          <w:p w14:paraId="69705DFE">
            <w:pPr>
              <w:spacing w:line="360" w:lineRule="auto"/>
              <w:rPr>
                <w:rFonts w:hint="eastAsia" w:ascii="宋体" w:hAnsi="宋体" w:cs="宋体"/>
                <w:color w:val="auto"/>
                <w:sz w:val="24"/>
              </w:rPr>
            </w:pPr>
          </w:p>
        </w:tc>
        <w:tc>
          <w:tcPr>
            <w:tcW w:w="1559" w:type="dxa"/>
            <w:vAlign w:val="center"/>
          </w:tcPr>
          <w:p w14:paraId="16D2C5C6">
            <w:pPr>
              <w:spacing w:line="360" w:lineRule="auto"/>
              <w:rPr>
                <w:rFonts w:hint="eastAsia" w:ascii="宋体" w:hAnsi="宋体" w:cs="宋体"/>
                <w:color w:val="auto"/>
                <w:sz w:val="24"/>
              </w:rPr>
            </w:pPr>
          </w:p>
        </w:tc>
        <w:tc>
          <w:tcPr>
            <w:tcW w:w="851" w:type="dxa"/>
            <w:vAlign w:val="center"/>
          </w:tcPr>
          <w:p w14:paraId="2EF9F102">
            <w:pPr>
              <w:spacing w:line="360" w:lineRule="auto"/>
              <w:rPr>
                <w:rFonts w:hint="eastAsia" w:ascii="宋体" w:hAnsi="宋体" w:cs="宋体"/>
                <w:color w:val="auto"/>
                <w:sz w:val="24"/>
              </w:rPr>
            </w:pPr>
          </w:p>
        </w:tc>
        <w:tc>
          <w:tcPr>
            <w:tcW w:w="992" w:type="dxa"/>
            <w:vAlign w:val="center"/>
          </w:tcPr>
          <w:p w14:paraId="459F966B">
            <w:pPr>
              <w:spacing w:line="360" w:lineRule="auto"/>
              <w:rPr>
                <w:rFonts w:hint="eastAsia" w:ascii="宋体" w:hAnsi="宋体" w:cs="宋体"/>
                <w:color w:val="auto"/>
                <w:sz w:val="24"/>
              </w:rPr>
            </w:pPr>
          </w:p>
        </w:tc>
        <w:tc>
          <w:tcPr>
            <w:tcW w:w="992" w:type="dxa"/>
            <w:vAlign w:val="center"/>
          </w:tcPr>
          <w:p w14:paraId="165A65A9">
            <w:pPr>
              <w:spacing w:line="360" w:lineRule="auto"/>
              <w:rPr>
                <w:rFonts w:hint="eastAsia" w:ascii="宋体" w:hAnsi="宋体" w:cs="宋体"/>
                <w:color w:val="auto"/>
                <w:sz w:val="24"/>
              </w:rPr>
            </w:pPr>
          </w:p>
        </w:tc>
        <w:tc>
          <w:tcPr>
            <w:tcW w:w="709" w:type="dxa"/>
            <w:vAlign w:val="center"/>
          </w:tcPr>
          <w:p w14:paraId="24FAAF41">
            <w:pPr>
              <w:spacing w:line="360" w:lineRule="auto"/>
              <w:rPr>
                <w:rFonts w:hint="eastAsia" w:ascii="宋体" w:hAnsi="宋体" w:cs="宋体"/>
                <w:color w:val="auto"/>
                <w:sz w:val="24"/>
              </w:rPr>
            </w:pPr>
          </w:p>
        </w:tc>
      </w:tr>
      <w:tr w14:paraId="40D36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525" w:type="dxa"/>
            <w:vAlign w:val="center"/>
          </w:tcPr>
          <w:p w14:paraId="792DFC89">
            <w:pPr>
              <w:spacing w:line="360" w:lineRule="auto"/>
              <w:rPr>
                <w:rFonts w:hint="eastAsia" w:ascii="宋体" w:hAnsi="宋体" w:cs="宋体"/>
                <w:color w:val="auto"/>
                <w:sz w:val="24"/>
              </w:rPr>
            </w:pPr>
          </w:p>
        </w:tc>
        <w:tc>
          <w:tcPr>
            <w:tcW w:w="1460" w:type="dxa"/>
            <w:vAlign w:val="center"/>
          </w:tcPr>
          <w:p w14:paraId="743E03A2">
            <w:pPr>
              <w:spacing w:line="360" w:lineRule="auto"/>
              <w:rPr>
                <w:rFonts w:hint="eastAsia" w:ascii="宋体" w:hAnsi="宋体" w:cs="宋体"/>
                <w:color w:val="auto"/>
                <w:sz w:val="24"/>
              </w:rPr>
            </w:pPr>
          </w:p>
        </w:tc>
        <w:tc>
          <w:tcPr>
            <w:tcW w:w="1559" w:type="dxa"/>
            <w:vAlign w:val="center"/>
          </w:tcPr>
          <w:p w14:paraId="0A1E6567">
            <w:pPr>
              <w:spacing w:line="360" w:lineRule="auto"/>
              <w:rPr>
                <w:rFonts w:hint="eastAsia" w:ascii="宋体" w:hAnsi="宋体" w:cs="宋体"/>
                <w:color w:val="auto"/>
                <w:sz w:val="24"/>
              </w:rPr>
            </w:pPr>
          </w:p>
        </w:tc>
        <w:tc>
          <w:tcPr>
            <w:tcW w:w="1559" w:type="dxa"/>
            <w:vAlign w:val="center"/>
          </w:tcPr>
          <w:p w14:paraId="4B24C429">
            <w:pPr>
              <w:spacing w:line="360" w:lineRule="auto"/>
              <w:rPr>
                <w:rFonts w:hint="eastAsia" w:ascii="宋体" w:hAnsi="宋体" w:cs="宋体"/>
                <w:color w:val="auto"/>
                <w:sz w:val="24"/>
              </w:rPr>
            </w:pPr>
          </w:p>
        </w:tc>
        <w:tc>
          <w:tcPr>
            <w:tcW w:w="851" w:type="dxa"/>
            <w:vAlign w:val="center"/>
          </w:tcPr>
          <w:p w14:paraId="5C862505">
            <w:pPr>
              <w:spacing w:line="360" w:lineRule="auto"/>
              <w:rPr>
                <w:rFonts w:hint="eastAsia" w:ascii="宋体" w:hAnsi="宋体" w:cs="宋体"/>
                <w:color w:val="auto"/>
                <w:sz w:val="24"/>
              </w:rPr>
            </w:pPr>
          </w:p>
        </w:tc>
        <w:tc>
          <w:tcPr>
            <w:tcW w:w="992" w:type="dxa"/>
            <w:vAlign w:val="center"/>
          </w:tcPr>
          <w:p w14:paraId="21471FA3">
            <w:pPr>
              <w:spacing w:line="360" w:lineRule="auto"/>
              <w:rPr>
                <w:rFonts w:hint="eastAsia" w:ascii="宋体" w:hAnsi="宋体" w:cs="宋体"/>
                <w:color w:val="auto"/>
                <w:sz w:val="24"/>
              </w:rPr>
            </w:pPr>
          </w:p>
        </w:tc>
        <w:tc>
          <w:tcPr>
            <w:tcW w:w="992" w:type="dxa"/>
            <w:vAlign w:val="center"/>
          </w:tcPr>
          <w:p w14:paraId="40957C7E">
            <w:pPr>
              <w:spacing w:line="360" w:lineRule="auto"/>
              <w:rPr>
                <w:rFonts w:hint="eastAsia" w:ascii="宋体" w:hAnsi="宋体" w:cs="宋体"/>
                <w:color w:val="auto"/>
                <w:sz w:val="24"/>
              </w:rPr>
            </w:pPr>
          </w:p>
        </w:tc>
        <w:tc>
          <w:tcPr>
            <w:tcW w:w="709" w:type="dxa"/>
            <w:vAlign w:val="center"/>
          </w:tcPr>
          <w:p w14:paraId="41D5C42A">
            <w:pPr>
              <w:spacing w:line="360" w:lineRule="auto"/>
              <w:rPr>
                <w:rFonts w:hint="eastAsia" w:ascii="宋体" w:hAnsi="宋体" w:cs="宋体"/>
                <w:color w:val="auto"/>
                <w:sz w:val="24"/>
              </w:rPr>
            </w:pPr>
          </w:p>
        </w:tc>
      </w:tr>
      <w:tr w14:paraId="3576D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525" w:type="dxa"/>
            <w:vAlign w:val="center"/>
          </w:tcPr>
          <w:p w14:paraId="0989292D">
            <w:pPr>
              <w:spacing w:line="360" w:lineRule="auto"/>
              <w:rPr>
                <w:rFonts w:hint="eastAsia" w:ascii="宋体" w:hAnsi="宋体" w:cs="宋体"/>
                <w:color w:val="auto"/>
                <w:sz w:val="24"/>
              </w:rPr>
            </w:pPr>
          </w:p>
        </w:tc>
        <w:tc>
          <w:tcPr>
            <w:tcW w:w="1460" w:type="dxa"/>
            <w:vAlign w:val="center"/>
          </w:tcPr>
          <w:p w14:paraId="6DFD6056">
            <w:pPr>
              <w:spacing w:line="360" w:lineRule="auto"/>
              <w:rPr>
                <w:rFonts w:hint="eastAsia" w:ascii="宋体" w:hAnsi="宋体" w:cs="宋体"/>
                <w:color w:val="auto"/>
                <w:sz w:val="24"/>
              </w:rPr>
            </w:pPr>
          </w:p>
        </w:tc>
        <w:tc>
          <w:tcPr>
            <w:tcW w:w="1559" w:type="dxa"/>
            <w:vAlign w:val="center"/>
          </w:tcPr>
          <w:p w14:paraId="2C65BDE7">
            <w:pPr>
              <w:spacing w:line="360" w:lineRule="auto"/>
              <w:rPr>
                <w:rFonts w:hint="eastAsia" w:ascii="宋体" w:hAnsi="宋体" w:cs="宋体"/>
                <w:color w:val="auto"/>
                <w:sz w:val="24"/>
              </w:rPr>
            </w:pPr>
          </w:p>
        </w:tc>
        <w:tc>
          <w:tcPr>
            <w:tcW w:w="1559" w:type="dxa"/>
            <w:vAlign w:val="center"/>
          </w:tcPr>
          <w:p w14:paraId="563307BB">
            <w:pPr>
              <w:spacing w:line="360" w:lineRule="auto"/>
              <w:rPr>
                <w:rFonts w:hint="eastAsia" w:ascii="宋体" w:hAnsi="宋体" w:cs="宋体"/>
                <w:color w:val="auto"/>
                <w:sz w:val="24"/>
              </w:rPr>
            </w:pPr>
          </w:p>
        </w:tc>
        <w:tc>
          <w:tcPr>
            <w:tcW w:w="851" w:type="dxa"/>
            <w:vAlign w:val="center"/>
          </w:tcPr>
          <w:p w14:paraId="7EBC6F57">
            <w:pPr>
              <w:spacing w:line="360" w:lineRule="auto"/>
              <w:rPr>
                <w:rFonts w:hint="eastAsia" w:ascii="宋体" w:hAnsi="宋体" w:cs="宋体"/>
                <w:color w:val="auto"/>
                <w:sz w:val="24"/>
              </w:rPr>
            </w:pPr>
          </w:p>
        </w:tc>
        <w:tc>
          <w:tcPr>
            <w:tcW w:w="992" w:type="dxa"/>
            <w:vAlign w:val="center"/>
          </w:tcPr>
          <w:p w14:paraId="1E0857B7">
            <w:pPr>
              <w:spacing w:line="360" w:lineRule="auto"/>
              <w:rPr>
                <w:rFonts w:hint="eastAsia" w:ascii="宋体" w:hAnsi="宋体" w:cs="宋体"/>
                <w:color w:val="auto"/>
                <w:sz w:val="24"/>
              </w:rPr>
            </w:pPr>
          </w:p>
        </w:tc>
        <w:tc>
          <w:tcPr>
            <w:tcW w:w="992" w:type="dxa"/>
            <w:vAlign w:val="center"/>
          </w:tcPr>
          <w:p w14:paraId="4119CBBE">
            <w:pPr>
              <w:spacing w:line="360" w:lineRule="auto"/>
              <w:rPr>
                <w:rFonts w:hint="eastAsia" w:ascii="宋体" w:hAnsi="宋体" w:cs="宋体"/>
                <w:color w:val="auto"/>
                <w:sz w:val="24"/>
              </w:rPr>
            </w:pPr>
          </w:p>
        </w:tc>
        <w:tc>
          <w:tcPr>
            <w:tcW w:w="709" w:type="dxa"/>
            <w:vAlign w:val="center"/>
          </w:tcPr>
          <w:p w14:paraId="15A9FDB6">
            <w:pPr>
              <w:spacing w:line="360" w:lineRule="auto"/>
              <w:rPr>
                <w:rFonts w:hint="eastAsia" w:ascii="宋体" w:hAnsi="宋体" w:cs="宋体"/>
                <w:color w:val="auto"/>
                <w:sz w:val="24"/>
              </w:rPr>
            </w:pPr>
          </w:p>
        </w:tc>
      </w:tr>
      <w:tr w14:paraId="139CD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525" w:type="dxa"/>
            <w:vAlign w:val="center"/>
          </w:tcPr>
          <w:p w14:paraId="2C7277CE">
            <w:pPr>
              <w:spacing w:line="360" w:lineRule="auto"/>
              <w:rPr>
                <w:rFonts w:hint="eastAsia" w:ascii="宋体" w:hAnsi="宋体" w:cs="宋体"/>
                <w:color w:val="auto"/>
                <w:sz w:val="24"/>
              </w:rPr>
            </w:pPr>
          </w:p>
        </w:tc>
        <w:tc>
          <w:tcPr>
            <w:tcW w:w="1460" w:type="dxa"/>
            <w:vAlign w:val="center"/>
          </w:tcPr>
          <w:p w14:paraId="3E6AF65F">
            <w:pPr>
              <w:spacing w:line="360" w:lineRule="auto"/>
              <w:rPr>
                <w:rFonts w:hint="eastAsia" w:ascii="宋体" w:hAnsi="宋体" w:cs="宋体"/>
                <w:color w:val="auto"/>
                <w:sz w:val="24"/>
              </w:rPr>
            </w:pPr>
          </w:p>
        </w:tc>
        <w:tc>
          <w:tcPr>
            <w:tcW w:w="1559" w:type="dxa"/>
            <w:vAlign w:val="center"/>
          </w:tcPr>
          <w:p w14:paraId="287A80DE">
            <w:pPr>
              <w:spacing w:line="360" w:lineRule="auto"/>
              <w:rPr>
                <w:rFonts w:hint="eastAsia" w:ascii="宋体" w:hAnsi="宋体" w:cs="宋体"/>
                <w:color w:val="auto"/>
                <w:sz w:val="24"/>
              </w:rPr>
            </w:pPr>
          </w:p>
        </w:tc>
        <w:tc>
          <w:tcPr>
            <w:tcW w:w="1559" w:type="dxa"/>
            <w:vAlign w:val="center"/>
          </w:tcPr>
          <w:p w14:paraId="7EAE7CC4">
            <w:pPr>
              <w:spacing w:line="360" w:lineRule="auto"/>
              <w:rPr>
                <w:rFonts w:hint="eastAsia" w:ascii="宋体" w:hAnsi="宋体" w:cs="宋体"/>
                <w:color w:val="auto"/>
                <w:sz w:val="24"/>
              </w:rPr>
            </w:pPr>
          </w:p>
        </w:tc>
        <w:tc>
          <w:tcPr>
            <w:tcW w:w="851" w:type="dxa"/>
            <w:vAlign w:val="center"/>
          </w:tcPr>
          <w:p w14:paraId="06F56D48">
            <w:pPr>
              <w:spacing w:line="360" w:lineRule="auto"/>
              <w:rPr>
                <w:rFonts w:hint="eastAsia" w:ascii="宋体" w:hAnsi="宋体" w:cs="宋体"/>
                <w:color w:val="auto"/>
                <w:sz w:val="24"/>
              </w:rPr>
            </w:pPr>
          </w:p>
        </w:tc>
        <w:tc>
          <w:tcPr>
            <w:tcW w:w="992" w:type="dxa"/>
            <w:vAlign w:val="center"/>
          </w:tcPr>
          <w:p w14:paraId="106E2339">
            <w:pPr>
              <w:spacing w:line="360" w:lineRule="auto"/>
              <w:rPr>
                <w:rFonts w:hint="eastAsia" w:ascii="宋体" w:hAnsi="宋体" w:cs="宋体"/>
                <w:color w:val="auto"/>
                <w:sz w:val="24"/>
              </w:rPr>
            </w:pPr>
          </w:p>
        </w:tc>
        <w:tc>
          <w:tcPr>
            <w:tcW w:w="992" w:type="dxa"/>
            <w:vAlign w:val="center"/>
          </w:tcPr>
          <w:p w14:paraId="6C4A00CB">
            <w:pPr>
              <w:spacing w:line="360" w:lineRule="auto"/>
              <w:rPr>
                <w:rFonts w:hint="eastAsia" w:ascii="宋体" w:hAnsi="宋体" w:cs="宋体"/>
                <w:color w:val="auto"/>
                <w:sz w:val="24"/>
              </w:rPr>
            </w:pPr>
          </w:p>
        </w:tc>
        <w:tc>
          <w:tcPr>
            <w:tcW w:w="709" w:type="dxa"/>
            <w:vAlign w:val="center"/>
          </w:tcPr>
          <w:p w14:paraId="6E0D69B3">
            <w:pPr>
              <w:spacing w:line="360" w:lineRule="auto"/>
              <w:rPr>
                <w:rFonts w:hint="eastAsia" w:ascii="宋体" w:hAnsi="宋体" w:cs="宋体"/>
                <w:color w:val="auto"/>
                <w:sz w:val="24"/>
              </w:rPr>
            </w:pPr>
          </w:p>
        </w:tc>
      </w:tr>
      <w:tr w14:paraId="61671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trPr>
        <w:tc>
          <w:tcPr>
            <w:tcW w:w="8647" w:type="dxa"/>
            <w:gridSpan w:val="8"/>
            <w:tcBorders>
              <w:bottom w:val="single" w:color="auto" w:sz="4" w:space="0"/>
            </w:tcBorders>
            <w:vAlign w:val="center"/>
          </w:tcPr>
          <w:p w14:paraId="04202CE5">
            <w:pPr>
              <w:spacing w:line="360" w:lineRule="auto"/>
              <w:rPr>
                <w:rFonts w:hint="eastAsia" w:ascii="宋体" w:hAnsi="宋体" w:cs="宋体"/>
                <w:b/>
                <w:color w:val="auto"/>
                <w:sz w:val="24"/>
              </w:rPr>
            </w:pPr>
            <w:r>
              <w:rPr>
                <w:rFonts w:hint="eastAsia" w:ascii="宋体" w:hAnsi="宋体" w:cs="宋体"/>
                <w:b/>
                <w:color w:val="auto"/>
                <w:sz w:val="24"/>
              </w:rPr>
              <w:t>合计人民币：大写                               小写</w:t>
            </w:r>
          </w:p>
        </w:tc>
      </w:tr>
    </w:tbl>
    <w:p w14:paraId="4A51B21C">
      <w:pPr>
        <w:spacing w:line="360" w:lineRule="auto"/>
        <w:jc w:val="left"/>
        <w:rPr>
          <w:rFonts w:hint="eastAsia" w:ascii="宋体" w:hAnsi="宋体" w:cs="宋体"/>
          <w:b/>
          <w:bCs/>
          <w:color w:val="auto"/>
          <w:sz w:val="24"/>
          <w:szCs w:val="32"/>
        </w:rPr>
      </w:pPr>
      <w:r>
        <w:rPr>
          <w:rFonts w:hint="eastAsia" w:ascii="宋体" w:hAnsi="宋体" w:cs="宋体"/>
          <w:b/>
          <w:bCs/>
          <w:color w:val="auto"/>
          <w:sz w:val="24"/>
          <w:szCs w:val="32"/>
        </w:rPr>
        <w:t>要求：</w:t>
      </w:r>
    </w:p>
    <w:p w14:paraId="3B2AA959">
      <w:pPr>
        <w:spacing w:line="360" w:lineRule="auto"/>
        <w:ind w:firstLine="440" w:firstLineChars="200"/>
        <w:jc w:val="left"/>
        <w:rPr>
          <w:rFonts w:hint="eastAsia" w:ascii="宋体" w:hAnsi="宋体" w:cs="宋体"/>
          <w:color w:val="auto"/>
          <w:sz w:val="22"/>
          <w:szCs w:val="22"/>
        </w:rPr>
      </w:pPr>
      <w:r>
        <w:rPr>
          <w:rFonts w:hint="eastAsia" w:ascii="宋体" w:hAnsi="宋体" w:cs="宋体"/>
          <w:color w:val="auto"/>
          <w:sz w:val="22"/>
          <w:szCs w:val="22"/>
        </w:rPr>
        <w:t>1.本表为《开标一览表》的报价明细表，如有缺项、漏项，视为投标报价中已包含相关费用，采购人无需另外支付任何费用。</w:t>
      </w:r>
    </w:p>
    <w:p w14:paraId="6EAF989D">
      <w:pPr>
        <w:spacing w:line="360" w:lineRule="auto"/>
        <w:ind w:firstLine="440" w:firstLineChars="200"/>
        <w:jc w:val="left"/>
        <w:rPr>
          <w:rFonts w:hint="eastAsia" w:ascii="宋体" w:hAnsi="宋体" w:cs="宋体"/>
          <w:color w:val="auto"/>
          <w:sz w:val="22"/>
          <w:szCs w:val="22"/>
          <w:lang w:val="zh-CN"/>
        </w:rPr>
      </w:pPr>
      <w:r>
        <w:rPr>
          <w:rFonts w:hint="eastAsia" w:ascii="宋体" w:hAnsi="宋体" w:cs="宋体"/>
          <w:color w:val="auto"/>
          <w:sz w:val="22"/>
          <w:szCs w:val="22"/>
        </w:rPr>
        <w:t>2.</w:t>
      </w:r>
      <w:r>
        <w:rPr>
          <w:rFonts w:hint="eastAsia" w:ascii="宋体" w:hAnsi="宋体" w:cs="宋体"/>
          <w:color w:val="auto"/>
          <w:sz w:val="22"/>
          <w:szCs w:val="22"/>
          <w:lang w:val="zh-CN"/>
        </w:rPr>
        <w:t>“报价明细表”中的报价合计应与“开标一览表”中的投标总报价相一致，不一致时，以开标一览表为准。</w:t>
      </w:r>
    </w:p>
    <w:p w14:paraId="617EC4B5">
      <w:pPr>
        <w:spacing w:line="360" w:lineRule="auto"/>
        <w:ind w:firstLine="440" w:firstLineChars="200"/>
        <w:jc w:val="left"/>
        <w:rPr>
          <w:rFonts w:hint="eastAsia" w:ascii="宋体" w:hAnsi="宋体" w:cs="宋体"/>
          <w:color w:val="auto"/>
          <w:sz w:val="22"/>
          <w:szCs w:val="22"/>
          <w:lang w:val="zh-CN"/>
        </w:rPr>
      </w:pPr>
      <w:r>
        <w:rPr>
          <w:rFonts w:hint="eastAsia" w:ascii="宋体" w:hAnsi="宋体" w:cs="宋体"/>
          <w:color w:val="auto"/>
          <w:sz w:val="22"/>
          <w:szCs w:val="22"/>
        </w:rPr>
        <w:t>3.</w:t>
      </w:r>
      <w:r>
        <w:rPr>
          <w:rFonts w:hint="eastAsia" w:ascii="宋体" w:hAnsi="宋体" w:cs="宋体"/>
          <w:color w:val="auto"/>
          <w:sz w:val="22"/>
          <w:szCs w:val="22"/>
          <w:lang w:val="zh-CN"/>
        </w:rPr>
        <w:t>投标报价明细表所填内容按招标文件采购要求为准。如有漏报的，视同已包含在投标总价内或已作优惠处理。有重大缺项的将作无效标处理。</w:t>
      </w:r>
    </w:p>
    <w:p w14:paraId="574D2F64">
      <w:pPr>
        <w:spacing w:line="480" w:lineRule="auto"/>
        <w:rPr>
          <w:rFonts w:hint="eastAsia" w:ascii="宋体" w:hAnsi="宋体" w:cs="宋体"/>
          <w:color w:val="auto"/>
          <w:sz w:val="24"/>
        </w:rPr>
      </w:pPr>
      <w:r>
        <w:rPr>
          <w:rFonts w:hint="eastAsia" w:ascii="宋体" w:hAnsi="宋体" w:cs="宋体"/>
          <w:color w:val="auto"/>
          <w:sz w:val="24"/>
        </w:rPr>
        <w:t>投标人名称（盖章）：</w:t>
      </w:r>
    </w:p>
    <w:p w14:paraId="471FEEC9">
      <w:pPr>
        <w:spacing w:line="480" w:lineRule="auto"/>
        <w:rPr>
          <w:rFonts w:hint="eastAsia" w:ascii="宋体" w:hAnsi="宋体" w:cs="宋体"/>
          <w:color w:val="auto"/>
          <w:sz w:val="24"/>
        </w:rPr>
      </w:pPr>
      <w:r>
        <w:rPr>
          <w:rFonts w:hint="eastAsia" w:ascii="宋体" w:hAnsi="宋体" w:cs="宋体"/>
          <w:color w:val="auto"/>
          <w:sz w:val="24"/>
        </w:rPr>
        <w:t>授权委托代理人签字或盖章：</w:t>
      </w:r>
    </w:p>
    <w:p w14:paraId="2F187E98">
      <w:pPr>
        <w:spacing w:line="480" w:lineRule="auto"/>
        <w:rPr>
          <w:rFonts w:hint="eastAsia" w:ascii="宋体" w:hAnsi="宋体" w:cs="宋体"/>
          <w:color w:val="auto"/>
          <w:sz w:val="24"/>
        </w:rPr>
      </w:pPr>
      <w:r>
        <w:rPr>
          <w:rFonts w:hint="eastAsia" w:ascii="宋体" w:hAnsi="宋体" w:cs="宋体"/>
          <w:color w:val="auto"/>
          <w:sz w:val="24"/>
        </w:rPr>
        <w:t>日期：</w:t>
      </w:r>
    </w:p>
    <w:p w14:paraId="59BD646F">
      <w:pPr>
        <w:snapToGrid w:val="0"/>
        <w:spacing w:before="156" w:beforeLines="50" w:after="0" w:line="312" w:lineRule="auto"/>
        <w:rPr>
          <w:rFonts w:hint="eastAsia" w:ascii="宋体" w:hAnsi="宋体" w:cs="宋体"/>
          <w:bCs/>
          <w:color w:val="auto"/>
          <w:sz w:val="30"/>
          <w:szCs w:val="30"/>
        </w:rPr>
      </w:pPr>
      <w:r>
        <w:rPr>
          <w:rFonts w:hint="eastAsia" w:ascii="宋体" w:hAnsi="宋体" w:cs="宋体"/>
          <w:b/>
          <w:color w:val="auto"/>
          <w:sz w:val="28"/>
        </w:rPr>
        <w:t>附件16</w:t>
      </w:r>
    </w:p>
    <w:p w14:paraId="51C2E0A6">
      <w:pPr>
        <w:spacing w:after="0" w:line="360" w:lineRule="auto"/>
        <w:ind w:right="-110"/>
        <w:jc w:val="center"/>
        <w:rPr>
          <w:rFonts w:hint="eastAsia" w:ascii="宋体" w:hAnsi="宋体" w:cs="宋体"/>
          <w:b/>
          <w:color w:val="auto"/>
          <w:sz w:val="32"/>
          <w:szCs w:val="32"/>
        </w:rPr>
      </w:pPr>
      <w:bookmarkStart w:id="50" w:name="_Hlk62036196"/>
      <w:r>
        <w:rPr>
          <w:rFonts w:hint="eastAsia" w:ascii="宋体" w:hAnsi="宋体" w:cs="宋体"/>
          <w:b/>
          <w:color w:val="auto"/>
          <w:sz w:val="32"/>
          <w:szCs w:val="32"/>
        </w:rPr>
        <w:t>中小企业声明函（货物）</w:t>
      </w:r>
    </w:p>
    <w:p w14:paraId="3C31107B">
      <w:pPr>
        <w:spacing w:after="0" w:line="360" w:lineRule="auto"/>
        <w:ind w:firstLine="480" w:firstLineChars="200"/>
        <w:rPr>
          <w:rFonts w:hint="eastAsia" w:ascii="宋体" w:hAnsi="宋体" w:cs="宋体"/>
          <w:color w:val="auto"/>
          <w:sz w:val="24"/>
        </w:rPr>
      </w:pPr>
      <w:r>
        <w:rPr>
          <w:rFonts w:hint="eastAsia" w:ascii="宋体" w:hAnsi="宋体" w:cs="宋体"/>
          <w:color w:val="auto"/>
          <w:sz w:val="24"/>
        </w:rPr>
        <w:t>本公司郑重声明，根据《政府采购促进中小企业发展管理办法》（财库﹝2020﹞46 号）的规定，本公司 （联合体）参加</w:t>
      </w:r>
      <w:r>
        <w:rPr>
          <w:rFonts w:hint="eastAsia" w:ascii="宋体" w:hAnsi="宋体" w:cs="宋体"/>
          <w:color w:val="auto"/>
          <w:sz w:val="24"/>
          <w:u w:val="single"/>
        </w:rPr>
        <w:t>（单位名称）</w:t>
      </w:r>
      <w:r>
        <w:rPr>
          <w:rFonts w:hint="eastAsia" w:ascii="宋体" w:hAnsi="宋体" w:cs="宋体"/>
          <w:color w:val="auto"/>
          <w:sz w:val="24"/>
        </w:rPr>
        <w:t>的</w:t>
      </w:r>
      <w:r>
        <w:rPr>
          <w:rFonts w:hint="eastAsia" w:ascii="宋体" w:hAnsi="宋体" w:cs="宋体"/>
          <w:color w:val="auto"/>
          <w:sz w:val="24"/>
          <w:u w:val="single"/>
        </w:rPr>
        <w:t>（项目名称）</w:t>
      </w:r>
      <w:r>
        <w:rPr>
          <w:rFonts w:hint="eastAsia" w:ascii="宋体" w:hAnsi="宋体" w:cs="宋体"/>
          <w:color w:val="auto"/>
          <w:sz w:val="24"/>
        </w:rPr>
        <w:t>采购活动，提供的货物全部由符合政策要求的中小企业制造。相关企业 （含联合体中的中小企业、签订分包意向协议的中小企业）的具体情况如下：</w:t>
      </w:r>
    </w:p>
    <w:p w14:paraId="4151FFCC">
      <w:pPr>
        <w:spacing w:after="0" w:line="360" w:lineRule="auto"/>
        <w:ind w:firstLine="480" w:firstLineChars="200"/>
        <w:rPr>
          <w:rFonts w:hint="eastAsia" w:ascii="宋体" w:hAnsi="宋体" w:cs="宋体"/>
          <w:color w:val="auto"/>
          <w:sz w:val="24"/>
        </w:rPr>
      </w:pPr>
      <w:r>
        <w:rPr>
          <w:rFonts w:hint="eastAsia" w:ascii="宋体" w:hAnsi="宋体" w:cs="宋体"/>
          <w:color w:val="auto"/>
          <w:sz w:val="24"/>
        </w:rPr>
        <w:t xml:space="preserve"> 1. </w:t>
      </w:r>
      <w:r>
        <w:rPr>
          <w:rFonts w:hint="eastAsia" w:ascii="宋体" w:hAnsi="宋体" w:cs="宋体"/>
          <w:color w:val="auto"/>
          <w:sz w:val="24"/>
          <w:u w:val="single"/>
        </w:rPr>
        <w:t xml:space="preserve">（产品名称） </w:t>
      </w:r>
      <w:r>
        <w:rPr>
          <w:rFonts w:hint="eastAsia" w:ascii="宋体" w:hAnsi="宋体" w:cs="宋体"/>
          <w:color w:val="auto"/>
          <w:sz w:val="24"/>
        </w:rPr>
        <w:t>，属于</w:t>
      </w:r>
      <w:r>
        <w:rPr>
          <w:rFonts w:hint="eastAsia" w:ascii="宋体" w:hAnsi="宋体" w:cs="宋体"/>
          <w:color w:val="auto"/>
          <w:sz w:val="24"/>
          <w:u w:val="single"/>
        </w:rPr>
        <w:t xml:space="preserve">（工业） </w:t>
      </w:r>
      <w:r>
        <w:rPr>
          <w:rFonts w:hint="eastAsia" w:ascii="宋体" w:hAnsi="宋体" w:cs="宋体"/>
          <w:color w:val="auto"/>
          <w:sz w:val="24"/>
        </w:rPr>
        <w:t>行业；供应商为</w:t>
      </w:r>
      <w:r>
        <w:rPr>
          <w:rFonts w:hint="eastAsia" w:ascii="宋体" w:hAnsi="宋体" w:cs="宋体"/>
          <w:color w:val="auto"/>
          <w:sz w:val="24"/>
          <w:u w:val="single"/>
        </w:rPr>
        <w:t>（企业名称）</w:t>
      </w:r>
      <w:r>
        <w:rPr>
          <w:rFonts w:hint="eastAsia" w:ascii="宋体" w:hAnsi="宋体" w:cs="宋体"/>
          <w:color w:val="auto"/>
          <w:sz w:val="24"/>
        </w:rPr>
        <w:t>，从业人员</w:t>
      </w:r>
      <w:r>
        <w:rPr>
          <w:rFonts w:hint="eastAsia" w:ascii="宋体" w:hAnsi="宋体" w:cs="宋体"/>
          <w:color w:val="auto"/>
          <w:sz w:val="24"/>
          <w:u w:val="single"/>
        </w:rPr>
        <w:t xml:space="preserve">   </w:t>
      </w:r>
      <w:r>
        <w:rPr>
          <w:rFonts w:hint="eastAsia" w:ascii="宋体" w:hAnsi="宋体" w:cs="宋体"/>
          <w:color w:val="auto"/>
          <w:sz w:val="24"/>
        </w:rPr>
        <w:t>人，营业收入为</w:t>
      </w:r>
      <w:r>
        <w:rPr>
          <w:rFonts w:hint="eastAsia" w:ascii="宋体" w:hAnsi="宋体" w:cs="宋体"/>
          <w:color w:val="auto"/>
          <w:sz w:val="24"/>
          <w:u w:val="single"/>
        </w:rPr>
        <w:t xml:space="preserve">    </w:t>
      </w:r>
      <w:r>
        <w:rPr>
          <w:rFonts w:hint="eastAsia" w:ascii="宋体" w:hAnsi="宋体" w:cs="宋体"/>
          <w:color w:val="auto"/>
          <w:sz w:val="24"/>
        </w:rPr>
        <w:t>万元，资产总额为</w:t>
      </w:r>
      <w:r>
        <w:rPr>
          <w:rFonts w:hint="eastAsia" w:ascii="宋体" w:hAnsi="宋体" w:cs="宋体"/>
          <w:color w:val="auto"/>
          <w:sz w:val="24"/>
          <w:u w:val="single"/>
        </w:rPr>
        <w:t xml:space="preserve">    </w:t>
      </w:r>
      <w:r>
        <w:rPr>
          <w:rFonts w:hint="eastAsia" w:ascii="宋体" w:hAnsi="宋体" w:cs="宋体"/>
          <w:color w:val="auto"/>
          <w:sz w:val="24"/>
        </w:rPr>
        <w:t xml:space="preserve">万元 </w:t>
      </w:r>
      <w:r>
        <w:rPr>
          <w:rFonts w:hint="eastAsia" w:ascii="宋体" w:hAnsi="宋体" w:cs="宋体"/>
          <w:color w:val="auto"/>
          <w:sz w:val="16"/>
          <w:szCs w:val="16"/>
        </w:rPr>
        <w:t>注</w:t>
      </w:r>
      <w:r>
        <w:rPr>
          <w:rFonts w:hint="eastAsia" w:ascii="宋体" w:hAnsi="宋体" w:cs="宋体"/>
          <w:color w:val="auto"/>
          <w:sz w:val="24"/>
        </w:rPr>
        <w:t>，属于</w:t>
      </w:r>
      <w:r>
        <w:rPr>
          <w:rFonts w:hint="eastAsia" w:ascii="宋体" w:hAnsi="宋体" w:cs="宋体"/>
          <w:color w:val="auto"/>
          <w:sz w:val="24"/>
          <w:u w:val="single"/>
        </w:rPr>
        <w:t xml:space="preserve">（中型企业、小型企业、微型企业）；  </w:t>
      </w:r>
      <w:r>
        <w:rPr>
          <w:rFonts w:hint="eastAsia" w:ascii="宋体" w:hAnsi="宋体" w:cs="宋体"/>
          <w:color w:val="auto"/>
          <w:sz w:val="24"/>
        </w:rPr>
        <w:t xml:space="preserve">       </w:t>
      </w:r>
    </w:p>
    <w:p w14:paraId="01CF0908">
      <w:pPr>
        <w:spacing w:after="0" w:line="360" w:lineRule="auto"/>
        <w:ind w:firstLine="480" w:firstLineChars="200"/>
        <w:rPr>
          <w:rFonts w:hint="eastAsia" w:ascii="宋体" w:hAnsi="宋体" w:cs="宋体"/>
          <w:color w:val="auto"/>
          <w:sz w:val="24"/>
          <w:u w:val="single"/>
        </w:rPr>
      </w:pPr>
      <w:r>
        <w:rPr>
          <w:rFonts w:hint="eastAsia" w:ascii="宋体" w:hAnsi="宋体" w:cs="宋体"/>
          <w:color w:val="auto"/>
          <w:sz w:val="24"/>
        </w:rPr>
        <w:t xml:space="preserve"> 2. </w:t>
      </w:r>
      <w:r>
        <w:rPr>
          <w:rFonts w:hint="eastAsia" w:ascii="宋体" w:hAnsi="宋体" w:cs="宋体"/>
          <w:color w:val="auto"/>
          <w:sz w:val="24"/>
          <w:u w:val="single"/>
        </w:rPr>
        <w:t xml:space="preserve">（产品名称） </w:t>
      </w:r>
      <w:r>
        <w:rPr>
          <w:rFonts w:hint="eastAsia" w:ascii="宋体" w:hAnsi="宋体" w:cs="宋体"/>
          <w:color w:val="auto"/>
          <w:sz w:val="24"/>
        </w:rPr>
        <w:t>，属于</w:t>
      </w:r>
      <w:r>
        <w:rPr>
          <w:rFonts w:hint="eastAsia" w:ascii="宋体" w:hAnsi="宋体" w:cs="宋体"/>
          <w:color w:val="auto"/>
          <w:sz w:val="24"/>
          <w:u w:val="single"/>
        </w:rPr>
        <w:t>（工业）</w:t>
      </w:r>
      <w:r>
        <w:rPr>
          <w:rFonts w:hint="eastAsia" w:ascii="宋体" w:hAnsi="宋体" w:cs="宋体"/>
          <w:color w:val="auto"/>
          <w:sz w:val="24"/>
        </w:rPr>
        <w:t xml:space="preserve"> 行业；制造商为</w:t>
      </w:r>
      <w:r>
        <w:rPr>
          <w:rFonts w:hint="eastAsia" w:ascii="宋体" w:hAnsi="宋体" w:cs="宋体"/>
          <w:color w:val="auto"/>
          <w:sz w:val="24"/>
          <w:u w:val="single"/>
        </w:rPr>
        <w:t>（企业名称）</w:t>
      </w:r>
      <w:r>
        <w:rPr>
          <w:rFonts w:hint="eastAsia" w:ascii="宋体" w:hAnsi="宋体" w:cs="宋体"/>
          <w:color w:val="auto"/>
          <w:sz w:val="24"/>
        </w:rPr>
        <w:t>，从业人员</w:t>
      </w:r>
      <w:r>
        <w:rPr>
          <w:rFonts w:hint="eastAsia" w:ascii="宋体" w:hAnsi="宋体" w:cs="宋体"/>
          <w:color w:val="auto"/>
          <w:sz w:val="24"/>
          <w:u w:val="single"/>
        </w:rPr>
        <w:t xml:space="preserve">   </w:t>
      </w:r>
      <w:r>
        <w:rPr>
          <w:rFonts w:hint="eastAsia" w:ascii="宋体" w:hAnsi="宋体" w:cs="宋体"/>
          <w:color w:val="auto"/>
          <w:sz w:val="24"/>
        </w:rPr>
        <w:t>人，营业收入为</w:t>
      </w:r>
      <w:r>
        <w:rPr>
          <w:rFonts w:hint="eastAsia" w:ascii="宋体" w:hAnsi="宋体" w:cs="宋体"/>
          <w:color w:val="auto"/>
          <w:sz w:val="24"/>
          <w:u w:val="single"/>
        </w:rPr>
        <w:t xml:space="preserve">   </w:t>
      </w:r>
      <w:r>
        <w:rPr>
          <w:rFonts w:hint="eastAsia" w:ascii="宋体" w:hAnsi="宋体" w:cs="宋体"/>
          <w:color w:val="auto"/>
          <w:sz w:val="24"/>
        </w:rPr>
        <w:t>万元，资产总额为</w:t>
      </w:r>
      <w:r>
        <w:rPr>
          <w:rFonts w:hint="eastAsia" w:ascii="宋体" w:hAnsi="宋体" w:cs="宋体"/>
          <w:color w:val="auto"/>
          <w:sz w:val="24"/>
          <w:u w:val="single"/>
        </w:rPr>
        <w:t xml:space="preserve">   </w:t>
      </w:r>
      <w:r>
        <w:rPr>
          <w:rFonts w:hint="eastAsia" w:ascii="宋体" w:hAnsi="宋体" w:cs="宋体"/>
          <w:color w:val="auto"/>
          <w:sz w:val="24"/>
        </w:rPr>
        <w:t>万元，属于</w:t>
      </w:r>
      <w:r>
        <w:rPr>
          <w:rFonts w:hint="eastAsia" w:ascii="宋体" w:hAnsi="宋体" w:cs="宋体"/>
          <w:color w:val="auto"/>
          <w:sz w:val="24"/>
          <w:u w:val="single"/>
        </w:rPr>
        <w:t xml:space="preserve">（中型企业、小型企业、微型企业）； </w:t>
      </w:r>
    </w:p>
    <w:p w14:paraId="7E9A3C2A">
      <w:pPr>
        <w:spacing w:after="0" w:line="360" w:lineRule="auto"/>
        <w:ind w:firstLine="480" w:firstLineChars="200"/>
        <w:rPr>
          <w:rFonts w:hint="eastAsia" w:ascii="宋体" w:hAnsi="宋体" w:cs="宋体"/>
          <w:color w:val="auto"/>
          <w:sz w:val="24"/>
        </w:rPr>
      </w:pPr>
      <w:r>
        <w:rPr>
          <w:rFonts w:hint="eastAsia" w:ascii="宋体" w:hAnsi="宋体" w:cs="宋体"/>
          <w:color w:val="auto"/>
          <w:sz w:val="24"/>
        </w:rPr>
        <w:t xml:space="preserve">…… </w:t>
      </w:r>
    </w:p>
    <w:p w14:paraId="7E03034E">
      <w:pPr>
        <w:spacing w:after="0" w:line="360" w:lineRule="auto"/>
        <w:ind w:firstLine="480" w:firstLineChars="200"/>
        <w:rPr>
          <w:rFonts w:hint="eastAsia" w:ascii="宋体" w:hAnsi="宋体" w:cs="宋体"/>
          <w:color w:val="auto"/>
          <w:sz w:val="24"/>
        </w:rPr>
      </w:pPr>
      <w:r>
        <w:rPr>
          <w:rFonts w:hint="eastAsia" w:ascii="宋体" w:hAnsi="宋体" w:cs="宋体"/>
          <w:color w:val="auto"/>
          <w:sz w:val="24"/>
        </w:rPr>
        <w:t xml:space="preserve">以上企业，不属于大企业的分支机构，不存在控股股东为大企业的情形，也不存在与大企业的负责人为同一人的情形。 </w:t>
      </w:r>
    </w:p>
    <w:p w14:paraId="54A2B568">
      <w:pPr>
        <w:spacing w:after="0" w:line="360" w:lineRule="auto"/>
        <w:ind w:firstLine="480" w:firstLineChars="200"/>
        <w:rPr>
          <w:rFonts w:hint="eastAsia" w:ascii="宋体" w:hAnsi="宋体" w:cs="宋体"/>
          <w:color w:val="auto"/>
          <w:sz w:val="24"/>
        </w:rPr>
      </w:pPr>
      <w:r>
        <w:rPr>
          <w:rFonts w:hint="eastAsia" w:ascii="宋体" w:hAnsi="宋体" w:cs="宋体"/>
          <w:color w:val="auto"/>
          <w:sz w:val="24"/>
        </w:rPr>
        <w:t xml:space="preserve">本企业对上述声明内容的真实性负责。如有虚假，将依法承担相应责任。 </w:t>
      </w:r>
    </w:p>
    <w:p w14:paraId="01162A2E">
      <w:pPr>
        <w:spacing w:after="0" w:line="360" w:lineRule="auto"/>
        <w:ind w:firstLine="480" w:firstLineChars="200"/>
        <w:rPr>
          <w:rFonts w:hint="eastAsia" w:ascii="宋体" w:hAnsi="宋体" w:cs="宋体"/>
          <w:color w:val="auto"/>
          <w:sz w:val="24"/>
        </w:rPr>
      </w:pPr>
    </w:p>
    <w:p w14:paraId="4A5CE08E">
      <w:pPr>
        <w:spacing w:after="0" w:line="360" w:lineRule="auto"/>
        <w:ind w:firstLine="5040" w:firstLineChars="2100"/>
        <w:rPr>
          <w:rFonts w:hint="eastAsia" w:ascii="宋体" w:hAnsi="宋体" w:cs="宋体"/>
          <w:color w:val="auto"/>
          <w:sz w:val="24"/>
        </w:rPr>
      </w:pPr>
      <w:r>
        <w:rPr>
          <w:rFonts w:hint="eastAsia" w:ascii="宋体" w:hAnsi="宋体" w:cs="宋体"/>
          <w:color w:val="auto"/>
          <w:sz w:val="24"/>
        </w:rPr>
        <w:t xml:space="preserve">企业名称（盖章）： </w:t>
      </w:r>
    </w:p>
    <w:p w14:paraId="681F8A1E">
      <w:pPr>
        <w:spacing w:after="0" w:line="360" w:lineRule="auto"/>
        <w:ind w:firstLine="5040" w:firstLineChars="2100"/>
        <w:rPr>
          <w:rFonts w:hint="eastAsia" w:ascii="宋体" w:hAnsi="宋体" w:cs="宋体"/>
          <w:color w:val="auto"/>
          <w:sz w:val="24"/>
        </w:rPr>
      </w:pPr>
      <w:r>
        <w:rPr>
          <w:rFonts w:hint="eastAsia" w:ascii="宋体" w:hAnsi="宋体" w:cs="宋体"/>
          <w:color w:val="auto"/>
          <w:sz w:val="24"/>
        </w:rPr>
        <w:t xml:space="preserve">日 期： </w:t>
      </w:r>
    </w:p>
    <w:p w14:paraId="1D0280BC">
      <w:pPr>
        <w:spacing w:after="0" w:line="312" w:lineRule="auto"/>
        <w:ind w:firstLine="420" w:firstLineChars="200"/>
        <w:rPr>
          <w:rFonts w:hint="eastAsia" w:ascii="宋体" w:hAnsi="宋体" w:cs="宋体"/>
          <w:color w:val="auto"/>
        </w:rPr>
      </w:pPr>
    </w:p>
    <w:p w14:paraId="04116BFD">
      <w:pPr>
        <w:spacing w:after="0" w:line="312" w:lineRule="auto"/>
        <w:ind w:firstLine="420" w:firstLineChars="200"/>
        <w:rPr>
          <w:rFonts w:hint="eastAsia" w:ascii="宋体" w:hAnsi="宋体" w:cs="宋体"/>
          <w:color w:val="auto"/>
        </w:rPr>
      </w:pPr>
    </w:p>
    <w:p w14:paraId="2B688B86">
      <w:pPr>
        <w:spacing w:after="0" w:line="312" w:lineRule="auto"/>
        <w:ind w:firstLine="420" w:firstLineChars="200"/>
        <w:rPr>
          <w:rFonts w:hint="eastAsia" w:ascii="宋体" w:hAnsi="宋体" w:cs="宋体"/>
          <w:color w:val="auto"/>
        </w:rPr>
      </w:pPr>
    </w:p>
    <w:p w14:paraId="64BD5983">
      <w:pPr>
        <w:spacing w:after="0" w:line="312" w:lineRule="auto"/>
        <w:ind w:firstLine="420" w:firstLineChars="200"/>
        <w:rPr>
          <w:rFonts w:hint="eastAsia" w:ascii="宋体" w:hAnsi="宋体" w:cs="宋体"/>
          <w:color w:val="auto"/>
        </w:rPr>
      </w:pPr>
    </w:p>
    <w:p w14:paraId="4F1FDB85">
      <w:pPr>
        <w:spacing w:after="0" w:line="312" w:lineRule="auto"/>
        <w:ind w:firstLine="420" w:firstLineChars="200"/>
        <w:rPr>
          <w:rFonts w:hint="eastAsia" w:ascii="宋体" w:hAnsi="宋体" w:cs="宋体"/>
          <w:color w:val="auto"/>
        </w:rPr>
      </w:pPr>
    </w:p>
    <w:p w14:paraId="14354A7F">
      <w:pPr>
        <w:spacing w:after="0" w:line="312" w:lineRule="auto"/>
        <w:rPr>
          <w:rFonts w:hint="eastAsia" w:ascii="宋体" w:hAnsi="宋体" w:cs="宋体"/>
          <w:color w:val="auto"/>
          <w:spacing w:val="6"/>
          <w:sz w:val="24"/>
        </w:rPr>
      </w:pPr>
      <w:r>
        <w:rPr>
          <w:rFonts w:hint="eastAsia" w:ascii="宋体" w:hAnsi="宋体" w:cs="宋体"/>
          <w:b/>
          <w:bCs/>
          <w:color w:val="auto"/>
        </w:rPr>
        <w:t>注：</w:t>
      </w:r>
      <w:r>
        <w:rPr>
          <w:rFonts w:hint="eastAsia" w:ascii="宋体" w:hAnsi="宋体" w:cs="宋体"/>
          <w:color w:val="auto"/>
        </w:rPr>
        <w:t>从业人员、营业收入、资产总额填报上一年度数据，无上一年度数据的新成立企业可不填报。</w:t>
      </w:r>
    </w:p>
    <w:p w14:paraId="5B77A10F">
      <w:pPr>
        <w:spacing w:after="0" w:line="312" w:lineRule="auto"/>
        <w:ind w:firstLine="504" w:firstLineChars="200"/>
        <w:rPr>
          <w:rFonts w:hint="eastAsia" w:ascii="宋体" w:hAnsi="宋体" w:cs="宋体"/>
          <w:color w:val="auto"/>
          <w:spacing w:val="6"/>
          <w:sz w:val="24"/>
        </w:rPr>
      </w:pPr>
      <w:r>
        <w:rPr>
          <w:rFonts w:hint="eastAsia" w:ascii="宋体" w:hAnsi="宋体" w:cs="宋体"/>
          <w:color w:val="auto"/>
          <w:spacing w:val="6"/>
          <w:sz w:val="24"/>
        </w:rPr>
        <w:t xml:space="preserve">                       </w:t>
      </w:r>
    </w:p>
    <w:bookmarkEnd w:id="50"/>
    <w:p w14:paraId="176A9BC3">
      <w:pPr>
        <w:pStyle w:val="23"/>
        <w:rPr>
          <w:rFonts w:hint="eastAsia" w:ascii="宋体" w:hAnsi="宋体"/>
          <w:color w:val="auto"/>
        </w:rPr>
      </w:pPr>
    </w:p>
    <w:p w14:paraId="6FE63D1C">
      <w:pPr>
        <w:spacing w:after="0" w:line="240" w:lineRule="auto"/>
        <w:rPr>
          <w:rFonts w:hint="eastAsia" w:ascii="宋体" w:hAnsi="宋体" w:cs="宋体"/>
          <w:b/>
          <w:color w:val="auto"/>
          <w:sz w:val="20"/>
          <w:szCs w:val="20"/>
        </w:rPr>
      </w:pPr>
      <w:r>
        <w:rPr>
          <w:rFonts w:hint="eastAsia" w:ascii="宋体" w:hAnsi="宋体" w:cs="宋体"/>
          <w:b/>
          <w:color w:val="auto"/>
          <w:sz w:val="20"/>
          <w:szCs w:val="20"/>
        </w:rPr>
        <w:t>要求：</w:t>
      </w:r>
    </w:p>
    <w:p w14:paraId="6EC360FE">
      <w:pPr>
        <w:spacing w:after="0" w:line="240" w:lineRule="auto"/>
        <w:ind w:left="435"/>
        <w:rPr>
          <w:rFonts w:hint="eastAsia" w:ascii="宋体" w:hAnsi="宋体" w:cs="宋体"/>
          <w:color w:val="auto"/>
          <w:sz w:val="20"/>
          <w:szCs w:val="20"/>
        </w:rPr>
      </w:pPr>
      <w:r>
        <w:rPr>
          <w:rFonts w:hint="eastAsia" w:ascii="宋体" w:hAnsi="宋体" w:cs="宋体"/>
          <w:color w:val="auto"/>
          <w:sz w:val="20"/>
          <w:szCs w:val="20"/>
        </w:rPr>
        <w:t>1、如响应产品由小微企业生产，则需提供中小企业声明函。</w:t>
      </w:r>
    </w:p>
    <w:p w14:paraId="586CD9FF">
      <w:pPr>
        <w:spacing w:after="0" w:line="240" w:lineRule="auto"/>
        <w:ind w:left="435"/>
        <w:rPr>
          <w:rFonts w:hint="eastAsia" w:ascii="宋体" w:hAnsi="宋体" w:cs="宋体"/>
          <w:color w:val="auto"/>
          <w:sz w:val="20"/>
          <w:szCs w:val="20"/>
        </w:rPr>
      </w:pPr>
      <w:r>
        <w:rPr>
          <w:rFonts w:hint="eastAsia" w:ascii="宋体" w:hAnsi="宋体" w:cs="宋体"/>
          <w:color w:val="auto"/>
          <w:sz w:val="20"/>
          <w:szCs w:val="20"/>
        </w:rPr>
        <w:t>2、如中标人声明为小微企业，本声明函将随中标结果同时公告，接受社会监督。</w:t>
      </w:r>
    </w:p>
    <w:p w14:paraId="62F3F0DD">
      <w:pPr>
        <w:spacing w:line="360" w:lineRule="auto"/>
        <w:ind w:left="-2" w:hanging="2"/>
        <w:jc w:val="center"/>
        <w:rPr>
          <w:rFonts w:hint="eastAsia" w:ascii="宋体" w:hAnsi="宋体" w:cs="宋体"/>
          <w:b/>
          <w:color w:val="auto"/>
          <w:sz w:val="32"/>
          <w:szCs w:val="32"/>
          <w:lang w:val="en-GB"/>
        </w:rPr>
      </w:pPr>
    </w:p>
    <w:p w14:paraId="436C3756">
      <w:pPr>
        <w:spacing w:line="360" w:lineRule="auto"/>
        <w:ind w:left="-2" w:hanging="2"/>
        <w:jc w:val="center"/>
        <w:rPr>
          <w:rFonts w:hint="eastAsia" w:ascii="宋体" w:hAnsi="宋体" w:cs="宋体"/>
          <w:b/>
          <w:color w:val="auto"/>
          <w:sz w:val="32"/>
          <w:szCs w:val="32"/>
          <w:lang w:val="en-GB"/>
        </w:rPr>
      </w:pPr>
      <w:r>
        <w:rPr>
          <w:rFonts w:hint="eastAsia" w:ascii="宋体" w:hAnsi="宋体" w:cs="宋体"/>
          <w:b/>
          <w:color w:val="auto"/>
          <w:sz w:val="32"/>
          <w:szCs w:val="32"/>
          <w:lang w:val="en-GB"/>
        </w:rPr>
        <w:t>残疾人福利性单位声明函</w:t>
      </w:r>
    </w:p>
    <w:p w14:paraId="2993AB0C">
      <w:pPr>
        <w:spacing w:line="360" w:lineRule="auto"/>
        <w:ind w:firstLine="480" w:firstLineChars="200"/>
        <w:rPr>
          <w:rFonts w:hint="eastAsia" w:ascii="宋体" w:hAnsi="宋体" w:cs="宋体"/>
          <w:color w:val="auto"/>
          <w:sz w:val="24"/>
        </w:rPr>
      </w:pPr>
      <w:r>
        <w:rPr>
          <w:rFonts w:hint="eastAsia" w:ascii="宋体" w:hAnsi="宋体" w:cs="宋体"/>
          <w:color w:val="auto"/>
          <w:sz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115A5CE">
      <w:pPr>
        <w:spacing w:line="360" w:lineRule="auto"/>
        <w:ind w:firstLine="480" w:firstLineChars="200"/>
        <w:rPr>
          <w:rFonts w:hint="eastAsia" w:ascii="宋体" w:hAnsi="宋体" w:cs="宋体"/>
          <w:color w:val="auto"/>
          <w:sz w:val="24"/>
        </w:rPr>
      </w:pPr>
      <w:r>
        <w:rPr>
          <w:rFonts w:hint="eastAsia" w:ascii="宋体" w:hAnsi="宋体" w:cs="宋体"/>
          <w:color w:val="auto"/>
          <w:sz w:val="24"/>
        </w:rPr>
        <w:t>本单位对上述声明的真实性负责。如有虚假，将依法承担相应责任。</w:t>
      </w:r>
    </w:p>
    <w:p w14:paraId="56869D63">
      <w:pPr>
        <w:spacing w:line="360" w:lineRule="auto"/>
        <w:ind w:firstLine="480" w:firstLineChars="200"/>
        <w:rPr>
          <w:rFonts w:hint="eastAsia" w:ascii="宋体" w:hAnsi="宋体" w:cs="宋体"/>
          <w:color w:val="auto"/>
          <w:sz w:val="24"/>
        </w:rPr>
      </w:pPr>
    </w:p>
    <w:p w14:paraId="0550B8BC">
      <w:pPr>
        <w:spacing w:line="360" w:lineRule="auto"/>
        <w:ind w:firstLine="2880" w:firstLineChars="1200"/>
        <w:rPr>
          <w:rFonts w:hint="eastAsia" w:ascii="宋体" w:hAnsi="宋体" w:cs="宋体"/>
          <w:color w:val="auto"/>
          <w:sz w:val="24"/>
          <w:szCs w:val="32"/>
        </w:rPr>
      </w:pPr>
      <w:r>
        <w:rPr>
          <w:rFonts w:hint="eastAsia" w:ascii="宋体" w:hAnsi="宋体" w:cs="宋体"/>
          <w:color w:val="auto"/>
          <w:sz w:val="24"/>
          <w:szCs w:val="32"/>
        </w:rPr>
        <w:t>单位名称（单位公章）：</w:t>
      </w:r>
    </w:p>
    <w:p w14:paraId="04CBA8A4">
      <w:pPr>
        <w:pStyle w:val="47"/>
        <w:spacing w:line="360" w:lineRule="auto"/>
        <w:ind w:left="4253" w:leftChars="2025" w:right="360"/>
        <w:jc w:val="right"/>
        <w:rPr>
          <w:rFonts w:hint="eastAsia" w:ascii="宋体" w:hAnsi="宋体" w:cs="宋体"/>
          <w:color w:val="auto"/>
          <w:sz w:val="24"/>
        </w:rPr>
      </w:pPr>
      <w:r>
        <w:rPr>
          <w:rFonts w:hint="eastAsia" w:ascii="宋体" w:hAnsi="宋体" w:cs="宋体"/>
          <w:color w:val="auto"/>
          <w:sz w:val="24"/>
          <w:szCs w:val="32"/>
        </w:rPr>
        <w:t>日期：</w:t>
      </w:r>
      <w:r>
        <w:rPr>
          <w:rFonts w:hint="eastAsia" w:ascii="宋体" w:hAnsi="宋体" w:cs="宋体"/>
          <w:color w:val="auto"/>
          <w:sz w:val="24"/>
          <w:szCs w:val="32"/>
          <w:u w:val="single"/>
        </w:rPr>
        <w:t xml:space="preserve">      </w:t>
      </w:r>
      <w:r>
        <w:rPr>
          <w:rFonts w:hint="eastAsia" w:ascii="宋体" w:hAnsi="宋体" w:cs="宋体"/>
          <w:color w:val="auto"/>
          <w:sz w:val="24"/>
        </w:rPr>
        <w:t>年</w:t>
      </w:r>
      <w:r>
        <w:rPr>
          <w:rFonts w:hint="eastAsia" w:ascii="宋体" w:hAnsi="宋体" w:cs="宋体"/>
          <w:color w:val="auto"/>
          <w:sz w:val="24"/>
          <w:szCs w:val="32"/>
          <w:u w:val="single"/>
        </w:rPr>
        <w:t xml:space="preserve">    </w:t>
      </w:r>
      <w:r>
        <w:rPr>
          <w:rFonts w:hint="eastAsia" w:ascii="宋体" w:hAnsi="宋体" w:cs="宋体"/>
          <w:color w:val="auto"/>
          <w:sz w:val="24"/>
        </w:rPr>
        <w:t>月</w:t>
      </w:r>
      <w:r>
        <w:rPr>
          <w:rFonts w:hint="eastAsia" w:ascii="宋体" w:hAnsi="宋体" w:cs="宋体"/>
          <w:color w:val="auto"/>
          <w:sz w:val="24"/>
          <w:szCs w:val="32"/>
          <w:u w:val="single"/>
        </w:rPr>
        <w:t xml:space="preserve">    </w:t>
      </w:r>
      <w:r>
        <w:rPr>
          <w:rFonts w:hint="eastAsia" w:ascii="宋体" w:hAnsi="宋体" w:cs="宋体"/>
          <w:color w:val="auto"/>
          <w:sz w:val="24"/>
        </w:rPr>
        <w:t>日</w:t>
      </w:r>
    </w:p>
    <w:p w14:paraId="141152BA">
      <w:pPr>
        <w:rPr>
          <w:color w:val="auto"/>
          <w:lang w:val="en-GB"/>
        </w:rPr>
      </w:pPr>
    </w:p>
    <w:p w14:paraId="779F776B">
      <w:pPr>
        <w:rPr>
          <w:color w:val="auto"/>
          <w:lang w:val="en-GB"/>
        </w:rPr>
      </w:pPr>
    </w:p>
    <w:p w14:paraId="3BB53982">
      <w:pPr>
        <w:rPr>
          <w:color w:val="auto"/>
          <w:lang w:val="en-GB"/>
        </w:rPr>
      </w:pPr>
    </w:p>
    <w:p w14:paraId="326C10F6">
      <w:pPr>
        <w:pStyle w:val="4"/>
        <w:ind w:firstLine="241"/>
        <w:jc w:val="center"/>
        <w:rPr>
          <w:rFonts w:hint="eastAsia" w:ascii="宋体" w:hAnsi="宋体" w:cs="宋体"/>
          <w:bCs w:val="0"/>
          <w:color w:val="auto"/>
          <w:lang w:val="en-GB"/>
        </w:rPr>
      </w:pPr>
      <w:r>
        <w:rPr>
          <w:rFonts w:hint="eastAsia" w:ascii="宋体" w:hAnsi="宋体" w:cs="宋体"/>
          <w:bCs w:val="0"/>
          <w:color w:val="auto"/>
          <w:lang w:val="en-GB"/>
        </w:rPr>
        <w:t>监狱企业资格证明材料</w:t>
      </w:r>
    </w:p>
    <w:p w14:paraId="76D373F2">
      <w:pPr>
        <w:ind w:firstLine="480"/>
        <w:rPr>
          <w:rFonts w:hint="eastAsia" w:ascii="宋体" w:hAnsi="宋体" w:cs="宋体"/>
          <w:color w:val="auto"/>
          <w:sz w:val="24"/>
        </w:rPr>
      </w:pPr>
      <w:r>
        <w:rPr>
          <w:rFonts w:hint="eastAsia" w:ascii="宋体" w:hAnsi="宋体" w:cs="宋体"/>
          <w:color w:val="auto"/>
          <w:sz w:val="24"/>
        </w:rPr>
        <w:t>（省级以上监狱管理局、戒毒管理局（含新疆生产建设兵团）出具的属于监狱企业的证明文件）</w:t>
      </w:r>
    </w:p>
    <w:p w14:paraId="29140F2A">
      <w:pPr>
        <w:ind w:firstLine="480"/>
        <w:rPr>
          <w:rFonts w:hint="eastAsia" w:ascii="宋体" w:hAnsi="宋体" w:cs="宋体"/>
          <w:color w:val="auto"/>
          <w:sz w:val="24"/>
        </w:rPr>
      </w:pPr>
    </w:p>
    <w:p w14:paraId="019688AA">
      <w:pPr>
        <w:ind w:firstLine="480"/>
        <w:rPr>
          <w:rFonts w:hint="eastAsia" w:ascii="宋体" w:hAnsi="宋体" w:cs="宋体"/>
          <w:color w:val="auto"/>
          <w:sz w:val="24"/>
        </w:rPr>
      </w:pPr>
      <w:r>
        <w:rPr>
          <w:rFonts w:hint="eastAsia" w:ascii="宋体" w:hAnsi="宋体" w:cs="宋体"/>
          <w:color w:val="auto"/>
          <w:sz w:val="24"/>
        </w:rPr>
        <w:t>说明：根据财库[2014]68号的相关规定，监狱企业视同小型、微型企业。</w:t>
      </w:r>
    </w:p>
    <w:p w14:paraId="0705A366">
      <w:pPr>
        <w:pStyle w:val="13"/>
        <w:spacing w:after="0" w:line="312" w:lineRule="auto"/>
        <w:jc w:val="center"/>
        <w:outlineLvl w:val="1"/>
        <w:rPr>
          <w:rFonts w:hint="eastAsia" w:hAnsi="宋体" w:cs="宋体"/>
          <w:b/>
          <w:color w:val="auto"/>
          <w:sz w:val="32"/>
          <w:szCs w:val="32"/>
        </w:rPr>
      </w:pPr>
    </w:p>
    <w:p w14:paraId="7E5A3806">
      <w:pPr>
        <w:spacing w:line="360" w:lineRule="auto"/>
        <w:ind w:firstLine="2880" w:firstLineChars="1200"/>
        <w:rPr>
          <w:rFonts w:hint="eastAsia" w:ascii="宋体" w:hAnsi="宋体" w:cs="宋体"/>
          <w:color w:val="auto"/>
          <w:sz w:val="24"/>
          <w:szCs w:val="32"/>
        </w:rPr>
      </w:pPr>
      <w:r>
        <w:rPr>
          <w:rFonts w:hint="eastAsia" w:ascii="宋体" w:hAnsi="宋体" w:cs="宋体"/>
          <w:color w:val="auto"/>
          <w:sz w:val="24"/>
          <w:szCs w:val="32"/>
        </w:rPr>
        <w:t>单位名称（单位公章）：</w:t>
      </w:r>
    </w:p>
    <w:p w14:paraId="58AEAB70">
      <w:pPr>
        <w:pStyle w:val="47"/>
        <w:spacing w:line="360" w:lineRule="auto"/>
        <w:ind w:left="4253" w:leftChars="2025" w:right="360"/>
        <w:jc w:val="right"/>
        <w:rPr>
          <w:rFonts w:hint="eastAsia" w:ascii="宋体" w:hAnsi="宋体" w:cs="宋体"/>
          <w:color w:val="auto"/>
          <w:sz w:val="24"/>
        </w:rPr>
      </w:pPr>
      <w:r>
        <w:rPr>
          <w:rFonts w:hint="eastAsia" w:ascii="宋体" w:hAnsi="宋体" w:cs="宋体"/>
          <w:color w:val="auto"/>
          <w:sz w:val="24"/>
          <w:szCs w:val="32"/>
        </w:rPr>
        <w:t>日期：</w:t>
      </w:r>
      <w:r>
        <w:rPr>
          <w:rFonts w:hint="eastAsia" w:ascii="宋体" w:hAnsi="宋体" w:cs="宋体"/>
          <w:color w:val="auto"/>
          <w:sz w:val="24"/>
          <w:szCs w:val="32"/>
          <w:u w:val="single"/>
        </w:rPr>
        <w:t xml:space="preserve">      </w:t>
      </w:r>
      <w:r>
        <w:rPr>
          <w:rFonts w:hint="eastAsia" w:ascii="宋体" w:hAnsi="宋体" w:cs="宋体"/>
          <w:color w:val="auto"/>
          <w:sz w:val="24"/>
        </w:rPr>
        <w:t>年</w:t>
      </w:r>
      <w:r>
        <w:rPr>
          <w:rFonts w:hint="eastAsia" w:ascii="宋体" w:hAnsi="宋体" w:cs="宋体"/>
          <w:color w:val="auto"/>
          <w:sz w:val="24"/>
          <w:szCs w:val="32"/>
          <w:u w:val="single"/>
        </w:rPr>
        <w:t xml:space="preserve">    </w:t>
      </w:r>
      <w:r>
        <w:rPr>
          <w:rFonts w:hint="eastAsia" w:ascii="宋体" w:hAnsi="宋体" w:cs="宋体"/>
          <w:color w:val="auto"/>
          <w:sz w:val="24"/>
        </w:rPr>
        <w:t>月</w:t>
      </w:r>
      <w:r>
        <w:rPr>
          <w:rFonts w:hint="eastAsia" w:ascii="宋体" w:hAnsi="宋体" w:cs="宋体"/>
          <w:color w:val="auto"/>
          <w:sz w:val="24"/>
          <w:szCs w:val="32"/>
          <w:u w:val="single"/>
        </w:rPr>
        <w:t xml:space="preserve">    </w:t>
      </w:r>
      <w:r>
        <w:rPr>
          <w:rFonts w:hint="eastAsia" w:ascii="宋体" w:hAnsi="宋体" w:cs="宋体"/>
          <w:color w:val="auto"/>
          <w:sz w:val="24"/>
        </w:rPr>
        <w:t>日</w:t>
      </w:r>
    </w:p>
    <w:p w14:paraId="66243DD1">
      <w:pPr>
        <w:rPr>
          <w:rFonts w:hint="eastAsia" w:ascii="宋体" w:hAnsi="宋体" w:cs="宋体"/>
          <w:color w:val="auto"/>
          <w:sz w:val="24"/>
        </w:rPr>
      </w:pPr>
      <w:r>
        <w:rPr>
          <w:rFonts w:hint="eastAsia" w:ascii="宋体" w:hAnsi="宋体" w:cs="宋体"/>
          <w:color w:val="auto"/>
          <w:sz w:val="24"/>
        </w:rPr>
        <w:br w:type="page"/>
      </w:r>
    </w:p>
    <w:p w14:paraId="2A182014">
      <w:pPr>
        <w:spacing w:before="55" w:line="219" w:lineRule="auto"/>
        <w:jc w:val="center"/>
        <w:outlineLvl w:val="0"/>
        <w:rPr>
          <w:rFonts w:hint="eastAsia" w:ascii="宋体" w:hAnsi="宋体" w:eastAsia="宋体" w:cs="宋体"/>
          <w:b/>
          <w:bCs w:val="0"/>
          <w:color w:val="auto"/>
          <w:kern w:val="2"/>
          <w:sz w:val="24"/>
          <w:szCs w:val="32"/>
          <w:lang w:val="en-GB" w:eastAsia="zh-CN" w:bidi="ar-SA"/>
        </w:rPr>
      </w:pPr>
      <w:r>
        <w:rPr>
          <w:rFonts w:hint="eastAsia" w:ascii="宋体" w:hAnsi="宋体" w:eastAsia="宋体" w:cs="宋体"/>
          <w:b/>
          <w:bCs w:val="0"/>
          <w:color w:val="auto"/>
          <w:kern w:val="2"/>
          <w:sz w:val="24"/>
          <w:szCs w:val="32"/>
          <w:lang w:val="en-GB" w:eastAsia="zh-CN" w:bidi="ar-SA"/>
        </w:rPr>
        <w:t>关于符合本国产品标准的声明函</w:t>
      </w:r>
    </w:p>
    <w:p w14:paraId="3918F399">
      <w:pPr>
        <w:spacing w:line="306" w:lineRule="auto"/>
        <w:rPr>
          <w:rFonts w:ascii="Arial"/>
          <w:color w:val="auto"/>
          <w:sz w:val="21"/>
        </w:rPr>
      </w:pPr>
    </w:p>
    <w:p w14:paraId="4E9B1ACF">
      <w:pPr>
        <w:pStyle w:val="9"/>
        <w:spacing w:before="69" w:line="388" w:lineRule="auto"/>
        <w:ind w:left="10" w:firstLine="42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本公司(单位)郑重声明，根据《国务院办公厅关于在政府  采购中实施本国产品标准及相关政策的通知》(国办发〔2025〕34号)的规定，本公司(单位)提供的以下产品属于本国产品。 具体情况如下：</w:t>
      </w:r>
    </w:p>
    <w:p w14:paraId="70513D43">
      <w:pPr>
        <w:pStyle w:val="9"/>
        <w:spacing w:before="65" w:line="347" w:lineRule="auto"/>
        <w:ind w:left="10" w:right="82" w:firstLine="42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1. </w:t>
      </w:r>
      <w:r>
        <w:rPr>
          <w:rFonts w:hint="eastAsia" w:ascii="宋体" w:hAnsi="宋体" w:eastAsia="宋体" w:cs="宋体"/>
          <w:color w:val="auto"/>
          <w:kern w:val="2"/>
          <w:sz w:val="24"/>
          <w:szCs w:val="24"/>
          <w:u w:val="single"/>
          <w:lang w:val="en-US" w:eastAsia="zh-CN" w:bidi="ar-SA"/>
        </w:rPr>
        <w:t>(产品名称1)</w:t>
      </w:r>
      <w:r>
        <w:rPr>
          <w:rFonts w:hint="eastAsia" w:ascii="宋体" w:hAnsi="宋体" w:eastAsia="宋体" w:cs="宋体"/>
          <w:color w:val="auto"/>
          <w:kern w:val="2"/>
          <w:sz w:val="24"/>
          <w:szCs w:val="24"/>
          <w:lang w:val="en-US" w:eastAsia="zh-CN" w:bidi="ar-SA"/>
        </w:rPr>
        <w:t>¹ ,生产厂为</w:t>
      </w:r>
      <w:r>
        <w:rPr>
          <w:rFonts w:hint="eastAsia" w:ascii="宋体" w:hAnsi="宋体" w:eastAsia="宋体" w:cs="宋体"/>
          <w:color w:val="auto"/>
          <w:kern w:val="2"/>
          <w:sz w:val="24"/>
          <w:szCs w:val="24"/>
          <w:u w:val="single"/>
          <w:lang w:val="en-US" w:eastAsia="zh-CN" w:bidi="ar-SA"/>
        </w:rPr>
        <w:t>(厂名)</w:t>
      </w:r>
      <w:r>
        <w:rPr>
          <w:rFonts w:hint="eastAsia" w:ascii="宋体" w:hAnsi="宋体" w:eastAsia="宋体" w:cs="宋体"/>
          <w:color w:val="auto"/>
          <w:kern w:val="2"/>
          <w:sz w:val="24"/>
          <w:szCs w:val="24"/>
          <w:lang w:val="en-US" w:eastAsia="zh-CN" w:bidi="ar-SA"/>
        </w:rPr>
        <w:t>² ,厂址为</w:t>
      </w:r>
      <w:r>
        <w:rPr>
          <w:rFonts w:hint="eastAsia" w:ascii="宋体" w:hAnsi="宋体" w:eastAsia="宋体" w:cs="宋体"/>
          <w:color w:val="auto"/>
          <w:kern w:val="2"/>
          <w:sz w:val="24"/>
          <w:szCs w:val="24"/>
          <w:u w:val="single"/>
          <w:lang w:val="en-US" w:eastAsia="zh-CN" w:bidi="ar-SA"/>
        </w:rPr>
        <w:t>(生产厂址)</w:t>
      </w:r>
      <w:r>
        <w:rPr>
          <w:rFonts w:hint="eastAsia" w:ascii="宋体" w:hAnsi="宋体" w:eastAsia="宋体" w:cs="宋体"/>
          <w:color w:val="auto"/>
          <w:kern w:val="2"/>
          <w:sz w:val="24"/>
          <w:szCs w:val="24"/>
          <w:lang w:val="en-US" w:eastAsia="zh-CN" w:bidi="ar-SA"/>
        </w:rPr>
        <w:t>。</w:t>
      </w:r>
      <w:r>
        <w:rPr>
          <w:rFonts w:hint="eastAsia" w:ascii="宋体" w:hAnsi="宋体" w:eastAsia="宋体" w:cs="宋体"/>
          <w:color w:val="auto"/>
          <w:kern w:val="2"/>
          <w:sz w:val="24"/>
          <w:szCs w:val="24"/>
          <w:u w:val="single"/>
          <w:lang w:val="en-US" w:eastAsia="zh-CN" w:bidi="ar-SA"/>
        </w:rPr>
        <w:t>(产品名称1)</w:t>
      </w:r>
      <w:r>
        <w:rPr>
          <w:rFonts w:hint="eastAsia" w:ascii="宋体" w:hAnsi="宋体" w:eastAsia="宋体" w:cs="宋体"/>
          <w:color w:val="auto"/>
          <w:kern w:val="2"/>
          <w:sz w:val="24"/>
          <w:szCs w:val="24"/>
          <w:lang w:val="en-US" w:eastAsia="zh-CN" w:bidi="ar-SA"/>
        </w:rPr>
        <w:t>的中国境内生产的组件成本占比≥</w:t>
      </w:r>
      <w:r>
        <w:rPr>
          <w:rFonts w:hint="eastAsia" w:ascii="宋体" w:hAnsi="宋体" w:eastAsia="宋体" w:cs="宋体"/>
          <w:color w:val="auto"/>
          <w:kern w:val="2"/>
          <w:sz w:val="24"/>
          <w:szCs w:val="24"/>
          <w:u w:val="single"/>
          <w:lang w:val="en-US" w:eastAsia="zh-CN" w:bidi="ar-SA"/>
        </w:rPr>
        <w:t>(规定比例)</w:t>
      </w:r>
      <w:r>
        <w:rPr>
          <w:rFonts w:hint="eastAsia" w:ascii="宋体" w:hAnsi="宋体" w:eastAsia="宋体" w:cs="宋体"/>
          <w:color w:val="auto"/>
          <w:kern w:val="2"/>
          <w:sz w:val="24"/>
          <w:szCs w:val="24"/>
          <w:lang w:val="en-US" w:eastAsia="zh-CN" w:bidi="ar-SA"/>
        </w:rPr>
        <w:t>³。</w:t>
      </w:r>
      <w:r>
        <w:rPr>
          <w:rFonts w:hint="eastAsia" w:ascii="宋体" w:hAnsi="宋体" w:eastAsia="宋体" w:cs="宋体"/>
          <w:color w:val="auto"/>
          <w:kern w:val="2"/>
          <w:sz w:val="24"/>
          <w:szCs w:val="24"/>
          <w:u w:val="single"/>
          <w:lang w:val="en-US" w:eastAsia="zh-CN" w:bidi="ar-SA"/>
        </w:rPr>
        <w:t>(产品名称1)</w:t>
      </w:r>
      <w:r>
        <w:rPr>
          <w:rFonts w:hint="eastAsia" w:ascii="宋体" w:hAnsi="宋体" w:eastAsia="宋体" w:cs="宋体"/>
          <w:color w:val="auto"/>
          <w:kern w:val="2"/>
          <w:sz w:val="24"/>
          <w:szCs w:val="24"/>
          <w:lang w:val="en-US" w:eastAsia="zh-CN" w:bidi="ar-SA"/>
        </w:rPr>
        <w:t>的</w:t>
      </w:r>
      <w:r>
        <w:rPr>
          <w:rFonts w:hint="eastAsia" w:ascii="宋体" w:hAnsi="宋体" w:eastAsia="宋体" w:cs="宋体"/>
          <w:color w:val="auto"/>
          <w:kern w:val="2"/>
          <w:sz w:val="24"/>
          <w:szCs w:val="24"/>
          <w:u w:val="single"/>
          <w:lang w:val="en-US" w:eastAsia="zh-CN" w:bidi="ar-SA"/>
        </w:rPr>
        <w:t>(关键组件)</w:t>
      </w:r>
      <w:r>
        <w:rPr>
          <w:rFonts w:hint="eastAsia" w:ascii="宋体" w:hAnsi="宋体" w:eastAsia="宋体" w:cs="宋体"/>
          <w:color w:val="auto"/>
          <w:kern w:val="2"/>
          <w:sz w:val="24"/>
          <w:szCs w:val="24"/>
          <w:lang w:val="en-US" w:eastAsia="zh-CN" w:bidi="ar-SA"/>
        </w:rPr>
        <w:t>⁴在中国境内生产。</w:t>
      </w:r>
      <w:r>
        <w:rPr>
          <w:rFonts w:hint="eastAsia" w:ascii="宋体" w:hAnsi="宋体" w:eastAsia="宋体" w:cs="宋体"/>
          <w:color w:val="auto"/>
          <w:kern w:val="2"/>
          <w:sz w:val="24"/>
          <w:szCs w:val="24"/>
          <w:u w:val="single"/>
          <w:lang w:val="en-US" w:eastAsia="zh-CN" w:bidi="ar-SA"/>
        </w:rPr>
        <w:t>( 产品名称1)</w:t>
      </w:r>
      <w:r>
        <w:rPr>
          <w:rFonts w:hint="eastAsia" w:ascii="宋体" w:hAnsi="宋体" w:eastAsia="宋体" w:cs="宋体"/>
          <w:color w:val="auto"/>
          <w:kern w:val="2"/>
          <w:sz w:val="24"/>
          <w:szCs w:val="24"/>
          <w:lang w:val="en-US" w:eastAsia="zh-CN" w:bidi="ar-SA"/>
        </w:rPr>
        <w:t>的</w:t>
      </w:r>
      <w:r>
        <w:rPr>
          <w:rFonts w:hint="eastAsia" w:ascii="宋体" w:hAnsi="宋体" w:eastAsia="宋体" w:cs="宋体"/>
          <w:color w:val="auto"/>
          <w:kern w:val="2"/>
          <w:sz w:val="24"/>
          <w:szCs w:val="24"/>
          <w:u w:val="single"/>
          <w:lang w:val="en-US" w:eastAsia="zh-CN" w:bidi="ar-SA"/>
        </w:rPr>
        <w:t>(关键工序)</w:t>
      </w:r>
      <w:r>
        <w:rPr>
          <w:rFonts w:hint="eastAsia" w:ascii="宋体" w:hAnsi="宋体" w:eastAsia="宋体" w:cs="宋体"/>
          <w:color w:val="auto"/>
          <w:kern w:val="2"/>
          <w:sz w:val="24"/>
          <w:szCs w:val="24"/>
          <w:lang w:val="en-US" w:eastAsia="zh-CN" w:bidi="ar-SA"/>
        </w:rPr>
        <w:t>⁵在中国境内完成。</w:t>
      </w:r>
    </w:p>
    <w:p w14:paraId="2CBE2A6F">
      <w:pPr>
        <w:pStyle w:val="9"/>
        <w:spacing w:before="201" w:line="337" w:lineRule="auto"/>
        <w:ind w:left="10" w:right="90" w:firstLine="42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kern w:val="2"/>
          <w:sz w:val="24"/>
          <w:szCs w:val="24"/>
          <w:u w:val="single"/>
          <w:lang w:val="en-US" w:eastAsia="zh-CN" w:bidi="ar-SA"/>
        </w:rPr>
        <w:t xml:space="preserve">(产品名称2) </w:t>
      </w:r>
      <w:r>
        <w:rPr>
          <w:rFonts w:hint="eastAsia" w:ascii="宋体" w:hAnsi="宋体" w:eastAsia="宋体" w:cs="宋体"/>
          <w:color w:val="auto"/>
          <w:kern w:val="2"/>
          <w:sz w:val="24"/>
          <w:szCs w:val="24"/>
          <w:lang w:val="en-US" w:eastAsia="zh-CN" w:bidi="ar-SA"/>
        </w:rPr>
        <w:t>,生产厂为</w:t>
      </w:r>
      <w:r>
        <w:rPr>
          <w:rFonts w:hint="eastAsia" w:ascii="宋体" w:hAnsi="宋体" w:eastAsia="宋体" w:cs="宋体"/>
          <w:color w:val="auto"/>
          <w:kern w:val="2"/>
          <w:sz w:val="24"/>
          <w:szCs w:val="24"/>
          <w:u w:val="single"/>
          <w:lang w:val="en-US" w:eastAsia="zh-CN" w:bidi="ar-SA"/>
        </w:rPr>
        <w:t>(厂名)</w:t>
      </w:r>
      <w:r>
        <w:rPr>
          <w:rFonts w:hint="eastAsia" w:ascii="宋体" w:hAnsi="宋体" w:eastAsia="宋体" w:cs="宋体"/>
          <w:color w:val="auto"/>
          <w:kern w:val="2"/>
          <w:sz w:val="24"/>
          <w:szCs w:val="24"/>
          <w:lang w:val="en-US" w:eastAsia="zh-CN" w:bidi="ar-SA"/>
        </w:rPr>
        <w:t>,厂址为</w:t>
      </w:r>
      <w:r>
        <w:rPr>
          <w:rFonts w:hint="eastAsia" w:ascii="宋体" w:hAnsi="宋体" w:eastAsia="宋体" w:cs="宋体"/>
          <w:color w:val="auto"/>
          <w:kern w:val="2"/>
          <w:sz w:val="24"/>
          <w:szCs w:val="24"/>
          <w:u w:val="single"/>
          <w:lang w:val="en-US" w:eastAsia="zh-CN" w:bidi="ar-SA"/>
        </w:rPr>
        <w:t>(生产厂址)</w:t>
      </w:r>
      <w:r>
        <w:rPr>
          <w:rFonts w:hint="eastAsia" w:ascii="宋体" w:hAnsi="宋体" w:eastAsia="宋体" w:cs="宋体"/>
          <w:color w:val="auto"/>
          <w:kern w:val="2"/>
          <w:sz w:val="24"/>
          <w:szCs w:val="24"/>
          <w:lang w:val="en-US" w:eastAsia="zh-CN" w:bidi="ar-SA"/>
        </w:rPr>
        <w:t>。</w:t>
      </w:r>
      <w:r>
        <w:rPr>
          <w:rFonts w:hint="eastAsia" w:ascii="宋体" w:hAnsi="宋体" w:eastAsia="宋体" w:cs="宋体"/>
          <w:color w:val="auto"/>
          <w:kern w:val="2"/>
          <w:sz w:val="24"/>
          <w:szCs w:val="24"/>
          <w:u w:val="single"/>
          <w:lang w:val="en-US" w:eastAsia="zh-CN" w:bidi="ar-SA"/>
        </w:rPr>
        <w:t xml:space="preserve">(产品名称2) </w:t>
      </w:r>
      <w:r>
        <w:rPr>
          <w:rFonts w:hint="eastAsia" w:ascii="宋体" w:hAnsi="宋体" w:eastAsia="宋体" w:cs="宋体"/>
          <w:color w:val="auto"/>
          <w:kern w:val="2"/>
          <w:sz w:val="24"/>
          <w:szCs w:val="24"/>
          <w:lang w:val="en-US" w:eastAsia="zh-CN" w:bidi="ar-SA"/>
        </w:rPr>
        <w:t>的中国境内生产的组件成本占比≥</w:t>
      </w:r>
      <w:r>
        <w:rPr>
          <w:rFonts w:hint="eastAsia" w:ascii="宋体" w:hAnsi="宋体" w:eastAsia="宋体" w:cs="宋体"/>
          <w:color w:val="auto"/>
          <w:kern w:val="2"/>
          <w:sz w:val="24"/>
          <w:szCs w:val="24"/>
          <w:u w:val="single"/>
          <w:lang w:val="en-US" w:eastAsia="zh-CN" w:bidi="ar-SA"/>
        </w:rPr>
        <w:t>(规定比例)</w:t>
      </w:r>
      <w:r>
        <w:rPr>
          <w:rFonts w:hint="eastAsia" w:ascii="宋体" w:hAnsi="宋体" w:eastAsia="宋体" w:cs="宋体"/>
          <w:color w:val="auto"/>
          <w:kern w:val="2"/>
          <w:sz w:val="24"/>
          <w:szCs w:val="24"/>
          <w:lang w:val="en-US" w:eastAsia="zh-CN" w:bidi="ar-SA"/>
        </w:rPr>
        <w:t>。</w:t>
      </w:r>
      <w:r>
        <w:rPr>
          <w:rFonts w:hint="eastAsia" w:ascii="宋体" w:hAnsi="宋体" w:eastAsia="宋体" w:cs="宋体"/>
          <w:color w:val="auto"/>
          <w:kern w:val="2"/>
          <w:sz w:val="24"/>
          <w:szCs w:val="24"/>
          <w:u w:val="single"/>
          <w:lang w:val="en-US" w:eastAsia="zh-CN" w:bidi="ar-SA"/>
        </w:rPr>
        <w:t>(产品名称2)</w:t>
      </w:r>
      <w:r>
        <w:rPr>
          <w:rFonts w:hint="eastAsia" w:ascii="宋体" w:hAnsi="宋体" w:eastAsia="宋体" w:cs="宋体"/>
          <w:color w:val="auto"/>
          <w:kern w:val="2"/>
          <w:sz w:val="24"/>
          <w:szCs w:val="24"/>
          <w:lang w:val="en-US" w:eastAsia="zh-CN" w:bidi="ar-SA"/>
        </w:rPr>
        <w:t>的</w:t>
      </w:r>
      <w:r>
        <w:rPr>
          <w:rFonts w:hint="eastAsia" w:ascii="宋体" w:hAnsi="宋体" w:eastAsia="宋体" w:cs="宋体"/>
          <w:color w:val="auto"/>
          <w:kern w:val="2"/>
          <w:sz w:val="24"/>
          <w:szCs w:val="24"/>
          <w:u w:val="single"/>
          <w:lang w:val="en-US" w:eastAsia="zh-CN" w:bidi="ar-SA"/>
        </w:rPr>
        <w:t>(关键组件)</w:t>
      </w:r>
      <w:r>
        <w:rPr>
          <w:rFonts w:hint="eastAsia" w:ascii="宋体" w:hAnsi="宋体" w:eastAsia="宋体" w:cs="宋体"/>
          <w:color w:val="auto"/>
          <w:kern w:val="2"/>
          <w:sz w:val="24"/>
          <w:szCs w:val="24"/>
          <w:lang w:val="en-US" w:eastAsia="zh-CN" w:bidi="ar-SA"/>
        </w:rPr>
        <w:t xml:space="preserve">在中国境内生产。 </w:t>
      </w:r>
      <w:r>
        <w:rPr>
          <w:rFonts w:hint="eastAsia" w:ascii="宋体" w:hAnsi="宋体" w:eastAsia="宋体" w:cs="宋体"/>
          <w:color w:val="auto"/>
          <w:kern w:val="2"/>
          <w:sz w:val="24"/>
          <w:szCs w:val="24"/>
          <w:u w:val="single"/>
          <w:lang w:val="en-US" w:eastAsia="zh-CN" w:bidi="ar-SA"/>
        </w:rPr>
        <w:t>(产品名称2)</w:t>
      </w:r>
      <w:r>
        <w:rPr>
          <w:rFonts w:hint="eastAsia" w:ascii="宋体" w:hAnsi="宋体" w:eastAsia="宋体" w:cs="宋体"/>
          <w:color w:val="auto"/>
          <w:kern w:val="2"/>
          <w:sz w:val="24"/>
          <w:szCs w:val="24"/>
          <w:lang w:val="en-US" w:eastAsia="zh-CN" w:bidi="ar-SA"/>
        </w:rPr>
        <w:t>的</w:t>
      </w:r>
      <w:r>
        <w:rPr>
          <w:rFonts w:hint="eastAsia" w:ascii="宋体" w:hAnsi="宋体" w:eastAsia="宋体" w:cs="宋体"/>
          <w:color w:val="auto"/>
          <w:kern w:val="2"/>
          <w:sz w:val="24"/>
          <w:szCs w:val="24"/>
          <w:u w:val="single"/>
          <w:lang w:val="en-US" w:eastAsia="zh-CN" w:bidi="ar-SA"/>
        </w:rPr>
        <w:t>(关键工序)</w:t>
      </w:r>
      <w:r>
        <w:rPr>
          <w:rFonts w:hint="eastAsia" w:ascii="宋体" w:hAnsi="宋体" w:eastAsia="宋体" w:cs="宋体"/>
          <w:color w:val="auto"/>
          <w:kern w:val="2"/>
          <w:sz w:val="24"/>
          <w:szCs w:val="24"/>
          <w:lang w:val="en-US" w:eastAsia="zh-CN" w:bidi="ar-SA"/>
        </w:rPr>
        <w:t>在中国境内完成。</w:t>
      </w:r>
    </w:p>
    <w:p w14:paraId="4832AB3B">
      <w:pPr>
        <w:spacing w:line="243" w:lineRule="auto"/>
        <w:rPr>
          <w:rFonts w:hint="eastAsia" w:ascii="宋体" w:hAnsi="宋体" w:eastAsia="宋体" w:cs="宋体"/>
          <w:color w:val="auto"/>
          <w:kern w:val="2"/>
          <w:sz w:val="24"/>
          <w:szCs w:val="24"/>
          <w:lang w:val="en-US" w:eastAsia="zh-CN" w:bidi="ar-SA"/>
        </w:rPr>
      </w:pPr>
    </w:p>
    <w:p w14:paraId="38974804">
      <w:pPr>
        <w:spacing w:line="130" w:lineRule="exact"/>
        <w:ind w:firstLine="42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drawing>
          <wp:inline distT="0" distB="0" distL="0" distR="0">
            <wp:extent cx="285115" cy="82550"/>
            <wp:effectExtent l="0" t="0" r="635" b="1270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9"/>
                    <a:stretch>
                      <a:fillRect/>
                    </a:stretch>
                  </pic:blipFill>
                  <pic:spPr>
                    <a:xfrm>
                      <a:off x="0" y="0"/>
                      <a:ext cx="285736" cy="82582"/>
                    </a:xfrm>
                    <a:prstGeom prst="rect">
                      <a:avLst/>
                    </a:prstGeom>
                  </pic:spPr>
                </pic:pic>
              </a:graphicData>
            </a:graphic>
          </wp:inline>
        </w:drawing>
      </w:r>
    </w:p>
    <w:p w14:paraId="53C79693">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kern w:val="2"/>
          <w:sz w:val="24"/>
          <w:szCs w:val="24"/>
          <w:lang w:val="en-US" w:eastAsia="zh-CN" w:bidi="ar-SA"/>
        </w:rPr>
      </w:pPr>
    </w:p>
    <w:p w14:paraId="3B53EBE3">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本公司(单位)对上述声明内容的真实性负责。如有虚假，愿承担相应法律责任。</w:t>
      </w:r>
    </w:p>
    <w:p w14:paraId="483DA032">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righ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公司(单位)名称(盖章):</w:t>
      </w:r>
    </w:p>
    <w:p w14:paraId="78AEF9B2">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righ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日期：年    月    日</w:t>
      </w:r>
    </w:p>
    <w:p w14:paraId="35A0C57E">
      <w:pPr>
        <w:spacing w:before="46" w:line="219" w:lineRule="auto"/>
        <w:ind w:left="300"/>
        <w:rPr>
          <w:rFonts w:hint="eastAsia" w:ascii="宋体" w:hAnsi="宋体" w:eastAsia="宋体" w:cs="宋体"/>
          <w:color w:val="auto"/>
          <w:kern w:val="2"/>
          <w:sz w:val="24"/>
          <w:szCs w:val="24"/>
          <w:lang w:val="en-US" w:eastAsia="zh-CN" w:bidi="ar-SA"/>
        </w:rPr>
      </w:pPr>
    </w:p>
    <w:p w14:paraId="39F53777">
      <w:pPr>
        <w:spacing w:before="46" w:line="219" w:lineRule="auto"/>
        <w:ind w:left="300"/>
        <w:rPr>
          <w:rFonts w:hint="eastAsia" w:ascii="宋体" w:hAnsi="宋体" w:eastAsia="宋体" w:cs="宋体"/>
          <w:color w:val="auto"/>
          <w:kern w:val="2"/>
          <w:sz w:val="24"/>
          <w:szCs w:val="24"/>
          <w:lang w:val="en-US" w:eastAsia="zh-CN" w:bidi="ar-SA"/>
        </w:rPr>
      </w:pPr>
    </w:p>
    <w:p w14:paraId="001898B0">
      <w:pPr>
        <w:spacing w:before="46" w:line="219" w:lineRule="auto"/>
        <w:ind w:left="3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1.产品如有型号，请在“产品名称”栏一并填写。</w:t>
      </w:r>
    </w:p>
    <w:p w14:paraId="4279EEFA">
      <w:pPr>
        <w:spacing w:before="54" w:line="219" w:lineRule="auto"/>
        <w:ind w:left="3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2.生产厂名与厂址应与生产厂营业执照载明的相关信息保持一致。</w:t>
      </w:r>
    </w:p>
    <w:p w14:paraId="30B6389F">
      <w:pPr>
        <w:spacing w:before="53" w:line="219" w:lineRule="auto"/>
        <w:ind w:left="3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 该产品的中国境内生产的组件成本占比相关要求实施前，“规定比例”栏可不填，下同。</w:t>
      </w:r>
    </w:p>
    <w:p w14:paraId="60E0FBE5">
      <w:pPr>
        <w:spacing w:before="55" w:line="219" w:lineRule="auto"/>
        <w:ind w:left="3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4.该产品的关键组件要求实施前，“关键组件”栏可不填，下同。</w:t>
      </w:r>
    </w:p>
    <w:p w14:paraId="51175A00">
      <w:pPr>
        <w:spacing w:before="33" w:line="219" w:lineRule="auto"/>
        <w:ind w:left="3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 该产品的关键工序要求实施前，“关键工序”栏可不填，下同。</w:t>
      </w:r>
    </w:p>
    <w:p w14:paraId="40510E0C">
      <w:pPr>
        <w:pStyle w:val="9"/>
        <w:rPr>
          <w:rFonts w:hint="eastAsia"/>
          <w:color w:val="auto"/>
        </w:rPr>
      </w:pPr>
    </w:p>
    <w:p w14:paraId="2BAF02D1">
      <w:pPr>
        <w:autoSpaceDE w:val="0"/>
        <w:autoSpaceDN w:val="0"/>
        <w:adjustRightInd w:val="0"/>
        <w:spacing w:after="0" w:line="240" w:lineRule="auto"/>
        <w:jc w:val="center"/>
        <w:rPr>
          <w:rFonts w:hint="eastAsia" w:ascii="宋体" w:hAnsi="宋体" w:cs="宋体"/>
          <w:color w:val="auto"/>
          <w:kern w:val="0"/>
          <w:sz w:val="24"/>
        </w:rPr>
      </w:pPr>
    </w:p>
    <w:p w14:paraId="1FDF7696">
      <w:pPr>
        <w:rPr>
          <w:rFonts w:hint="eastAsia" w:ascii="宋体" w:hAnsi="宋体" w:cs="宋体"/>
          <w:color w:val="auto"/>
          <w:kern w:val="0"/>
          <w:sz w:val="24"/>
        </w:rPr>
      </w:pPr>
      <w:r>
        <w:rPr>
          <w:rFonts w:hint="eastAsia" w:ascii="宋体" w:hAnsi="宋体" w:cs="宋体"/>
          <w:color w:val="auto"/>
          <w:kern w:val="0"/>
          <w:sz w:val="24"/>
        </w:rPr>
        <w:br w:type="page"/>
      </w:r>
    </w:p>
    <w:p w14:paraId="37A7239E">
      <w:pPr>
        <w:autoSpaceDE w:val="0"/>
        <w:autoSpaceDN w:val="0"/>
        <w:adjustRightInd w:val="0"/>
        <w:spacing w:after="0" w:line="240" w:lineRule="auto"/>
        <w:jc w:val="center"/>
        <w:rPr>
          <w:rFonts w:hint="eastAsia" w:ascii="宋体" w:hAnsi="宋体" w:cs="宋体"/>
          <w:color w:val="auto"/>
          <w:kern w:val="0"/>
          <w:sz w:val="24"/>
        </w:rPr>
      </w:pPr>
      <w:r>
        <w:rPr>
          <w:rFonts w:hint="eastAsia" w:ascii="宋体" w:hAnsi="宋体" w:cs="宋体"/>
          <w:color w:val="auto"/>
          <w:kern w:val="0"/>
          <w:sz w:val="24"/>
        </w:rPr>
        <w:t>政府采购活动现场确认声明书</w:t>
      </w:r>
    </w:p>
    <w:p w14:paraId="17BE589A">
      <w:pPr>
        <w:autoSpaceDE w:val="0"/>
        <w:autoSpaceDN w:val="0"/>
        <w:adjustRightInd w:val="0"/>
        <w:spacing w:after="0" w:line="360" w:lineRule="auto"/>
        <w:jc w:val="left"/>
        <w:rPr>
          <w:rFonts w:hint="eastAsia" w:ascii="宋体" w:hAnsi="宋体" w:cs="宋体"/>
          <w:color w:val="auto"/>
          <w:kern w:val="0"/>
          <w:szCs w:val="21"/>
        </w:rPr>
      </w:pPr>
      <w:r>
        <w:rPr>
          <w:rFonts w:hint="eastAsia" w:ascii="宋体" w:hAnsi="宋体" w:cs="宋体"/>
          <w:color w:val="auto"/>
          <w:kern w:val="0"/>
          <w:szCs w:val="21"/>
          <w:lang w:eastAsia="zh-CN"/>
        </w:rPr>
        <w:t>台州市玖诚工程管理有限公司</w:t>
      </w:r>
      <w:r>
        <w:rPr>
          <w:rFonts w:hint="eastAsia" w:ascii="宋体" w:hAnsi="宋体" w:cs="宋体"/>
          <w:color w:val="auto"/>
          <w:kern w:val="0"/>
          <w:szCs w:val="21"/>
        </w:rPr>
        <w:t>：</w:t>
      </w:r>
    </w:p>
    <w:p w14:paraId="7C59CB08">
      <w:pPr>
        <w:autoSpaceDE w:val="0"/>
        <w:autoSpaceDN w:val="0"/>
        <w:adjustRightInd w:val="0"/>
        <w:spacing w:after="0" w:line="360" w:lineRule="auto"/>
        <w:jc w:val="left"/>
        <w:rPr>
          <w:rFonts w:hint="eastAsia" w:ascii="宋体" w:hAnsi="宋体" w:cs="宋体"/>
          <w:color w:val="auto"/>
          <w:kern w:val="0"/>
          <w:szCs w:val="21"/>
        </w:rPr>
      </w:pPr>
      <w:r>
        <w:rPr>
          <w:rFonts w:hint="eastAsia" w:ascii="宋体" w:hAnsi="宋体" w:cs="宋体"/>
          <w:color w:val="auto"/>
          <w:kern w:val="0"/>
          <w:szCs w:val="21"/>
        </w:rPr>
        <w:t xml:space="preserve">    本人</w:t>
      </w:r>
      <w:r>
        <w:rPr>
          <w:rFonts w:hint="eastAsia" w:ascii="宋体" w:hAnsi="宋体" w:cs="宋体"/>
          <w:color w:val="auto"/>
          <w:kern w:val="0"/>
          <w:szCs w:val="21"/>
          <w:u w:val="single"/>
        </w:rPr>
        <w:t xml:space="preserve">             </w:t>
      </w:r>
      <w:r>
        <w:rPr>
          <w:rFonts w:hint="eastAsia" w:ascii="宋体" w:hAnsi="宋体" w:cs="宋体"/>
          <w:color w:val="auto"/>
          <w:kern w:val="0"/>
          <w:szCs w:val="21"/>
        </w:rPr>
        <w:t>（授权代表姓名），经由</w:t>
      </w:r>
      <w:r>
        <w:rPr>
          <w:rFonts w:hint="eastAsia" w:ascii="宋体" w:hAnsi="宋体" w:cs="宋体"/>
          <w:color w:val="auto"/>
          <w:kern w:val="0"/>
          <w:szCs w:val="21"/>
          <w:u w:val="single"/>
        </w:rPr>
        <w:t xml:space="preserve">                            </w:t>
      </w:r>
      <w:r>
        <w:rPr>
          <w:rFonts w:hint="eastAsia" w:ascii="宋体" w:hAnsi="宋体" w:cs="宋体"/>
          <w:color w:val="auto"/>
          <w:kern w:val="0"/>
          <w:szCs w:val="21"/>
        </w:rPr>
        <w:t>（单位）__________（法定代表人姓名）合法授权参加</w:t>
      </w:r>
      <w:r>
        <w:rPr>
          <w:rFonts w:hint="eastAsia" w:ascii="宋体" w:hAnsi="宋体" w:cs="宋体"/>
          <w:color w:val="auto"/>
          <w:kern w:val="0"/>
          <w:szCs w:val="21"/>
          <w:u w:val="single"/>
        </w:rPr>
        <w:t xml:space="preserve">                 </w:t>
      </w:r>
      <w:r>
        <w:rPr>
          <w:rFonts w:hint="eastAsia" w:ascii="宋体" w:hAnsi="宋体" w:cs="宋体"/>
          <w:color w:val="auto"/>
          <w:kern w:val="0"/>
          <w:szCs w:val="21"/>
        </w:rPr>
        <w:t>项目（编号：</w:t>
      </w:r>
      <w:r>
        <w:rPr>
          <w:rFonts w:hint="eastAsia" w:ascii="宋体" w:hAnsi="宋体" w:cs="宋体"/>
          <w:color w:val="auto"/>
          <w:kern w:val="0"/>
          <w:szCs w:val="21"/>
          <w:lang w:eastAsia="zh-CN"/>
        </w:rPr>
        <w:t>331003267110020000014-JC-GK2026-014号</w:t>
      </w:r>
      <w:r>
        <w:rPr>
          <w:rFonts w:hint="eastAsia" w:ascii="宋体" w:hAnsi="宋体" w:cs="宋体"/>
          <w:color w:val="auto"/>
          <w:kern w:val="0"/>
          <w:szCs w:val="21"/>
        </w:rPr>
        <w:t>）政府采购活动，经与本单位法人代表（负责人）联系确认，现就有关公平竞争事项郑重声明如下：</w:t>
      </w:r>
    </w:p>
    <w:p w14:paraId="1BCEEFDD">
      <w:pPr>
        <w:autoSpaceDE w:val="0"/>
        <w:autoSpaceDN w:val="0"/>
        <w:adjustRightInd w:val="0"/>
        <w:spacing w:after="0" w:line="360" w:lineRule="auto"/>
        <w:jc w:val="left"/>
        <w:rPr>
          <w:rFonts w:hint="eastAsia" w:ascii="宋体" w:hAnsi="宋体" w:cs="宋体"/>
          <w:color w:val="auto"/>
          <w:kern w:val="0"/>
          <w:szCs w:val="21"/>
        </w:rPr>
      </w:pPr>
      <w:r>
        <w:rPr>
          <w:rFonts w:hint="eastAsia" w:ascii="宋体" w:hAnsi="宋体" w:cs="宋体"/>
          <w:color w:val="auto"/>
          <w:kern w:val="0"/>
          <w:szCs w:val="21"/>
        </w:rPr>
        <w:t>一、本单位与采购人之间 □不存在利害关系 □存在下列利害关系 ：</w:t>
      </w:r>
    </w:p>
    <w:p w14:paraId="6CD4B1CC">
      <w:pPr>
        <w:autoSpaceDE w:val="0"/>
        <w:autoSpaceDN w:val="0"/>
        <w:adjustRightInd w:val="0"/>
        <w:spacing w:after="0" w:line="360" w:lineRule="auto"/>
        <w:jc w:val="left"/>
        <w:rPr>
          <w:rFonts w:hint="eastAsia" w:ascii="宋体" w:hAnsi="宋体" w:cs="宋体"/>
          <w:color w:val="auto"/>
          <w:kern w:val="0"/>
          <w:szCs w:val="21"/>
        </w:rPr>
      </w:pPr>
      <w:r>
        <w:rPr>
          <w:rFonts w:hint="eastAsia" w:ascii="宋体" w:hAnsi="宋体" w:cs="宋体"/>
          <w:color w:val="auto"/>
          <w:kern w:val="0"/>
          <w:szCs w:val="21"/>
        </w:rPr>
        <w:t>A. 投资关系 B. 行政隶属关系 C. 业务指导关系</w:t>
      </w:r>
    </w:p>
    <w:p w14:paraId="36B5C803">
      <w:pPr>
        <w:autoSpaceDE w:val="0"/>
        <w:autoSpaceDN w:val="0"/>
        <w:adjustRightInd w:val="0"/>
        <w:spacing w:after="0" w:line="360" w:lineRule="auto"/>
        <w:jc w:val="left"/>
        <w:rPr>
          <w:rFonts w:hint="eastAsia" w:ascii="宋体" w:hAnsi="宋体" w:cs="宋体"/>
          <w:color w:val="auto"/>
          <w:kern w:val="0"/>
          <w:szCs w:val="21"/>
        </w:rPr>
      </w:pPr>
      <w:r>
        <w:rPr>
          <w:rFonts w:hint="eastAsia" w:ascii="宋体" w:hAnsi="宋体" w:cs="宋体"/>
          <w:color w:val="auto"/>
          <w:kern w:val="0"/>
          <w:szCs w:val="21"/>
        </w:rPr>
        <w:t>D. 其他可能影响采购公正的利害关系（如有，请如实说明）。</w:t>
      </w:r>
    </w:p>
    <w:p w14:paraId="76C6D9F4">
      <w:pPr>
        <w:autoSpaceDE w:val="0"/>
        <w:autoSpaceDN w:val="0"/>
        <w:adjustRightInd w:val="0"/>
        <w:spacing w:after="0" w:line="360" w:lineRule="auto"/>
        <w:jc w:val="left"/>
        <w:rPr>
          <w:rFonts w:hint="eastAsia" w:ascii="宋体" w:hAnsi="宋体" w:cs="宋体"/>
          <w:color w:val="auto"/>
          <w:kern w:val="0"/>
          <w:szCs w:val="21"/>
        </w:rPr>
      </w:pPr>
      <w:r>
        <w:rPr>
          <w:rFonts w:hint="eastAsia" w:ascii="宋体" w:hAnsi="宋体" w:cs="宋体"/>
          <w:color w:val="auto"/>
          <w:kern w:val="0"/>
          <w:szCs w:val="21"/>
        </w:rPr>
        <w:t xml:space="preserve"> 二、现已清楚知道参加本项目采购活动的其他所有供应商名称，本单位 □与其他所有供应商之间均不存在利害关系 □与</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（供应商名称）之间存在下列利害关系：</w:t>
      </w:r>
    </w:p>
    <w:p w14:paraId="45A44EB1">
      <w:pPr>
        <w:autoSpaceDE w:val="0"/>
        <w:autoSpaceDN w:val="0"/>
        <w:adjustRightInd w:val="0"/>
        <w:spacing w:after="0" w:line="360" w:lineRule="auto"/>
        <w:jc w:val="left"/>
        <w:rPr>
          <w:rFonts w:hint="eastAsia" w:ascii="宋体" w:hAnsi="宋体" w:cs="宋体"/>
          <w:color w:val="auto"/>
          <w:kern w:val="0"/>
          <w:szCs w:val="21"/>
        </w:rPr>
      </w:pPr>
      <w:r>
        <w:rPr>
          <w:rFonts w:hint="eastAsia" w:ascii="宋体" w:hAnsi="宋体" w:cs="宋体"/>
          <w:color w:val="auto"/>
          <w:kern w:val="0"/>
          <w:szCs w:val="21"/>
        </w:rPr>
        <w:t>A. 法定代表人或负责人或实际控制人是同一人</w:t>
      </w:r>
    </w:p>
    <w:p w14:paraId="4B6BA940">
      <w:pPr>
        <w:autoSpaceDE w:val="0"/>
        <w:autoSpaceDN w:val="0"/>
        <w:adjustRightInd w:val="0"/>
        <w:spacing w:after="0" w:line="360" w:lineRule="auto"/>
        <w:jc w:val="left"/>
        <w:rPr>
          <w:rFonts w:hint="eastAsia" w:ascii="宋体" w:hAnsi="宋体" w:cs="宋体"/>
          <w:color w:val="auto"/>
          <w:kern w:val="0"/>
          <w:szCs w:val="21"/>
        </w:rPr>
      </w:pPr>
      <w:r>
        <w:rPr>
          <w:rFonts w:hint="eastAsia" w:ascii="宋体" w:hAnsi="宋体" w:cs="宋体"/>
          <w:color w:val="auto"/>
          <w:kern w:val="0"/>
          <w:szCs w:val="21"/>
        </w:rPr>
        <w:t>B. 法定代表人或负责人或实际控制人是夫妻关系</w:t>
      </w:r>
    </w:p>
    <w:p w14:paraId="7C48EAFE">
      <w:pPr>
        <w:autoSpaceDE w:val="0"/>
        <w:autoSpaceDN w:val="0"/>
        <w:adjustRightInd w:val="0"/>
        <w:spacing w:after="0" w:line="360" w:lineRule="auto"/>
        <w:jc w:val="left"/>
        <w:rPr>
          <w:rFonts w:hint="eastAsia" w:ascii="宋体" w:hAnsi="宋体" w:cs="宋体"/>
          <w:color w:val="auto"/>
          <w:kern w:val="0"/>
          <w:szCs w:val="21"/>
        </w:rPr>
      </w:pPr>
      <w:r>
        <w:rPr>
          <w:rFonts w:hint="eastAsia" w:ascii="宋体" w:hAnsi="宋体" w:cs="宋体"/>
          <w:color w:val="auto"/>
          <w:kern w:val="0"/>
          <w:szCs w:val="21"/>
        </w:rPr>
        <w:t>C. 法定代表人或负责人或实际控制人是直系血亲关系</w:t>
      </w:r>
    </w:p>
    <w:p w14:paraId="146BFDF3">
      <w:pPr>
        <w:autoSpaceDE w:val="0"/>
        <w:autoSpaceDN w:val="0"/>
        <w:adjustRightInd w:val="0"/>
        <w:spacing w:after="0" w:line="360" w:lineRule="auto"/>
        <w:jc w:val="left"/>
        <w:rPr>
          <w:rFonts w:hint="eastAsia" w:ascii="宋体" w:hAnsi="宋体" w:cs="宋体"/>
          <w:color w:val="auto"/>
          <w:kern w:val="0"/>
          <w:szCs w:val="21"/>
        </w:rPr>
      </w:pPr>
      <w:r>
        <w:rPr>
          <w:rFonts w:hint="eastAsia" w:ascii="宋体" w:hAnsi="宋体" w:cs="宋体"/>
          <w:color w:val="auto"/>
          <w:kern w:val="0"/>
          <w:szCs w:val="21"/>
        </w:rPr>
        <w:t>D. 法定代表人或负责人或实际控制人存在三代以内旁系血亲关系</w:t>
      </w:r>
    </w:p>
    <w:p w14:paraId="0DFA0781">
      <w:pPr>
        <w:autoSpaceDE w:val="0"/>
        <w:autoSpaceDN w:val="0"/>
        <w:adjustRightInd w:val="0"/>
        <w:spacing w:after="0" w:line="360" w:lineRule="auto"/>
        <w:jc w:val="left"/>
        <w:rPr>
          <w:rFonts w:hint="eastAsia" w:ascii="宋体" w:hAnsi="宋体" w:cs="宋体"/>
          <w:color w:val="auto"/>
          <w:kern w:val="0"/>
          <w:szCs w:val="21"/>
        </w:rPr>
      </w:pPr>
      <w:r>
        <w:rPr>
          <w:rFonts w:hint="eastAsia" w:ascii="宋体" w:hAnsi="宋体" w:cs="宋体"/>
          <w:color w:val="auto"/>
          <w:kern w:val="0"/>
          <w:szCs w:val="21"/>
        </w:rPr>
        <w:t>E. 法定代表人或负责人或实际控制人存在近姻亲关系</w:t>
      </w:r>
    </w:p>
    <w:p w14:paraId="4BFEAA7E">
      <w:pPr>
        <w:autoSpaceDE w:val="0"/>
        <w:autoSpaceDN w:val="0"/>
        <w:adjustRightInd w:val="0"/>
        <w:spacing w:after="0" w:line="360" w:lineRule="auto"/>
        <w:jc w:val="left"/>
        <w:rPr>
          <w:rFonts w:hint="eastAsia" w:ascii="宋体" w:hAnsi="宋体" w:cs="宋体"/>
          <w:color w:val="auto"/>
          <w:kern w:val="0"/>
          <w:szCs w:val="21"/>
        </w:rPr>
      </w:pPr>
      <w:r>
        <w:rPr>
          <w:rFonts w:hint="eastAsia" w:ascii="宋体" w:hAnsi="宋体" w:cs="宋体"/>
          <w:color w:val="auto"/>
          <w:kern w:val="0"/>
          <w:szCs w:val="21"/>
        </w:rPr>
        <w:t>F. 法定代表人或负责人或实际控制人存在股份控制或实际控制关系</w:t>
      </w:r>
    </w:p>
    <w:p w14:paraId="03DF7A52">
      <w:pPr>
        <w:autoSpaceDE w:val="0"/>
        <w:autoSpaceDN w:val="0"/>
        <w:adjustRightInd w:val="0"/>
        <w:spacing w:after="0" w:line="360" w:lineRule="auto"/>
        <w:jc w:val="left"/>
        <w:rPr>
          <w:rFonts w:hint="eastAsia" w:ascii="宋体" w:hAnsi="宋体" w:cs="宋体"/>
          <w:color w:val="auto"/>
          <w:kern w:val="0"/>
          <w:szCs w:val="21"/>
        </w:rPr>
      </w:pPr>
      <w:r>
        <w:rPr>
          <w:rFonts w:hint="eastAsia" w:ascii="宋体" w:hAnsi="宋体" w:cs="宋体"/>
          <w:color w:val="auto"/>
          <w:kern w:val="0"/>
          <w:szCs w:val="21"/>
        </w:rPr>
        <w:t>G. 存在共同直接或间接投资设立子公司、联营企业和合营企业情况</w:t>
      </w:r>
    </w:p>
    <w:p w14:paraId="2F644766">
      <w:pPr>
        <w:autoSpaceDE w:val="0"/>
        <w:autoSpaceDN w:val="0"/>
        <w:adjustRightInd w:val="0"/>
        <w:spacing w:after="0" w:line="360" w:lineRule="auto"/>
        <w:jc w:val="left"/>
        <w:rPr>
          <w:rFonts w:hint="eastAsia" w:ascii="宋体" w:hAnsi="宋体" w:cs="宋体"/>
          <w:color w:val="auto"/>
          <w:kern w:val="0"/>
          <w:szCs w:val="21"/>
        </w:rPr>
      </w:pPr>
      <w:r>
        <w:rPr>
          <w:rFonts w:hint="eastAsia" w:ascii="宋体" w:hAnsi="宋体" w:cs="宋体"/>
          <w:color w:val="auto"/>
          <w:kern w:val="0"/>
          <w:szCs w:val="21"/>
        </w:rPr>
        <w:t>H. 存在分级代理或代销关系、同一生产制造商关系、 管理关系、重要业务（占主营业务收入 50% 以上）或重要财务往来关系（如融资）等其他实质性控制关系</w:t>
      </w:r>
    </w:p>
    <w:p w14:paraId="3513E2F5">
      <w:pPr>
        <w:autoSpaceDE w:val="0"/>
        <w:autoSpaceDN w:val="0"/>
        <w:adjustRightInd w:val="0"/>
        <w:spacing w:after="0" w:line="360" w:lineRule="auto"/>
        <w:jc w:val="left"/>
        <w:rPr>
          <w:rFonts w:hint="eastAsia" w:ascii="宋体" w:hAnsi="宋体" w:cs="宋体"/>
          <w:color w:val="auto"/>
          <w:kern w:val="0"/>
          <w:szCs w:val="21"/>
        </w:rPr>
      </w:pPr>
      <w:r>
        <w:rPr>
          <w:rFonts w:hint="eastAsia" w:ascii="宋体" w:hAnsi="宋体" w:cs="宋体"/>
          <w:color w:val="auto"/>
          <w:kern w:val="0"/>
          <w:szCs w:val="21"/>
        </w:rPr>
        <w:t xml:space="preserve">I . 其他利害关系情况 </w:t>
      </w:r>
      <w:r>
        <w:rPr>
          <w:rFonts w:hint="eastAsia" w:ascii="宋体" w:hAnsi="宋体" w:cs="宋体"/>
          <w:color w:val="auto"/>
          <w:kern w:val="0"/>
          <w:szCs w:val="21"/>
          <w:u w:val="single"/>
        </w:rPr>
        <w:t xml:space="preserve">                      </w:t>
      </w:r>
      <w:r>
        <w:rPr>
          <w:rFonts w:hint="eastAsia" w:ascii="宋体" w:hAnsi="宋体" w:cs="宋体"/>
          <w:color w:val="auto"/>
          <w:kern w:val="0"/>
          <w:szCs w:val="21"/>
        </w:rPr>
        <w:t>。</w:t>
      </w:r>
    </w:p>
    <w:p w14:paraId="56F68EBE">
      <w:pPr>
        <w:autoSpaceDE w:val="0"/>
        <w:autoSpaceDN w:val="0"/>
        <w:adjustRightInd w:val="0"/>
        <w:spacing w:after="0" w:line="360" w:lineRule="auto"/>
        <w:jc w:val="left"/>
        <w:rPr>
          <w:rFonts w:hint="eastAsia" w:ascii="宋体" w:hAnsi="宋体" w:cs="宋体"/>
          <w:color w:val="auto"/>
          <w:kern w:val="0"/>
          <w:szCs w:val="21"/>
        </w:rPr>
      </w:pPr>
      <w:r>
        <w:rPr>
          <w:rFonts w:hint="eastAsia" w:ascii="宋体" w:hAnsi="宋体" w:cs="宋体"/>
          <w:color w:val="auto"/>
          <w:kern w:val="0"/>
          <w:szCs w:val="21"/>
        </w:rPr>
        <w:t>三、现已清楚知道并 严格遵守政府采购法律法规和现场纪律。</w:t>
      </w:r>
    </w:p>
    <w:p w14:paraId="4BCF02A3">
      <w:pPr>
        <w:autoSpaceDE w:val="0"/>
        <w:autoSpaceDN w:val="0"/>
        <w:adjustRightInd w:val="0"/>
        <w:spacing w:after="0" w:line="360" w:lineRule="auto"/>
        <w:jc w:val="left"/>
        <w:rPr>
          <w:rFonts w:hint="eastAsia" w:ascii="宋体" w:hAnsi="宋体" w:cs="宋体"/>
          <w:color w:val="auto"/>
          <w:kern w:val="0"/>
          <w:szCs w:val="21"/>
        </w:rPr>
      </w:pPr>
      <w:r>
        <w:rPr>
          <w:rFonts w:hint="eastAsia" w:ascii="宋体" w:hAnsi="宋体" w:cs="宋体"/>
          <w:color w:val="auto"/>
          <w:kern w:val="0"/>
          <w:szCs w:val="21"/>
        </w:rPr>
        <w:t>四、我发现</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供应商之间存在或可能存在上述第二条第</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项利害关系。</w:t>
      </w:r>
    </w:p>
    <w:p w14:paraId="5FA50B78">
      <w:pPr>
        <w:autoSpaceDE w:val="0"/>
        <w:autoSpaceDN w:val="0"/>
        <w:adjustRightInd w:val="0"/>
        <w:spacing w:after="0" w:line="360" w:lineRule="auto"/>
        <w:jc w:val="left"/>
        <w:rPr>
          <w:rFonts w:hint="eastAsia" w:ascii="宋体" w:hAnsi="宋体" w:cs="宋体"/>
          <w:color w:val="auto"/>
          <w:kern w:val="0"/>
          <w:szCs w:val="21"/>
        </w:rPr>
      </w:pPr>
      <w:r>
        <w:rPr>
          <w:rFonts w:hint="eastAsia" w:ascii="宋体" w:hAnsi="宋体" w:cs="宋体"/>
          <w:color w:val="auto"/>
          <w:kern w:val="0"/>
          <w:szCs w:val="21"/>
        </w:rPr>
        <w:t>五、本单位若有违反诚信投标、采购法律法规等行为，愿意按照招标文件规定接受投标担保的处理，如已中标，自动放弃中标资格，给招标人造成损失的，依法承担赔偿责任。</w:t>
      </w:r>
    </w:p>
    <w:p w14:paraId="59B5D5C8">
      <w:pPr>
        <w:autoSpaceDE w:val="0"/>
        <w:autoSpaceDN w:val="0"/>
        <w:adjustRightInd w:val="0"/>
        <w:spacing w:after="0" w:line="360" w:lineRule="auto"/>
        <w:ind w:left="4200" w:firstLine="420"/>
        <w:jc w:val="left"/>
        <w:rPr>
          <w:rFonts w:hint="eastAsia" w:ascii="宋体" w:hAnsi="宋体" w:cs="宋体"/>
          <w:color w:val="auto"/>
          <w:kern w:val="0"/>
          <w:szCs w:val="21"/>
        </w:rPr>
      </w:pPr>
      <w:r>
        <w:rPr>
          <w:rFonts w:hint="eastAsia" w:ascii="宋体" w:hAnsi="宋体" w:cs="宋体"/>
          <w:color w:val="auto"/>
          <w:kern w:val="0"/>
          <w:szCs w:val="21"/>
        </w:rPr>
        <w:t>（供应商代表签名）：</w:t>
      </w:r>
    </w:p>
    <w:p w14:paraId="2FD735AB">
      <w:pPr>
        <w:spacing w:after="0" w:line="360" w:lineRule="auto"/>
        <w:ind w:left="5880"/>
        <w:rPr>
          <w:rFonts w:hint="eastAsia" w:ascii="宋体" w:hAnsi="宋体" w:cs="宋体"/>
          <w:color w:val="auto"/>
          <w:kern w:val="0"/>
          <w:szCs w:val="21"/>
        </w:rPr>
      </w:pPr>
      <w:r>
        <w:rPr>
          <w:rFonts w:hint="eastAsia" w:ascii="宋体" w:hAnsi="宋体" w:cs="宋体"/>
          <w:color w:val="auto"/>
          <w:kern w:val="0"/>
          <w:szCs w:val="21"/>
        </w:rPr>
        <w:t>202</w:t>
      </w:r>
      <w:r>
        <w:rPr>
          <w:rFonts w:hint="eastAsia" w:ascii="宋体" w:hAnsi="宋体" w:cs="宋体"/>
          <w:color w:val="auto"/>
          <w:kern w:val="0"/>
          <w:szCs w:val="21"/>
          <w:lang w:val="en-US" w:eastAsia="zh-CN"/>
        </w:rPr>
        <w:t>6</w:t>
      </w:r>
      <w:r>
        <w:rPr>
          <w:rFonts w:hint="eastAsia" w:ascii="宋体" w:hAnsi="宋体" w:cs="宋体"/>
          <w:color w:val="auto"/>
          <w:kern w:val="0"/>
          <w:szCs w:val="21"/>
        </w:rPr>
        <w:t>年   月   日</w:t>
      </w:r>
    </w:p>
    <w:p w14:paraId="6E32BD0E">
      <w:pPr>
        <w:pStyle w:val="23"/>
        <w:ind w:left="0" w:leftChars="0" w:firstLine="422"/>
        <w:rPr>
          <w:rFonts w:hint="eastAsia" w:ascii="宋体" w:hAnsi="宋体" w:eastAsia="宋体"/>
          <w:b/>
          <w:bCs/>
          <w:color w:val="auto"/>
          <w:lang w:eastAsia="zh-CN"/>
        </w:rPr>
      </w:pPr>
      <w:r>
        <w:rPr>
          <w:rFonts w:hint="eastAsia" w:ascii="宋体" w:hAnsi="宋体"/>
          <w:b/>
          <w:bCs/>
          <w:color w:val="auto"/>
        </w:rPr>
        <w:t>注：解密完成后。投标供应商确认签署后，通过邮件形式将经授权委托代理人签署的《政府采购活动确认声明书》扫描件发至代理机构邮箱（邮箱地址：529957556@qq.com）；不填写或未按规定发出邮件的，视同默认不存在确认声明书中的相关违规情形。</w:t>
      </w:r>
    </w:p>
    <w:sectPr>
      <w:pgSz w:w="11906" w:h="16838"/>
      <w:pgMar w:top="1440" w:right="1558" w:bottom="1440" w:left="1418"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34854">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0F7A97">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0F7A97">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DBDEE">
    <w:pPr>
      <w:pStyle w:val="17"/>
      <w:jc w:val="left"/>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E2EA77">
                          <w:pPr>
                            <w:pStyle w:val="17"/>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17E2EA77">
                    <w:pPr>
                      <w:pStyle w:val="17"/>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v:textbox>
            </v:shape>
          </w:pict>
        </mc:Fallback>
      </mc:AlternateContent>
    </w:r>
    <w:r>
      <w:rPr>
        <w:rFonts w:hint="eastAsia"/>
        <w:i/>
        <w:color w:val="000000" w:themeColor="text1"/>
        <w:kern w:val="0"/>
        <w:u w:val="single"/>
        <w:lang w:eastAsia="zh-CN"/>
        <w14:textFill>
          <w14:solidFill>
            <w14:schemeClr w14:val="tx1"/>
          </w14:solidFill>
        </w14:textFill>
      </w:rPr>
      <w:t>台州市玖诚工程管理有限公司</w:t>
    </w:r>
    <w:r>
      <w:rPr>
        <w:rFonts w:hint="eastAsia"/>
        <w:i/>
        <w:color w:val="000000" w:themeColor="text1"/>
        <w:kern w:val="0"/>
        <w:u w:val="single"/>
        <w14:textFill>
          <w14:solidFill>
            <w14:schemeClr w14:val="tx1"/>
          </w14:solidFill>
        </w14:textFill>
      </w:rPr>
      <w:t xml:space="preserve">招标文件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AC140">
    <w:pPr>
      <w:pStyle w:val="17"/>
    </w:pPr>
    <w:r>
      <w:rPr>
        <w:rFonts w:hint="eastAsia"/>
        <w:i/>
        <w:color w:val="000000" w:themeColor="text1"/>
        <w:kern w:val="0"/>
        <w:u w:val="single"/>
        <w:lang w:eastAsia="zh-CN"/>
        <w14:textFill>
          <w14:solidFill>
            <w14:schemeClr w14:val="tx1"/>
          </w14:solidFill>
        </w14:textFill>
      </w:rPr>
      <w:t>台州市玖诚工程管理有限公司</w:t>
    </w:r>
    <w:r>
      <w:rPr>
        <w:rFonts w:hint="eastAsia"/>
        <w:i/>
        <w:color w:val="000000" w:themeColor="text1"/>
        <w:kern w:val="0"/>
        <w:u w:val="single"/>
        <w14:textFill>
          <w14:solidFill>
            <w14:schemeClr w14:val="tx1"/>
          </w14:solidFill>
        </w14:textFill>
      </w:rPr>
      <w:t>招标文件</w:t>
    </w: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070922">
                          <w:pPr>
                            <w:pStyle w:val="17"/>
                          </w:pPr>
                          <w:r>
                            <w:t xml:space="preserve">第 </w:t>
                          </w:r>
                          <w:r>
                            <w:fldChar w:fldCharType="begin"/>
                          </w:r>
                          <w:r>
                            <w:instrText xml:space="preserve"> PAGE  \* MERGEFORMAT </w:instrText>
                          </w:r>
                          <w:r>
                            <w:fldChar w:fldCharType="separate"/>
                          </w:r>
                          <w:r>
                            <w:t>58</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5F070922">
                    <w:pPr>
                      <w:pStyle w:val="17"/>
                    </w:pPr>
                    <w:r>
                      <w:t xml:space="preserve">第 </w:t>
                    </w:r>
                    <w:r>
                      <w:fldChar w:fldCharType="begin"/>
                    </w:r>
                    <w:r>
                      <w:instrText xml:space="preserve"> PAGE  \* MERGEFORMAT </w:instrText>
                    </w:r>
                    <w:r>
                      <w:fldChar w:fldCharType="separate"/>
                    </w:r>
                    <w:r>
                      <w:t>58</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v:textbox>
            </v:shape>
          </w:pict>
        </mc:Fallback>
      </mc:AlternateContent>
    </w:r>
    <w:r>
      <w:rPr>
        <w:rFonts w:hint="eastAsia"/>
        <w:i/>
        <w:color w:val="000000" w:themeColor="text1"/>
        <w:kern w:val="0"/>
        <w:u w:val="single"/>
        <w14:textFill>
          <w14:solidFill>
            <w14:schemeClr w14:val="tx1"/>
          </w14:solidFill>
        </w14:textFil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2D8F7B"/>
    <w:multiLevelType w:val="singleLevel"/>
    <w:tmpl w:val="AE2D8F7B"/>
    <w:lvl w:ilvl="0" w:tentative="0">
      <w:start w:val="1"/>
      <w:numFmt w:val="decimal"/>
      <w:pStyle w:val="6"/>
      <w:lvlText w:val="%1."/>
      <w:lvlJc w:val="left"/>
      <w:pPr>
        <w:tabs>
          <w:tab w:val="left" w:pos="360"/>
        </w:tabs>
        <w:ind w:left="360" w:hanging="360"/>
      </w:pPr>
    </w:lvl>
  </w:abstractNum>
  <w:abstractNum w:abstractNumId="1">
    <w:nsid w:val="471E06A1"/>
    <w:multiLevelType w:val="singleLevel"/>
    <w:tmpl w:val="471E06A1"/>
    <w:lvl w:ilvl="0" w:tentative="0">
      <w:start w:val="1"/>
      <w:numFmt w:val="japaneseCounting"/>
      <w:lvlText w:val="%1、"/>
      <w:lvlJc w:val="left"/>
      <w:pPr>
        <w:tabs>
          <w:tab w:val="left" w:pos="960"/>
        </w:tabs>
        <w:ind w:left="960" w:hanging="600"/>
      </w:pPr>
      <w:rPr>
        <w:rFonts w:hint="eastAsia"/>
      </w:rPr>
    </w:lvl>
  </w:abstractNum>
  <w:abstractNum w:abstractNumId="2">
    <w:nsid w:val="7B5F502F"/>
    <w:multiLevelType w:val="multilevel"/>
    <w:tmpl w:val="7B5F502F"/>
    <w:lvl w:ilvl="0" w:tentative="0">
      <w:start w:val="1"/>
      <w:numFmt w:val="chineseCountingThousand"/>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7E65B170"/>
    <w:multiLevelType w:val="singleLevel"/>
    <w:tmpl w:val="7E65B170"/>
    <w:lvl w:ilvl="0" w:tentative="0">
      <w:start w:val="6"/>
      <w:numFmt w:val="decimal"/>
      <w:suff w:val="space"/>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Q2OTMxZDAxYTFkZTgwYjZlMDlhYTQ5MzFhY2IyYjkifQ=="/>
    <w:docVar w:name="KSO_WPS_MARK_KEY" w:val="8682ea5c-5633-4251-8b9a-bf672761a9a4"/>
  </w:docVars>
  <w:rsids>
    <w:rsidRoot w:val="0E970358"/>
    <w:rsid w:val="00000D39"/>
    <w:rsid w:val="00005239"/>
    <w:rsid w:val="000065D3"/>
    <w:rsid w:val="00006E69"/>
    <w:rsid w:val="00007FC9"/>
    <w:rsid w:val="00012AE6"/>
    <w:rsid w:val="00013B47"/>
    <w:rsid w:val="0001541C"/>
    <w:rsid w:val="00017310"/>
    <w:rsid w:val="0001759D"/>
    <w:rsid w:val="00017FB2"/>
    <w:rsid w:val="000221E6"/>
    <w:rsid w:val="00026FFE"/>
    <w:rsid w:val="00027B2C"/>
    <w:rsid w:val="0003000A"/>
    <w:rsid w:val="00033281"/>
    <w:rsid w:val="00037FAE"/>
    <w:rsid w:val="00041E3E"/>
    <w:rsid w:val="000424FC"/>
    <w:rsid w:val="00042E5B"/>
    <w:rsid w:val="00044814"/>
    <w:rsid w:val="0004557E"/>
    <w:rsid w:val="00050183"/>
    <w:rsid w:val="000502E2"/>
    <w:rsid w:val="000514E9"/>
    <w:rsid w:val="00052921"/>
    <w:rsid w:val="00053BFA"/>
    <w:rsid w:val="000572BB"/>
    <w:rsid w:val="000575C4"/>
    <w:rsid w:val="000579DE"/>
    <w:rsid w:val="00060FA1"/>
    <w:rsid w:val="000613FE"/>
    <w:rsid w:val="0006220A"/>
    <w:rsid w:val="0006294D"/>
    <w:rsid w:val="00062AB3"/>
    <w:rsid w:val="00063593"/>
    <w:rsid w:val="0006625F"/>
    <w:rsid w:val="0006641E"/>
    <w:rsid w:val="00071459"/>
    <w:rsid w:val="00073F69"/>
    <w:rsid w:val="0007438C"/>
    <w:rsid w:val="0007578C"/>
    <w:rsid w:val="00076729"/>
    <w:rsid w:val="000769F2"/>
    <w:rsid w:val="000771E2"/>
    <w:rsid w:val="00080C5C"/>
    <w:rsid w:val="00082B9D"/>
    <w:rsid w:val="000846E6"/>
    <w:rsid w:val="00084FAB"/>
    <w:rsid w:val="000859CF"/>
    <w:rsid w:val="00092B36"/>
    <w:rsid w:val="000949A1"/>
    <w:rsid w:val="00097447"/>
    <w:rsid w:val="000A178D"/>
    <w:rsid w:val="000A1A32"/>
    <w:rsid w:val="000A2695"/>
    <w:rsid w:val="000A2B05"/>
    <w:rsid w:val="000A59E8"/>
    <w:rsid w:val="000A6326"/>
    <w:rsid w:val="000A6C7A"/>
    <w:rsid w:val="000B38ED"/>
    <w:rsid w:val="000B68BE"/>
    <w:rsid w:val="000B71A3"/>
    <w:rsid w:val="000C2F8F"/>
    <w:rsid w:val="000C44AF"/>
    <w:rsid w:val="000C6335"/>
    <w:rsid w:val="000D1679"/>
    <w:rsid w:val="000D33F9"/>
    <w:rsid w:val="000D3DE5"/>
    <w:rsid w:val="000E00DF"/>
    <w:rsid w:val="000E015A"/>
    <w:rsid w:val="000E1EDB"/>
    <w:rsid w:val="000E3461"/>
    <w:rsid w:val="000E5E68"/>
    <w:rsid w:val="000E6354"/>
    <w:rsid w:val="000E76FD"/>
    <w:rsid w:val="000F2CB3"/>
    <w:rsid w:val="000F38B6"/>
    <w:rsid w:val="000F7D31"/>
    <w:rsid w:val="00102F78"/>
    <w:rsid w:val="00104FCE"/>
    <w:rsid w:val="001050C2"/>
    <w:rsid w:val="00106842"/>
    <w:rsid w:val="00107BF6"/>
    <w:rsid w:val="00107DD0"/>
    <w:rsid w:val="00111329"/>
    <w:rsid w:val="00111483"/>
    <w:rsid w:val="00115B65"/>
    <w:rsid w:val="00116669"/>
    <w:rsid w:val="0012439C"/>
    <w:rsid w:val="00131D33"/>
    <w:rsid w:val="00133A8B"/>
    <w:rsid w:val="00133C2F"/>
    <w:rsid w:val="0014082E"/>
    <w:rsid w:val="0014125C"/>
    <w:rsid w:val="001437DB"/>
    <w:rsid w:val="00143DDF"/>
    <w:rsid w:val="00143FB6"/>
    <w:rsid w:val="00144798"/>
    <w:rsid w:val="0014493D"/>
    <w:rsid w:val="00145057"/>
    <w:rsid w:val="001472E9"/>
    <w:rsid w:val="001505B1"/>
    <w:rsid w:val="001525C8"/>
    <w:rsid w:val="00152A88"/>
    <w:rsid w:val="00155A7B"/>
    <w:rsid w:val="0015759D"/>
    <w:rsid w:val="001607B5"/>
    <w:rsid w:val="0016212A"/>
    <w:rsid w:val="00163546"/>
    <w:rsid w:val="001638AF"/>
    <w:rsid w:val="00164A40"/>
    <w:rsid w:val="00165F2A"/>
    <w:rsid w:val="00166341"/>
    <w:rsid w:val="00167DFB"/>
    <w:rsid w:val="0017280D"/>
    <w:rsid w:val="00172E7A"/>
    <w:rsid w:val="00174083"/>
    <w:rsid w:val="00175690"/>
    <w:rsid w:val="00176776"/>
    <w:rsid w:val="001773B4"/>
    <w:rsid w:val="00177863"/>
    <w:rsid w:val="00182992"/>
    <w:rsid w:val="00182AC4"/>
    <w:rsid w:val="00184A12"/>
    <w:rsid w:val="00184DEF"/>
    <w:rsid w:val="00185E7F"/>
    <w:rsid w:val="00186F8A"/>
    <w:rsid w:val="001926A9"/>
    <w:rsid w:val="00193207"/>
    <w:rsid w:val="001953C9"/>
    <w:rsid w:val="001A1BCF"/>
    <w:rsid w:val="001A3477"/>
    <w:rsid w:val="001A4CB7"/>
    <w:rsid w:val="001A5739"/>
    <w:rsid w:val="001A73E0"/>
    <w:rsid w:val="001B36AF"/>
    <w:rsid w:val="001B377D"/>
    <w:rsid w:val="001B6BD9"/>
    <w:rsid w:val="001B705A"/>
    <w:rsid w:val="001C269C"/>
    <w:rsid w:val="001C35AE"/>
    <w:rsid w:val="001C766C"/>
    <w:rsid w:val="001C7E35"/>
    <w:rsid w:val="001D1BA7"/>
    <w:rsid w:val="001D4F72"/>
    <w:rsid w:val="001D52F0"/>
    <w:rsid w:val="001D5E12"/>
    <w:rsid w:val="001E13D9"/>
    <w:rsid w:val="001E6E5E"/>
    <w:rsid w:val="001F05FB"/>
    <w:rsid w:val="001F14B3"/>
    <w:rsid w:val="001F1FA8"/>
    <w:rsid w:val="001F2870"/>
    <w:rsid w:val="001F74CA"/>
    <w:rsid w:val="001F7760"/>
    <w:rsid w:val="00201D62"/>
    <w:rsid w:val="00201FA2"/>
    <w:rsid w:val="002029DD"/>
    <w:rsid w:val="00202B77"/>
    <w:rsid w:val="00203713"/>
    <w:rsid w:val="00203A69"/>
    <w:rsid w:val="00205D57"/>
    <w:rsid w:val="0020660E"/>
    <w:rsid w:val="00207E65"/>
    <w:rsid w:val="00212A92"/>
    <w:rsid w:val="0021318F"/>
    <w:rsid w:val="00214B1D"/>
    <w:rsid w:val="00214FE2"/>
    <w:rsid w:val="0021568F"/>
    <w:rsid w:val="00216701"/>
    <w:rsid w:val="00217301"/>
    <w:rsid w:val="00217685"/>
    <w:rsid w:val="00220C79"/>
    <w:rsid w:val="00222BD2"/>
    <w:rsid w:val="00230327"/>
    <w:rsid w:val="0023070A"/>
    <w:rsid w:val="0023772E"/>
    <w:rsid w:val="00240CEB"/>
    <w:rsid w:val="0024147E"/>
    <w:rsid w:val="002424B0"/>
    <w:rsid w:val="00243C47"/>
    <w:rsid w:val="00246DA4"/>
    <w:rsid w:val="002521AD"/>
    <w:rsid w:val="002536C3"/>
    <w:rsid w:val="00253786"/>
    <w:rsid w:val="00253F27"/>
    <w:rsid w:val="0026167B"/>
    <w:rsid w:val="002616A0"/>
    <w:rsid w:val="0026188E"/>
    <w:rsid w:val="0026385C"/>
    <w:rsid w:val="002701B1"/>
    <w:rsid w:val="00275BE9"/>
    <w:rsid w:val="002770A9"/>
    <w:rsid w:val="00277841"/>
    <w:rsid w:val="002801AC"/>
    <w:rsid w:val="002828BE"/>
    <w:rsid w:val="00283815"/>
    <w:rsid w:val="0028544E"/>
    <w:rsid w:val="00296063"/>
    <w:rsid w:val="002A1620"/>
    <w:rsid w:val="002A22B7"/>
    <w:rsid w:val="002A3FD8"/>
    <w:rsid w:val="002A4F05"/>
    <w:rsid w:val="002A78BF"/>
    <w:rsid w:val="002B037A"/>
    <w:rsid w:val="002B07F8"/>
    <w:rsid w:val="002C6481"/>
    <w:rsid w:val="002D0A93"/>
    <w:rsid w:val="002D2E3C"/>
    <w:rsid w:val="002E4E21"/>
    <w:rsid w:val="002E7D76"/>
    <w:rsid w:val="002F0D1C"/>
    <w:rsid w:val="002F23AF"/>
    <w:rsid w:val="002F60B3"/>
    <w:rsid w:val="003027B5"/>
    <w:rsid w:val="00304A07"/>
    <w:rsid w:val="00304FE0"/>
    <w:rsid w:val="00305AB3"/>
    <w:rsid w:val="003064D5"/>
    <w:rsid w:val="003102FB"/>
    <w:rsid w:val="00310B81"/>
    <w:rsid w:val="00313356"/>
    <w:rsid w:val="00313AF8"/>
    <w:rsid w:val="00320060"/>
    <w:rsid w:val="00321F56"/>
    <w:rsid w:val="003225B4"/>
    <w:rsid w:val="0032329F"/>
    <w:rsid w:val="00327BA7"/>
    <w:rsid w:val="0033271F"/>
    <w:rsid w:val="00332E30"/>
    <w:rsid w:val="00333BCF"/>
    <w:rsid w:val="00333E90"/>
    <w:rsid w:val="0033494A"/>
    <w:rsid w:val="00340A8A"/>
    <w:rsid w:val="00343615"/>
    <w:rsid w:val="00343A22"/>
    <w:rsid w:val="00343D17"/>
    <w:rsid w:val="00344D8B"/>
    <w:rsid w:val="00347FD8"/>
    <w:rsid w:val="0035148C"/>
    <w:rsid w:val="0035341E"/>
    <w:rsid w:val="003564E6"/>
    <w:rsid w:val="00361AD0"/>
    <w:rsid w:val="003621AC"/>
    <w:rsid w:val="00365995"/>
    <w:rsid w:val="00367E04"/>
    <w:rsid w:val="00371691"/>
    <w:rsid w:val="00380333"/>
    <w:rsid w:val="00385830"/>
    <w:rsid w:val="003935E9"/>
    <w:rsid w:val="003936D1"/>
    <w:rsid w:val="0039593A"/>
    <w:rsid w:val="003A05ED"/>
    <w:rsid w:val="003A40D4"/>
    <w:rsid w:val="003A610A"/>
    <w:rsid w:val="003B0BAE"/>
    <w:rsid w:val="003B19F5"/>
    <w:rsid w:val="003B1C66"/>
    <w:rsid w:val="003B4891"/>
    <w:rsid w:val="003B7F02"/>
    <w:rsid w:val="003C018F"/>
    <w:rsid w:val="003C1CEF"/>
    <w:rsid w:val="003C2144"/>
    <w:rsid w:val="003C3DC8"/>
    <w:rsid w:val="003C5E00"/>
    <w:rsid w:val="003C6BB9"/>
    <w:rsid w:val="003C6FA4"/>
    <w:rsid w:val="003C7EDE"/>
    <w:rsid w:val="003D3D8C"/>
    <w:rsid w:val="003E049C"/>
    <w:rsid w:val="003E309F"/>
    <w:rsid w:val="003F2AC9"/>
    <w:rsid w:val="003F58B9"/>
    <w:rsid w:val="003F595C"/>
    <w:rsid w:val="003F78E0"/>
    <w:rsid w:val="0040259C"/>
    <w:rsid w:val="00402C86"/>
    <w:rsid w:val="004033BC"/>
    <w:rsid w:val="004164B2"/>
    <w:rsid w:val="004167D2"/>
    <w:rsid w:val="00420394"/>
    <w:rsid w:val="00423F5E"/>
    <w:rsid w:val="0042401B"/>
    <w:rsid w:val="00424B31"/>
    <w:rsid w:val="00426C9C"/>
    <w:rsid w:val="0043061B"/>
    <w:rsid w:val="00430BF5"/>
    <w:rsid w:val="0043307C"/>
    <w:rsid w:val="0043365E"/>
    <w:rsid w:val="00441FAE"/>
    <w:rsid w:val="0044212D"/>
    <w:rsid w:val="0044466F"/>
    <w:rsid w:val="00445FAD"/>
    <w:rsid w:val="0044629D"/>
    <w:rsid w:val="00446CEF"/>
    <w:rsid w:val="0044792B"/>
    <w:rsid w:val="00450303"/>
    <w:rsid w:val="00453FC1"/>
    <w:rsid w:val="00454787"/>
    <w:rsid w:val="00457C30"/>
    <w:rsid w:val="00460C7B"/>
    <w:rsid w:val="004625F9"/>
    <w:rsid w:val="004626C3"/>
    <w:rsid w:val="00473285"/>
    <w:rsid w:val="00480D05"/>
    <w:rsid w:val="00481CBF"/>
    <w:rsid w:val="0048242E"/>
    <w:rsid w:val="00483938"/>
    <w:rsid w:val="00484026"/>
    <w:rsid w:val="00485FA4"/>
    <w:rsid w:val="00491BDF"/>
    <w:rsid w:val="004969C0"/>
    <w:rsid w:val="004A201C"/>
    <w:rsid w:val="004A641A"/>
    <w:rsid w:val="004B2652"/>
    <w:rsid w:val="004B4165"/>
    <w:rsid w:val="004B4904"/>
    <w:rsid w:val="004B612F"/>
    <w:rsid w:val="004C06D1"/>
    <w:rsid w:val="004C3004"/>
    <w:rsid w:val="004C3AE3"/>
    <w:rsid w:val="004C3D13"/>
    <w:rsid w:val="004C4700"/>
    <w:rsid w:val="004C4CD1"/>
    <w:rsid w:val="004C7A54"/>
    <w:rsid w:val="004D0A35"/>
    <w:rsid w:val="004D0DC1"/>
    <w:rsid w:val="004D0DE6"/>
    <w:rsid w:val="004D0DEC"/>
    <w:rsid w:val="004D7839"/>
    <w:rsid w:val="004E0174"/>
    <w:rsid w:val="004E0EA1"/>
    <w:rsid w:val="004E1561"/>
    <w:rsid w:val="004E25E4"/>
    <w:rsid w:val="004E3499"/>
    <w:rsid w:val="004E5043"/>
    <w:rsid w:val="004F172C"/>
    <w:rsid w:val="004F543D"/>
    <w:rsid w:val="004F59D4"/>
    <w:rsid w:val="004F69EB"/>
    <w:rsid w:val="004F70D3"/>
    <w:rsid w:val="0050113C"/>
    <w:rsid w:val="0050280A"/>
    <w:rsid w:val="005039BD"/>
    <w:rsid w:val="00503DBC"/>
    <w:rsid w:val="00507DD7"/>
    <w:rsid w:val="005107CA"/>
    <w:rsid w:val="00513ACC"/>
    <w:rsid w:val="00513D8D"/>
    <w:rsid w:val="0051419A"/>
    <w:rsid w:val="00516620"/>
    <w:rsid w:val="00520F22"/>
    <w:rsid w:val="00521507"/>
    <w:rsid w:val="0053143A"/>
    <w:rsid w:val="005334F0"/>
    <w:rsid w:val="00534DBF"/>
    <w:rsid w:val="0053635B"/>
    <w:rsid w:val="00536592"/>
    <w:rsid w:val="0053680A"/>
    <w:rsid w:val="00541B58"/>
    <w:rsid w:val="005450C3"/>
    <w:rsid w:val="00546424"/>
    <w:rsid w:val="00551ADD"/>
    <w:rsid w:val="00556C96"/>
    <w:rsid w:val="00561B03"/>
    <w:rsid w:val="00561F24"/>
    <w:rsid w:val="00562164"/>
    <w:rsid w:val="0056216A"/>
    <w:rsid w:val="00562A4B"/>
    <w:rsid w:val="00562DAE"/>
    <w:rsid w:val="005637D4"/>
    <w:rsid w:val="00563D69"/>
    <w:rsid w:val="0056595B"/>
    <w:rsid w:val="0056621F"/>
    <w:rsid w:val="005724A0"/>
    <w:rsid w:val="00574306"/>
    <w:rsid w:val="005749D1"/>
    <w:rsid w:val="005760CD"/>
    <w:rsid w:val="00576DC8"/>
    <w:rsid w:val="00577B01"/>
    <w:rsid w:val="00580921"/>
    <w:rsid w:val="005813B2"/>
    <w:rsid w:val="0058260C"/>
    <w:rsid w:val="00582F3B"/>
    <w:rsid w:val="00583C4D"/>
    <w:rsid w:val="005908A8"/>
    <w:rsid w:val="005A1A0E"/>
    <w:rsid w:val="005A1CD8"/>
    <w:rsid w:val="005A2E2D"/>
    <w:rsid w:val="005A7729"/>
    <w:rsid w:val="005B0CB5"/>
    <w:rsid w:val="005B1AF2"/>
    <w:rsid w:val="005B3437"/>
    <w:rsid w:val="005B56CD"/>
    <w:rsid w:val="005B5FB3"/>
    <w:rsid w:val="005C3EA7"/>
    <w:rsid w:val="005C458E"/>
    <w:rsid w:val="005D09BC"/>
    <w:rsid w:val="005D1E9C"/>
    <w:rsid w:val="005D2C94"/>
    <w:rsid w:val="005D3906"/>
    <w:rsid w:val="005E7F7D"/>
    <w:rsid w:val="005F62E2"/>
    <w:rsid w:val="005F6816"/>
    <w:rsid w:val="0060248F"/>
    <w:rsid w:val="00602871"/>
    <w:rsid w:val="00606DDA"/>
    <w:rsid w:val="00607C00"/>
    <w:rsid w:val="00612955"/>
    <w:rsid w:val="00614706"/>
    <w:rsid w:val="00614906"/>
    <w:rsid w:val="00616546"/>
    <w:rsid w:val="00616E31"/>
    <w:rsid w:val="00621FA2"/>
    <w:rsid w:val="006232CF"/>
    <w:rsid w:val="00627A21"/>
    <w:rsid w:val="00632ABD"/>
    <w:rsid w:val="00633027"/>
    <w:rsid w:val="00634956"/>
    <w:rsid w:val="00636582"/>
    <w:rsid w:val="00641C8E"/>
    <w:rsid w:val="00646E27"/>
    <w:rsid w:val="006515A0"/>
    <w:rsid w:val="00651F85"/>
    <w:rsid w:val="00652CDF"/>
    <w:rsid w:val="00653A48"/>
    <w:rsid w:val="00653AFF"/>
    <w:rsid w:val="006551B4"/>
    <w:rsid w:val="00655E3C"/>
    <w:rsid w:val="00663D9F"/>
    <w:rsid w:val="00663EC7"/>
    <w:rsid w:val="00664538"/>
    <w:rsid w:val="00664A79"/>
    <w:rsid w:val="00664D03"/>
    <w:rsid w:val="00665119"/>
    <w:rsid w:val="006654F9"/>
    <w:rsid w:val="00665772"/>
    <w:rsid w:val="006658F6"/>
    <w:rsid w:val="00665BFC"/>
    <w:rsid w:val="0066747C"/>
    <w:rsid w:val="00670998"/>
    <w:rsid w:val="00674C42"/>
    <w:rsid w:val="00674CE7"/>
    <w:rsid w:val="00675453"/>
    <w:rsid w:val="00676344"/>
    <w:rsid w:val="00682EF3"/>
    <w:rsid w:val="006863CC"/>
    <w:rsid w:val="0068759C"/>
    <w:rsid w:val="00694C4F"/>
    <w:rsid w:val="00695F3F"/>
    <w:rsid w:val="00697DCB"/>
    <w:rsid w:val="006A020F"/>
    <w:rsid w:val="006A1A15"/>
    <w:rsid w:val="006A2802"/>
    <w:rsid w:val="006A2C8C"/>
    <w:rsid w:val="006A3619"/>
    <w:rsid w:val="006A51B8"/>
    <w:rsid w:val="006A6C5D"/>
    <w:rsid w:val="006A70D7"/>
    <w:rsid w:val="006A77DE"/>
    <w:rsid w:val="006B0210"/>
    <w:rsid w:val="006B3A1F"/>
    <w:rsid w:val="006C1309"/>
    <w:rsid w:val="006C13A1"/>
    <w:rsid w:val="006C26A8"/>
    <w:rsid w:val="006C3170"/>
    <w:rsid w:val="006C3AB8"/>
    <w:rsid w:val="006D0959"/>
    <w:rsid w:val="006D447D"/>
    <w:rsid w:val="006D6A9D"/>
    <w:rsid w:val="006D7A58"/>
    <w:rsid w:val="006E3CEF"/>
    <w:rsid w:val="006E7514"/>
    <w:rsid w:val="006E7BC3"/>
    <w:rsid w:val="006F4DFE"/>
    <w:rsid w:val="006F545F"/>
    <w:rsid w:val="006F5660"/>
    <w:rsid w:val="006F6AF9"/>
    <w:rsid w:val="00704FD6"/>
    <w:rsid w:val="007105A0"/>
    <w:rsid w:val="00710CE8"/>
    <w:rsid w:val="007113E5"/>
    <w:rsid w:val="0071149A"/>
    <w:rsid w:val="007125F3"/>
    <w:rsid w:val="00715BBD"/>
    <w:rsid w:val="00716A06"/>
    <w:rsid w:val="00721E3F"/>
    <w:rsid w:val="007233DC"/>
    <w:rsid w:val="00724C16"/>
    <w:rsid w:val="00725C76"/>
    <w:rsid w:val="00727100"/>
    <w:rsid w:val="00732733"/>
    <w:rsid w:val="007342B5"/>
    <w:rsid w:val="0073451F"/>
    <w:rsid w:val="00737A9A"/>
    <w:rsid w:val="00737C99"/>
    <w:rsid w:val="00740A40"/>
    <w:rsid w:val="00745769"/>
    <w:rsid w:val="007477DC"/>
    <w:rsid w:val="00754D04"/>
    <w:rsid w:val="00756621"/>
    <w:rsid w:val="00761395"/>
    <w:rsid w:val="007642AE"/>
    <w:rsid w:val="00764398"/>
    <w:rsid w:val="0076508E"/>
    <w:rsid w:val="0077232F"/>
    <w:rsid w:val="00772A89"/>
    <w:rsid w:val="0077663D"/>
    <w:rsid w:val="0078276F"/>
    <w:rsid w:val="007834E5"/>
    <w:rsid w:val="00790DB1"/>
    <w:rsid w:val="007946F1"/>
    <w:rsid w:val="00794E9A"/>
    <w:rsid w:val="007A174C"/>
    <w:rsid w:val="007A2629"/>
    <w:rsid w:val="007A4648"/>
    <w:rsid w:val="007A6643"/>
    <w:rsid w:val="007A72B5"/>
    <w:rsid w:val="007B4BDC"/>
    <w:rsid w:val="007B535F"/>
    <w:rsid w:val="007B7616"/>
    <w:rsid w:val="007C1005"/>
    <w:rsid w:val="007C24B7"/>
    <w:rsid w:val="007C380C"/>
    <w:rsid w:val="007C4545"/>
    <w:rsid w:val="007C5323"/>
    <w:rsid w:val="007C6D7B"/>
    <w:rsid w:val="007C7FD5"/>
    <w:rsid w:val="007D0F3F"/>
    <w:rsid w:val="007D1C82"/>
    <w:rsid w:val="007D248B"/>
    <w:rsid w:val="007D3C65"/>
    <w:rsid w:val="007D5C08"/>
    <w:rsid w:val="007D7933"/>
    <w:rsid w:val="007E14A0"/>
    <w:rsid w:val="007E4A33"/>
    <w:rsid w:val="007E53F3"/>
    <w:rsid w:val="007E7129"/>
    <w:rsid w:val="007F0959"/>
    <w:rsid w:val="007F4481"/>
    <w:rsid w:val="007F610D"/>
    <w:rsid w:val="007F6BDD"/>
    <w:rsid w:val="007F6C63"/>
    <w:rsid w:val="00802325"/>
    <w:rsid w:val="008027C2"/>
    <w:rsid w:val="00805E45"/>
    <w:rsid w:val="00811ED2"/>
    <w:rsid w:val="008139F4"/>
    <w:rsid w:val="00817641"/>
    <w:rsid w:val="00820B7F"/>
    <w:rsid w:val="00820D09"/>
    <w:rsid w:val="00824F39"/>
    <w:rsid w:val="0083155C"/>
    <w:rsid w:val="008354FD"/>
    <w:rsid w:val="00842629"/>
    <w:rsid w:val="00842752"/>
    <w:rsid w:val="0084494E"/>
    <w:rsid w:val="0084611A"/>
    <w:rsid w:val="00846222"/>
    <w:rsid w:val="00847BE5"/>
    <w:rsid w:val="00851E5E"/>
    <w:rsid w:val="008545A9"/>
    <w:rsid w:val="00857579"/>
    <w:rsid w:val="00857832"/>
    <w:rsid w:val="00861911"/>
    <w:rsid w:val="00866F9F"/>
    <w:rsid w:val="008708A2"/>
    <w:rsid w:val="0087235A"/>
    <w:rsid w:val="00872E08"/>
    <w:rsid w:val="00872FB6"/>
    <w:rsid w:val="00874403"/>
    <w:rsid w:val="00877040"/>
    <w:rsid w:val="0088066B"/>
    <w:rsid w:val="0088149F"/>
    <w:rsid w:val="00881E87"/>
    <w:rsid w:val="0088374E"/>
    <w:rsid w:val="008921CF"/>
    <w:rsid w:val="008929EE"/>
    <w:rsid w:val="008A657C"/>
    <w:rsid w:val="008B38D3"/>
    <w:rsid w:val="008B470C"/>
    <w:rsid w:val="008B714E"/>
    <w:rsid w:val="008C2316"/>
    <w:rsid w:val="008C372E"/>
    <w:rsid w:val="008C775A"/>
    <w:rsid w:val="008D2815"/>
    <w:rsid w:val="008D491C"/>
    <w:rsid w:val="008D7B71"/>
    <w:rsid w:val="008D7C77"/>
    <w:rsid w:val="008E0586"/>
    <w:rsid w:val="008E088C"/>
    <w:rsid w:val="008E3041"/>
    <w:rsid w:val="008E3D3B"/>
    <w:rsid w:val="008E4864"/>
    <w:rsid w:val="008E67B9"/>
    <w:rsid w:val="008F1071"/>
    <w:rsid w:val="008F2C7F"/>
    <w:rsid w:val="008F3499"/>
    <w:rsid w:val="0090418A"/>
    <w:rsid w:val="009044B0"/>
    <w:rsid w:val="00905727"/>
    <w:rsid w:val="00906266"/>
    <w:rsid w:val="00907D5A"/>
    <w:rsid w:val="009122E4"/>
    <w:rsid w:val="00912983"/>
    <w:rsid w:val="00914A90"/>
    <w:rsid w:val="00921E4B"/>
    <w:rsid w:val="00927118"/>
    <w:rsid w:val="00933192"/>
    <w:rsid w:val="00933517"/>
    <w:rsid w:val="0093422D"/>
    <w:rsid w:val="00934532"/>
    <w:rsid w:val="00934BF6"/>
    <w:rsid w:val="00935787"/>
    <w:rsid w:val="00935FB7"/>
    <w:rsid w:val="009460EF"/>
    <w:rsid w:val="00947DBF"/>
    <w:rsid w:val="0095406B"/>
    <w:rsid w:val="00954130"/>
    <w:rsid w:val="00957928"/>
    <w:rsid w:val="00962E0E"/>
    <w:rsid w:val="00964405"/>
    <w:rsid w:val="0096546F"/>
    <w:rsid w:val="00972C32"/>
    <w:rsid w:val="00976655"/>
    <w:rsid w:val="00977EC8"/>
    <w:rsid w:val="00982974"/>
    <w:rsid w:val="009842C3"/>
    <w:rsid w:val="00984413"/>
    <w:rsid w:val="00984C89"/>
    <w:rsid w:val="009910A3"/>
    <w:rsid w:val="009A006F"/>
    <w:rsid w:val="009A09A8"/>
    <w:rsid w:val="009A26EA"/>
    <w:rsid w:val="009A4ECC"/>
    <w:rsid w:val="009A52BE"/>
    <w:rsid w:val="009A6BB6"/>
    <w:rsid w:val="009B0205"/>
    <w:rsid w:val="009B37DD"/>
    <w:rsid w:val="009B3E22"/>
    <w:rsid w:val="009B4F01"/>
    <w:rsid w:val="009B5A5B"/>
    <w:rsid w:val="009B7C5C"/>
    <w:rsid w:val="009C13C9"/>
    <w:rsid w:val="009C7055"/>
    <w:rsid w:val="009C7E4D"/>
    <w:rsid w:val="009D7D13"/>
    <w:rsid w:val="009E1520"/>
    <w:rsid w:val="009E1DE6"/>
    <w:rsid w:val="009F0398"/>
    <w:rsid w:val="009F2271"/>
    <w:rsid w:val="009F3459"/>
    <w:rsid w:val="009F3A9D"/>
    <w:rsid w:val="009F7C76"/>
    <w:rsid w:val="00A00FB9"/>
    <w:rsid w:val="00A01625"/>
    <w:rsid w:val="00A038BF"/>
    <w:rsid w:val="00A10FF7"/>
    <w:rsid w:val="00A168EF"/>
    <w:rsid w:val="00A16FA6"/>
    <w:rsid w:val="00A1714E"/>
    <w:rsid w:val="00A2366F"/>
    <w:rsid w:val="00A249F1"/>
    <w:rsid w:val="00A276E3"/>
    <w:rsid w:val="00A30B75"/>
    <w:rsid w:val="00A33E80"/>
    <w:rsid w:val="00A35103"/>
    <w:rsid w:val="00A42110"/>
    <w:rsid w:val="00A4653D"/>
    <w:rsid w:val="00A506A6"/>
    <w:rsid w:val="00A51CBE"/>
    <w:rsid w:val="00A54A96"/>
    <w:rsid w:val="00A55D56"/>
    <w:rsid w:val="00A56281"/>
    <w:rsid w:val="00A57AB2"/>
    <w:rsid w:val="00A626AC"/>
    <w:rsid w:val="00A63517"/>
    <w:rsid w:val="00A64819"/>
    <w:rsid w:val="00A66C09"/>
    <w:rsid w:val="00A70E0D"/>
    <w:rsid w:val="00A716FA"/>
    <w:rsid w:val="00A730CA"/>
    <w:rsid w:val="00A73935"/>
    <w:rsid w:val="00A8397D"/>
    <w:rsid w:val="00A83A80"/>
    <w:rsid w:val="00A8492E"/>
    <w:rsid w:val="00A85E76"/>
    <w:rsid w:val="00A86E5B"/>
    <w:rsid w:val="00A91115"/>
    <w:rsid w:val="00A92543"/>
    <w:rsid w:val="00A94E57"/>
    <w:rsid w:val="00AA47CE"/>
    <w:rsid w:val="00AA4933"/>
    <w:rsid w:val="00AB2D65"/>
    <w:rsid w:val="00AB3B94"/>
    <w:rsid w:val="00AB7F84"/>
    <w:rsid w:val="00AC0208"/>
    <w:rsid w:val="00AC360D"/>
    <w:rsid w:val="00AD0227"/>
    <w:rsid w:val="00AD2A05"/>
    <w:rsid w:val="00AD3E60"/>
    <w:rsid w:val="00AD4DD8"/>
    <w:rsid w:val="00AE0121"/>
    <w:rsid w:val="00AE17A3"/>
    <w:rsid w:val="00AE4AC7"/>
    <w:rsid w:val="00AF2E38"/>
    <w:rsid w:val="00AF6F24"/>
    <w:rsid w:val="00B06CC3"/>
    <w:rsid w:val="00B07771"/>
    <w:rsid w:val="00B139A8"/>
    <w:rsid w:val="00B1500A"/>
    <w:rsid w:val="00B20CFE"/>
    <w:rsid w:val="00B25B09"/>
    <w:rsid w:val="00B25EBA"/>
    <w:rsid w:val="00B277EA"/>
    <w:rsid w:val="00B34A4F"/>
    <w:rsid w:val="00B3619C"/>
    <w:rsid w:val="00B3630B"/>
    <w:rsid w:val="00B36D0F"/>
    <w:rsid w:val="00B400AB"/>
    <w:rsid w:val="00B402B7"/>
    <w:rsid w:val="00B455A9"/>
    <w:rsid w:val="00B46F10"/>
    <w:rsid w:val="00B5465A"/>
    <w:rsid w:val="00B56E8B"/>
    <w:rsid w:val="00B6214B"/>
    <w:rsid w:val="00B632E0"/>
    <w:rsid w:val="00B6586A"/>
    <w:rsid w:val="00B662F6"/>
    <w:rsid w:val="00B6663C"/>
    <w:rsid w:val="00B66B78"/>
    <w:rsid w:val="00B700A8"/>
    <w:rsid w:val="00B7115A"/>
    <w:rsid w:val="00B74064"/>
    <w:rsid w:val="00B74A23"/>
    <w:rsid w:val="00B75D9B"/>
    <w:rsid w:val="00B7685C"/>
    <w:rsid w:val="00B774E5"/>
    <w:rsid w:val="00B86240"/>
    <w:rsid w:val="00B92386"/>
    <w:rsid w:val="00B93AFF"/>
    <w:rsid w:val="00B96FA6"/>
    <w:rsid w:val="00BA3687"/>
    <w:rsid w:val="00BA374D"/>
    <w:rsid w:val="00BA44DB"/>
    <w:rsid w:val="00BA54BA"/>
    <w:rsid w:val="00BA57CC"/>
    <w:rsid w:val="00BA60FF"/>
    <w:rsid w:val="00BB1716"/>
    <w:rsid w:val="00BB1A71"/>
    <w:rsid w:val="00BB4819"/>
    <w:rsid w:val="00BB59BE"/>
    <w:rsid w:val="00BB5A03"/>
    <w:rsid w:val="00BC0C3A"/>
    <w:rsid w:val="00BE09DF"/>
    <w:rsid w:val="00BE0DE3"/>
    <w:rsid w:val="00BE0E50"/>
    <w:rsid w:val="00BE67D3"/>
    <w:rsid w:val="00BF0E27"/>
    <w:rsid w:val="00BF2FF0"/>
    <w:rsid w:val="00BF3856"/>
    <w:rsid w:val="00BF7B88"/>
    <w:rsid w:val="00C02933"/>
    <w:rsid w:val="00C0310C"/>
    <w:rsid w:val="00C11EB3"/>
    <w:rsid w:val="00C13F0F"/>
    <w:rsid w:val="00C140F9"/>
    <w:rsid w:val="00C162D2"/>
    <w:rsid w:val="00C16634"/>
    <w:rsid w:val="00C16BDC"/>
    <w:rsid w:val="00C226CA"/>
    <w:rsid w:val="00C23D35"/>
    <w:rsid w:val="00C3108F"/>
    <w:rsid w:val="00C33D23"/>
    <w:rsid w:val="00C33F55"/>
    <w:rsid w:val="00C3483B"/>
    <w:rsid w:val="00C36B72"/>
    <w:rsid w:val="00C36BD9"/>
    <w:rsid w:val="00C37313"/>
    <w:rsid w:val="00C4008C"/>
    <w:rsid w:val="00C43C4E"/>
    <w:rsid w:val="00C45E37"/>
    <w:rsid w:val="00C47CC6"/>
    <w:rsid w:val="00C50207"/>
    <w:rsid w:val="00C523C4"/>
    <w:rsid w:val="00C52B86"/>
    <w:rsid w:val="00C52E14"/>
    <w:rsid w:val="00C5679A"/>
    <w:rsid w:val="00C5771F"/>
    <w:rsid w:val="00C57968"/>
    <w:rsid w:val="00C609E6"/>
    <w:rsid w:val="00C62812"/>
    <w:rsid w:val="00C63246"/>
    <w:rsid w:val="00C63408"/>
    <w:rsid w:val="00C63907"/>
    <w:rsid w:val="00C64A34"/>
    <w:rsid w:val="00C656C2"/>
    <w:rsid w:val="00C66F78"/>
    <w:rsid w:val="00C7184C"/>
    <w:rsid w:val="00C767D4"/>
    <w:rsid w:val="00C828E8"/>
    <w:rsid w:val="00C83B9D"/>
    <w:rsid w:val="00C842BD"/>
    <w:rsid w:val="00C91D14"/>
    <w:rsid w:val="00C92D78"/>
    <w:rsid w:val="00C93E87"/>
    <w:rsid w:val="00CA1471"/>
    <w:rsid w:val="00CA3A75"/>
    <w:rsid w:val="00CA3BE8"/>
    <w:rsid w:val="00CA4D93"/>
    <w:rsid w:val="00CA53BF"/>
    <w:rsid w:val="00CA6A1F"/>
    <w:rsid w:val="00CA7270"/>
    <w:rsid w:val="00CA799A"/>
    <w:rsid w:val="00CB05A2"/>
    <w:rsid w:val="00CB0F9D"/>
    <w:rsid w:val="00CB141C"/>
    <w:rsid w:val="00CB265F"/>
    <w:rsid w:val="00CB465D"/>
    <w:rsid w:val="00CB5645"/>
    <w:rsid w:val="00CB6BEE"/>
    <w:rsid w:val="00CC232E"/>
    <w:rsid w:val="00CC589B"/>
    <w:rsid w:val="00CD1804"/>
    <w:rsid w:val="00CD4035"/>
    <w:rsid w:val="00CD537D"/>
    <w:rsid w:val="00CD71AE"/>
    <w:rsid w:val="00CE0689"/>
    <w:rsid w:val="00CE2448"/>
    <w:rsid w:val="00CE3AD5"/>
    <w:rsid w:val="00CE4B79"/>
    <w:rsid w:val="00CF2A88"/>
    <w:rsid w:val="00CF3866"/>
    <w:rsid w:val="00CF3969"/>
    <w:rsid w:val="00CF4D35"/>
    <w:rsid w:val="00CF5FE5"/>
    <w:rsid w:val="00D003CE"/>
    <w:rsid w:val="00D02503"/>
    <w:rsid w:val="00D1030E"/>
    <w:rsid w:val="00D104E7"/>
    <w:rsid w:val="00D1171F"/>
    <w:rsid w:val="00D142F6"/>
    <w:rsid w:val="00D16503"/>
    <w:rsid w:val="00D16DA0"/>
    <w:rsid w:val="00D231A7"/>
    <w:rsid w:val="00D240BE"/>
    <w:rsid w:val="00D24DEB"/>
    <w:rsid w:val="00D26B5C"/>
    <w:rsid w:val="00D309D7"/>
    <w:rsid w:val="00D31B68"/>
    <w:rsid w:val="00D34C0C"/>
    <w:rsid w:val="00D4601C"/>
    <w:rsid w:val="00D5170A"/>
    <w:rsid w:val="00D5188B"/>
    <w:rsid w:val="00D55198"/>
    <w:rsid w:val="00D57775"/>
    <w:rsid w:val="00D615A6"/>
    <w:rsid w:val="00D6247C"/>
    <w:rsid w:val="00D646E7"/>
    <w:rsid w:val="00D65B22"/>
    <w:rsid w:val="00D65C1C"/>
    <w:rsid w:val="00D71053"/>
    <w:rsid w:val="00D71501"/>
    <w:rsid w:val="00D72612"/>
    <w:rsid w:val="00D72FD7"/>
    <w:rsid w:val="00D7453B"/>
    <w:rsid w:val="00D76F0E"/>
    <w:rsid w:val="00D77B71"/>
    <w:rsid w:val="00D80E6B"/>
    <w:rsid w:val="00D83C64"/>
    <w:rsid w:val="00D84AA8"/>
    <w:rsid w:val="00D86E20"/>
    <w:rsid w:val="00D912BA"/>
    <w:rsid w:val="00D93EE2"/>
    <w:rsid w:val="00D95825"/>
    <w:rsid w:val="00D96FFE"/>
    <w:rsid w:val="00DA085C"/>
    <w:rsid w:val="00DA1A8B"/>
    <w:rsid w:val="00DA6033"/>
    <w:rsid w:val="00DB0650"/>
    <w:rsid w:val="00DB2938"/>
    <w:rsid w:val="00DB34DC"/>
    <w:rsid w:val="00DB3FD8"/>
    <w:rsid w:val="00DC5FCC"/>
    <w:rsid w:val="00DC7C68"/>
    <w:rsid w:val="00DD5642"/>
    <w:rsid w:val="00DE0E71"/>
    <w:rsid w:val="00DE1154"/>
    <w:rsid w:val="00DE2396"/>
    <w:rsid w:val="00DE51C8"/>
    <w:rsid w:val="00DE6DD6"/>
    <w:rsid w:val="00DE7C51"/>
    <w:rsid w:val="00DF019B"/>
    <w:rsid w:val="00DF03FE"/>
    <w:rsid w:val="00DF1922"/>
    <w:rsid w:val="00DF2038"/>
    <w:rsid w:val="00DF316D"/>
    <w:rsid w:val="00DF3C08"/>
    <w:rsid w:val="00DF4AD5"/>
    <w:rsid w:val="00DF501E"/>
    <w:rsid w:val="00DF5760"/>
    <w:rsid w:val="00DF60E8"/>
    <w:rsid w:val="00DF6CE6"/>
    <w:rsid w:val="00E03178"/>
    <w:rsid w:val="00E04CDD"/>
    <w:rsid w:val="00E10278"/>
    <w:rsid w:val="00E158B8"/>
    <w:rsid w:val="00E158C4"/>
    <w:rsid w:val="00E1724F"/>
    <w:rsid w:val="00E17459"/>
    <w:rsid w:val="00E2220E"/>
    <w:rsid w:val="00E3072B"/>
    <w:rsid w:val="00E319E7"/>
    <w:rsid w:val="00E31F8D"/>
    <w:rsid w:val="00E32BB4"/>
    <w:rsid w:val="00E335EE"/>
    <w:rsid w:val="00E37342"/>
    <w:rsid w:val="00E40068"/>
    <w:rsid w:val="00E429C1"/>
    <w:rsid w:val="00E44BE2"/>
    <w:rsid w:val="00E51A98"/>
    <w:rsid w:val="00E51B8E"/>
    <w:rsid w:val="00E52818"/>
    <w:rsid w:val="00E54D0B"/>
    <w:rsid w:val="00E55A9A"/>
    <w:rsid w:val="00E61204"/>
    <w:rsid w:val="00E62308"/>
    <w:rsid w:val="00E759BE"/>
    <w:rsid w:val="00E75A3B"/>
    <w:rsid w:val="00E76837"/>
    <w:rsid w:val="00E77776"/>
    <w:rsid w:val="00E81EE6"/>
    <w:rsid w:val="00E82505"/>
    <w:rsid w:val="00E83C44"/>
    <w:rsid w:val="00E87276"/>
    <w:rsid w:val="00E91225"/>
    <w:rsid w:val="00E94DD4"/>
    <w:rsid w:val="00EA24C7"/>
    <w:rsid w:val="00EA620A"/>
    <w:rsid w:val="00EB0FD4"/>
    <w:rsid w:val="00EB261B"/>
    <w:rsid w:val="00EB52F5"/>
    <w:rsid w:val="00EB7707"/>
    <w:rsid w:val="00EC0B3F"/>
    <w:rsid w:val="00EC2DD1"/>
    <w:rsid w:val="00EC3442"/>
    <w:rsid w:val="00EC5140"/>
    <w:rsid w:val="00ED0975"/>
    <w:rsid w:val="00ED3A02"/>
    <w:rsid w:val="00ED4A18"/>
    <w:rsid w:val="00ED614D"/>
    <w:rsid w:val="00EE1334"/>
    <w:rsid w:val="00EE422E"/>
    <w:rsid w:val="00EE5B76"/>
    <w:rsid w:val="00EF0D62"/>
    <w:rsid w:val="00EF1CD6"/>
    <w:rsid w:val="00EF2797"/>
    <w:rsid w:val="00EF427C"/>
    <w:rsid w:val="00EF5631"/>
    <w:rsid w:val="00EF6B2B"/>
    <w:rsid w:val="00F013F0"/>
    <w:rsid w:val="00F016DA"/>
    <w:rsid w:val="00F045C4"/>
    <w:rsid w:val="00F045E5"/>
    <w:rsid w:val="00F05DA9"/>
    <w:rsid w:val="00F10E47"/>
    <w:rsid w:val="00F127FF"/>
    <w:rsid w:val="00F16599"/>
    <w:rsid w:val="00F1766B"/>
    <w:rsid w:val="00F2096E"/>
    <w:rsid w:val="00F21739"/>
    <w:rsid w:val="00F23C18"/>
    <w:rsid w:val="00F245DB"/>
    <w:rsid w:val="00F313A3"/>
    <w:rsid w:val="00F31D5A"/>
    <w:rsid w:val="00F322F8"/>
    <w:rsid w:val="00F33DC9"/>
    <w:rsid w:val="00F34C5B"/>
    <w:rsid w:val="00F363D5"/>
    <w:rsid w:val="00F42BA5"/>
    <w:rsid w:val="00F43EFA"/>
    <w:rsid w:val="00F468D4"/>
    <w:rsid w:val="00F521E1"/>
    <w:rsid w:val="00F539A3"/>
    <w:rsid w:val="00F56FC0"/>
    <w:rsid w:val="00F62052"/>
    <w:rsid w:val="00F62D97"/>
    <w:rsid w:val="00F633DD"/>
    <w:rsid w:val="00F638DC"/>
    <w:rsid w:val="00F63AC7"/>
    <w:rsid w:val="00F64B42"/>
    <w:rsid w:val="00F66C00"/>
    <w:rsid w:val="00F7045C"/>
    <w:rsid w:val="00F71C2B"/>
    <w:rsid w:val="00F77C10"/>
    <w:rsid w:val="00F804E2"/>
    <w:rsid w:val="00F87DFE"/>
    <w:rsid w:val="00F92595"/>
    <w:rsid w:val="00F928F9"/>
    <w:rsid w:val="00F93A73"/>
    <w:rsid w:val="00F97EE6"/>
    <w:rsid w:val="00FA03F9"/>
    <w:rsid w:val="00FA0FA5"/>
    <w:rsid w:val="00FA3D48"/>
    <w:rsid w:val="00FA4837"/>
    <w:rsid w:val="00FA7D25"/>
    <w:rsid w:val="00FB0418"/>
    <w:rsid w:val="00FB20A9"/>
    <w:rsid w:val="00FB20C2"/>
    <w:rsid w:val="00FB336C"/>
    <w:rsid w:val="00FB7708"/>
    <w:rsid w:val="00FC01F8"/>
    <w:rsid w:val="00FC095C"/>
    <w:rsid w:val="00FC48D7"/>
    <w:rsid w:val="00FC6A2C"/>
    <w:rsid w:val="00FD06DB"/>
    <w:rsid w:val="00FD2FD1"/>
    <w:rsid w:val="00FD3AEB"/>
    <w:rsid w:val="00FD619C"/>
    <w:rsid w:val="00FE1674"/>
    <w:rsid w:val="00FE2A43"/>
    <w:rsid w:val="00FE7722"/>
    <w:rsid w:val="00FE7CC2"/>
    <w:rsid w:val="00FF2AD2"/>
    <w:rsid w:val="00FF3E6B"/>
    <w:rsid w:val="00FF4AA6"/>
    <w:rsid w:val="01935887"/>
    <w:rsid w:val="01A1052E"/>
    <w:rsid w:val="02135009"/>
    <w:rsid w:val="02D94734"/>
    <w:rsid w:val="033B051E"/>
    <w:rsid w:val="03BC7F9E"/>
    <w:rsid w:val="03C77316"/>
    <w:rsid w:val="040461B9"/>
    <w:rsid w:val="04120A16"/>
    <w:rsid w:val="04323CA5"/>
    <w:rsid w:val="04CC2600"/>
    <w:rsid w:val="04CC341D"/>
    <w:rsid w:val="04DB48D3"/>
    <w:rsid w:val="05137CD7"/>
    <w:rsid w:val="059E36F3"/>
    <w:rsid w:val="05AB3113"/>
    <w:rsid w:val="05C141FC"/>
    <w:rsid w:val="05E41728"/>
    <w:rsid w:val="060B26E0"/>
    <w:rsid w:val="060D0B5B"/>
    <w:rsid w:val="06D27AF8"/>
    <w:rsid w:val="06E95FD5"/>
    <w:rsid w:val="07104D94"/>
    <w:rsid w:val="07247C28"/>
    <w:rsid w:val="07910F5C"/>
    <w:rsid w:val="07CD6512"/>
    <w:rsid w:val="07F446D9"/>
    <w:rsid w:val="08716544"/>
    <w:rsid w:val="08BE5AC4"/>
    <w:rsid w:val="08F30E8D"/>
    <w:rsid w:val="0965366A"/>
    <w:rsid w:val="096824EC"/>
    <w:rsid w:val="09D5156B"/>
    <w:rsid w:val="0A31037E"/>
    <w:rsid w:val="0A864054"/>
    <w:rsid w:val="0B09487B"/>
    <w:rsid w:val="0B32436D"/>
    <w:rsid w:val="0B3C5DD0"/>
    <w:rsid w:val="0B436F10"/>
    <w:rsid w:val="0C04004E"/>
    <w:rsid w:val="0C1E2BA0"/>
    <w:rsid w:val="0C2F0EDC"/>
    <w:rsid w:val="0C677AB4"/>
    <w:rsid w:val="0C765CB2"/>
    <w:rsid w:val="0CC927F2"/>
    <w:rsid w:val="0D2F728D"/>
    <w:rsid w:val="0E970358"/>
    <w:rsid w:val="0ECB6A47"/>
    <w:rsid w:val="0F2E4BF4"/>
    <w:rsid w:val="0FCD44F1"/>
    <w:rsid w:val="0FF1315C"/>
    <w:rsid w:val="102B7FC5"/>
    <w:rsid w:val="10392EAE"/>
    <w:rsid w:val="10706EC2"/>
    <w:rsid w:val="10CC3157"/>
    <w:rsid w:val="10E15417"/>
    <w:rsid w:val="10E47510"/>
    <w:rsid w:val="12714D53"/>
    <w:rsid w:val="12807280"/>
    <w:rsid w:val="12D960A8"/>
    <w:rsid w:val="13482C10"/>
    <w:rsid w:val="134D2964"/>
    <w:rsid w:val="13BF0D07"/>
    <w:rsid w:val="142249DE"/>
    <w:rsid w:val="148463E6"/>
    <w:rsid w:val="14A57FEB"/>
    <w:rsid w:val="14AF246B"/>
    <w:rsid w:val="14D20D9B"/>
    <w:rsid w:val="14DF0BF0"/>
    <w:rsid w:val="14FB46BE"/>
    <w:rsid w:val="15A72BED"/>
    <w:rsid w:val="15AA3B85"/>
    <w:rsid w:val="1621170E"/>
    <w:rsid w:val="16611A5C"/>
    <w:rsid w:val="16DA04EA"/>
    <w:rsid w:val="17234CE9"/>
    <w:rsid w:val="1747077B"/>
    <w:rsid w:val="17730E7B"/>
    <w:rsid w:val="17D41B5D"/>
    <w:rsid w:val="17FE0021"/>
    <w:rsid w:val="18016489"/>
    <w:rsid w:val="185537EF"/>
    <w:rsid w:val="18B91D2B"/>
    <w:rsid w:val="18C40414"/>
    <w:rsid w:val="197565E1"/>
    <w:rsid w:val="1A2D55D8"/>
    <w:rsid w:val="1A6A6D44"/>
    <w:rsid w:val="1A817123"/>
    <w:rsid w:val="1A924B4B"/>
    <w:rsid w:val="1AEF263B"/>
    <w:rsid w:val="1AF3062B"/>
    <w:rsid w:val="1B5878DE"/>
    <w:rsid w:val="1B993D49"/>
    <w:rsid w:val="1C093ECB"/>
    <w:rsid w:val="1CE4433A"/>
    <w:rsid w:val="1CFB7E65"/>
    <w:rsid w:val="1D5A2EB3"/>
    <w:rsid w:val="1DDC7772"/>
    <w:rsid w:val="1DF957C5"/>
    <w:rsid w:val="1DFE26B5"/>
    <w:rsid w:val="1E3E561C"/>
    <w:rsid w:val="1E834831"/>
    <w:rsid w:val="1EBD04C7"/>
    <w:rsid w:val="1EE84AA8"/>
    <w:rsid w:val="1F4707F4"/>
    <w:rsid w:val="1F5E4DE0"/>
    <w:rsid w:val="1FA64937"/>
    <w:rsid w:val="1FB8680F"/>
    <w:rsid w:val="2008546C"/>
    <w:rsid w:val="20241274"/>
    <w:rsid w:val="203377E2"/>
    <w:rsid w:val="20366CBA"/>
    <w:rsid w:val="206147CA"/>
    <w:rsid w:val="20B75FDD"/>
    <w:rsid w:val="21885A22"/>
    <w:rsid w:val="21B30223"/>
    <w:rsid w:val="226F0570"/>
    <w:rsid w:val="228447E5"/>
    <w:rsid w:val="22AE23D4"/>
    <w:rsid w:val="23424F53"/>
    <w:rsid w:val="236E14E2"/>
    <w:rsid w:val="236E49A9"/>
    <w:rsid w:val="237B6CF5"/>
    <w:rsid w:val="23ED1E7A"/>
    <w:rsid w:val="248B4A45"/>
    <w:rsid w:val="24921E0B"/>
    <w:rsid w:val="24FD489A"/>
    <w:rsid w:val="25381C7D"/>
    <w:rsid w:val="25690EE6"/>
    <w:rsid w:val="25F449AD"/>
    <w:rsid w:val="261D2B9D"/>
    <w:rsid w:val="26222B50"/>
    <w:rsid w:val="26E14441"/>
    <w:rsid w:val="26F47237"/>
    <w:rsid w:val="2765311F"/>
    <w:rsid w:val="276F4994"/>
    <w:rsid w:val="27E45BAA"/>
    <w:rsid w:val="284A00B5"/>
    <w:rsid w:val="28A945E1"/>
    <w:rsid w:val="28E86F25"/>
    <w:rsid w:val="28ED2680"/>
    <w:rsid w:val="298C2692"/>
    <w:rsid w:val="29CE5A6F"/>
    <w:rsid w:val="29D148D0"/>
    <w:rsid w:val="29F41202"/>
    <w:rsid w:val="2A5674A5"/>
    <w:rsid w:val="2AC803DC"/>
    <w:rsid w:val="2B5D4262"/>
    <w:rsid w:val="2C8F68B4"/>
    <w:rsid w:val="2DBB1898"/>
    <w:rsid w:val="2DD33C07"/>
    <w:rsid w:val="2E06172C"/>
    <w:rsid w:val="2E073C10"/>
    <w:rsid w:val="2E3A6473"/>
    <w:rsid w:val="2E611ED3"/>
    <w:rsid w:val="2E614217"/>
    <w:rsid w:val="2E63100D"/>
    <w:rsid w:val="2EE925AD"/>
    <w:rsid w:val="2F0F103A"/>
    <w:rsid w:val="2F2D7712"/>
    <w:rsid w:val="2F513BE3"/>
    <w:rsid w:val="2F58699C"/>
    <w:rsid w:val="2FFB5128"/>
    <w:rsid w:val="30143D85"/>
    <w:rsid w:val="30645F7E"/>
    <w:rsid w:val="306539BC"/>
    <w:rsid w:val="30A85F0E"/>
    <w:rsid w:val="31107EB5"/>
    <w:rsid w:val="312B52FF"/>
    <w:rsid w:val="31752B09"/>
    <w:rsid w:val="319E482C"/>
    <w:rsid w:val="31DB6122"/>
    <w:rsid w:val="32546D64"/>
    <w:rsid w:val="32961BD0"/>
    <w:rsid w:val="33290ED2"/>
    <w:rsid w:val="33995EB7"/>
    <w:rsid w:val="33F805CA"/>
    <w:rsid w:val="340057F5"/>
    <w:rsid w:val="341548E3"/>
    <w:rsid w:val="3453268B"/>
    <w:rsid w:val="34D2398C"/>
    <w:rsid w:val="34FF38FF"/>
    <w:rsid w:val="35DF54EA"/>
    <w:rsid w:val="37506FF7"/>
    <w:rsid w:val="37712A39"/>
    <w:rsid w:val="384E5C03"/>
    <w:rsid w:val="38500B74"/>
    <w:rsid w:val="38543A8E"/>
    <w:rsid w:val="38A26DD7"/>
    <w:rsid w:val="38D97C10"/>
    <w:rsid w:val="390414E4"/>
    <w:rsid w:val="394647E0"/>
    <w:rsid w:val="3A206823"/>
    <w:rsid w:val="3A382C9D"/>
    <w:rsid w:val="3A5B2D2A"/>
    <w:rsid w:val="3A5B304C"/>
    <w:rsid w:val="3AE50133"/>
    <w:rsid w:val="3B345EA5"/>
    <w:rsid w:val="3C025A55"/>
    <w:rsid w:val="3C0C7846"/>
    <w:rsid w:val="3C336BA3"/>
    <w:rsid w:val="3C43061B"/>
    <w:rsid w:val="3C98497F"/>
    <w:rsid w:val="3D5D5E14"/>
    <w:rsid w:val="3D981865"/>
    <w:rsid w:val="3DA84C6F"/>
    <w:rsid w:val="3DB531EC"/>
    <w:rsid w:val="3DB8680E"/>
    <w:rsid w:val="3E547401"/>
    <w:rsid w:val="3E860FEB"/>
    <w:rsid w:val="3F4B07E1"/>
    <w:rsid w:val="406A74F1"/>
    <w:rsid w:val="40AF61D9"/>
    <w:rsid w:val="40EF43E3"/>
    <w:rsid w:val="41327F6E"/>
    <w:rsid w:val="41653C86"/>
    <w:rsid w:val="41816CDC"/>
    <w:rsid w:val="41EB4EBE"/>
    <w:rsid w:val="422F3E26"/>
    <w:rsid w:val="43036342"/>
    <w:rsid w:val="43456458"/>
    <w:rsid w:val="43714522"/>
    <w:rsid w:val="44762818"/>
    <w:rsid w:val="44821DFE"/>
    <w:rsid w:val="44ED72D0"/>
    <w:rsid w:val="454C4251"/>
    <w:rsid w:val="4563730C"/>
    <w:rsid w:val="45A25A5F"/>
    <w:rsid w:val="45CA1C41"/>
    <w:rsid w:val="46092CD6"/>
    <w:rsid w:val="463D55C6"/>
    <w:rsid w:val="470F0BFF"/>
    <w:rsid w:val="47217A87"/>
    <w:rsid w:val="472603F3"/>
    <w:rsid w:val="47946129"/>
    <w:rsid w:val="47CF7BDC"/>
    <w:rsid w:val="47FB2049"/>
    <w:rsid w:val="48121A33"/>
    <w:rsid w:val="482F072B"/>
    <w:rsid w:val="48694FA0"/>
    <w:rsid w:val="488E768B"/>
    <w:rsid w:val="48F83F33"/>
    <w:rsid w:val="49644A75"/>
    <w:rsid w:val="49F41D5E"/>
    <w:rsid w:val="4A16385D"/>
    <w:rsid w:val="4A437992"/>
    <w:rsid w:val="4A582597"/>
    <w:rsid w:val="4B1E31F7"/>
    <w:rsid w:val="4B4312CB"/>
    <w:rsid w:val="4B441C14"/>
    <w:rsid w:val="4BCB3573"/>
    <w:rsid w:val="4BD20FCE"/>
    <w:rsid w:val="4BDD6632"/>
    <w:rsid w:val="4C613706"/>
    <w:rsid w:val="4CE75373"/>
    <w:rsid w:val="4D164505"/>
    <w:rsid w:val="4D23173E"/>
    <w:rsid w:val="4D6F1F52"/>
    <w:rsid w:val="4DE4323A"/>
    <w:rsid w:val="4E0E0E2F"/>
    <w:rsid w:val="4ECB0F1D"/>
    <w:rsid w:val="4EEC1954"/>
    <w:rsid w:val="4F1240FB"/>
    <w:rsid w:val="4F9C19A5"/>
    <w:rsid w:val="4FFE4531"/>
    <w:rsid w:val="500F5F58"/>
    <w:rsid w:val="50997852"/>
    <w:rsid w:val="50D6643A"/>
    <w:rsid w:val="50DF1BF5"/>
    <w:rsid w:val="51051E45"/>
    <w:rsid w:val="51066F16"/>
    <w:rsid w:val="513E6D5A"/>
    <w:rsid w:val="516B0FFA"/>
    <w:rsid w:val="51E97071"/>
    <w:rsid w:val="524D0715"/>
    <w:rsid w:val="53B46D62"/>
    <w:rsid w:val="546142C1"/>
    <w:rsid w:val="546A2353"/>
    <w:rsid w:val="547F2D79"/>
    <w:rsid w:val="549134E6"/>
    <w:rsid w:val="54F426EA"/>
    <w:rsid w:val="554F18E1"/>
    <w:rsid w:val="55866255"/>
    <w:rsid w:val="566D4B95"/>
    <w:rsid w:val="56A95021"/>
    <w:rsid w:val="56C14EE7"/>
    <w:rsid w:val="572656D4"/>
    <w:rsid w:val="57C9597B"/>
    <w:rsid w:val="582F7751"/>
    <w:rsid w:val="589519E5"/>
    <w:rsid w:val="589A3B61"/>
    <w:rsid w:val="589B201D"/>
    <w:rsid w:val="589F605F"/>
    <w:rsid w:val="59090D3D"/>
    <w:rsid w:val="594306EC"/>
    <w:rsid w:val="598D555E"/>
    <w:rsid w:val="59AD06A4"/>
    <w:rsid w:val="59AE303D"/>
    <w:rsid w:val="59F02E1D"/>
    <w:rsid w:val="59FA2A84"/>
    <w:rsid w:val="5A4D586D"/>
    <w:rsid w:val="5A6249B0"/>
    <w:rsid w:val="5AC82C4E"/>
    <w:rsid w:val="5B334B96"/>
    <w:rsid w:val="5B86466F"/>
    <w:rsid w:val="5BC361AC"/>
    <w:rsid w:val="5BF15A6A"/>
    <w:rsid w:val="5C366A56"/>
    <w:rsid w:val="5C8B06D9"/>
    <w:rsid w:val="5CE02700"/>
    <w:rsid w:val="5DEF6BDE"/>
    <w:rsid w:val="5E0B52B6"/>
    <w:rsid w:val="5EDB3B38"/>
    <w:rsid w:val="5EE84C68"/>
    <w:rsid w:val="5EF2482C"/>
    <w:rsid w:val="5F4E6E75"/>
    <w:rsid w:val="603E10A5"/>
    <w:rsid w:val="60401358"/>
    <w:rsid w:val="60BF052D"/>
    <w:rsid w:val="60D4522A"/>
    <w:rsid w:val="61E025FF"/>
    <w:rsid w:val="621D5BA4"/>
    <w:rsid w:val="62210DCE"/>
    <w:rsid w:val="6252306F"/>
    <w:rsid w:val="62D60F4C"/>
    <w:rsid w:val="62E250F1"/>
    <w:rsid w:val="62E56CAD"/>
    <w:rsid w:val="635B6748"/>
    <w:rsid w:val="63947A95"/>
    <w:rsid w:val="63B71108"/>
    <w:rsid w:val="63D944C2"/>
    <w:rsid w:val="63DE187D"/>
    <w:rsid w:val="645B75C4"/>
    <w:rsid w:val="64855C62"/>
    <w:rsid w:val="6575765A"/>
    <w:rsid w:val="661462C1"/>
    <w:rsid w:val="66583DCD"/>
    <w:rsid w:val="67057995"/>
    <w:rsid w:val="670D5158"/>
    <w:rsid w:val="674154E3"/>
    <w:rsid w:val="675A547E"/>
    <w:rsid w:val="67B167D1"/>
    <w:rsid w:val="67DA7E18"/>
    <w:rsid w:val="685F1C50"/>
    <w:rsid w:val="68607361"/>
    <w:rsid w:val="688834AF"/>
    <w:rsid w:val="68B8004E"/>
    <w:rsid w:val="6942733B"/>
    <w:rsid w:val="69807F47"/>
    <w:rsid w:val="699022E9"/>
    <w:rsid w:val="69970756"/>
    <w:rsid w:val="69DC5B83"/>
    <w:rsid w:val="69E2467A"/>
    <w:rsid w:val="6A714498"/>
    <w:rsid w:val="6A850067"/>
    <w:rsid w:val="6ACE183E"/>
    <w:rsid w:val="6B0734DC"/>
    <w:rsid w:val="6B086362"/>
    <w:rsid w:val="6B243503"/>
    <w:rsid w:val="6B475862"/>
    <w:rsid w:val="6B783075"/>
    <w:rsid w:val="6B7E5C45"/>
    <w:rsid w:val="6B91045C"/>
    <w:rsid w:val="6B941C62"/>
    <w:rsid w:val="6BBA2C9E"/>
    <w:rsid w:val="6BDA7CFF"/>
    <w:rsid w:val="6CD06F07"/>
    <w:rsid w:val="6D7D68F2"/>
    <w:rsid w:val="6D8D75E5"/>
    <w:rsid w:val="6D967C55"/>
    <w:rsid w:val="6DC937E6"/>
    <w:rsid w:val="6DEB43DA"/>
    <w:rsid w:val="6EC85CA0"/>
    <w:rsid w:val="6EFB7725"/>
    <w:rsid w:val="6F5A4CB2"/>
    <w:rsid w:val="6F733FF1"/>
    <w:rsid w:val="6F734C15"/>
    <w:rsid w:val="6FAA66AE"/>
    <w:rsid w:val="6FCC631A"/>
    <w:rsid w:val="70182BA3"/>
    <w:rsid w:val="7037394F"/>
    <w:rsid w:val="70A132D9"/>
    <w:rsid w:val="71331A6C"/>
    <w:rsid w:val="715008E3"/>
    <w:rsid w:val="717B5AE0"/>
    <w:rsid w:val="720E304D"/>
    <w:rsid w:val="73024FCF"/>
    <w:rsid w:val="7331552C"/>
    <w:rsid w:val="7333597E"/>
    <w:rsid w:val="74543E56"/>
    <w:rsid w:val="745919C6"/>
    <w:rsid w:val="74702A9A"/>
    <w:rsid w:val="7496052E"/>
    <w:rsid w:val="74EF72B3"/>
    <w:rsid w:val="75375FFB"/>
    <w:rsid w:val="75892AC3"/>
    <w:rsid w:val="759C3518"/>
    <w:rsid w:val="761C2BBB"/>
    <w:rsid w:val="76452218"/>
    <w:rsid w:val="765E71C8"/>
    <w:rsid w:val="767C0716"/>
    <w:rsid w:val="76842EA9"/>
    <w:rsid w:val="76C86E4B"/>
    <w:rsid w:val="76D87530"/>
    <w:rsid w:val="76E211F9"/>
    <w:rsid w:val="77260421"/>
    <w:rsid w:val="772E7451"/>
    <w:rsid w:val="776A1DE8"/>
    <w:rsid w:val="77DD3563"/>
    <w:rsid w:val="780C55C6"/>
    <w:rsid w:val="78576AD8"/>
    <w:rsid w:val="785D00CA"/>
    <w:rsid w:val="7884318A"/>
    <w:rsid w:val="796E4C23"/>
    <w:rsid w:val="798716D4"/>
    <w:rsid w:val="798D7E04"/>
    <w:rsid w:val="79CD69B5"/>
    <w:rsid w:val="79FA0B49"/>
    <w:rsid w:val="7A5372EB"/>
    <w:rsid w:val="7A611453"/>
    <w:rsid w:val="7AD852B7"/>
    <w:rsid w:val="7B333842"/>
    <w:rsid w:val="7B6C3ED6"/>
    <w:rsid w:val="7B8E3D6B"/>
    <w:rsid w:val="7BFC5FE8"/>
    <w:rsid w:val="7D2A435D"/>
    <w:rsid w:val="7D2A6636"/>
    <w:rsid w:val="7D40198C"/>
    <w:rsid w:val="7D7F2253"/>
    <w:rsid w:val="7D923D56"/>
    <w:rsid w:val="7DDD6CEA"/>
    <w:rsid w:val="7E21470A"/>
    <w:rsid w:val="7E494870"/>
    <w:rsid w:val="7E636E14"/>
    <w:rsid w:val="7E757A63"/>
    <w:rsid w:val="7ECB27F1"/>
    <w:rsid w:val="7EF314E8"/>
    <w:rsid w:val="7EFE68BD"/>
    <w:rsid w:val="7F7A7C7A"/>
    <w:rsid w:val="7FBE9FFA"/>
    <w:rsid w:val="A6DDE88A"/>
    <w:rsid w:val="F5DD0C9B"/>
    <w:rsid w:val="F97F162C"/>
    <w:rsid w:val="FF7FB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0" w:name="toc 2"/>
    <w:lsdException w:uiPriority="0" w:name="toc 3"/>
    <w:lsdException w:uiPriority="0" w:name="toc 4"/>
    <w:lsdException w:uiPriority="0" w:name="toc 5"/>
    <w:lsdException w:qFormat="1" w:unhideWhenUsed="0" w:uiPriority="0" w:semiHidden="0" w:name="toc 6"/>
    <w:lsdException w:uiPriority="0" w:name="toc 7"/>
    <w:lsdException w:uiPriority="0" w:name="toc 8"/>
    <w:lsdException w:uiPriority="0" w:name="toc 9"/>
    <w:lsdException w:qFormat="1" w:unhideWhenUsed="0" w:uiPriority="0" w:semiHidden="0" w:name="Normal Indent"/>
    <w:lsdException w:qFormat="1" w:unhideWhenUsed="0"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nhideWhenUsed="0" w:uiPriority="0" w:semiHidden="0" w:name="endnote text"/>
    <w:lsdException w:uiPriority="0" w:name="table of authorities"/>
    <w:lsdException w:uiPriority="0" w:name="macro"/>
    <w:lsdException w:unhideWhenUsed="0" w:uiPriority="0" w:semiHidden="0" w:name="toa heading"/>
    <w:lsdException w:unhideWhenUsed="0" w:uiPriority="0" w:semiHidden="0" w:name="List"/>
    <w:lsdException w:uiPriority="0" w:name="List Bullet"/>
    <w:lsdException w:qFormat="1"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qFormat="1" w:unhideWhenUsed="0" w:uiPriority="0" w:semiHidden="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79"/>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0"/>
    <w:pPr>
      <w:keepNext/>
      <w:keepLines/>
      <w:spacing w:before="240" w:after="0" w:line="360" w:lineRule="auto"/>
      <w:jc w:val="center"/>
      <w:outlineLvl w:val="0"/>
    </w:pPr>
    <w:rPr>
      <w:rFonts w:asciiTheme="majorHAnsi" w:hAnsiTheme="majorHAnsi" w:eastAsiaTheme="majorEastAsia" w:cstheme="majorBidi"/>
      <w:b/>
      <w:color w:val="000000" w:themeColor="text1"/>
      <w:sz w:val="36"/>
      <w:szCs w:val="32"/>
      <w14:textFill>
        <w14:solidFill>
          <w14:schemeClr w14:val="tx1"/>
        </w14:solidFill>
      </w14:textFill>
    </w:rPr>
  </w:style>
  <w:style w:type="paragraph" w:styleId="3">
    <w:name w:val="heading 2"/>
    <w:basedOn w:val="1"/>
    <w:next w:val="1"/>
    <w:link w:val="31"/>
    <w:unhideWhenUsed/>
    <w:qFormat/>
    <w:uiPriority w:val="0"/>
    <w:pPr>
      <w:keepNext/>
      <w:keepLines/>
      <w:spacing w:before="260" w:after="260" w:line="416" w:lineRule="auto"/>
      <w:outlineLvl w:val="1"/>
    </w:pPr>
    <w:rPr>
      <w:rFonts w:asciiTheme="majorHAnsi" w:hAnsiTheme="majorHAnsi" w:eastAsiaTheme="majorEastAsia" w:cstheme="majorBidi"/>
      <w:b/>
      <w:bCs/>
      <w:sz w:val="24"/>
      <w:szCs w:val="32"/>
    </w:rPr>
  </w:style>
  <w:style w:type="paragraph" w:styleId="4">
    <w:name w:val="heading 3"/>
    <w:basedOn w:val="1"/>
    <w:next w:val="1"/>
    <w:unhideWhenUsed/>
    <w:qFormat/>
    <w:uiPriority w:val="0"/>
    <w:pPr>
      <w:keepNext/>
      <w:keepLines/>
      <w:spacing w:before="260" w:after="260" w:line="416" w:lineRule="auto"/>
      <w:outlineLvl w:val="2"/>
    </w:pPr>
    <w:rPr>
      <w:b/>
      <w:bCs/>
      <w:sz w:val="24"/>
      <w:szCs w:val="32"/>
    </w:rPr>
  </w:style>
  <w:style w:type="paragraph" w:styleId="5">
    <w:name w:val="heading 4"/>
    <w:basedOn w:val="1"/>
    <w:next w:val="1"/>
    <w:link w:val="73"/>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List Number"/>
    <w:basedOn w:val="1"/>
    <w:qFormat/>
    <w:uiPriority w:val="0"/>
    <w:pPr>
      <w:numPr>
        <w:ilvl w:val="0"/>
        <w:numId w:val="1"/>
      </w:numPr>
    </w:pPr>
  </w:style>
  <w:style w:type="paragraph" w:styleId="7">
    <w:name w:val="Normal Indent"/>
    <w:basedOn w:val="1"/>
    <w:qFormat/>
    <w:uiPriority w:val="0"/>
    <w:pPr>
      <w:ind w:firstLine="420"/>
    </w:pPr>
    <w:rPr>
      <w:szCs w:val="20"/>
    </w:rPr>
  </w:style>
  <w:style w:type="paragraph" w:styleId="8">
    <w:name w:val="annotation text"/>
    <w:basedOn w:val="1"/>
    <w:link w:val="49"/>
    <w:qFormat/>
    <w:uiPriority w:val="0"/>
    <w:pPr>
      <w:jc w:val="left"/>
    </w:pPr>
  </w:style>
  <w:style w:type="paragraph" w:styleId="9">
    <w:name w:val="Body Text"/>
    <w:basedOn w:val="1"/>
    <w:next w:val="10"/>
    <w:link w:val="78"/>
    <w:qFormat/>
    <w:uiPriority w:val="0"/>
    <w:pPr>
      <w:spacing w:line="360" w:lineRule="exact"/>
    </w:pPr>
    <w:rPr>
      <w:sz w:val="24"/>
    </w:rPr>
  </w:style>
  <w:style w:type="paragraph" w:styleId="10">
    <w:name w:val="Body Text First Indent"/>
    <w:basedOn w:val="9"/>
    <w:next w:val="11"/>
    <w:qFormat/>
    <w:uiPriority w:val="0"/>
    <w:pPr>
      <w:ind w:firstLine="200" w:firstLineChars="200"/>
    </w:pPr>
  </w:style>
  <w:style w:type="paragraph" w:styleId="11">
    <w:name w:val="toc 6"/>
    <w:basedOn w:val="1"/>
    <w:next w:val="1"/>
    <w:qFormat/>
    <w:uiPriority w:val="0"/>
    <w:pPr>
      <w:ind w:left="1000" w:leftChars="1000"/>
    </w:pPr>
  </w:style>
  <w:style w:type="paragraph" w:styleId="12">
    <w:name w:val="Body Text Indent"/>
    <w:basedOn w:val="1"/>
    <w:next w:val="1"/>
    <w:link w:val="52"/>
    <w:qFormat/>
    <w:uiPriority w:val="99"/>
    <w:pPr>
      <w:spacing w:after="120"/>
      <w:ind w:left="420" w:leftChars="200"/>
    </w:pPr>
  </w:style>
  <w:style w:type="paragraph" w:styleId="13">
    <w:name w:val="Plain Text"/>
    <w:basedOn w:val="1"/>
    <w:link w:val="58"/>
    <w:qFormat/>
    <w:uiPriority w:val="99"/>
    <w:rPr>
      <w:rFonts w:ascii="宋体" w:hAnsi="Courier New" w:cstheme="minorBidi"/>
    </w:rPr>
  </w:style>
  <w:style w:type="paragraph" w:styleId="14">
    <w:name w:val="Date"/>
    <w:basedOn w:val="1"/>
    <w:next w:val="1"/>
    <w:link w:val="61"/>
    <w:qFormat/>
    <w:uiPriority w:val="99"/>
    <w:pPr>
      <w:ind w:left="2500" w:leftChars="2500"/>
    </w:pPr>
    <w:rPr>
      <w:rFonts w:eastAsia="楷体_GB2312" w:asciiTheme="minorHAnsi" w:hAnsiTheme="minorHAnsi" w:cstheme="minorBidi"/>
      <w:sz w:val="32"/>
      <w:szCs w:val="22"/>
    </w:rPr>
  </w:style>
  <w:style w:type="paragraph" w:styleId="15">
    <w:name w:val="Balloon Text"/>
    <w:basedOn w:val="1"/>
    <w:link w:val="51"/>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link w:val="5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unhideWhenUsed/>
    <w:qFormat/>
    <w:uiPriority w:val="39"/>
    <w:pPr>
      <w:tabs>
        <w:tab w:val="right" w:leader="dot" w:pos="8835"/>
      </w:tabs>
    </w:pPr>
    <w:rPr>
      <w:rFonts w:eastAsia="仿宋_GB2312"/>
      <w:sz w:val="32"/>
    </w:rPr>
  </w:style>
  <w:style w:type="paragraph" w:styleId="19">
    <w:name w:val="footnote text"/>
    <w:basedOn w:val="1"/>
    <w:semiHidden/>
    <w:qFormat/>
    <w:uiPriority w:val="99"/>
    <w:pPr>
      <w:snapToGrid w:val="0"/>
      <w:jc w:val="left"/>
    </w:pPr>
    <w:rPr>
      <w:sz w:val="18"/>
      <w:szCs w:val="18"/>
    </w:rPr>
  </w:style>
  <w:style w:type="paragraph" w:styleId="20">
    <w:name w:val="Normal (Web)"/>
    <w:basedOn w:val="1"/>
    <w:qFormat/>
    <w:uiPriority w:val="99"/>
    <w:pPr>
      <w:widowControl/>
      <w:spacing w:before="100" w:beforeAutospacing="1" w:after="100" w:afterAutospacing="1"/>
      <w:jc w:val="left"/>
    </w:pPr>
    <w:rPr>
      <w:rFonts w:hint="eastAsia" w:ascii="宋体" w:hAnsi="宋体"/>
      <w:kern w:val="0"/>
      <w:sz w:val="24"/>
    </w:rPr>
  </w:style>
  <w:style w:type="paragraph" w:styleId="21">
    <w:name w:val="Title"/>
    <w:basedOn w:val="1"/>
    <w:next w:val="1"/>
    <w:link w:val="54"/>
    <w:qFormat/>
    <w:uiPriority w:val="0"/>
    <w:pPr>
      <w:spacing w:after="0" w:line="240" w:lineRule="auto"/>
      <w:contextualSpacing/>
    </w:pPr>
    <w:rPr>
      <w:rFonts w:asciiTheme="majorHAnsi" w:hAnsiTheme="majorHAnsi" w:eastAsiaTheme="majorEastAsia" w:cstheme="majorBidi"/>
      <w:spacing w:val="-10"/>
      <w:kern w:val="28"/>
      <w:sz w:val="56"/>
      <w:szCs w:val="56"/>
    </w:rPr>
  </w:style>
  <w:style w:type="paragraph" w:styleId="22">
    <w:name w:val="annotation subject"/>
    <w:basedOn w:val="8"/>
    <w:next w:val="8"/>
    <w:link w:val="50"/>
    <w:qFormat/>
    <w:uiPriority w:val="0"/>
    <w:rPr>
      <w:b/>
      <w:bCs/>
    </w:rPr>
  </w:style>
  <w:style w:type="paragraph" w:styleId="23">
    <w:name w:val="Body Text First Indent 2"/>
    <w:basedOn w:val="12"/>
    <w:next w:val="1"/>
    <w:link w:val="75"/>
    <w:qFormat/>
    <w:uiPriority w:val="99"/>
    <w:pPr>
      <w:tabs>
        <w:tab w:val="left" w:pos="720"/>
        <w:tab w:val="left" w:pos="900"/>
        <w:tab w:val="left" w:pos="1260"/>
        <w:tab w:val="left" w:pos="2160"/>
        <w:tab w:val="left" w:pos="2880"/>
        <w:tab w:val="left" w:pos="3600"/>
        <w:tab w:val="left" w:pos="4320"/>
        <w:tab w:val="left" w:pos="5040"/>
        <w:tab w:val="left" w:pos="5760"/>
      </w:tabs>
      <w:spacing w:line="240" w:lineRule="auto"/>
      <w:ind w:firstLine="420"/>
    </w:pPr>
    <w:rPr>
      <w:rFonts w:cs="宋体"/>
      <w:szCs w:val="21"/>
    </w:r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Hyperlink"/>
    <w:basedOn w:val="26"/>
    <w:unhideWhenUsed/>
    <w:qFormat/>
    <w:uiPriority w:val="0"/>
    <w:rPr>
      <w:color w:val="0563C1" w:themeColor="hyperlink"/>
      <w:u w:val="single"/>
      <w14:textFill>
        <w14:solidFill>
          <w14:schemeClr w14:val="hlink"/>
        </w14:solidFill>
      </w14:textFill>
    </w:rPr>
  </w:style>
  <w:style w:type="character" w:styleId="29">
    <w:name w:val="annotation reference"/>
    <w:basedOn w:val="26"/>
    <w:qFormat/>
    <w:uiPriority w:val="0"/>
    <w:rPr>
      <w:sz w:val="21"/>
      <w:szCs w:val="21"/>
    </w:rPr>
  </w:style>
  <w:style w:type="character" w:customStyle="1" w:styleId="30">
    <w:name w:val="标题 1 字符"/>
    <w:basedOn w:val="26"/>
    <w:link w:val="2"/>
    <w:qFormat/>
    <w:uiPriority w:val="0"/>
    <w:rPr>
      <w:rFonts w:asciiTheme="majorHAnsi" w:hAnsiTheme="majorHAnsi" w:eastAsiaTheme="majorEastAsia" w:cstheme="majorBidi"/>
      <w:b/>
      <w:color w:val="000000" w:themeColor="text1"/>
      <w:kern w:val="2"/>
      <w:sz w:val="36"/>
      <w:szCs w:val="32"/>
      <w14:textFill>
        <w14:solidFill>
          <w14:schemeClr w14:val="tx1"/>
        </w14:solidFill>
      </w14:textFill>
    </w:rPr>
  </w:style>
  <w:style w:type="character" w:customStyle="1" w:styleId="31">
    <w:name w:val="标题 2 字符"/>
    <w:basedOn w:val="26"/>
    <w:link w:val="3"/>
    <w:qFormat/>
    <w:uiPriority w:val="0"/>
    <w:rPr>
      <w:rFonts w:asciiTheme="majorHAnsi" w:hAnsiTheme="majorHAnsi" w:eastAsiaTheme="majorEastAsia" w:cstheme="majorBidi"/>
      <w:b/>
      <w:bCs/>
      <w:kern w:val="2"/>
      <w:sz w:val="24"/>
      <w:szCs w:val="32"/>
    </w:rPr>
  </w:style>
  <w:style w:type="paragraph" w:customStyle="1" w:styleId="32">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33">
    <w:name w:val="列表段落1"/>
    <w:basedOn w:val="1"/>
    <w:qFormat/>
    <w:uiPriority w:val="34"/>
    <w:pPr>
      <w:ind w:firstLine="420" w:firstLineChars="200"/>
    </w:pPr>
    <w:rPr>
      <w:rFonts w:ascii="Calibri" w:hAnsi="Calibri"/>
      <w:szCs w:val="22"/>
    </w:rPr>
  </w:style>
  <w:style w:type="paragraph" w:customStyle="1" w:styleId="34">
    <w:name w:val="无间隔1"/>
    <w:qFormat/>
    <w:uiPriority w:val="99"/>
    <w:pPr>
      <w:adjustRightInd w:val="0"/>
      <w:snapToGrid w:val="0"/>
      <w:spacing w:after="160" w:line="259" w:lineRule="auto"/>
    </w:pPr>
    <w:rPr>
      <w:rFonts w:ascii="Tahoma" w:hAnsi="Tahoma" w:eastAsia="微软雅黑" w:cstheme="minorBidi"/>
      <w:sz w:val="22"/>
      <w:szCs w:val="22"/>
      <w:lang w:val="en-US" w:eastAsia="zh-CN" w:bidi="ar-SA"/>
    </w:rPr>
  </w:style>
  <w:style w:type="paragraph" w:customStyle="1" w:styleId="35">
    <w:name w:val="列出段落1"/>
    <w:basedOn w:val="1"/>
    <w:qFormat/>
    <w:uiPriority w:val="0"/>
    <w:pPr>
      <w:ind w:firstLine="420" w:firstLineChars="200"/>
    </w:pPr>
    <w:rPr>
      <w:rFonts w:ascii="Calibri" w:hAnsi="Calibri"/>
      <w:kern w:val="0"/>
      <w:szCs w:val="20"/>
    </w:rPr>
  </w:style>
  <w:style w:type="paragraph" w:customStyle="1" w:styleId="36">
    <w:name w:val="无间隔11"/>
    <w:qFormat/>
    <w:uiPriority w:val="0"/>
    <w:pPr>
      <w:adjustRightInd w:val="0"/>
      <w:snapToGrid w:val="0"/>
      <w:spacing w:after="160" w:line="259" w:lineRule="auto"/>
    </w:pPr>
    <w:rPr>
      <w:rFonts w:ascii="Tahoma" w:hAnsi="Tahoma" w:eastAsia="微软雅黑" w:cstheme="minorBidi"/>
      <w:sz w:val="22"/>
      <w:szCs w:val="22"/>
      <w:lang w:val="en-US" w:eastAsia="zh-CN" w:bidi="ar-SA"/>
    </w:rPr>
  </w:style>
  <w:style w:type="paragraph" w:customStyle="1" w:styleId="37">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8">
    <w:name w:val="正文_3_0"/>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39">
    <w:name w:val="正文_14"/>
    <w:qFormat/>
    <w:uiPriority w:val="99"/>
    <w:pPr>
      <w:spacing w:after="160" w:line="259" w:lineRule="auto"/>
    </w:pPr>
    <w:rPr>
      <w:rFonts w:ascii="Times New Roman" w:hAnsi="Times New Roman" w:eastAsia="宋体" w:cs="Times New Roman"/>
      <w:sz w:val="21"/>
      <w:szCs w:val="22"/>
      <w:lang w:val="en-US" w:eastAsia="zh-CN" w:bidi="ar-SA"/>
    </w:rPr>
  </w:style>
  <w:style w:type="paragraph" w:customStyle="1" w:styleId="40">
    <w:name w:val="正文_4"/>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41">
    <w:name w:val="正文_5"/>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42">
    <w:name w:val="正文_10"/>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43">
    <w:name w:val="纯文本_3"/>
    <w:basedOn w:val="42"/>
    <w:qFormat/>
    <w:uiPriority w:val="0"/>
    <w:pPr>
      <w:widowControl/>
      <w:jc w:val="left"/>
    </w:pPr>
    <w:rPr>
      <w:rFonts w:ascii="宋体" w:hAnsi="Courier New" w:eastAsiaTheme="minorEastAsia" w:cstheme="minorBidi"/>
      <w:szCs w:val="21"/>
    </w:rPr>
  </w:style>
  <w:style w:type="paragraph" w:customStyle="1" w:styleId="44">
    <w:name w:val="纯文本_0_1"/>
    <w:basedOn w:val="1"/>
    <w:qFormat/>
    <w:uiPriority w:val="0"/>
    <w:pPr>
      <w:widowControl/>
      <w:jc w:val="left"/>
    </w:pPr>
    <w:rPr>
      <w:rFonts w:ascii="宋体" w:hAnsi="Courier New" w:eastAsiaTheme="minorEastAsia" w:cstheme="minorBidi"/>
      <w:szCs w:val="21"/>
    </w:rPr>
  </w:style>
  <w:style w:type="paragraph" w:customStyle="1" w:styleId="45">
    <w:name w:val="正文_17"/>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46">
    <w:name w:val="正文_2_0"/>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47">
    <w:name w:val="正文_6"/>
    <w:qFormat/>
    <w:uiPriority w:val="99"/>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48">
    <w:name w:val="Normal_15"/>
    <w:qFormat/>
    <w:uiPriority w:val="0"/>
    <w:pPr>
      <w:widowControl w:val="0"/>
      <w:spacing w:after="160" w:line="259" w:lineRule="auto"/>
      <w:jc w:val="both"/>
    </w:pPr>
    <w:rPr>
      <w:rFonts w:ascii="Calibri" w:hAnsi="Calibri" w:eastAsia="宋体" w:cs="Times New Roman"/>
      <w:kern w:val="2"/>
      <w:sz w:val="21"/>
      <w:szCs w:val="22"/>
      <w:lang w:val="en-US" w:eastAsia="zh-CN" w:bidi="ar-SA"/>
    </w:rPr>
  </w:style>
  <w:style w:type="character" w:customStyle="1" w:styleId="49">
    <w:name w:val="批注文字 字符"/>
    <w:basedOn w:val="26"/>
    <w:link w:val="8"/>
    <w:qFormat/>
    <w:uiPriority w:val="0"/>
    <w:rPr>
      <w:rFonts w:ascii="Times New Roman" w:hAnsi="Times New Roman" w:eastAsia="宋体" w:cs="Times New Roman"/>
      <w:kern w:val="2"/>
      <w:sz w:val="21"/>
      <w:szCs w:val="24"/>
    </w:rPr>
  </w:style>
  <w:style w:type="character" w:customStyle="1" w:styleId="50">
    <w:name w:val="批注主题 字符"/>
    <w:basedOn w:val="49"/>
    <w:link w:val="22"/>
    <w:qFormat/>
    <w:uiPriority w:val="0"/>
    <w:rPr>
      <w:rFonts w:ascii="Times New Roman" w:hAnsi="Times New Roman" w:eastAsia="宋体" w:cs="Times New Roman"/>
      <w:b/>
      <w:bCs/>
      <w:kern w:val="2"/>
      <w:sz w:val="21"/>
      <w:szCs w:val="24"/>
    </w:rPr>
  </w:style>
  <w:style w:type="character" w:customStyle="1" w:styleId="51">
    <w:name w:val="批注框文本 字符"/>
    <w:basedOn w:val="26"/>
    <w:link w:val="15"/>
    <w:qFormat/>
    <w:uiPriority w:val="0"/>
    <w:rPr>
      <w:rFonts w:ascii="Times New Roman" w:hAnsi="Times New Roman" w:eastAsia="宋体" w:cs="Times New Roman"/>
      <w:kern w:val="2"/>
      <w:sz w:val="18"/>
      <w:szCs w:val="18"/>
    </w:rPr>
  </w:style>
  <w:style w:type="character" w:customStyle="1" w:styleId="52">
    <w:name w:val="正文文本缩进 字符"/>
    <w:basedOn w:val="26"/>
    <w:link w:val="12"/>
    <w:qFormat/>
    <w:uiPriority w:val="99"/>
    <w:rPr>
      <w:kern w:val="2"/>
      <w:sz w:val="21"/>
      <w:szCs w:val="24"/>
    </w:rPr>
  </w:style>
  <w:style w:type="paragraph" w:customStyle="1" w:styleId="53">
    <w:name w:val="样式 标题 3 + (中文) 黑体 小四 非加粗 段前: 7.8 磅 段后: 0 磅 行距: 固定值 20 磅"/>
    <w:basedOn w:val="4"/>
    <w:qFormat/>
    <w:uiPriority w:val="0"/>
    <w:pPr>
      <w:spacing w:before="0" w:after="0" w:line="400" w:lineRule="exact"/>
    </w:pPr>
    <w:rPr>
      <w:rFonts w:eastAsia="黑体"/>
      <w:bCs w:val="0"/>
      <w:szCs w:val="20"/>
    </w:rPr>
  </w:style>
  <w:style w:type="character" w:customStyle="1" w:styleId="54">
    <w:name w:val="标题 字符"/>
    <w:basedOn w:val="26"/>
    <w:link w:val="21"/>
    <w:qFormat/>
    <w:uiPriority w:val="0"/>
    <w:rPr>
      <w:rFonts w:asciiTheme="majorHAnsi" w:hAnsiTheme="majorHAnsi" w:eastAsiaTheme="majorEastAsia" w:cstheme="majorBidi"/>
      <w:spacing w:val="-10"/>
      <w:kern w:val="28"/>
      <w:sz w:val="56"/>
      <w:szCs w:val="56"/>
    </w:rPr>
  </w:style>
  <w:style w:type="character" w:customStyle="1" w:styleId="55">
    <w:name w:val="font01"/>
    <w:basedOn w:val="26"/>
    <w:qFormat/>
    <w:uiPriority w:val="0"/>
    <w:rPr>
      <w:rFonts w:hint="eastAsia" w:ascii="宋体" w:hAnsi="宋体" w:eastAsia="宋体" w:cs="宋体"/>
      <w:color w:val="FF0000"/>
      <w:sz w:val="24"/>
      <w:szCs w:val="24"/>
      <w:u w:val="none"/>
    </w:rPr>
  </w:style>
  <w:style w:type="character" w:customStyle="1" w:styleId="56">
    <w:name w:val="font41"/>
    <w:basedOn w:val="26"/>
    <w:qFormat/>
    <w:uiPriority w:val="0"/>
    <w:rPr>
      <w:rFonts w:hint="default" w:ascii="Times New Roman" w:hAnsi="Times New Roman" w:eastAsia="黑体" w:cs="Times New Roman"/>
      <w:color w:val="000000"/>
      <w:sz w:val="24"/>
      <w:szCs w:val="24"/>
      <w:u w:val="none"/>
    </w:rPr>
  </w:style>
  <w:style w:type="character" w:customStyle="1" w:styleId="57">
    <w:name w:val="font11"/>
    <w:basedOn w:val="26"/>
    <w:qFormat/>
    <w:uiPriority w:val="0"/>
    <w:rPr>
      <w:rFonts w:hint="eastAsia" w:ascii="宋体" w:hAnsi="宋体" w:eastAsia="宋体" w:cs="宋体"/>
      <w:b/>
      <w:color w:val="000000"/>
      <w:sz w:val="21"/>
      <w:szCs w:val="21"/>
      <w:u w:val="none"/>
    </w:rPr>
  </w:style>
  <w:style w:type="character" w:customStyle="1" w:styleId="58">
    <w:name w:val="纯文本 字符"/>
    <w:basedOn w:val="26"/>
    <w:link w:val="13"/>
    <w:qFormat/>
    <w:uiPriority w:val="99"/>
    <w:rPr>
      <w:rFonts w:ascii="宋体" w:hAnsi="Courier New" w:cstheme="minorBidi"/>
      <w:kern w:val="2"/>
      <w:sz w:val="21"/>
      <w:szCs w:val="24"/>
    </w:rPr>
  </w:style>
  <w:style w:type="character" w:customStyle="1" w:styleId="59">
    <w:name w:val="页眉 字符"/>
    <w:basedOn w:val="26"/>
    <w:link w:val="17"/>
    <w:qFormat/>
    <w:uiPriority w:val="0"/>
    <w:rPr>
      <w:kern w:val="2"/>
      <w:sz w:val="18"/>
      <w:szCs w:val="24"/>
    </w:rPr>
  </w:style>
  <w:style w:type="paragraph" w:customStyle="1" w:styleId="60">
    <w:name w:val="附件文字"/>
    <w:basedOn w:val="13"/>
    <w:qFormat/>
    <w:uiPriority w:val="0"/>
    <w:pPr>
      <w:widowControl/>
      <w:overflowPunct w:val="0"/>
      <w:autoSpaceDE w:val="0"/>
      <w:autoSpaceDN w:val="0"/>
      <w:adjustRightInd w:val="0"/>
      <w:snapToGrid w:val="0"/>
      <w:spacing w:after="0" w:line="240" w:lineRule="auto"/>
      <w:ind w:firstLine="150" w:firstLineChars="150"/>
      <w:jc w:val="left"/>
    </w:pPr>
    <w:rPr>
      <w:rFonts w:ascii="Arial" w:hAnsi="Times New Roman" w:cs="Times New Roman"/>
      <w:color w:val="000000"/>
      <w:kern w:val="0"/>
      <w:sz w:val="24"/>
      <w:szCs w:val="21"/>
    </w:rPr>
  </w:style>
  <w:style w:type="character" w:customStyle="1" w:styleId="61">
    <w:name w:val="日期 字符"/>
    <w:basedOn w:val="26"/>
    <w:link w:val="14"/>
    <w:qFormat/>
    <w:locked/>
    <w:uiPriority w:val="99"/>
    <w:rPr>
      <w:rFonts w:eastAsia="楷体_GB2312" w:asciiTheme="minorHAnsi" w:hAnsiTheme="minorHAnsi" w:cstheme="minorBidi"/>
      <w:kern w:val="2"/>
      <w:sz w:val="32"/>
      <w:szCs w:val="22"/>
    </w:rPr>
  </w:style>
  <w:style w:type="paragraph" w:customStyle="1" w:styleId="62">
    <w:name w:val="_Style 2"/>
    <w:qFormat/>
    <w:uiPriority w:val="99"/>
    <w:pPr>
      <w:adjustRightInd w:val="0"/>
      <w:snapToGrid w:val="0"/>
    </w:pPr>
    <w:rPr>
      <w:rFonts w:ascii="Tahoma" w:hAnsi="Tahoma" w:eastAsia="微软雅黑" w:cs="Tahoma"/>
      <w:sz w:val="22"/>
      <w:szCs w:val="22"/>
      <w:lang w:val="en-US" w:eastAsia="zh-CN" w:bidi="ar-SA"/>
    </w:rPr>
  </w:style>
  <w:style w:type="character" w:customStyle="1" w:styleId="63">
    <w:name w:val="未处理的提及1"/>
    <w:basedOn w:val="26"/>
    <w:unhideWhenUsed/>
    <w:qFormat/>
    <w:uiPriority w:val="99"/>
    <w:rPr>
      <w:color w:val="605E5C"/>
      <w:shd w:val="clear" w:color="auto" w:fill="E1DFDD"/>
    </w:rPr>
  </w:style>
  <w:style w:type="paragraph" w:customStyle="1" w:styleId="64">
    <w:name w:val="Table Paragraph"/>
    <w:basedOn w:val="1"/>
    <w:qFormat/>
    <w:uiPriority w:val="1"/>
    <w:pPr>
      <w:spacing w:after="0" w:line="240" w:lineRule="auto"/>
    </w:pPr>
    <w:rPr>
      <w:rFonts w:ascii="宋体" w:hAnsi="宋体" w:cs="宋体"/>
    </w:rPr>
  </w:style>
  <w:style w:type="paragraph" w:customStyle="1" w:styleId="65">
    <w:name w:val="样式 标题 1 + 四号 加粗"/>
    <w:basedOn w:val="2"/>
    <w:qFormat/>
    <w:uiPriority w:val="0"/>
    <w:rPr>
      <w:rFonts w:eastAsia="黑体"/>
      <w:lang w:eastAsia="en-US"/>
    </w:rPr>
  </w:style>
  <w:style w:type="paragraph" w:customStyle="1" w:styleId="66">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67">
    <w:name w:val="文件正文"/>
    <w:basedOn w:val="1"/>
    <w:qFormat/>
    <w:uiPriority w:val="0"/>
    <w:pPr>
      <w:spacing w:before="48" w:beforeLines="20" w:line="360" w:lineRule="auto"/>
      <w:ind w:firstLine="420"/>
    </w:pPr>
  </w:style>
  <w:style w:type="paragraph" w:styleId="68">
    <w:name w:val="List Paragraph"/>
    <w:basedOn w:val="1"/>
    <w:unhideWhenUsed/>
    <w:qFormat/>
    <w:uiPriority w:val="99"/>
    <w:pPr>
      <w:ind w:firstLine="420" w:firstLineChars="200"/>
    </w:pPr>
  </w:style>
  <w:style w:type="character" w:customStyle="1" w:styleId="69">
    <w:name w:val="font21"/>
    <w:basedOn w:val="26"/>
    <w:qFormat/>
    <w:uiPriority w:val="0"/>
    <w:rPr>
      <w:rFonts w:hint="eastAsia" w:ascii="宋体" w:hAnsi="宋体" w:eastAsia="宋体" w:cs="宋体"/>
      <w:color w:val="000000"/>
      <w:sz w:val="20"/>
      <w:szCs w:val="20"/>
      <w:u w:val="none"/>
    </w:rPr>
  </w:style>
  <w:style w:type="character" w:customStyle="1" w:styleId="70">
    <w:name w:val="font91"/>
    <w:basedOn w:val="26"/>
    <w:qFormat/>
    <w:uiPriority w:val="0"/>
    <w:rPr>
      <w:rFonts w:ascii="Calibri" w:hAnsi="Calibri" w:cs="Calibri"/>
      <w:color w:val="000000"/>
      <w:sz w:val="20"/>
      <w:szCs w:val="20"/>
      <w:u w:val="none"/>
    </w:rPr>
  </w:style>
  <w:style w:type="character" w:customStyle="1" w:styleId="71">
    <w:name w:val="font31"/>
    <w:basedOn w:val="26"/>
    <w:qFormat/>
    <w:uiPriority w:val="0"/>
    <w:rPr>
      <w:rFonts w:hint="eastAsia" w:ascii="宋体" w:hAnsi="宋体" w:eastAsia="宋体" w:cs="宋体"/>
      <w:color w:val="000000"/>
      <w:sz w:val="20"/>
      <w:szCs w:val="20"/>
      <w:u w:val="none"/>
    </w:rPr>
  </w:style>
  <w:style w:type="paragraph" w:customStyle="1" w:styleId="72">
    <w:name w:val="签发人"/>
    <w:basedOn w:val="1"/>
    <w:qFormat/>
    <w:uiPriority w:val="0"/>
    <w:rPr>
      <w:rFonts w:eastAsia="楷体"/>
      <w:sz w:val="32"/>
    </w:rPr>
  </w:style>
  <w:style w:type="character" w:customStyle="1" w:styleId="73">
    <w:name w:val="标题 4 字符"/>
    <w:basedOn w:val="26"/>
    <w:link w:val="5"/>
    <w:qFormat/>
    <w:uiPriority w:val="0"/>
    <w:rPr>
      <w:rFonts w:asciiTheme="majorHAnsi" w:hAnsiTheme="majorHAnsi" w:eastAsiaTheme="majorEastAsia" w:cstheme="majorBidi"/>
      <w:b/>
      <w:bCs/>
      <w:kern w:val="2"/>
      <w:sz w:val="28"/>
      <w:szCs w:val="28"/>
    </w:rPr>
  </w:style>
  <w:style w:type="paragraph" w:customStyle="1" w:styleId="74">
    <w:name w:val="_Style 116"/>
    <w:basedOn w:val="1"/>
    <w:next w:val="68"/>
    <w:qFormat/>
    <w:uiPriority w:val="34"/>
    <w:pPr>
      <w:widowControl/>
      <w:ind w:firstLine="420" w:firstLineChars="200"/>
      <w:jc w:val="left"/>
    </w:pPr>
    <w:rPr>
      <w:kern w:val="0"/>
      <w:sz w:val="20"/>
      <w:szCs w:val="20"/>
    </w:rPr>
  </w:style>
  <w:style w:type="character" w:customStyle="1" w:styleId="75">
    <w:name w:val="正文文本首行缩进 2 字符"/>
    <w:basedOn w:val="52"/>
    <w:link w:val="23"/>
    <w:qFormat/>
    <w:uiPriority w:val="99"/>
    <w:rPr>
      <w:rFonts w:cs="宋体"/>
      <w:kern w:val="2"/>
      <w:sz w:val="21"/>
      <w:szCs w:val="21"/>
    </w:rPr>
  </w:style>
  <w:style w:type="paragraph" w:customStyle="1" w:styleId="76">
    <w:name w:val="表格文字"/>
    <w:basedOn w:val="1"/>
    <w:next w:val="9"/>
    <w:qFormat/>
    <w:uiPriority w:val="99"/>
    <w:pPr>
      <w:adjustRightInd w:val="0"/>
      <w:spacing w:after="0" w:line="420" w:lineRule="atLeast"/>
      <w:jc w:val="left"/>
      <w:textAlignment w:val="baseline"/>
    </w:pPr>
    <w:rPr>
      <w:kern w:val="0"/>
    </w:rPr>
  </w:style>
  <w:style w:type="character" w:customStyle="1" w:styleId="77">
    <w:name w:val="font112"/>
    <w:basedOn w:val="26"/>
    <w:qFormat/>
    <w:uiPriority w:val="0"/>
    <w:rPr>
      <w:rFonts w:ascii="微软雅黑" w:hAnsi="微软雅黑" w:eastAsia="微软雅黑" w:cs="微软雅黑"/>
      <w:color w:val="000000"/>
      <w:sz w:val="22"/>
      <w:szCs w:val="22"/>
      <w:u w:val="none"/>
    </w:rPr>
  </w:style>
  <w:style w:type="character" w:customStyle="1" w:styleId="78">
    <w:name w:val="正文文本 字符"/>
    <w:basedOn w:val="26"/>
    <w:link w:val="9"/>
    <w:qFormat/>
    <w:uiPriority w:val="0"/>
    <w:rPr>
      <w:kern w:val="2"/>
      <w:sz w:val="24"/>
      <w:szCs w:val="24"/>
    </w:rPr>
  </w:style>
  <w:style w:type="character" w:customStyle="1" w:styleId="79">
    <w:name w:val="NormalCharacter"/>
    <w:link w:val="1"/>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CEB01F-EFE4-42C3-BC41-184AF5301792}">
  <ds:schemaRefs/>
</ds:datastoreItem>
</file>

<file path=docProps/app.xml><?xml version="1.0" encoding="utf-8"?>
<Properties xmlns="http://schemas.openxmlformats.org/officeDocument/2006/extended-properties" xmlns:vt="http://schemas.openxmlformats.org/officeDocument/2006/docPropsVTypes">
  <Template>Normal</Template>
  <Pages>76</Pages>
  <Words>3463</Words>
  <Characters>4311</Characters>
  <Lines>511</Lines>
  <Paragraphs>144</Paragraphs>
  <TotalTime>27</TotalTime>
  <ScaleCrop>false</ScaleCrop>
  <LinksUpToDate>false</LinksUpToDate>
  <CharactersWithSpaces>4406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2024-09-13T09:48:00Z</dcterms:created>
  <dc:creator>Administrator</dc:creator>
  <cp:lastModifiedBy>斜阳半抹</cp:lastModifiedBy>
  <cp:lastPrinted>2025-10-13T07:09:00Z</cp:lastPrinted>
  <dcterms:modified xsi:type="dcterms:W3CDTF">2026-04-10T09:47:49Z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597B4516867C40898C3400408114AD88_13</vt:lpwstr>
  </property>
  <property fmtid="{D5CDD505-2E9C-101B-9397-08002B2CF9AE}" pid="4" name="KSOTemplateDocerSaveRecord">
    <vt:lpwstr>eyJoZGlkIjoiYzEzODZjNDBhNWYwYjkyZDJkN2I1MmRmYjhkMWU4MjEiLCJ1c2VySWQiOiI0MTYwMDk1In0=</vt:lpwstr>
  </property>
</Properties>
</file>