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CECB75">
      <w:pPr>
        <w:pStyle w:val="3"/>
        <w:keepNext w:val="0"/>
        <w:keepLines w:val="0"/>
        <w:pageBreakBefore w:val="0"/>
        <w:widowControl w:val="0"/>
        <w:kinsoku/>
        <w:wordWrap w:val="0"/>
        <w:overflowPunct/>
        <w:topLinePunct/>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auto"/>
          <w:sz w:val="52"/>
          <w:szCs w:val="52"/>
          <w:highlight w:val="none"/>
          <w:lang w:eastAsia="zh-CN"/>
        </w:rPr>
      </w:pPr>
      <w:bookmarkStart w:id="0" w:name="OLE_LINK1"/>
      <w:r>
        <w:rPr>
          <w:rFonts w:hint="eastAsia" w:ascii="宋体" w:hAnsi="宋体" w:eastAsia="宋体" w:cs="宋体"/>
          <w:b/>
          <w:bCs/>
          <w:color w:val="auto"/>
          <w:sz w:val="52"/>
          <w:szCs w:val="52"/>
          <w:highlight w:val="none"/>
          <w:lang w:val="en-US" w:eastAsia="zh-CN"/>
        </w:rPr>
        <w:t>2026年海盐县高标准农田管护保险项目</w:t>
      </w:r>
    </w:p>
    <w:bookmarkEnd w:id="0"/>
    <w:p w14:paraId="16089781">
      <w:pPr>
        <w:rPr>
          <w:rFonts w:hint="eastAsia"/>
          <w:color w:val="auto"/>
        </w:rPr>
      </w:pPr>
    </w:p>
    <w:p w14:paraId="5E59EE0F">
      <w:pPr>
        <w:pStyle w:val="10"/>
        <w:rPr>
          <w:rFonts w:hint="eastAsia"/>
          <w:color w:val="auto"/>
        </w:rPr>
      </w:pPr>
    </w:p>
    <w:p w14:paraId="1019EF18">
      <w:pPr>
        <w:pStyle w:val="3"/>
        <w:keepNext w:val="0"/>
        <w:keepLines w:val="0"/>
        <w:pageBreakBefore w:val="0"/>
        <w:widowControl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bCs/>
          <w:color w:val="auto"/>
          <w:sz w:val="48"/>
          <w:szCs w:val="48"/>
          <w:highlight w:val="none"/>
        </w:rPr>
      </w:pPr>
    </w:p>
    <w:p w14:paraId="02393F75">
      <w:pPr>
        <w:pStyle w:val="3"/>
        <w:keepNext w:val="0"/>
        <w:keepLines w:val="0"/>
        <w:pageBreakBefore w:val="0"/>
        <w:widowControl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bCs/>
          <w:color w:val="auto"/>
          <w:sz w:val="48"/>
          <w:szCs w:val="48"/>
          <w:highlight w:val="none"/>
        </w:rPr>
      </w:pPr>
      <w:bookmarkStart w:id="1" w:name="_Toc14143"/>
      <w:r>
        <w:rPr>
          <w:rFonts w:hint="eastAsia" w:ascii="宋体" w:hAnsi="宋体" w:eastAsia="宋体" w:cs="宋体"/>
          <w:b/>
          <w:bCs/>
          <w:color w:val="auto"/>
          <w:sz w:val="48"/>
          <w:szCs w:val="48"/>
          <w:highlight w:val="none"/>
        </w:rPr>
        <w:t>公</w:t>
      </w:r>
      <w:bookmarkEnd w:id="1"/>
    </w:p>
    <w:p w14:paraId="04CFC0B9">
      <w:pPr>
        <w:pStyle w:val="3"/>
        <w:keepNext w:val="0"/>
        <w:keepLines w:val="0"/>
        <w:pageBreakBefore w:val="0"/>
        <w:widowControl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bCs/>
          <w:color w:val="auto"/>
          <w:sz w:val="48"/>
          <w:szCs w:val="48"/>
          <w:highlight w:val="none"/>
        </w:rPr>
      </w:pPr>
      <w:bookmarkStart w:id="2" w:name="_Toc23679"/>
      <w:r>
        <w:rPr>
          <w:rFonts w:hint="eastAsia" w:ascii="宋体" w:hAnsi="宋体" w:eastAsia="宋体" w:cs="宋体"/>
          <w:b/>
          <w:bCs/>
          <w:color w:val="auto"/>
          <w:sz w:val="48"/>
          <w:szCs w:val="48"/>
          <w:highlight w:val="none"/>
        </w:rPr>
        <w:t>开</w:t>
      </w:r>
      <w:bookmarkEnd w:id="2"/>
    </w:p>
    <w:p w14:paraId="14EB78ED">
      <w:pPr>
        <w:pStyle w:val="3"/>
        <w:keepNext w:val="0"/>
        <w:keepLines w:val="0"/>
        <w:pageBreakBefore w:val="0"/>
        <w:widowControl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bCs/>
          <w:color w:val="auto"/>
          <w:sz w:val="48"/>
          <w:szCs w:val="48"/>
          <w:highlight w:val="none"/>
        </w:rPr>
      </w:pPr>
      <w:bookmarkStart w:id="3" w:name="_Toc11911"/>
      <w:r>
        <w:rPr>
          <w:rFonts w:hint="eastAsia" w:ascii="宋体" w:hAnsi="宋体" w:eastAsia="宋体" w:cs="宋体"/>
          <w:b/>
          <w:bCs/>
          <w:color w:val="auto"/>
          <w:sz w:val="48"/>
          <w:szCs w:val="48"/>
          <w:highlight w:val="none"/>
        </w:rPr>
        <w:t>招</w:t>
      </w:r>
      <w:bookmarkEnd w:id="3"/>
    </w:p>
    <w:p w14:paraId="30ABC043">
      <w:pPr>
        <w:pStyle w:val="3"/>
        <w:keepNext w:val="0"/>
        <w:keepLines w:val="0"/>
        <w:pageBreakBefore w:val="0"/>
        <w:widowControl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bCs/>
          <w:color w:val="auto"/>
          <w:sz w:val="48"/>
          <w:szCs w:val="48"/>
          <w:highlight w:val="none"/>
        </w:rPr>
      </w:pPr>
      <w:bookmarkStart w:id="4" w:name="_Toc28296"/>
      <w:r>
        <w:rPr>
          <w:rFonts w:hint="eastAsia" w:ascii="宋体" w:hAnsi="宋体" w:eastAsia="宋体" w:cs="宋体"/>
          <w:b/>
          <w:bCs/>
          <w:color w:val="auto"/>
          <w:sz w:val="48"/>
          <w:szCs w:val="48"/>
          <w:highlight w:val="none"/>
        </w:rPr>
        <w:t>标</w:t>
      </w:r>
      <w:bookmarkEnd w:id="4"/>
    </w:p>
    <w:p w14:paraId="0FFC63C3">
      <w:pPr>
        <w:pStyle w:val="3"/>
        <w:keepNext w:val="0"/>
        <w:keepLines w:val="0"/>
        <w:pageBreakBefore w:val="0"/>
        <w:widowControl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bCs/>
          <w:color w:val="auto"/>
          <w:sz w:val="48"/>
          <w:szCs w:val="48"/>
          <w:highlight w:val="none"/>
        </w:rPr>
      </w:pPr>
      <w:bookmarkStart w:id="5" w:name="_Toc23021"/>
      <w:r>
        <w:rPr>
          <w:rFonts w:hint="eastAsia" w:ascii="宋体" w:hAnsi="宋体" w:eastAsia="宋体" w:cs="宋体"/>
          <w:b/>
          <w:bCs/>
          <w:color w:val="auto"/>
          <w:sz w:val="48"/>
          <w:szCs w:val="48"/>
          <w:highlight w:val="none"/>
        </w:rPr>
        <w:t>采</w:t>
      </w:r>
      <w:bookmarkEnd w:id="5"/>
    </w:p>
    <w:p w14:paraId="0F411A20">
      <w:pPr>
        <w:pStyle w:val="3"/>
        <w:keepNext w:val="0"/>
        <w:keepLines w:val="0"/>
        <w:pageBreakBefore w:val="0"/>
        <w:widowControl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bCs/>
          <w:color w:val="auto"/>
          <w:sz w:val="48"/>
          <w:szCs w:val="48"/>
          <w:highlight w:val="none"/>
        </w:rPr>
      </w:pPr>
      <w:bookmarkStart w:id="6" w:name="_Toc27764"/>
      <w:r>
        <w:rPr>
          <w:rFonts w:hint="eastAsia" w:ascii="宋体" w:hAnsi="宋体" w:eastAsia="宋体" w:cs="宋体"/>
          <w:b/>
          <w:bCs/>
          <w:color w:val="auto"/>
          <w:sz w:val="48"/>
          <w:szCs w:val="48"/>
          <w:highlight w:val="none"/>
        </w:rPr>
        <w:t>购</w:t>
      </w:r>
      <w:bookmarkEnd w:id="6"/>
    </w:p>
    <w:p w14:paraId="69AF8C9C">
      <w:pPr>
        <w:pStyle w:val="3"/>
        <w:keepNext w:val="0"/>
        <w:keepLines w:val="0"/>
        <w:pageBreakBefore w:val="0"/>
        <w:widowControl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bCs/>
          <w:color w:val="auto"/>
          <w:sz w:val="48"/>
          <w:szCs w:val="48"/>
          <w:highlight w:val="none"/>
        </w:rPr>
      </w:pPr>
      <w:bookmarkStart w:id="7" w:name="_Toc29168"/>
      <w:r>
        <w:rPr>
          <w:rFonts w:hint="eastAsia" w:ascii="宋体" w:hAnsi="宋体" w:eastAsia="宋体" w:cs="宋体"/>
          <w:b/>
          <w:bCs/>
          <w:color w:val="auto"/>
          <w:sz w:val="48"/>
          <w:szCs w:val="48"/>
          <w:highlight w:val="none"/>
        </w:rPr>
        <w:t>文</w:t>
      </w:r>
      <w:bookmarkEnd w:id="7"/>
    </w:p>
    <w:p w14:paraId="7260151F">
      <w:pPr>
        <w:pStyle w:val="3"/>
        <w:keepNext w:val="0"/>
        <w:keepLines w:val="0"/>
        <w:pageBreakBefore w:val="0"/>
        <w:widowControl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bCs/>
          <w:color w:val="auto"/>
          <w:sz w:val="48"/>
          <w:szCs w:val="48"/>
          <w:highlight w:val="none"/>
        </w:rPr>
      </w:pPr>
      <w:bookmarkStart w:id="8" w:name="_Toc14521"/>
      <w:r>
        <w:rPr>
          <w:rFonts w:hint="eastAsia" w:ascii="宋体" w:hAnsi="宋体" w:eastAsia="宋体" w:cs="宋体"/>
          <w:b/>
          <w:bCs/>
          <w:color w:val="auto"/>
          <w:sz w:val="48"/>
          <w:szCs w:val="48"/>
          <w:highlight w:val="none"/>
        </w:rPr>
        <w:t>件</w:t>
      </w:r>
      <w:bookmarkEnd w:id="8"/>
    </w:p>
    <w:p w14:paraId="4F05BB82">
      <w:pPr>
        <w:keepNext w:val="0"/>
        <w:keepLines w:val="0"/>
        <w:pageBreakBefore w:val="0"/>
        <w:widowControl w:val="0"/>
        <w:kinsoku/>
        <w:wordWrap w:val="0"/>
        <w:overflowPunct/>
        <w:topLinePunct/>
        <w:autoSpaceDE/>
        <w:autoSpaceDN/>
        <w:bidi w:val="0"/>
        <w:rPr>
          <w:rFonts w:hint="eastAsia" w:ascii="宋体" w:hAnsi="宋体" w:eastAsia="宋体" w:cs="宋体"/>
          <w:b/>
          <w:bCs/>
          <w:color w:val="auto"/>
          <w:sz w:val="48"/>
          <w:szCs w:val="48"/>
          <w:highlight w:val="none"/>
        </w:rPr>
      </w:pPr>
    </w:p>
    <w:p w14:paraId="0824B272">
      <w:pPr>
        <w:pStyle w:val="2"/>
        <w:keepNext w:val="0"/>
        <w:keepLines w:val="0"/>
        <w:pageBreakBefore w:val="0"/>
        <w:widowControl w:val="0"/>
        <w:kinsoku/>
        <w:wordWrap w:val="0"/>
        <w:overflowPunct/>
        <w:topLinePunct/>
        <w:autoSpaceDE/>
        <w:autoSpaceDN/>
        <w:bidi w:val="0"/>
        <w:rPr>
          <w:rFonts w:hint="eastAsia"/>
          <w:color w:val="auto"/>
          <w:lang w:val="en-US" w:eastAsia="zh-CN"/>
        </w:rPr>
      </w:pPr>
    </w:p>
    <w:p w14:paraId="0DBE2150">
      <w:pPr>
        <w:pStyle w:val="17"/>
        <w:keepNext w:val="0"/>
        <w:keepLines w:val="0"/>
        <w:pageBreakBefore w:val="0"/>
        <w:widowControl w:val="0"/>
        <w:shd w:val="clear"/>
        <w:kinsoku/>
        <w:wordWrap w:val="0"/>
        <w:overflowPunct/>
        <w:topLinePunct/>
        <w:autoSpaceDE/>
        <w:autoSpaceDN/>
        <w:bidi w:val="0"/>
        <w:adjustRightInd/>
        <w:snapToGrid w:val="0"/>
        <w:spacing w:before="0" w:beforeLines="0" w:beforeAutospacing="0" w:after="0" w:afterLines="0" w:afterAutospacing="0" w:line="360" w:lineRule="auto"/>
        <w:ind w:left="0" w:leftChars="0" w:right="0" w:rightChars="0" w:firstLine="0" w:firstLineChars="0"/>
        <w:jc w:val="left"/>
        <w:textAlignment w:val="auto"/>
        <w:outlineLvl w:val="9"/>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hAnsi="宋体" w:eastAsia="宋体" w:cs="宋体"/>
          <w:b/>
          <w:color w:val="auto"/>
          <w:sz w:val="30"/>
          <w:szCs w:val="30"/>
          <w:highlight w:val="none"/>
          <w:lang w:val="en-US" w:eastAsia="zh-CN"/>
        </w:rPr>
        <w:t xml:space="preserve">     </w:t>
      </w:r>
      <w:r>
        <w:rPr>
          <w:rFonts w:hint="eastAsia" w:hAnsi="宋体" w:eastAsia="宋体" w:cs="宋体"/>
          <w:b/>
          <w:color w:val="000000" w:themeColor="text1"/>
          <w:sz w:val="30"/>
          <w:szCs w:val="30"/>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0"/>
          <w:szCs w:val="30"/>
          <w:highlight w:val="none"/>
          <w14:textFill>
            <w14:solidFill>
              <w14:schemeClr w14:val="tx1"/>
            </w14:solidFill>
          </w14:textFill>
        </w:rPr>
        <w:t>采购编号：</w:t>
      </w:r>
      <w:r>
        <w:rPr>
          <w:rFonts w:hint="eastAsia" w:hAnsi="宋体" w:eastAsia="宋体" w:cs="宋体"/>
          <w:b/>
          <w:color w:val="000000" w:themeColor="text1"/>
          <w:sz w:val="30"/>
          <w:szCs w:val="30"/>
          <w:highlight w:val="none"/>
          <w:lang w:eastAsia="zh-CN"/>
          <w14:textFill>
            <w14:solidFill>
              <w14:schemeClr w14:val="tx1"/>
            </w14:solidFill>
          </w14:textFill>
        </w:rPr>
        <w:t>中望[2026]D039号</w:t>
      </w:r>
    </w:p>
    <w:p w14:paraId="11D9E755">
      <w:pPr>
        <w:pStyle w:val="17"/>
        <w:keepNext w:val="0"/>
        <w:keepLines w:val="0"/>
        <w:pageBreakBefore w:val="0"/>
        <w:widowControl w:val="0"/>
        <w:shd w:val="clear"/>
        <w:kinsoku/>
        <w:wordWrap w:val="0"/>
        <w:overflowPunct/>
        <w:topLinePunct/>
        <w:autoSpaceDE/>
        <w:autoSpaceDN/>
        <w:bidi w:val="0"/>
        <w:adjustRightInd/>
        <w:snapToGrid w:val="0"/>
        <w:spacing w:before="0" w:beforeLines="0" w:beforeAutospacing="0" w:after="0" w:afterLines="0" w:afterAutospacing="0" w:line="360" w:lineRule="auto"/>
        <w:ind w:left="0" w:leftChars="0" w:right="0" w:rightChars="0" w:firstLine="0" w:firstLineChars="0"/>
        <w:jc w:val="left"/>
        <w:textAlignment w:val="auto"/>
        <w:outlineLvl w:val="9"/>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hAnsi="宋体" w:eastAsia="宋体" w:cs="宋体"/>
          <w:b/>
          <w:color w:val="000000" w:themeColor="text1"/>
          <w:sz w:val="30"/>
          <w:szCs w:val="30"/>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0"/>
          <w:szCs w:val="30"/>
          <w:highlight w:val="none"/>
          <w14:textFill>
            <w14:solidFill>
              <w14:schemeClr w14:val="tx1"/>
            </w14:solidFill>
          </w14:textFill>
        </w:rPr>
        <w:t>项目名称：</w:t>
      </w:r>
      <w:bookmarkStart w:id="9" w:name="OLE_LINK3"/>
      <w:r>
        <w:rPr>
          <w:rFonts w:hint="eastAsia" w:hAnsi="宋体" w:eastAsia="宋体" w:cs="宋体"/>
          <w:b/>
          <w:color w:val="000000" w:themeColor="text1"/>
          <w:sz w:val="30"/>
          <w:szCs w:val="30"/>
          <w:highlight w:val="none"/>
          <w:lang w:eastAsia="zh-CN"/>
          <w14:textFill>
            <w14:solidFill>
              <w14:schemeClr w14:val="tx1"/>
            </w14:solidFill>
          </w14:textFill>
        </w:rPr>
        <w:t>2026年海盐县高标准农田管护保险项目</w:t>
      </w:r>
    </w:p>
    <w:bookmarkEnd w:id="9"/>
    <w:p w14:paraId="79B01E00">
      <w:pPr>
        <w:pStyle w:val="17"/>
        <w:keepNext w:val="0"/>
        <w:keepLines w:val="0"/>
        <w:pageBreakBefore w:val="0"/>
        <w:widowControl w:val="0"/>
        <w:shd w:val="clear"/>
        <w:kinsoku/>
        <w:wordWrap w:val="0"/>
        <w:overflowPunct/>
        <w:topLinePunct/>
        <w:autoSpaceDE/>
        <w:autoSpaceDN/>
        <w:bidi w:val="0"/>
        <w:adjustRightInd/>
        <w:snapToGrid w:val="0"/>
        <w:spacing w:before="0" w:beforeLines="0" w:beforeAutospacing="0" w:after="0" w:afterLines="0" w:afterAutospacing="0" w:line="360" w:lineRule="auto"/>
        <w:ind w:left="0" w:leftChars="0" w:right="0" w:rightChars="0" w:firstLine="0" w:firstLineChars="0"/>
        <w:jc w:val="left"/>
        <w:textAlignment w:val="auto"/>
        <w:outlineLvl w:val="9"/>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hAnsi="宋体" w:eastAsia="宋体" w:cs="宋体"/>
          <w:b/>
          <w:color w:val="000000" w:themeColor="text1"/>
          <w:sz w:val="30"/>
          <w:szCs w:val="30"/>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0"/>
          <w:szCs w:val="30"/>
          <w:highlight w:val="none"/>
          <w14:textFill>
            <w14:solidFill>
              <w14:schemeClr w14:val="tx1"/>
            </w14:solidFill>
          </w14:textFill>
        </w:rPr>
        <w:t>采购单位：</w:t>
      </w:r>
      <w:r>
        <w:rPr>
          <w:rFonts w:hint="eastAsia" w:hAnsi="宋体" w:eastAsia="宋体" w:cs="宋体"/>
          <w:b/>
          <w:color w:val="000000" w:themeColor="text1"/>
          <w:sz w:val="30"/>
          <w:szCs w:val="30"/>
          <w:highlight w:val="none"/>
          <w:lang w:eastAsia="zh-CN"/>
          <w14:textFill>
            <w14:solidFill>
              <w14:schemeClr w14:val="tx1"/>
            </w14:solidFill>
          </w14:textFill>
        </w:rPr>
        <w:t>海盐县农业农村局</w:t>
      </w:r>
    </w:p>
    <w:p w14:paraId="7FAF296D">
      <w:pPr>
        <w:pStyle w:val="17"/>
        <w:keepNext w:val="0"/>
        <w:keepLines w:val="0"/>
        <w:pageBreakBefore w:val="0"/>
        <w:widowControl w:val="0"/>
        <w:shd w:val="clear"/>
        <w:kinsoku/>
        <w:wordWrap w:val="0"/>
        <w:overflowPunct/>
        <w:topLinePunct/>
        <w:autoSpaceDE/>
        <w:autoSpaceDN/>
        <w:bidi w:val="0"/>
        <w:adjustRightInd/>
        <w:snapToGrid w:val="0"/>
        <w:spacing w:before="0" w:beforeLines="0" w:beforeAutospacing="0" w:after="0" w:afterLines="0" w:afterAutospacing="0" w:line="360" w:lineRule="auto"/>
        <w:ind w:left="0" w:leftChars="0" w:right="0" w:rightChars="0" w:firstLine="0" w:firstLineChars="0"/>
        <w:jc w:val="left"/>
        <w:textAlignment w:val="auto"/>
        <w:outlineLvl w:val="9"/>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hAnsi="宋体" w:eastAsia="宋体" w:cs="宋体"/>
          <w:b/>
          <w:color w:val="000000" w:themeColor="text1"/>
          <w:sz w:val="30"/>
          <w:szCs w:val="30"/>
          <w:highlight w:val="none"/>
          <w:lang w:val="en-US" w:eastAsia="zh-CN"/>
          <w14:textFill>
            <w14:solidFill>
              <w14:schemeClr w14:val="tx1"/>
            </w14:solidFill>
          </w14:textFill>
        </w:rPr>
        <w:t xml:space="preserve">        </w:t>
      </w:r>
      <w:r>
        <w:rPr>
          <w:rFonts w:hint="eastAsia" w:hAnsi="宋体" w:eastAsia="宋体" w:cs="宋体"/>
          <w:b/>
          <w:color w:val="000000" w:themeColor="text1"/>
          <w:sz w:val="30"/>
          <w:szCs w:val="30"/>
          <w:highlight w:val="none"/>
          <w:lang w:eastAsia="zh-CN"/>
          <w14:textFill>
            <w14:solidFill>
              <w14:schemeClr w14:val="tx1"/>
            </w14:solidFill>
          </w14:textFill>
        </w:rPr>
        <w:t>采购代理机构</w:t>
      </w:r>
      <w:r>
        <w:rPr>
          <w:rFonts w:hint="eastAsia" w:ascii="宋体" w:hAnsi="宋体" w:eastAsia="宋体" w:cs="宋体"/>
          <w:b/>
          <w:color w:val="000000" w:themeColor="text1"/>
          <w:sz w:val="30"/>
          <w:szCs w:val="30"/>
          <w:highlight w:val="none"/>
          <w14:textFill>
            <w14:solidFill>
              <w14:schemeClr w14:val="tx1"/>
            </w14:solidFill>
          </w14:textFill>
        </w:rPr>
        <w:t>：</w:t>
      </w:r>
      <w:r>
        <w:rPr>
          <w:rFonts w:hint="eastAsia" w:hAnsi="宋体" w:eastAsia="宋体" w:cs="宋体"/>
          <w:b/>
          <w:color w:val="000000" w:themeColor="text1"/>
          <w:sz w:val="30"/>
          <w:szCs w:val="30"/>
          <w:highlight w:val="none"/>
          <w:lang w:eastAsia="zh-CN"/>
          <w14:textFill>
            <w14:solidFill>
              <w14:schemeClr w14:val="tx1"/>
            </w14:solidFill>
          </w14:textFill>
        </w:rPr>
        <w:t>浙江中望工程管理有限公司</w:t>
      </w:r>
    </w:p>
    <w:p w14:paraId="55F30972">
      <w:pPr>
        <w:pStyle w:val="17"/>
        <w:keepNext w:val="0"/>
        <w:keepLines w:val="0"/>
        <w:pageBreakBefore w:val="0"/>
        <w:widowControl w:val="0"/>
        <w:shd w:val="clear"/>
        <w:kinsoku/>
        <w:wordWrap w:val="0"/>
        <w:overflowPunct/>
        <w:topLinePunct/>
        <w:autoSpaceDE/>
        <w:autoSpaceDN/>
        <w:bidi w:val="0"/>
        <w:adjustRightInd/>
        <w:snapToGrid w:val="0"/>
        <w:spacing w:before="0" w:beforeLines="0" w:beforeAutospacing="0" w:after="0" w:afterLines="0" w:afterAutospacing="0" w:line="360" w:lineRule="auto"/>
        <w:ind w:left="0" w:leftChars="0" w:right="0" w:rightChars="0" w:firstLine="0" w:firstLineChars="0"/>
        <w:jc w:val="left"/>
        <w:textAlignment w:val="auto"/>
        <w:outlineLvl w:val="9"/>
        <w:rPr>
          <w:rFonts w:hint="eastAsia" w:ascii="宋体" w:hAnsi="宋体" w:eastAsia="宋体" w:cs="宋体"/>
          <w:b/>
          <w:color w:val="auto"/>
          <w:sz w:val="30"/>
          <w:szCs w:val="30"/>
          <w:highlight w:val="none"/>
        </w:rPr>
      </w:pPr>
      <w:r>
        <w:rPr>
          <w:rFonts w:hint="eastAsia" w:hAnsi="宋体" w:eastAsia="宋体" w:cs="宋体"/>
          <w:b/>
          <w:color w:val="000000" w:themeColor="text1"/>
          <w:sz w:val="30"/>
          <w:szCs w:val="30"/>
          <w:highlight w:val="none"/>
          <w:lang w:val="en-US" w:eastAsia="zh-CN"/>
          <w14:textFill>
            <w14:solidFill>
              <w14:schemeClr w14:val="tx1"/>
            </w14:solidFill>
          </w14:textFill>
        </w:rPr>
        <w:t xml:space="preserve">        </w:t>
      </w:r>
      <w:r>
        <w:rPr>
          <w:rFonts w:hint="eastAsia" w:ascii="宋体" w:hAnsi="宋体" w:eastAsia="宋体" w:cs="宋体"/>
          <w:b/>
          <w:color w:val="auto"/>
          <w:sz w:val="30"/>
          <w:szCs w:val="30"/>
          <w:highlight w:val="none"/>
        </w:rPr>
        <w:t>日期：202</w:t>
      </w:r>
      <w:r>
        <w:rPr>
          <w:rFonts w:hint="eastAsia"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rPr>
        <w:t>年</w:t>
      </w:r>
      <w:r>
        <w:rPr>
          <w:rFonts w:hint="eastAsia" w:hAnsi="宋体" w:eastAsia="宋体" w:cs="宋体"/>
          <w:b/>
          <w:color w:val="auto"/>
          <w:sz w:val="30"/>
          <w:szCs w:val="30"/>
          <w:highlight w:val="none"/>
          <w:lang w:val="en-US" w:eastAsia="zh-CN"/>
        </w:rPr>
        <w:t>4</w:t>
      </w:r>
      <w:r>
        <w:rPr>
          <w:rFonts w:hint="eastAsia" w:ascii="宋体" w:hAnsi="宋体" w:eastAsia="宋体" w:cs="宋体"/>
          <w:b/>
          <w:color w:val="auto"/>
          <w:sz w:val="30"/>
          <w:szCs w:val="30"/>
          <w:highlight w:val="none"/>
        </w:rPr>
        <w:t>月</w:t>
      </w:r>
      <w:r>
        <w:rPr>
          <w:rFonts w:hint="eastAsia" w:hAnsi="宋体" w:eastAsia="宋体" w:cs="宋体"/>
          <w:b/>
          <w:color w:val="auto"/>
          <w:sz w:val="30"/>
          <w:szCs w:val="30"/>
          <w:highlight w:val="none"/>
          <w:lang w:val="en-US" w:eastAsia="zh-CN"/>
        </w:rPr>
        <w:t>10</w:t>
      </w:r>
      <w:r>
        <w:rPr>
          <w:rFonts w:hint="eastAsia" w:ascii="宋体" w:hAnsi="宋体" w:eastAsia="宋体" w:cs="宋体"/>
          <w:b/>
          <w:color w:val="auto"/>
          <w:sz w:val="30"/>
          <w:szCs w:val="30"/>
          <w:highlight w:val="none"/>
        </w:rPr>
        <w:t>日</w:t>
      </w:r>
    </w:p>
    <w:p w14:paraId="186D5149">
      <w:pPr>
        <w:keepNext w:val="0"/>
        <w:keepLines w:val="0"/>
        <w:pageBreakBefore w:val="0"/>
        <w:widowControl w:val="0"/>
        <w:shd w:val="clear"/>
        <w:kinsoku/>
        <w:wordWrap w:val="0"/>
        <w:overflowPunct/>
        <w:topLinePunct/>
        <w:autoSpaceDE/>
        <w:autoSpaceDN/>
        <w:bidi w:val="0"/>
        <w:adjustRightInd/>
        <w:snapToGrid w:val="0"/>
        <w:spacing w:beforeAutospacing="0" w:afterAutospacing="0" w:line="360" w:lineRule="auto"/>
        <w:ind w:left="0" w:leftChars="0" w:right="0" w:rightChars="0" w:firstLine="0" w:firstLineChars="0"/>
        <w:textAlignment w:val="auto"/>
        <w:rPr>
          <w:rFonts w:hint="eastAsia" w:ascii="宋体" w:hAnsi="宋体" w:eastAsia="宋体" w:cs="宋体"/>
          <w:color w:val="auto"/>
          <w:sz w:val="30"/>
          <w:szCs w:val="20"/>
          <w:highlight w:val="none"/>
        </w:rPr>
        <w:sectPr>
          <w:headerReference r:id="rId3" w:type="default"/>
          <w:footerReference r:id="rId4" w:type="default"/>
          <w:footerReference r:id="rId5" w:type="even"/>
          <w:pgSz w:w="11906" w:h="16838"/>
          <w:pgMar w:top="1361" w:right="1361" w:bottom="1361" w:left="1361"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sdt>
      <w:sdtPr>
        <w:rPr>
          <w:rFonts w:ascii="宋体" w:hAnsi="宋体" w:eastAsia="宋体" w:cstheme="minorBidi"/>
          <w:kern w:val="2"/>
          <w:sz w:val="21"/>
          <w:szCs w:val="24"/>
          <w:lang w:val="en-US" w:eastAsia="zh-CN" w:bidi="ar-SA"/>
        </w:rPr>
        <w:id w:val="147482408"/>
        <w15:color w:val="DBDBDB"/>
        <w:docPartObj>
          <w:docPartGallery w:val="Table of Contents"/>
          <w:docPartUnique/>
        </w:docPartObj>
      </w:sdtPr>
      <w:sdtEndPr>
        <w:rPr>
          <w:rFonts w:hint="eastAsia" w:ascii="仿宋_GB2312" w:hAnsi="宋体" w:eastAsia="仿宋_GB2312" w:cstheme="minorBidi"/>
          <w:kern w:val="2"/>
          <w:sz w:val="30"/>
          <w:szCs w:val="20"/>
          <w:lang w:val="en-US" w:eastAsia="zh-CN" w:bidi="ar-SA"/>
        </w:rPr>
      </w:sdtEndPr>
      <w:sdtContent>
        <w:p w14:paraId="04B64D23">
          <w:pPr>
            <w:spacing w:before="0" w:beforeLines="0" w:after="0" w:afterLines="0" w:line="240" w:lineRule="auto"/>
            <w:ind w:left="0" w:leftChars="0" w:right="0" w:rightChars="0" w:firstLine="0" w:firstLineChars="0"/>
            <w:jc w:val="center"/>
            <w:rPr>
              <w:sz w:val="24"/>
              <w:szCs w:val="24"/>
            </w:rPr>
          </w:pPr>
          <w:r>
            <w:rPr>
              <w:rFonts w:ascii="宋体" w:hAnsi="宋体" w:eastAsia="宋体"/>
              <w:sz w:val="24"/>
              <w:szCs w:val="24"/>
            </w:rPr>
            <w:t>目录</w:t>
          </w:r>
        </w:p>
        <w:p w14:paraId="549530EE">
          <w:pPr>
            <w:pStyle w:val="21"/>
            <w:tabs>
              <w:tab w:val="right" w:leader="dot" w:pos="9184"/>
            </w:tabs>
            <w:rPr>
              <w:sz w:val="24"/>
              <w:szCs w:val="24"/>
            </w:rPr>
          </w:pPr>
          <w:r>
            <w:rPr>
              <w:rFonts w:hint="eastAsia"/>
              <w:sz w:val="24"/>
              <w:szCs w:val="24"/>
            </w:rPr>
            <w:fldChar w:fldCharType="begin"/>
          </w:r>
          <w:r>
            <w:rPr>
              <w:rFonts w:hint="eastAsia"/>
              <w:sz w:val="24"/>
              <w:szCs w:val="24"/>
            </w:rPr>
            <w:instrText xml:space="preserve">TOC \o "1-1" \h \u </w:instrText>
          </w:r>
          <w:r>
            <w:rPr>
              <w:rFonts w:hint="eastAsia"/>
              <w:sz w:val="24"/>
              <w:szCs w:val="24"/>
            </w:rPr>
            <w:fldChar w:fldCharType="separate"/>
          </w:r>
        </w:p>
        <w:p w14:paraId="5AABF805">
          <w:pPr>
            <w:pStyle w:val="21"/>
            <w:tabs>
              <w:tab w:val="right" w:leader="dot" w:pos="9184"/>
            </w:tabs>
            <w:rPr>
              <w:sz w:val="24"/>
              <w:szCs w:val="24"/>
            </w:rPr>
          </w:pPr>
          <w:r>
            <w:rPr>
              <w:rFonts w:hint="eastAsia"/>
              <w:sz w:val="24"/>
              <w:szCs w:val="24"/>
            </w:rPr>
            <w:fldChar w:fldCharType="begin"/>
          </w:r>
          <w:r>
            <w:rPr>
              <w:rFonts w:hint="eastAsia"/>
              <w:sz w:val="24"/>
              <w:szCs w:val="24"/>
            </w:rPr>
            <w:instrText xml:space="preserve"> HYPERLINK \l _Toc29524 </w:instrText>
          </w:r>
          <w:r>
            <w:rPr>
              <w:rFonts w:hint="eastAsia"/>
              <w:sz w:val="24"/>
              <w:szCs w:val="24"/>
            </w:rPr>
            <w:fldChar w:fldCharType="separate"/>
          </w:r>
          <w:r>
            <w:rPr>
              <w:rFonts w:hint="eastAsia"/>
              <w:sz w:val="24"/>
              <w:szCs w:val="24"/>
            </w:rPr>
            <w:t>第一章 公开招标采购公告</w:t>
          </w:r>
          <w:r>
            <w:rPr>
              <w:sz w:val="24"/>
              <w:szCs w:val="24"/>
            </w:rPr>
            <w:tab/>
          </w:r>
          <w:r>
            <w:rPr>
              <w:sz w:val="24"/>
              <w:szCs w:val="24"/>
            </w:rPr>
            <w:fldChar w:fldCharType="begin"/>
          </w:r>
          <w:r>
            <w:rPr>
              <w:sz w:val="24"/>
              <w:szCs w:val="24"/>
            </w:rPr>
            <w:instrText xml:space="preserve"> PAGEREF _Toc29524 \h </w:instrText>
          </w:r>
          <w:r>
            <w:rPr>
              <w:sz w:val="24"/>
              <w:szCs w:val="24"/>
            </w:rPr>
            <w:fldChar w:fldCharType="separate"/>
          </w:r>
          <w:r>
            <w:rPr>
              <w:sz w:val="24"/>
              <w:szCs w:val="24"/>
            </w:rPr>
            <w:t>1</w:t>
          </w:r>
          <w:r>
            <w:rPr>
              <w:sz w:val="24"/>
              <w:szCs w:val="24"/>
            </w:rPr>
            <w:fldChar w:fldCharType="end"/>
          </w:r>
          <w:r>
            <w:rPr>
              <w:rFonts w:hint="eastAsia"/>
              <w:sz w:val="24"/>
              <w:szCs w:val="24"/>
            </w:rPr>
            <w:fldChar w:fldCharType="end"/>
          </w:r>
        </w:p>
        <w:p w14:paraId="5AE6E8DA">
          <w:pPr>
            <w:pStyle w:val="21"/>
            <w:tabs>
              <w:tab w:val="right" w:leader="dot" w:pos="9184"/>
            </w:tabs>
            <w:rPr>
              <w:sz w:val="24"/>
              <w:szCs w:val="24"/>
            </w:rPr>
          </w:pPr>
          <w:r>
            <w:rPr>
              <w:rFonts w:hint="eastAsia"/>
              <w:sz w:val="24"/>
              <w:szCs w:val="24"/>
            </w:rPr>
            <w:fldChar w:fldCharType="begin"/>
          </w:r>
          <w:r>
            <w:rPr>
              <w:rFonts w:hint="eastAsia"/>
              <w:sz w:val="24"/>
              <w:szCs w:val="24"/>
            </w:rPr>
            <w:instrText xml:space="preserve"> HYPERLINK \l _Toc6283 </w:instrText>
          </w:r>
          <w:r>
            <w:rPr>
              <w:rFonts w:hint="eastAsia"/>
              <w:sz w:val="24"/>
              <w:szCs w:val="24"/>
            </w:rPr>
            <w:fldChar w:fldCharType="separate"/>
          </w:r>
          <w:r>
            <w:rPr>
              <w:rFonts w:hint="eastAsia"/>
              <w:sz w:val="24"/>
              <w:szCs w:val="24"/>
            </w:rPr>
            <w:t>第二章 招标需求</w:t>
          </w:r>
          <w:r>
            <w:rPr>
              <w:sz w:val="24"/>
              <w:szCs w:val="24"/>
            </w:rPr>
            <w:tab/>
          </w:r>
          <w:r>
            <w:rPr>
              <w:sz w:val="24"/>
              <w:szCs w:val="24"/>
            </w:rPr>
            <w:fldChar w:fldCharType="begin"/>
          </w:r>
          <w:r>
            <w:rPr>
              <w:sz w:val="24"/>
              <w:szCs w:val="24"/>
            </w:rPr>
            <w:instrText xml:space="preserve"> PAGEREF _Toc6283 \h </w:instrText>
          </w:r>
          <w:r>
            <w:rPr>
              <w:sz w:val="24"/>
              <w:szCs w:val="24"/>
            </w:rPr>
            <w:fldChar w:fldCharType="separate"/>
          </w:r>
          <w:r>
            <w:rPr>
              <w:sz w:val="24"/>
              <w:szCs w:val="24"/>
            </w:rPr>
            <w:t>6</w:t>
          </w:r>
          <w:r>
            <w:rPr>
              <w:sz w:val="24"/>
              <w:szCs w:val="24"/>
            </w:rPr>
            <w:fldChar w:fldCharType="end"/>
          </w:r>
          <w:r>
            <w:rPr>
              <w:rFonts w:hint="eastAsia"/>
              <w:sz w:val="24"/>
              <w:szCs w:val="24"/>
            </w:rPr>
            <w:fldChar w:fldCharType="end"/>
          </w:r>
        </w:p>
        <w:p w14:paraId="158D87A2">
          <w:pPr>
            <w:pStyle w:val="21"/>
            <w:tabs>
              <w:tab w:val="right" w:leader="dot" w:pos="9184"/>
            </w:tabs>
            <w:rPr>
              <w:sz w:val="24"/>
              <w:szCs w:val="24"/>
            </w:rPr>
          </w:pPr>
          <w:r>
            <w:rPr>
              <w:rFonts w:hint="eastAsia"/>
              <w:sz w:val="24"/>
              <w:szCs w:val="24"/>
            </w:rPr>
            <w:fldChar w:fldCharType="begin"/>
          </w:r>
          <w:r>
            <w:rPr>
              <w:rFonts w:hint="eastAsia"/>
              <w:sz w:val="24"/>
              <w:szCs w:val="24"/>
            </w:rPr>
            <w:instrText xml:space="preserve"> HYPERLINK \l _Toc25596 </w:instrText>
          </w:r>
          <w:r>
            <w:rPr>
              <w:rFonts w:hint="eastAsia"/>
              <w:sz w:val="24"/>
              <w:szCs w:val="24"/>
            </w:rPr>
            <w:fldChar w:fldCharType="separate"/>
          </w:r>
          <w:r>
            <w:rPr>
              <w:rFonts w:hint="eastAsia"/>
              <w:sz w:val="24"/>
              <w:szCs w:val="24"/>
            </w:rPr>
            <w:t>第三章 投标人须知</w:t>
          </w:r>
          <w:r>
            <w:rPr>
              <w:sz w:val="24"/>
              <w:szCs w:val="24"/>
            </w:rPr>
            <w:tab/>
          </w:r>
          <w:r>
            <w:rPr>
              <w:sz w:val="24"/>
              <w:szCs w:val="24"/>
            </w:rPr>
            <w:fldChar w:fldCharType="begin"/>
          </w:r>
          <w:r>
            <w:rPr>
              <w:sz w:val="24"/>
              <w:szCs w:val="24"/>
            </w:rPr>
            <w:instrText xml:space="preserve"> PAGEREF _Toc25596 \h </w:instrText>
          </w:r>
          <w:r>
            <w:rPr>
              <w:sz w:val="24"/>
              <w:szCs w:val="24"/>
            </w:rPr>
            <w:fldChar w:fldCharType="separate"/>
          </w:r>
          <w:r>
            <w:rPr>
              <w:sz w:val="24"/>
              <w:szCs w:val="24"/>
            </w:rPr>
            <w:t>8</w:t>
          </w:r>
          <w:r>
            <w:rPr>
              <w:sz w:val="24"/>
              <w:szCs w:val="24"/>
            </w:rPr>
            <w:fldChar w:fldCharType="end"/>
          </w:r>
          <w:r>
            <w:rPr>
              <w:rFonts w:hint="eastAsia"/>
              <w:sz w:val="24"/>
              <w:szCs w:val="24"/>
            </w:rPr>
            <w:fldChar w:fldCharType="end"/>
          </w:r>
        </w:p>
        <w:p w14:paraId="45F843A1">
          <w:pPr>
            <w:pStyle w:val="21"/>
            <w:tabs>
              <w:tab w:val="right" w:leader="dot" w:pos="9184"/>
            </w:tabs>
            <w:rPr>
              <w:sz w:val="24"/>
              <w:szCs w:val="24"/>
            </w:rPr>
          </w:pPr>
          <w:r>
            <w:rPr>
              <w:rFonts w:hint="eastAsia"/>
              <w:sz w:val="24"/>
              <w:szCs w:val="24"/>
            </w:rPr>
            <w:fldChar w:fldCharType="begin"/>
          </w:r>
          <w:r>
            <w:rPr>
              <w:rFonts w:hint="eastAsia"/>
              <w:sz w:val="24"/>
              <w:szCs w:val="24"/>
            </w:rPr>
            <w:instrText xml:space="preserve"> HYPERLINK \l _Toc12543 </w:instrText>
          </w:r>
          <w:r>
            <w:rPr>
              <w:rFonts w:hint="eastAsia"/>
              <w:sz w:val="24"/>
              <w:szCs w:val="24"/>
            </w:rPr>
            <w:fldChar w:fldCharType="separate"/>
          </w:r>
          <w:r>
            <w:rPr>
              <w:rFonts w:hint="eastAsia"/>
              <w:sz w:val="24"/>
              <w:szCs w:val="24"/>
            </w:rPr>
            <w:t>第四章 评标办法及评分标准</w:t>
          </w:r>
          <w:r>
            <w:rPr>
              <w:sz w:val="24"/>
              <w:szCs w:val="24"/>
            </w:rPr>
            <w:tab/>
          </w:r>
          <w:r>
            <w:rPr>
              <w:sz w:val="24"/>
              <w:szCs w:val="24"/>
            </w:rPr>
            <w:fldChar w:fldCharType="begin"/>
          </w:r>
          <w:r>
            <w:rPr>
              <w:sz w:val="24"/>
              <w:szCs w:val="24"/>
            </w:rPr>
            <w:instrText xml:space="preserve"> PAGEREF _Toc12543 \h </w:instrText>
          </w:r>
          <w:r>
            <w:rPr>
              <w:sz w:val="24"/>
              <w:szCs w:val="24"/>
            </w:rPr>
            <w:fldChar w:fldCharType="separate"/>
          </w:r>
          <w:r>
            <w:rPr>
              <w:sz w:val="24"/>
              <w:szCs w:val="24"/>
            </w:rPr>
            <w:t>26</w:t>
          </w:r>
          <w:r>
            <w:rPr>
              <w:sz w:val="24"/>
              <w:szCs w:val="24"/>
            </w:rPr>
            <w:fldChar w:fldCharType="end"/>
          </w:r>
          <w:r>
            <w:rPr>
              <w:rFonts w:hint="eastAsia"/>
              <w:sz w:val="24"/>
              <w:szCs w:val="24"/>
            </w:rPr>
            <w:fldChar w:fldCharType="end"/>
          </w:r>
        </w:p>
        <w:p w14:paraId="17E906FA">
          <w:pPr>
            <w:pStyle w:val="21"/>
            <w:tabs>
              <w:tab w:val="right" w:leader="dot" w:pos="9184"/>
            </w:tabs>
            <w:rPr>
              <w:sz w:val="24"/>
              <w:szCs w:val="24"/>
            </w:rPr>
          </w:pPr>
          <w:r>
            <w:rPr>
              <w:rFonts w:hint="eastAsia"/>
              <w:sz w:val="24"/>
              <w:szCs w:val="24"/>
            </w:rPr>
            <w:fldChar w:fldCharType="begin"/>
          </w:r>
          <w:r>
            <w:rPr>
              <w:rFonts w:hint="eastAsia"/>
              <w:sz w:val="24"/>
              <w:szCs w:val="24"/>
            </w:rPr>
            <w:instrText xml:space="preserve"> HYPERLINK \l _Toc27878 </w:instrText>
          </w:r>
          <w:r>
            <w:rPr>
              <w:rFonts w:hint="eastAsia"/>
              <w:sz w:val="24"/>
              <w:szCs w:val="24"/>
            </w:rPr>
            <w:fldChar w:fldCharType="separate"/>
          </w:r>
          <w:r>
            <w:rPr>
              <w:rFonts w:hint="eastAsia"/>
              <w:sz w:val="24"/>
              <w:szCs w:val="24"/>
            </w:rPr>
            <w:t>第五章 合同主要条款</w:t>
          </w:r>
          <w:r>
            <w:rPr>
              <w:sz w:val="24"/>
              <w:szCs w:val="24"/>
            </w:rPr>
            <w:tab/>
          </w:r>
          <w:bookmarkStart w:id="55" w:name="_GoBack"/>
          <w:bookmarkEnd w:id="55"/>
          <w:r>
            <w:rPr>
              <w:sz w:val="24"/>
              <w:szCs w:val="24"/>
            </w:rPr>
            <w:fldChar w:fldCharType="begin"/>
          </w:r>
          <w:r>
            <w:rPr>
              <w:sz w:val="24"/>
              <w:szCs w:val="24"/>
            </w:rPr>
            <w:instrText xml:space="preserve"> PAGEREF _Toc27878 \h </w:instrText>
          </w:r>
          <w:r>
            <w:rPr>
              <w:sz w:val="24"/>
              <w:szCs w:val="24"/>
            </w:rPr>
            <w:fldChar w:fldCharType="separate"/>
          </w:r>
          <w:r>
            <w:rPr>
              <w:sz w:val="24"/>
              <w:szCs w:val="24"/>
            </w:rPr>
            <w:t>29</w:t>
          </w:r>
          <w:r>
            <w:rPr>
              <w:sz w:val="24"/>
              <w:szCs w:val="24"/>
            </w:rPr>
            <w:fldChar w:fldCharType="end"/>
          </w:r>
          <w:r>
            <w:rPr>
              <w:rFonts w:hint="eastAsia"/>
              <w:sz w:val="24"/>
              <w:szCs w:val="24"/>
            </w:rPr>
            <w:fldChar w:fldCharType="end"/>
          </w:r>
        </w:p>
        <w:p w14:paraId="3802AA83">
          <w:pPr>
            <w:pStyle w:val="21"/>
            <w:tabs>
              <w:tab w:val="right" w:leader="dot" w:pos="9184"/>
            </w:tabs>
            <w:rPr>
              <w:sz w:val="24"/>
              <w:szCs w:val="24"/>
            </w:rPr>
          </w:pPr>
          <w:r>
            <w:rPr>
              <w:rFonts w:hint="eastAsia"/>
              <w:sz w:val="24"/>
              <w:szCs w:val="24"/>
            </w:rPr>
            <w:fldChar w:fldCharType="begin"/>
          </w:r>
          <w:r>
            <w:rPr>
              <w:rFonts w:hint="eastAsia"/>
              <w:sz w:val="24"/>
              <w:szCs w:val="24"/>
            </w:rPr>
            <w:instrText xml:space="preserve"> HYPERLINK \l _Toc18652 </w:instrText>
          </w:r>
          <w:r>
            <w:rPr>
              <w:rFonts w:hint="eastAsia"/>
              <w:sz w:val="24"/>
              <w:szCs w:val="24"/>
            </w:rPr>
            <w:fldChar w:fldCharType="separate"/>
          </w:r>
          <w:r>
            <w:rPr>
              <w:rFonts w:hint="eastAsia"/>
              <w:sz w:val="24"/>
              <w:szCs w:val="24"/>
            </w:rPr>
            <w:t>第六章 投标文件格式</w:t>
          </w:r>
          <w:r>
            <w:rPr>
              <w:sz w:val="24"/>
              <w:szCs w:val="24"/>
            </w:rPr>
            <w:tab/>
          </w:r>
          <w:r>
            <w:rPr>
              <w:sz w:val="24"/>
              <w:szCs w:val="24"/>
            </w:rPr>
            <w:fldChar w:fldCharType="begin"/>
          </w:r>
          <w:r>
            <w:rPr>
              <w:sz w:val="24"/>
              <w:szCs w:val="24"/>
            </w:rPr>
            <w:instrText xml:space="preserve"> PAGEREF _Toc18652 \h </w:instrText>
          </w:r>
          <w:r>
            <w:rPr>
              <w:sz w:val="24"/>
              <w:szCs w:val="24"/>
            </w:rPr>
            <w:fldChar w:fldCharType="separate"/>
          </w:r>
          <w:r>
            <w:rPr>
              <w:sz w:val="24"/>
              <w:szCs w:val="24"/>
            </w:rPr>
            <w:t>32</w:t>
          </w:r>
          <w:r>
            <w:rPr>
              <w:sz w:val="24"/>
              <w:szCs w:val="24"/>
            </w:rPr>
            <w:fldChar w:fldCharType="end"/>
          </w:r>
          <w:r>
            <w:rPr>
              <w:rFonts w:hint="eastAsia"/>
              <w:sz w:val="24"/>
              <w:szCs w:val="24"/>
            </w:rPr>
            <w:fldChar w:fldCharType="end"/>
          </w:r>
        </w:p>
        <w:p w14:paraId="7D573F58">
          <w:pPr>
            <w:pStyle w:val="2"/>
            <w:ind w:left="0" w:leftChars="0" w:firstLine="0" w:firstLineChars="0"/>
            <w:rPr>
              <w:rFonts w:hint="eastAsia" w:ascii="仿宋_GB2312" w:hAnsi="宋体" w:eastAsia="仿宋_GB2312" w:cstheme="minorBidi"/>
              <w:kern w:val="2"/>
              <w:sz w:val="30"/>
              <w:szCs w:val="20"/>
              <w:lang w:val="en-US" w:eastAsia="zh-CN" w:bidi="ar-SA"/>
            </w:rPr>
            <w:sectPr>
              <w:headerReference r:id="rId6" w:type="default"/>
              <w:footerReference r:id="rId7" w:type="default"/>
              <w:pgSz w:w="11906" w:h="16838"/>
              <w:pgMar w:top="1361" w:right="1361" w:bottom="1361" w:left="1361" w:header="851" w:footer="850"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sz w:val="24"/>
              <w:szCs w:val="24"/>
            </w:rPr>
            <w:fldChar w:fldCharType="end"/>
          </w:r>
        </w:p>
      </w:sdtContent>
    </w:sdt>
    <w:p w14:paraId="20E84CD3">
      <w:pPr>
        <w:pStyle w:val="3"/>
        <w:keepNext/>
        <w:keepLines/>
        <w:pageBreakBefore w:val="0"/>
        <w:widowControl w:val="0"/>
        <w:numPr>
          <w:ilvl w:val="0"/>
          <w:numId w:val="3"/>
        </w:numPr>
        <w:kinsoku/>
        <w:wordWrap/>
        <w:overflowPunct/>
        <w:topLinePunct w:val="0"/>
        <w:autoSpaceDE/>
        <w:autoSpaceDN/>
        <w:bidi w:val="0"/>
        <w:adjustRightInd/>
        <w:snapToGrid/>
        <w:spacing w:before="0" w:after="0" w:line="400" w:lineRule="exact"/>
        <w:jc w:val="center"/>
        <w:textAlignment w:val="auto"/>
        <w:rPr>
          <w:rFonts w:hint="eastAsia"/>
          <w:sz w:val="30"/>
          <w:szCs w:val="30"/>
        </w:rPr>
      </w:pPr>
      <w:bookmarkStart w:id="10" w:name="_Toc29524"/>
      <w:r>
        <w:rPr>
          <w:rFonts w:hint="eastAsia"/>
          <w:sz w:val="30"/>
          <w:szCs w:val="30"/>
        </w:rPr>
        <w:t>公开招标采购公告</w:t>
      </w:r>
      <w:bookmarkEnd w:id="10"/>
    </w:p>
    <w:p w14:paraId="0163A0E0">
      <w:pPr>
        <w:pStyle w:val="19"/>
        <w:keepNext w:val="0"/>
        <w:keepLines w:val="0"/>
        <w:pageBreakBefore w:val="0"/>
        <w:widowControl w:val="0"/>
        <w:kinsoku/>
        <w:wordWrap w:val="0"/>
        <w:overflowPunct/>
        <w:topLinePunct/>
        <w:autoSpaceDE/>
        <w:autoSpaceDN/>
        <w:bidi w:val="0"/>
        <w:adjustRightInd/>
        <w:snapToGrid w:val="0"/>
        <w:spacing w:beforeAutospacing="0" w:afterAutospacing="0" w:line="400" w:lineRule="exact"/>
        <w:ind w:left="0" w:leftChars="0" w:right="0" w:rightChars="0" w:firstLine="480" w:firstLineChars="200"/>
        <w:jc w:val="left"/>
        <w:textAlignment w:val="auto"/>
        <w:outlineLvl w:val="9"/>
        <w:rPr>
          <w:rFonts w:hint="eastAsia"/>
          <w:color w:val="auto"/>
        </w:rPr>
      </w:pPr>
      <w:bookmarkStart w:id="11" w:name="OLE_LINK27"/>
      <w:r>
        <w:rPr>
          <w:rFonts w:hint="eastAsia" w:eastAsia="宋体"/>
          <w:color w:val="auto"/>
          <w:sz w:val="24"/>
          <w:szCs w:val="24"/>
          <w:lang w:val="en-US" w:eastAsia="zh-CN"/>
        </w:rPr>
        <w:t>根据《中华人民共和国政府采购法》、《中华人民共和国政府采购法实施条例》、《政府采购货物和服务招标投标管理办法》等规定，对本项目进行公开招标采购，欢迎国内合格供应商前来投标，现将有关事项公告如下：</w:t>
      </w:r>
    </w:p>
    <w:tbl>
      <w:tblPr>
        <w:tblStyle w:val="26"/>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8"/>
      </w:tblGrid>
      <w:tr w14:paraId="7396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8" w:type="dxa"/>
            <w:vAlign w:val="top"/>
          </w:tcPr>
          <w:p w14:paraId="509ED014">
            <w:pPr>
              <w:pStyle w:val="24"/>
              <w:keepNext w:val="0"/>
              <w:keepLines w:val="0"/>
              <w:pageBreakBefore w:val="0"/>
              <w:widowControl w:val="0"/>
              <w:shd w:val="clear"/>
              <w:kinsoku/>
              <w:wordWrap w:val="0"/>
              <w:overflowPunct/>
              <w:topLinePunct/>
              <w:autoSpaceDE/>
              <w:autoSpaceDN/>
              <w:bidi w:val="0"/>
              <w:adjustRightInd/>
              <w:snapToGrid/>
              <w:spacing w:before="0" w:beforeAutospacing="0" w:after="0" w:afterAutospacing="0" w:line="400" w:lineRule="exact"/>
              <w:ind w:left="0" w:leftChars="0" w:right="0" w:righ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14:paraId="1AE13D11">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eastAsia="宋体" w:cs="宋体"/>
                <w:color w:val="000000" w:themeColor="text1"/>
                <w:sz w:val="24"/>
                <w:szCs w:val="24"/>
                <w:highlight w:val="none"/>
                <w:u w:val="single"/>
                <w:lang w:eastAsia="zh-CN"/>
                <w14:textFill>
                  <w14:solidFill>
                    <w14:schemeClr w14:val="tx1"/>
                  </w14:solidFill>
                </w14:textFill>
              </w:rPr>
              <w:t>2026年海盐县高标准农田管护保险项目</w:t>
            </w:r>
            <w:r>
              <w:rPr>
                <w:rFonts w:hint="eastAsia"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项目的潜在投标人应在</w:t>
            </w:r>
            <w:bookmarkStart w:id="12" w:name="OLE_LINK32"/>
            <w:r>
              <w:rPr>
                <w:rFonts w:hint="eastAsia" w:ascii="宋体" w:hAnsi="宋体" w:eastAsia="宋体" w:cs="宋体"/>
                <w:color w:val="000000" w:themeColor="text1"/>
                <w:sz w:val="24"/>
                <w:szCs w:val="24"/>
                <w:highlight w:val="none"/>
                <w:u w:val="none"/>
                <w:lang w:eastAsia="zh-CN"/>
                <w14:textFill>
                  <w14:solidFill>
                    <w14:schemeClr w14:val="tx1"/>
                  </w14:solidFill>
                </w14:textFill>
              </w:rPr>
              <w:t>浙江政府采购网（</w:t>
            </w:r>
            <w:bookmarkEnd w:id="12"/>
            <w:r>
              <w:rPr>
                <w:rFonts w:hint="eastAsia" w:ascii="宋体" w:hAnsi="宋体" w:eastAsia="宋体" w:cs="宋体"/>
                <w:color w:val="000000" w:themeColor="text1"/>
                <w:sz w:val="24"/>
                <w:szCs w:val="24"/>
                <w:highlight w:val="none"/>
                <w:u w:val="none"/>
                <w:lang w:eastAsia="zh-CN"/>
                <w14:textFill>
                  <w14:solidFill>
                    <w14:schemeClr w14:val="tx1"/>
                  </w14:solidFill>
                </w14:textFill>
              </w:rPr>
              <w:t>https://zfcg.czt.zj.gov.cn/）</w:t>
            </w:r>
            <w:r>
              <w:rPr>
                <w:rFonts w:hint="eastAsia" w:ascii="宋体" w:hAnsi="宋体" w:eastAsia="宋体" w:cs="宋体"/>
                <w:color w:val="000000" w:themeColor="text1"/>
                <w:sz w:val="24"/>
                <w:szCs w:val="24"/>
                <w:highlight w:val="none"/>
                <w14:textFill>
                  <w14:solidFill>
                    <w14:schemeClr w14:val="tx1"/>
                  </w14:solidFill>
                </w14:textFill>
              </w:rPr>
              <w:t>获取（下载）招标文件，并于</w:t>
            </w:r>
            <w:r>
              <w:rPr>
                <w:rFonts w:hint="eastAsia" w:eastAsia="宋体" w:cs="宋体"/>
                <w:color w:val="auto"/>
                <w:sz w:val="24"/>
                <w:szCs w:val="24"/>
                <w:highlight w:val="none"/>
                <w:u w:val="single"/>
                <w:lang w:eastAsia="zh-CN"/>
              </w:rPr>
              <w:t>2026年4月30日09:00</w:t>
            </w:r>
            <w:r>
              <w:rPr>
                <w:rFonts w:hint="eastAsia" w:ascii="宋体" w:hAnsi="宋体" w:eastAsia="宋体" w:cs="宋体"/>
                <w:color w:val="000000" w:themeColor="text1"/>
                <w:sz w:val="24"/>
                <w:szCs w:val="24"/>
                <w:highlight w:val="none"/>
                <w14:textFill>
                  <w14:solidFill>
                    <w14:schemeClr w14:val="tx1"/>
                  </w14:solidFill>
                </w14:textFill>
              </w:rPr>
              <w:t>（北京时间）前递交（上传）投标文件。</w:t>
            </w:r>
          </w:p>
        </w:tc>
      </w:tr>
    </w:tbl>
    <w:p w14:paraId="4A5B6866">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2" w:firstLineChars="200"/>
        <w:jc w:val="left"/>
        <w:textAlignment w:val="auto"/>
        <w:outlineLvl w:val="9"/>
        <w:rPr>
          <w:rStyle w:val="29"/>
          <w:rFonts w:hint="eastAsia" w:ascii="宋体" w:hAnsi="宋体" w:eastAsia="宋体" w:cs="宋体"/>
          <w:color w:val="000000" w:themeColor="text1"/>
          <w:sz w:val="24"/>
          <w:szCs w:val="24"/>
          <w:highlight w:val="none"/>
          <w14:textFill>
            <w14:solidFill>
              <w14:schemeClr w14:val="tx1"/>
            </w14:solidFill>
          </w14:textFill>
        </w:rPr>
      </w:pPr>
      <w:r>
        <w:rPr>
          <w:rStyle w:val="29"/>
          <w:rFonts w:hint="eastAsia" w:ascii="宋体" w:hAnsi="宋体" w:eastAsia="宋体" w:cs="宋体"/>
          <w:color w:val="000000" w:themeColor="text1"/>
          <w:sz w:val="24"/>
          <w:szCs w:val="24"/>
          <w:highlight w:val="none"/>
          <w14:textFill>
            <w14:solidFill>
              <w14:schemeClr w14:val="tx1"/>
            </w14:solidFill>
          </w14:textFill>
        </w:rPr>
        <w:t>一、项目基本情况</w:t>
      </w:r>
    </w:p>
    <w:p w14:paraId="69FC8BB5">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eastAsia="宋体" w:cs="宋体"/>
          <w:color w:val="000000" w:themeColor="text1"/>
          <w:sz w:val="24"/>
          <w:szCs w:val="24"/>
          <w:highlight w:val="none"/>
          <w:u w:val="single"/>
          <w:lang w:val="en-US" w:eastAsia="zh-CN"/>
          <w14:textFill>
            <w14:solidFill>
              <w14:schemeClr w14:val="tx1"/>
            </w14:solidFill>
          </w14:textFill>
        </w:rPr>
        <w:t>中望[2026]D039号</w:t>
      </w:r>
    </w:p>
    <w:p w14:paraId="12357098">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eastAsia="宋体" w:cs="宋体"/>
          <w:color w:val="000000" w:themeColor="text1"/>
          <w:sz w:val="24"/>
          <w:szCs w:val="24"/>
          <w:highlight w:val="none"/>
          <w:u w:val="single"/>
          <w:lang w:eastAsia="zh-CN"/>
          <w14:textFill>
            <w14:solidFill>
              <w14:schemeClr w14:val="tx1"/>
            </w14:solidFill>
          </w14:textFill>
        </w:rPr>
        <w:t>2026年海盐县高标准农田管护保险项目</w:t>
      </w:r>
    </w:p>
    <w:p w14:paraId="2C8575DF">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预算金额（元）：</w:t>
      </w:r>
      <w:r>
        <w:rPr>
          <w:rFonts w:hint="eastAsia" w:eastAsia="宋体" w:cs="宋体"/>
          <w:color w:val="000000" w:themeColor="text1"/>
          <w:sz w:val="24"/>
          <w:szCs w:val="24"/>
          <w:highlight w:val="none"/>
          <w:u w:val="single"/>
          <w:lang w:val="en-US" w:eastAsia="zh-CN"/>
          <w14:textFill>
            <w14:solidFill>
              <w14:schemeClr w14:val="tx1"/>
            </w14:solidFill>
          </w14:textFill>
        </w:rPr>
        <w:t>3104900</w:t>
      </w:r>
    </w:p>
    <w:p w14:paraId="15C9574C">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最高限价（元）：</w:t>
      </w:r>
      <w:r>
        <w:rPr>
          <w:rFonts w:hint="eastAsia" w:eastAsia="宋体" w:cs="宋体"/>
          <w:color w:val="000000" w:themeColor="text1"/>
          <w:sz w:val="24"/>
          <w:szCs w:val="24"/>
          <w:highlight w:val="none"/>
          <w:u w:val="single"/>
          <w:lang w:val="en-US" w:eastAsia="zh-CN"/>
          <w14:textFill>
            <w14:solidFill>
              <w14:schemeClr w14:val="tx1"/>
            </w14:solidFill>
          </w14:textFill>
        </w:rPr>
        <w:t>3104900</w:t>
      </w:r>
    </w:p>
    <w:p w14:paraId="3ABB2C92">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采购需求：</w:t>
      </w:r>
      <w:r>
        <w:rPr>
          <w:rFonts w:hint="eastAsia" w:ascii="宋体" w:hAnsi="宋体" w:eastAsia="宋体" w:cs="宋体"/>
          <w:color w:val="000000" w:themeColor="text1"/>
          <w:sz w:val="24"/>
          <w:szCs w:val="24"/>
          <w:highlight w:val="none"/>
          <w:u w:val="single"/>
          <w14:textFill>
            <w14:solidFill>
              <w14:schemeClr w14:val="tx1"/>
            </w14:solidFill>
          </w14:textFill>
        </w:rPr>
        <w:t>详见采购文件</w:t>
      </w:r>
      <w:r>
        <w:rPr>
          <w:rFonts w:hint="eastAsia" w:ascii="宋体" w:hAnsi="宋体" w:eastAsia="宋体" w:cs="宋体"/>
          <w:color w:val="000000" w:themeColor="text1"/>
          <w:sz w:val="24"/>
          <w:szCs w:val="24"/>
          <w:highlight w:val="none"/>
          <w14:textFill>
            <w14:solidFill>
              <w14:schemeClr w14:val="tx1"/>
            </w14:solidFill>
          </w14:textFill>
        </w:rPr>
        <w:t>。</w:t>
      </w:r>
    </w:p>
    <w:p w14:paraId="3BD32EC3">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标项名称: </w:t>
      </w:r>
      <w:r>
        <w:rPr>
          <w:rFonts w:hint="eastAsia" w:eastAsia="宋体" w:cs="宋体"/>
          <w:color w:val="000000" w:themeColor="text1"/>
          <w:sz w:val="24"/>
          <w:szCs w:val="24"/>
          <w:highlight w:val="none"/>
          <w:u w:val="single"/>
          <w:lang w:eastAsia="zh-CN"/>
          <w14:textFill>
            <w14:solidFill>
              <w14:schemeClr w14:val="tx1"/>
            </w14:solidFill>
          </w14:textFill>
        </w:rPr>
        <w:t>2026年海盐县高标准农田管护保险项目</w:t>
      </w:r>
    </w:p>
    <w:p w14:paraId="5746C8B4">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数量: </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 xml:space="preserve">  </w:t>
      </w:r>
    </w:p>
    <w:p w14:paraId="3DD22FD6">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预算金额（元）:</w:t>
      </w:r>
      <w:r>
        <w:rPr>
          <w:rFonts w:hint="eastAsia" w:ascii="宋体" w:hAnsi="宋体" w:eastAsia="宋体" w:cs="宋体"/>
          <w:color w:val="auto"/>
          <w:sz w:val="24"/>
          <w:szCs w:val="24"/>
          <w:highlight w:val="none"/>
          <w:u w:val="none"/>
        </w:rPr>
        <w:t xml:space="preserve"> </w:t>
      </w:r>
      <w:r>
        <w:rPr>
          <w:rFonts w:hint="eastAsia" w:eastAsia="宋体" w:cs="宋体"/>
          <w:color w:val="auto"/>
          <w:sz w:val="24"/>
          <w:szCs w:val="24"/>
          <w:highlight w:val="none"/>
          <w:u w:val="single"/>
          <w:lang w:val="en-US" w:eastAsia="zh-CN"/>
        </w:rPr>
        <w:t>3104900</w:t>
      </w:r>
    </w:p>
    <w:p w14:paraId="697B64B4">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简要规格描述或项目基本概况介绍、用途：</w:t>
      </w:r>
      <w:r>
        <w:rPr>
          <w:rFonts w:hint="eastAsia" w:ascii="宋体" w:hAnsi="宋体" w:eastAsia="宋体" w:cs="宋体"/>
          <w:color w:val="auto"/>
          <w:sz w:val="24"/>
          <w:szCs w:val="24"/>
          <w:highlight w:val="none"/>
          <w:u w:val="single"/>
        </w:rPr>
        <w:t>详见</w:t>
      </w:r>
      <w:r>
        <w:rPr>
          <w:rFonts w:hint="eastAsia" w:ascii="宋体" w:hAnsi="宋体" w:eastAsia="宋体" w:cs="宋体"/>
          <w:color w:val="auto"/>
          <w:sz w:val="24"/>
          <w:szCs w:val="24"/>
          <w:highlight w:val="none"/>
          <w:u w:val="single"/>
          <w:lang w:eastAsia="zh-CN"/>
        </w:rPr>
        <w:t>采购</w:t>
      </w:r>
      <w:r>
        <w:rPr>
          <w:rFonts w:hint="eastAsia" w:ascii="宋体" w:hAnsi="宋体" w:eastAsia="宋体" w:cs="宋体"/>
          <w:color w:val="auto"/>
          <w:sz w:val="24"/>
          <w:szCs w:val="24"/>
          <w:highlight w:val="none"/>
          <w:u w:val="single"/>
        </w:rPr>
        <w:t>文件</w:t>
      </w:r>
      <w:r>
        <w:rPr>
          <w:rFonts w:hint="eastAsia" w:ascii="宋体" w:hAnsi="宋体" w:eastAsia="宋体" w:cs="宋体"/>
          <w:color w:val="auto"/>
          <w:sz w:val="24"/>
          <w:szCs w:val="24"/>
          <w:highlight w:val="none"/>
          <w:u w:val="none"/>
          <w:lang w:eastAsia="zh-CN"/>
        </w:rPr>
        <w:t>。</w:t>
      </w:r>
    </w:p>
    <w:p w14:paraId="4E45E5AF">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备注：</w:t>
      </w:r>
      <w:r>
        <w:rPr>
          <w:rFonts w:hint="eastAsia" w:eastAsia="宋体" w:cs="宋体"/>
          <w:color w:val="auto"/>
          <w:sz w:val="24"/>
          <w:szCs w:val="24"/>
          <w:highlight w:val="none"/>
          <w:u w:val="single"/>
          <w:lang w:val="en-US" w:eastAsia="zh-CN"/>
        </w:rPr>
        <w:t xml:space="preserve"> / </w:t>
      </w:r>
    </w:p>
    <w:p w14:paraId="6B7100AC">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eastAsia="宋体" w:cs="宋体"/>
          <w:strike/>
          <w:color w:val="000000" w:themeColor="text1"/>
          <w:sz w:val="24"/>
          <w:szCs w:val="24"/>
          <w:highlight w:val="yellow"/>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合同履约期限</w:t>
      </w:r>
      <w:r>
        <w:rPr>
          <w:rFonts w:hint="eastAsia" w:eastAsia="宋体" w:cs="宋体"/>
          <w:color w:val="000000" w:themeColor="text1"/>
          <w:sz w:val="24"/>
          <w:szCs w:val="24"/>
          <w:highlight w:val="none"/>
          <w:lang w:eastAsia="zh-CN"/>
          <w14:textFill>
            <w14:solidFill>
              <w14:schemeClr w14:val="tx1"/>
            </w14:solidFill>
          </w14:textFill>
        </w:rPr>
        <w:t>：</w:t>
      </w:r>
      <w:r>
        <w:rPr>
          <w:rFonts w:hint="eastAsia" w:eastAsia="宋体" w:cs="宋体"/>
          <w:i w:val="0"/>
          <w:iCs w:val="0"/>
          <w:color w:val="000000" w:themeColor="text1"/>
          <w:sz w:val="24"/>
          <w:szCs w:val="24"/>
          <w:highlight w:val="none"/>
          <w:u w:val="single"/>
          <w:lang w:val="en-US" w:eastAsia="zh-CN"/>
          <w14:textFill>
            <w14:solidFill>
              <w14:schemeClr w14:val="tx1"/>
            </w14:solidFill>
          </w14:textFill>
        </w:rPr>
        <w:t>合同签订之日起1年</w:t>
      </w:r>
      <w:r>
        <w:rPr>
          <w:rFonts w:hint="eastAsia" w:eastAsia="宋体" w:cs="宋体"/>
          <w:color w:val="000000" w:themeColor="text1"/>
          <w:sz w:val="24"/>
          <w:szCs w:val="24"/>
          <w:highlight w:val="none"/>
          <w:lang w:eastAsia="zh-CN"/>
          <w14:textFill>
            <w14:solidFill>
              <w14:schemeClr w14:val="tx1"/>
            </w14:solidFill>
          </w14:textFill>
        </w:rPr>
        <w:t>。</w:t>
      </w:r>
    </w:p>
    <w:p w14:paraId="04FC41FA">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本项目（否）接受联合体投标。</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CF3AFCE">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2" w:firstLineChars="200"/>
        <w:jc w:val="left"/>
        <w:textAlignment w:val="auto"/>
        <w:outlineLvl w:val="9"/>
        <w:rPr>
          <w:rStyle w:val="29"/>
          <w:rFonts w:hint="eastAsia" w:ascii="宋体" w:hAnsi="宋体" w:eastAsia="宋体" w:cs="宋体"/>
          <w:b/>
          <w:bCs/>
          <w:color w:val="auto"/>
          <w:sz w:val="24"/>
          <w:szCs w:val="24"/>
          <w:highlight w:val="none"/>
        </w:rPr>
      </w:pPr>
      <w:r>
        <w:rPr>
          <w:rStyle w:val="29"/>
          <w:rFonts w:hint="eastAsia" w:ascii="宋体" w:hAnsi="宋体" w:eastAsia="宋体" w:cs="宋体"/>
          <w:b/>
          <w:bCs/>
          <w:color w:val="auto"/>
          <w:sz w:val="24"/>
          <w:szCs w:val="24"/>
          <w:highlight w:val="none"/>
        </w:rPr>
        <w:t>二、申请人的资格要求</w:t>
      </w:r>
    </w:p>
    <w:p w14:paraId="0B55D1A0">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eastAsia="宋体" w:cs="宋体"/>
          <w:color w:val="auto"/>
          <w:sz w:val="24"/>
          <w:szCs w:val="24"/>
          <w:highlight w:val="none"/>
          <w:lang w:eastAsia="zh-CN"/>
        </w:rPr>
      </w:pPr>
      <w:r>
        <w:rPr>
          <w:rFonts w:hint="eastAsia" w:eastAsia="宋体" w:cs="宋体"/>
          <w:color w:val="auto"/>
          <w:sz w:val="24"/>
          <w:szCs w:val="24"/>
          <w:highlight w:val="none"/>
          <w:lang w:eastAsia="zh-CN"/>
        </w:rPr>
        <w:t>1.满足《中华人民共和国政府采购法》第二十二条规定：</w:t>
      </w:r>
    </w:p>
    <w:p w14:paraId="09FB030F">
      <w:pPr>
        <w:pStyle w:val="24"/>
        <w:keepNext w:val="0"/>
        <w:keepLines w:val="0"/>
        <w:pageBreakBefore w:val="0"/>
        <w:widowControl w:val="0"/>
        <w:shd w:val="clear" w:color="auto" w:fill="auto"/>
        <w:kinsoku/>
        <w:wordWrap w:val="0"/>
        <w:overflowPunct/>
        <w:topLinePunct/>
        <w:autoSpaceDE/>
        <w:autoSpaceDN/>
        <w:bidi w:val="0"/>
        <w:adjustRightInd/>
        <w:snapToGrid/>
        <w:spacing w:before="0" w:beforeAutospacing="0" w:after="0" w:afterAutospacing="0" w:line="400" w:lineRule="exact"/>
        <w:ind w:right="0" w:rightChars="0" w:firstLine="480"/>
        <w:textAlignment w:val="auto"/>
        <w:outlineLvl w:val="9"/>
        <w:rPr>
          <w:rFonts w:hint="eastAsia" w:ascii="宋体" w:hAnsi="宋体" w:cs="Arial"/>
          <w:color w:val="auto"/>
          <w:sz w:val="24"/>
          <w:szCs w:val="24"/>
        </w:rPr>
      </w:pPr>
      <w:r>
        <w:rPr>
          <w:rFonts w:hint="eastAsia" w:cs="Arial"/>
          <w:color w:val="auto"/>
          <w:sz w:val="24"/>
          <w:szCs w:val="24"/>
          <w:lang w:val="en-US" w:eastAsia="zh-CN"/>
        </w:rPr>
        <w:t>（1）</w:t>
      </w:r>
      <w:r>
        <w:rPr>
          <w:rFonts w:hint="eastAsia" w:ascii="宋体" w:hAnsi="宋体" w:cs="Arial"/>
          <w:color w:val="auto"/>
          <w:sz w:val="24"/>
          <w:szCs w:val="24"/>
        </w:rPr>
        <w:t>具有独立承担民事责任的能力；</w:t>
      </w:r>
    </w:p>
    <w:p w14:paraId="1E3A0AC2">
      <w:pPr>
        <w:pStyle w:val="24"/>
        <w:keepNext w:val="0"/>
        <w:keepLines w:val="0"/>
        <w:pageBreakBefore w:val="0"/>
        <w:widowControl w:val="0"/>
        <w:shd w:val="clear" w:color="auto" w:fill="auto"/>
        <w:kinsoku/>
        <w:wordWrap w:val="0"/>
        <w:overflowPunct/>
        <w:topLinePunct/>
        <w:autoSpaceDE/>
        <w:autoSpaceDN/>
        <w:bidi w:val="0"/>
        <w:adjustRightInd/>
        <w:snapToGrid/>
        <w:spacing w:before="0" w:beforeAutospacing="0" w:after="0" w:afterAutospacing="0" w:line="400" w:lineRule="exact"/>
        <w:ind w:right="0" w:rightChars="0" w:firstLine="480" w:firstLineChars="200"/>
        <w:textAlignment w:val="auto"/>
        <w:outlineLvl w:val="9"/>
        <w:rPr>
          <w:rFonts w:hint="eastAsia" w:ascii="宋体" w:hAnsi="宋体" w:cs="Arial"/>
          <w:color w:val="auto"/>
          <w:sz w:val="24"/>
          <w:szCs w:val="24"/>
        </w:rPr>
      </w:pPr>
      <w:r>
        <w:rPr>
          <w:rFonts w:hint="eastAsia" w:cs="Arial"/>
          <w:color w:val="auto"/>
          <w:sz w:val="24"/>
          <w:szCs w:val="24"/>
          <w:lang w:val="en-US" w:eastAsia="zh-CN"/>
        </w:rPr>
        <w:t>（2）</w:t>
      </w:r>
      <w:r>
        <w:rPr>
          <w:rFonts w:hint="eastAsia" w:ascii="宋体" w:hAnsi="宋体" w:cs="Arial"/>
          <w:color w:val="auto"/>
          <w:sz w:val="24"/>
          <w:szCs w:val="24"/>
        </w:rPr>
        <w:t>具有良好的商业信誉和健全的财务会计制度；</w:t>
      </w:r>
    </w:p>
    <w:p w14:paraId="63B462CA">
      <w:pPr>
        <w:pStyle w:val="24"/>
        <w:keepNext w:val="0"/>
        <w:keepLines w:val="0"/>
        <w:pageBreakBefore w:val="0"/>
        <w:widowControl w:val="0"/>
        <w:shd w:val="clear" w:color="auto" w:fill="auto"/>
        <w:kinsoku/>
        <w:wordWrap w:val="0"/>
        <w:overflowPunct/>
        <w:topLinePunct/>
        <w:autoSpaceDE/>
        <w:autoSpaceDN/>
        <w:bidi w:val="0"/>
        <w:adjustRightInd/>
        <w:snapToGrid/>
        <w:spacing w:before="0" w:beforeAutospacing="0" w:after="0" w:afterAutospacing="0" w:line="400" w:lineRule="exact"/>
        <w:ind w:right="0" w:rightChars="0" w:firstLine="480" w:firstLineChars="200"/>
        <w:textAlignment w:val="auto"/>
        <w:outlineLvl w:val="9"/>
        <w:rPr>
          <w:rFonts w:hint="eastAsia" w:ascii="宋体" w:hAnsi="宋体" w:cs="Arial"/>
          <w:color w:val="auto"/>
          <w:sz w:val="24"/>
          <w:szCs w:val="24"/>
        </w:rPr>
      </w:pPr>
      <w:r>
        <w:rPr>
          <w:rFonts w:hint="eastAsia" w:cs="Arial"/>
          <w:color w:val="auto"/>
          <w:sz w:val="24"/>
          <w:szCs w:val="24"/>
          <w:lang w:eastAsia="zh-CN"/>
        </w:rPr>
        <w:t>（</w:t>
      </w:r>
      <w:r>
        <w:rPr>
          <w:rFonts w:hint="eastAsia" w:cs="Arial"/>
          <w:color w:val="auto"/>
          <w:sz w:val="24"/>
          <w:szCs w:val="24"/>
          <w:lang w:val="en-US" w:eastAsia="zh-CN"/>
        </w:rPr>
        <w:t>3</w:t>
      </w:r>
      <w:r>
        <w:rPr>
          <w:rFonts w:hint="eastAsia" w:cs="Arial"/>
          <w:color w:val="auto"/>
          <w:sz w:val="24"/>
          <w:szCs w:val="24"/>
          <w:lang w:eastAsia="zh-CN"/>
        </w:rPr>
        <w:t>）</w:t>
      </w:r>
      <w:r>
        <w:rPr>
          <w:rFonts w:hint="eastAsia" w:ascii="宋体" w:hAnsi="宋体" w:cs="Arial"/>
          <w:color w:val="auto"/>
          <w:sz w:val="24"/>
          <w:szCs w:val="24"/>
        </w:rPr>
        <w:t>具有履行合同所必需的设备和专业技术能力；</w:t>
      </w:r>
    </w:p>
    <w:p w14:paraId="5ED31FDE">
      <w:pPr>
        <w:pStyle w:val="24"/>
        <w:keepNext w:val="0"/>
        <w:keepLines w:val="0"/>
        <w:pageBreakBefore w:val="0"/>
        <w:widowControl w:val="0"/>
        <w:shd w:val="clear" w:color="auto" w:fill="auto"/>
        <w:kinsoku/>
        <w:wordWrap w:val="0"/>
        <w:overflowPunct/>
        <w:topLinePunct/>
        <w:autoSpaceDE/>
        <w:autoSpaceDN/>
        <w:bidi w:val="0"/>
        <w:adjustRightInd/>
        <w:snapToGrid/>
        <w:spacing w:before="0" w:beforeAutospacing="0" w:after="0" w:afterAutospacing="0" w:line="400" w:lineRule="exact"/>
        <w:ind w:right="0" w:rightChars="0" w:firstLine="480" w:firstLineChars="200"/>
        <w:textAlignment w:val="auto"/>
        <w:outlineLvl w:val="9"/>
        <w:rPr>
          <w:rFonts w:hint="eastAsia" w:ascii="宋体" w:hAnsi="宋体" w:cs="Arial"/>
          <w:color w:val="auto"/>
          <w:sz w:val="24"/>
          <w:szCs w:val="24"/>
        </w:rPr>
      </w:pPr>
      <w:r>
        <w:rPr>
          <w:rFonts w:hint="eastAsia" w:cs="Arial"/>
          <w:color w:val="auto"/>
          <w:sz w:val="24"/>
          <w:szCs w:val="24"/>
          <w:lang w:eastAsia="zh-CN"/>
        </w:rPr>
        <w:t>（</w:t>
      </w:r>
      <w:r>
        <w:rPr>
          <w:rFonts w:hint="eastAsia" w:cs="Arial"/>
          <w:color w:val="auto"/>
          <w:sz w:val="24"/>
          <w:szCs w:val="24"/>
          <w:lang w:val="en-US" w:eastAsia="zh-CN"/>
        </w:rPr>
        <w:t>4</w:t>
      </w:r>
      <w:r>
        <w:rPr>
          <w:rFonts w:hint="eastAsia" w:cs="Arial"/>
          <w:color w:val="auto"/>
          <w:sz w:val="24"/>
          <w:szCs w:val="24"/>
          <w:lang w:eastAsia="zh-CN"/>
        </w:rPr>
        <w:t>）</w:t>
      </w:r>
      <w:r>
        <w:rPr>
          <w:rFonts w:hint="eastAsia" w:ascii="宋体" w:hAnsi="宋体" w:cs="Arial"/>
          <w:color w:val="auto"/>
          <w:sz w:val="24"/>
          <w:szCs w:val="24"/>
        </w:rPr>
        <w:t>有依法缴纳税收和社会保障资金的良好记录；</w:t>
      </w:r>
    </w:p>
    <w:p w14:paraId="5FC1162D">
      <w:pPr>
        <w:pStyle w:val="24"/>
        <w:keepNext w:val="0"/>
        <w:keepLines w:val="0"/>
        <w:pageBreakBefore w:val="0"/>
        <w:widowControl w:val="0"/>
        <w:shd w:val="clear" w:color="auto" w:fill="auto"/>
        <w:kinsoku/>
        <w:wordWrap w:val="0"/>
        <w:overflowPunct/>
        <w:topLinePunct/>
        <w:autoSpaceDE/>
        <w:autoSpaceDN/>
        <w:bidi w:val="0"/>
        <w:adjustRightInd/>
        <w:snapToGrid/>
        <w:spacing w:before="0" w:beforeAutospacing="0" w:after="0" w:afterAutospacing="0" w:line="400" w:lineRule="exact"/>
        <w:ind w:right="0" w:rightChars="0" w:firstLine="480" w:firstLineChars="200"/>
        <w:textAlignment w:val="auto"/>
        <w:outlineLvl w:val="9"/>
        <w:rPr>
          <w:rFonts w:hint="eastAsia" w:ascii="宋体" w:hAnsi="宋体" w:cs="Arial"/>
          <w:color w:val="auto"/>
          <w:sz w:val="24"/>
          <w:szCs w:val="24"/>
        </w:rPr>
      </w:pPr>
      <w:r>
        <w:rPr>
          <w:rFonts w:hint="eastAsia" w:cs="Arial"/>
          <w:color w:val="auto"/>
          <w:sz w:val="24"/>
          <w:szCs w:val="24"/>
          <w:lang w:eastAsia="zh-CN"/>
        </w:rPr>
        <w:t>（</w:t>
      </w:r>
      <w:r>
        <w:rPr>
          <w:rFonts w:hint="eastAsia" w:cs="Arial"/>
          <w:color w:val="auto"/>
          <w:sz w:val="24"/>
          <w:szCs w:val="24"/>
          <w:lang w:val="en-US" w:eastAsia="zh-CN"/>
        </w:rPr>
        <w:t>5</w:t>
      </w:r>
      <w:r>
        <w:rPr>
          <w:rFonts w:hint="eastAsia" w:cs="Arial"/>
          <w:color w:val="auto"/>
          <w:sz w:val="24"/>
          <w:szCs w:val="24"/>
          <w:lang w:eastAsia="zh-CN"/>
        </w:rPr>
        <w:t>）</w:t>
      </w:r>
      <w:r>
        <w:rPr>
          <w:rFonts w:hint="eastAsia" w:ascii="宋体" w:hAnsi="宋体" w:cs="Arial"/>
          <w:color w:val="auto"/>
          <w:sz w:val="24"/>
          <w:szCs w:val="24"/>
        </w:rPr>
        <w:t>参加政府采购活动前三年，在经营活动中没有重大违法记录；</w:t>
      </w:r>
    </w:p>
    <w:p w14:paraId="75573530">
      <w:pPr>
        <w:pStyle w:val="24"/>
        <w:keepNext w:val="0"/>
        <w:keepLines w:val="0"/>
        <w:pageBreakBefore w:val="0"/>
        <w:widowControl w:val="0"/>
        <w:shd w:val="clear" w:color="auto" w:fill="auto"/>
        <w:kinsoku/>
        <w:wordWrap w:val="0"/>
        <w:overflowPunct/>
        <w:topLinePunct/>
        <w:autoSpaceDE/>
        <w:autoSpaceDN/>
        <w:bidi w:val="0"/>
        <w:adjustRightInd/>
        <w:snapToGrid/>
        <w:spacing w:before="0" w:beforeAutospacing="0" w:after="0" w:afterAutospacing="0" w:line="400" w:lineRule="exact"/>
        <w:ind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cs="Arial"/>
          <w:color w:val="auto"/>
          <w:sz w:val="24"/>
          <w:szCs w:val="24"/>
          <w:lang w:eastAsia="zh-CN"/>
        </w:rPr>
        <w:t>（</w:t>
      </w:r>
      <w:r>
        <w:rPr>
          <w:rFonts w:hint="eastAsia" w:cs="Arial"/>
          <w:color w:val="auto"/>
          <w:sz w:val="24"/>
          <w:szCs w:val="24"/>
          <w:lang w:val="en-US" w:eastAsia="zh-CN"/>
        </w:rPr>
        <w:t>6</w:t>
      </w:r>
      <w:r>
        <w:rPr>
          <w:rFonts w:hint="eastAsia" w:cs="Arial"/>
          <w:color w:val="auto"/>
          <w:sz w:val="24"/>
          <w:szCs w:val="24"/>
          <w:lang w:eastAsia="zh-CN"/>
        </w:rPr>
        <w:t>）</w:t>
      </w:r>
      <w:r>
        <w:rPr>
          <w:rFonts w:hint="eastAsia" w:ascii="宋体" w:hAnsi="宋体" w:cs="Arial"/>
          <w:color w:val="auto"/>
          <w:sz w:val="24"/>
          <w:szCs w:val="24"/>
        </w:rPr>
        <w:t>法律、行政法规规定的其他条件</w:t>
      </w:r>
      <w:r>
        <w:rPr>
          <w:rFonts w:hint="eastAsia" w:ascii="宋体" w:hAnsi="宋体" w:cs="Arial"/>
          <w:color w:val="auto"/>
          <w:sz w:val="24"/>
          <w:szCs w:val="24"/>
          <w:lang w:eastAsia="zh-CN"/>
        </w:rPr>
        <w:t>。</w:t>
      </w:r>
    </w:p>
    <w:p w14:paraId="5ED280AD">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eastAsia="宋体" w:cs="宋体"/>
          <w:color w:val="auto"/>
          <w:sz w:val="24"/>
          <w:szCs w:val="24"/>
          <w:highlight w:val="none"/>
          <w:lang w:eastAsia="zh-CN"/>
        </w:rPr>
      </w:pPr>
      <w:r>
        <w:rPr>
          <w:rFonts w:hint="eastAsia" w:eastAsia="宋体" w:cs="宋体"/>
          <w:color w:val="auto"/>
          <w:sz w:val="24"/>
          <w:szCs w:val="24"/>
          <w:highlight w:val="none"/>
          <w:lang w:val="en-US" w:eastAsia="zh-CN"/>
        </w:rPr>
        <w:t>2.</w:t>
      </w:r>
      <w:r>
        <w:rPr>
          <w:rFonts w:hint="eastAsia" w:eastAsia="宋体" w:cs="宋体"/>
          <w:color w:val="auto"/>
          <w:sz w:val="24"/>
          <w:szCs w:val="24"/>
          <w:highlight w:val="none"/>
          <w:lang w:eastAsia="zh-CN"/>
        </w:rPr>
        <w:t>未被“信用中国”（www.creditchina.gov.cn)、中国政府采购网（www.ccgp.gov.cn）列入失信被执行人、重大税收违法案件当事人名单、政府采购严重违法失信行为记录名单。</w:t>
      </w:r>
    </w:p>
    <w:p w14:paraId="0B2F1974">
      <w:pPr>
        <w:keepNext w:val="0"/>
        <w:keepLines w:val="0"/>
        <w:pageBreakBefore w:val="0"/>
        <w:widowControl w:val="0"/>
        <w:kinsoku/>
        <w:wordWrap w:val="0"/>
        <w:overflowPunct/>
        <w:topLinePunct/>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sz w:val="24"/>
          <w:szCs w:val="24"/>
          <w:highlight w:val="none"/>
          <w:lang w:eastAsia="zh-CN"/>
        </w:rPr>
        <w:t>符合浙财采监〔2013〕24号《关于规范政府采购供应商资格设定及资格审查的通知》第六条规定</w:t>
      </w:r>
      <w:r>
        <w:rPr>
          <w:rFonts w:hint="eastAsia" w:cs="宋体"/>
          <w:color w:val="auto"/>
          <w:sz w:val="24"/>
          <w:szCs w:val="24"/>
          <w:highlight w:val="none"/>
          <w:lang w:eastAsia="zh-CN"/>
        </w:rPr>
        <w:t>（</w:t>
      </w:r>
      <w:r>
        <w:rPr>
          <w:rFonts w:hint="eastAsia" w:cs="宋体"/>
          <w:color w:val="auto"/>
          <w:sz w:val="24"/>
          <w:szCs w:val="24"/>
          <w:highlight w:val="none"/>
          <w:lang w:val="en-US" w:eastAsia="zh-CN"/>
        </w:rPr>
        <w:t>如涉及）</w:t>
      </w:r>
      <w:r>
        <w:rPr>
          <w:rFonts w:hint="eastAsia" w:ascii="宋体" w:hAnsi="宋体" w:eastAsia="宋体" w:cs="宋体"/>
          <w:color w:val="auto"/>
          <w:sz w:val="24"/>
          <w:szCs w:val="24"/>
          <w:highlight w:val="none"/>
          <w:lang w:eastAsia="zh-CN"/>
        </w:rPr>
        <w:t>。</w:t>
      </w:r>
    </w:p>
    <w:p w14:paraId="2DE422F4">
      <w:pPr>
        <w:keepNext w:val="0"/>
        <w:keepLines w:val="0"/>
        <w:pageBreakBefore w:val="0"/>
        <w:widowControl w:val="0"/>
        <w:kinsoku/>
        <w:topLinePunct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SA"/>
        </w:rPr>
        <w:t>4.落实</w:t>
      </w:r>
      <w:r>
        <w:rPr>
          <w:rFonts w:hint="eastAsia" w:ascii="宋体" w:hAnsi="宋体" w:eastAsia="宋体" w:cs="宋体"/>
          <w:color w:val="auto"/>
          <w:sz w:val="24"/>
          <w:szCs w:val="24"/>
          <w:highlight w:val="none"/>
          <w:lang w:eastAsia="zh-CN"/>
        </w:rPr>
        <w:t>政府采购政策需满足的资格要求：</w:t>
      </w:r>
    </w:p>
    <w:p w14:paraId="518B1DC1">
      <w:pPr>
        <w:keepNext w:val="0"/>
        <w:keepLines w:val="0"/>
        <w:pageBreakBefore w:val="0"/>
        <w:widowControl w:val="0"/>
        <w:kinsoku/>
        <w:topLinePunct w:val="0"/>
        <w:bidi w:val="0"/>
        <w:adjustRightInd/>
        <w:snapToGrid/>
        <w:spacing w:line="400" w:lineRule="exact"/>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  4.1</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sym w:font="Wingdings" w:char="00FE"/>
      </w:r>
      <w:r>
        <w:rPr>
          <w:rFonts w:hint="eastAsia" w:ascii="宋体" w:hAnsi="宋体" w:eastAsia="宋体" w:cs="宋体"/>
          <w:color w:val="000000" w:themeColor="text1"/>
          <w:sz w:val="24"/>
          <w:szCs w:val="24"/>
          <w:highlight w:val="none"/>
          <w14:textFill>
            <w14:solidFill>
              <w14:schemeClr w14:val="tx1"/>
            </w14:solidFill>
          </w14:textFill>
        </w:rPr>
        <w:t>无</w:t>
      </w:r>
    </w:p>
    <w:p w14:paraId="4B06BC78">
      <w:pPr>
        <w:keepNext w:val="0"/>
        <w:keepLines w:val="0"/>
        <w:pageBreakBefore w:val="0"/>
        <w:widowControl w:val="0"/>
        <w:kinsoku/>
        <w:topLinePunct w:val="0"/>
        <w:bidi w:val="0"/>
        <w:adjustRightInd/>
        <w:snapToGrid/>
        <w:spacing w:line="400" w:lineRule="exact"/>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    4.2</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sym w:font="Wingdings" w:char="00A8"/>
      </w:r>
      <w:r>
        <w:rPr>
          <w:rFonts w:hint="eastAsia" w:ascii="宋体" w:hAnsi="宋体" w:eastAsia="宋体" w:cs="宋体"/>
          <w:color w:val="000000" w:themeColor="text1"/>
          <w:kern w:val="0"/>
          <w:sz w:val="24"/>
          <w:szCs w:val="24"/>
          <w:highlight w:val="none"/>
          <w14:textFill>
            <w14:solidFill>
              <w14:schemeClr w14:val="tx1"/>
            </w14:solidFill>
          </w14:textFill>
        </w:rPr>
        <w:t>专</w:t>
      </w:r>
      <w:r>
        <w:rPr>
          <w:rFonts w:hint="eastAsia" w:ascii="宋体" w:hAnsi="宋体" w:eastAsia="宋体" w:cs="宋体"/>
          <w:color w:val="000000" w:themeColor="text1"/>
          <w:sz w:val="24"/>
          <w:szCs w:val="24"/>
          <w:highlight w:val="none"/>
          <w14:textFill>
            <w14:solidFill>
              <w14:schemeClr w14:val="tx1"/>
            </w14:solidFill>
          </w14:textFill>
        </w:rPr>
        <w:t>门面向中小企业</w:t>
      </w:r>
    </w:p>
    <w:p w14:paraId="3609FCA0">
      <w:pPr>
        <w:keepNext w:val="0"/>
        <w:keepLines w:val="0"/>
        <w:pageBreakBefore w:val="0"/>
        <w:widowControl w:val="0"/>
        <w:kinsoku/>
        <w:topLinePunct w:val="0"/>
        <w:bidi w:val="0"/>
        <w:adjustRightInd/>
        <w:snapToGrid/>
        <w:spacing w:line="40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    4.2.1</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服务全部由符合政策要求的中小</w:t>
      </w:r>
      <w:r>
        <w:rPr>
          <w:rFonts w:hint="eastAsia" w:ascii="宋体" w:hAnsi="宋体" w:eastAsia="宋体" w:cs="宋体"/>
          <w:color w:val="000000" w:themeColor="text1"/>
          <w:sz w:val="24"/>
          <w:szCs w:val="24"/>
          <w:highlight w:val="none"/>
          <w:lang w:val="en-US" w:eastAsia="zh-CN"/>
          <w14:textFill>
            <w14:solidFill>
              <w14:schemeClr w14:val="tx1"/>
            </w14:solidFill>
          </w14:textFill>
        </w:rPr>
        <w:t>微</w:t>
      </w:r>
      <w:r>
        <w:rPr>
          <w:rFonts w:hint="eastAsia" w:ascii="宋体" w:hAnsi="宋体" w:eastAsia="宋体" w:cs="宋体"/>
          <w:color w:val="000000" w:themeColor="text1"/>
          <w:sz w:val="24"/>
          <w:szCs w:val="24"/>
          <w:highlight w:val="none"/>
          <w14:textFill>
            <w14:solidFill>
              <w14:schemeClr w14:val="tx1"/>
            </w14:solidFill>
          </w14:textFill>
        </w:rPr>
        <w:t>企业承接，提供中小企业声明函；</w:t>
      </w:r>
    </w:p>
    <w:p w14:paraId="05725452">
      <w:pPr>
        <w:keepNext w:val="0"/>
        <w:keepLines w:val="0"/>
        <w:pageBreakBefore w:val="0"/>
        <w:widowControl w:val="0"/>
        <w:kinsoku/>
        <w:topLinePunct w:val="0"/>
        <w:bidi w:val="0"/>
        <w:adjustRightInd/>
        <w:snapToGrid/>
        <w:spacing w:line="400" w:lineRule="exact"/>
        <w:textAlignment w:val="auto"/>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4.2.2</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服务全部由符合政策要求的中小企业承接，提供中小企业声明函；</w:t>
      </w:r>
    </w:p>
    <w:p w14:paraId="03F9D6A9">
      <w:pPr>
        <w:pStyle w:val="24"/>
        <w:keepNext w:val="0"/>
        <w:keepLines w:val="0"/>
        <w:pageBreakBefore w:val="0"/>
        <w:widowControl w:val="0"/>
        <w:numPr>
          <w:ilvl w:val="0"/>
          <w:numId w:val="0"/>
        </w:numPr>
        <w:kinsoku/>
        <w:wordWrap w:val="0"/>
        <w:overflowPunct/>
        <w:topLinePunct/>
        <w:autoSpaceDE/>
        <w:autoSpaceDN/>
        <w:bidi w:val="0"/>
        <w:adjustRightInd/>
        <w:snapToGrid/>
        <w:spacing w:before="0" w:beforeAutospacing="0" w:after="0" w:afterAutospacing="0" w:line="400" w:lineRule="exact"/>
        <w:ind w:right="0" w:rightChars="0" w:firstLine="480" w:firstLineChars="20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eastAsia="宋体" w:cs="宋体"/>
          <w:color w:val="000000" w:themeColor="text1"/>
          <w:sz w:val="24"/>
          <w:szCs w:val="24"/>
          <w:highlight w:val="none"/>
          <w:lang w:val="en-US" w:eastAsia="zh-CN"/>
          <w14:textFill>
            <w14:solidFill>
              <w14:schemeClr w14:val="tx1"/>
            </w14:solidFill>
          </w14:textFill>
        </w:rPr>
        <w:t>5.</w:t>
      </w:r>
      <w:r>
        <w:rPr>
          <w:rFonts w:hint="eastAsia" w:eastAsia="宋体" w:cs="宋体"/>
          <w:color w:val="000000" w:themeColor="text1"/>
          <w:sz w:val="24"/>
          <w:szCs w:val="24"/>
          <w:highlight w:val="none"/>
          <w:lang w:eastAsia="zh-CN"/>
          <w14:textFill>
            <w14:solidFill>
              <w14:schemeClr w14:val="tx1"/>
            </w14:solidFill>
          </w14:textFill>
        </w:rPr>
        <w:t>本项目的特定资格要求：</w:t>
      </w:r>
      <w:r>
        <w:rPr>
          <w:rFonts w:hint="eastAsia" w:eastAsia="宋体" w:cs="宋体"/>
          <w:color w:val="000000" w:themeColor="text1"/>
          <w:sz w:val="24"/>
          <w:szCs w:val="24"/>
          <w:highlight w:val="none"/>
          <w:u w:val="single"/>
          <w:lang w:eastAsia="zh-CN"/>
          <w14:textFill>
            <w14:solidFill>
              <w14:schemeClr w14:val="tx1"/>
            </w14:solidFill>
          </w14:textFill>
        </w:rPr>
        <w:t xml:space="preserve"> / </w:t>
      </w:r>
      <w:r>
        <w:rPr>
          <w:rFonts w:hint="eastAsia"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w:t>
      </w:r>
    </w:p>
    <w:p w14:paraId="06470D24">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2" w:firstLineChars="200"/>
        <w:jc w:val="left"/>
        <w:textAlignment w:val="auto"/>
        <w:outlineLvl w:val="9"/>
        <w:rPr>
          <w:rStyle w:val="29"/>
          <w:rFonts w:hint="eastAsia" w:ascii="宋体" w:hAnsi="宋体" w:eastAsia="宋体" w:cs="宋体"/>
          <w:b/>
          <w:bCs/>
          <w:color w:val="auto"/>
          <w:sz w:val="24"/>
          <w:szCs w:val="24"/>
          <w:highlight w:val="none"/>
        </w:rPr>
      </w:pPr>
      <w:r>
        <w:rPr>
          <w:rStyle w:val="29"/>
          <w:rFonts w:hint="eastAsia" w:ascii="宋体" w:hAnsi="宋体" w:eastAsia="宋体" w:cs="宋体"/>
          <w:b/>
          <w:bCs/>
          <w:color w:val="000000" w:themeColor="text1"/>
          <w:sz w:val="24"/>
          <w:szCs w:val="24"/>
          <w:highlight w:val="none"/>
          <w14:textFill>
            <w14:solidFill>
              <w14:schemeClr w14:val="tx1"/>
            </w14:solidFill>
          </w14:textFill>
        </w:rPr>
        <w:t>三、获取</w:t>
      </w:r>
      <w:r>
        <w:rPr>
          <w:rStyle w:val="29"/>
          <w:rFonts w:hint="eastAsia" w:ascii="宋体" w:hAnsi="宋体" w:eastAsia="宋体" w:cs="宋体"/>
          <w:b/>
          <w:bCs/>
          <w:color w:val="000000" w:themeColor="text1"/>
          <w:sz w:val="24"/>
          <w:szCs w:val="24"/>
          <w:highlight w:val="none"/>
          <w:lang w:eastAsia="zh-CN"/>
          <w14:textFill>
            <w14:solidFill>
              <w14:schemeClr w14:val="tx1"/>
            </w14:solidFill>
          </w14:textFill>
        </w:rPr>
        <w:t>采购</w:t>
      </w:r>
      <w:r>
        <w:rPr>
          <w:rStyle w:val="29"/>
          <w:rFonts w:hint="eastAsia" w:ascii="宋体" w:hAnsi="宋体" w:eastAsia="宋体" w:cs="宋体"/>
          <w:b/>
          <w:bCs/>
          <w:color w:val="auto"/>
          <w:sz w:val="24"/>
          <w:szCs w:val="24"/>
          <w:highlight w:val="none"/>
          <w:lang w:eastAsia="zh-CN"/>
        </w:rPr>
        <w:t>文件</w:t>
      </w:r>
    </w:p>
    <w:p w14:paraId="04402DC7">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eastAsia="宋体" w:cs="宋体"/>
          <w:color w:val="auto"/>
          <w:sz w:val="24"/>
          <w:szCs w:val="24"/>
          <w:highlight w:val="none"/>
          <w:u w:val="none"/>
          <w:lang w:eastAsia="zh-CN"/>
        </w:rPr>
        <w:t>发布公告之日起</w:t>
      </w:r>
      <w:r>
        <w:rPr>
          <w:rFonts w:hint="eastAsia" w:ascii="宋体" w:hAnsi="宋体" w:eastAsia="宋体" w:cs="宋体"/>
          <w:color w:val="auto"/>
          <w:sz w:val="24"/>
          <w:szCs w:val="24"/>
          <w:highlight w:val="none"/>
        </w:rPr>
        <w:t>至投标文件截止时间，每天上午</w:t>
      </w:r>
      <w:r>
        <w:rPr>
          <w:rFonts w:hint="eastAsia" w:ascii="宋体" w:hAnsi="宋体" w:eastAsia="宋体" w:cs="宋体"/>
          <w:color w:val="auto"/>
          <w:sz w:val="24"/>
          <w:szCs w:val="24"/>
          <w:highlight w:val="none"/>
          <w:u w:val="none"/>
        </w:rPr>
        <w:t>00:00至12:00</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u w:val="none"/>
        </w:rPr>
        <w:t>12:00至23:59</w:t>
      </w:r>
      <w:r>
        <w:rPr>
          <w:rFonts w:hint="eastAsia" w:ascii="宋体" w:hAnsi="宋体" w:eastAsia="宋体" w:cs="宋体"/>
          <w:color w:val="auto"/>
          <w:sz w:val="24"/>
          <w:szCs w:val="24"/>
          <w:highlight w:val="none"/>
        </w:rPr>
        <w:t>（北京时间，线上获取法定节假日均可，线下获取文件法定节假日除外）</w:t>
      </w:r>
    </w:p>
    <w:p w14:paraId="7A00F2AB">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地点（网址）：浙江政府采购网（http://zfcg.czt.zj.gov.cn/）</w:t>
      </w:r>
    </w:p>
    <w:p w14:paraId="6EA12704">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方式：供应商登录政采云平台https://www.zcygov.cn/在线申请获取采购文件（进入“项目采购”应用，在获取采购文件菜单中选择项目，申请获取采购文件）</w:t>
      </w:r>
    </w:p>
    <w:p w14:paraId="03383D42">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售价（元）：0</w:t>
      </w:r>
      <w:r>
        <w:rPr>
          <w:rFonts w:hint="eastAsia" w:ascii="宋体" w:hAnsi="宋体" w:eastAsia="宋体" w:cs="宋体"/>
          <w:color w:val="auto"/>
          <w:sz w:val="24"/>
          <w:szCs w:val="24"/>
          <w:highlight w:val="none"/>
          <w:lang w:val="en-US" w:eastAsia="zh-CN"/>
        </w:rPr>
        <w:t xml:space="preserve"> </w:t>
      </w:r>
    </w:p>
    <w:p w14:paraId="44C97B91">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2" w:firstLineChars="200"/>
        <w:jc w:val="left"/>
        <w:textAlignment w:val="auto"/>
        <w:outlineLvl w:val="9"/>
        <w:rPr>
          <w:rStyle w:val="29"/>
          <w:rFonts w:hint="eastAsia" w:ascii="宋体" w:hAnsi="宋体" w:eastAsia="宋体" w:cs="宋体"/>
          <w:b/>
          <w:bCs/>
          <w:color w:val="000000" w:themeColor="text1"/>
          <w:sz w:val="24"/>
          <w:szCs w:val="24"/>
          <w:highlight w:val="none"/>
          <w14:textFill>
            <w14:solidFill>
              <w14:schemeClr w14:val="tx1"/>
            </w14:solidFill>
          </w14:textFill>
        </w:rPr>
      </w:pPr>
      <w:r>
        <w:rPr>
          <w:rStyle w:val="29"/>
          <w:rFonts w:hint="eastAsia" w:ascii="宋体" w:hAnsi="宋体" w:eastAsia="宋体" w:cs="宋体"/>
          <w:b/>
          <w:bCs/>
          <w:color w:val="000000" w:themeColor="text1"/>
          <w:sz w:val="24"/>
          <w:szCs w:val="24"/>
          <w:highlight w:val="none"/>
          <w14:textFill>
            <w14:solidFill>
              <w14:schemeClr w14:val="tx1"/>
            </w14:solidFill>
          </w14:textFill>
        </w:rPr>
        <w:t>四、提交投标文件截止时间、开标时间和地点</w:t>
      </w:r>
    </w:p>
    <w:p w14:paraId="025AB5AD">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提交投标文件截止时间：</w:t>
      </w:r>
      <w:r>
        <w:rPr>
          <w:rFonts w:hint="eastAsia" w:eastAsia="宋体" w:cs="宋体"/>
          <w:color w:val="000000" w:themeColor="text1"/>
          <w:sz w:val="24"/>
          <w:szCs w:val="24"/>
          <w:highlight w:val="none"/>
          <w:u w:val="single"/>
          <w:lang w:eastAsia="zh-CN"/>
          <w14:textFill>
            <w14:solidFill>
              <w14:schemeClr w14:val="tx1"/>
            </w14:solidFill>
          </w14:textFill>
        </w:rPr>
        <w:t>2026年4月30日09:00</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53DD7798">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投标地点（网址）：请登陆政采云投标客户端投标</w:t>
      </w:r>
    </w:p>
    <w:p w14:paraId="65222B9C">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w:t>
      </w:r>
      <w:r>
        <w:rPr>
          <w:rFonts w:hint="eastAsia" w:eastAsia="宋体" w:cs="宋体"/>
          <w:color w:val="000000" w:themeColor="text1"/>
          <w:sz w:val="24"/>
          <w:szCs w:val="24"/>
          <w:highlight w:val="none"/>
          <w:u w:val="single"/>
          <w:lang w:eastAsia="zh-CN"/>
          <w14:textFill>
            <w14:solidFill>
              <w14:schemeClr w14:val="tx1"/>
            </w14:solidFill>
          </w14:textFill>
        </w:rPr>
        <w:t>2026年4月30日09:00</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1F369706">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开标地点（网址）：政采云平台在线开标</w:t>
      </w:r>
    </w:p>
    <w:p w14:paraId="14D2B4FB">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Style w:val="29"/>
          <w:rFonts w:hint="eastAsia" w:ascii="宋体" w:hAnsi="宋体" w:eastAsia="宋体" w:cs="宋体"/>
          <w:b/>
          <w:bCs/>
          <w:color w:val="000000" w:themeColor="text1"/>
          <w:sz w:val="24"/>
          <w:szCs w:val="24"/>
          <w:highlight w:val="none"/>
          <w14:textFill>
            <w14:solidFill>
              <w14:schemeClr w14:val="tx1"/>
            </w14:solidFill>
          </w14:textFill>
        </w:rPr>
      </w:pPr>
      <w:r>
        <w:rPr>
          <w:rStyle w:val="29"/>
          <w:rFonts w:hint="eastAsia" w:ascii="宋体" w:hAnsi="宋体" w:eastAsia="宋体" w:cs="宋体"/>
          <w:b w:val="0"/>
          <w:bCs w:val="0"/>
          <w:color w:val="000000" w:themeColor="text1"/>
          <w:sz w:val="24"/>
          <w:szCs w:val="24"/>
          <w:highlight w:val="none"/>
          <w14:textFill>
            <w14:solidFill>
              <w14:schemeClr w14:val="tx1"/>
            </w14:solidFill>
          </w14:textFill>
        </w:rPr>
        <w:t>评审地点：</w:t>
      </w:r>
      <w:r>
        <w:rPr>
          <w:rStyle w:val="29"/>
          <w:rFonts w:hint="eastAsia" w:eastAsia="宋体" w:cs="宋体"/>
          <w:b w:val="0"/>
          <w:bCs w:val="0"/>
          <w:color w:val="000000" w:themeColor="text1"/>
          <w:sz w:val="24"/>
          <w:szCs w:val="24"/>
          <w:highlight w:val="none"/>
          <w:lang w:eastAsia="zh-CN"/>
          <w14:textFill>
            <w14:solidFill>
              <w14:schemeClr w14:val="tx1"/>
            </w14:solidFill>
          </w14:textFill>
        </w:rPr>
        <w:t>海盐县公共资源交易中心三楼303室（海盐县海政路333号）</w:t>
      </w:r>
      <w:r>
        <w:rPr>
          <w:rStyle w:val="29"/>
          <w:rFonts w:hint="eastAsia" w:ascii="宋体" w:hAnsi="宋体" w:eastAsia="宋体" w:cs="宋体"/>
          <w:b w:val="0"/>
          <w:bCs w:val="0"/>
          <w:color w:val="000000" w:themeColor="text1"/>
          <w:sz w:val="24"/>
          <w:szCs w:val="24"/>
          <w:highlight w:val="none"/>
          <w14:textFill>
            <w14:solidFill>
              <w14:schemeClr w14:val="tx1"/>
            </w14:solidFill>
          </w14:textFill>
        </w:rPr>
        <w:t>。</w:t>
      </w:r>
    </w:p>
    <w:p w14:paraId="6B8F1AD3">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2" w:firstLineChars="200"/>
        <w:jc w:val="left"/>
        <w:textAlignment w:val="auto"/>
        <w:outlineLvl w:val="9"/>
        <w:rPr>
          <w:rStyle w:val="29"/>
          <w:rFonts w:hint="eastAsia" w:ascii="宋体" w:hAnsi="宋体" w:eastAsia="宋体" w:cs="宋体"/>
          <w:b/>
          <w:bCs/>
          <w:color w:val="000000" w:themeColor="text1"/>
          <w:sz w:val="24"/>
          <w:szCs w:val="24"/>
          <w:highlight w:val="none"/>
          <w14:textFill>
            <w14:solidFill>
              <w14:schemeClr w14:val="tx1"/>
            </w14:solidFill>
          </w14:textFill>
        </w:rPr>
      </w:pPr>
      <w:r>
        <w:rPr>
          <w:rStyle w:val="29"/>
          <w:rFonts w:hint="eastAsia" w:ascii="宋体" w:hAnsi="宋体" w:eastAsia="宋体" w:cs="宋体"/>
          <w:b/>
          <w:bCs/>
          <w:color w:val="000000" w:themeColor="text1"/>
          <w:sz w:val="24"/>
          <w:szCs w:val="24"/>
          <w:highlight w:val="none"/>
          <w14:textFill>
            <w14:solidFill>
              <w14:schemeClr w14:val="tx1"/>
            </w14:solidFill>
          </w14:textFill>
        </w:rPr>
        <w:t>五、公告期限</w:t>
      </w:r>
    </w:p>
    <w:p w14:paraId="6E269D16">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7209EF5F">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2" w:firstLineChars="200"/>
        <w:jc w:val="left"/>
        <w:textAlignment w:val="auto"/>
        <w:outlineLvl w:val="9"/>
        <w:rPr>
          <w:rStyle w:val="29"/>
          <w:rFonts w:hint="eastAsia" w:ascii="宋体" w:hAnsi="宋体" w:eastAsia="宋体" w:cs="宋体"/>
          <w:b/>
          <w:bCs/>
          <w:color w:val="auto"/>
          <w:sz w:val="24"/>
          <w:szCs w:val="24"/>
          <w:highlight w:val="none"/>
        </w:rPr>
      </w:pPr>
      <w:r>
        <w:rPr>
          <w:rStyle w:val="29"/>
          <w:rFonts w:hint="eastAsia" w:ascii="宋体" w:hAnsi="宋体" w:eastAsia="宋体" w:cs="宋体"/>
          <w:b/>
          <w:bCs/>
          <w:color w:val="auto"/>
          <w:sz w:val="24"/>
          <w:szCs w:val="24"/>
          <w:highlight w:val="none"/>
        </w:rPr>
        <w:t>六、其他补充事宜</w:t>
      </w:r>
    </w:p>
    <w:p w14:paraId="70A8D38D">
      <w:pPr>
        <w:pStyle w:val="24"/>
        <w:keepNext w:val="0"/>
        <w:keepLines w:val="0"/>
        <w:pageBreakBefore w:val="0"/>
        <w:widowControl w:val="0"/>
        <w:shd w:val="clear" w:color="auto" w:fill="auto"/>
        <w:kinsoku/>
        <w:wordWrap w:val="0"/>
        <w:overflowPunct/>
        <w:topLinePunct/>
        <w:autoSpaceDE/>
        <w:autoSpaceDN/>
        <w:bidi w:val="0"/>
        <w:adjustRightInd/>
        <w:snapToGrid/>
        <w:spacing w:before="0" w:beforeAutospacing="0" w:after="0" w:afterAutospacing="0" w:line="400" w:lineRule="exact"/>
        <w:ind w:right="0" w:rightChars="0"/>
        <w:textAlignment w:val="auto"/>
        <w:outlineLvl w:val="9"/>
        <w:rPr>
          <w:rFonts w:hint="eastAsia" w:ascii="宋体" w:hAnsi="宋体" w:eastAsia="宋体" w:cs="宋体"/>
          <w:color w:val="auto"/>
          <w:sz w:val="24"/>
          <w:szCs w:val="24"/>
          <w:highlight w:val="none"/>
        </w:rPr>
      </w:pPr>
      <w:r>
        <w:rPr>
          <w:rFonts w:hint="eastAsia" w:eastAsia="宋体" w:cs="宋体"/>
          <w:color w:val="auto"/>
          <w:sz w:val="24"/>
          <w:szCs w:val="24"/>
          <w:lang w:val="en-US" w:eastAsia="zh-CN"/>
        </w:rPr>
        <w:t xml:space="preserve">    </w:t>
      </w:r>
      <w:r>
        <w:rPr>
          <w:rFonts w:hint="eastAsia" w:ascii="宋体" w:hAnsi="宋体" w:eastAsia="宋体" w:cs="宋体"/>
          <w:color w:val="auto"/>
          <w:sz w:val="24"/>
          <w:szCs w:val="24"/>
          <w:highlight w:val="none"/>
        </w:rPr>
        <w:t>1.《浙江省财政厅关于进一步发挥政府采购政策功能全力推动经济稳进提质的通知》（浙财采监〔2022〕3号）、《浙江省财政厅关于进一步促进政府采购公平竞争打造最优营商环境的通知》（浙财采监〔2021〕22号）</w:t>
      </w:r>
      <w:r>
        <w:rPr>
          <w:rFonts w:hint="eastAsia" w:ascii="宋体" w:hAnsi="宋体" w:eastAsia="宋体" w:cs="宋体"/>
          <w:color w:val="auto"/>
          <w:sz w:val="24"/>
          <w:szCs w:val="24"/>
          <w:highlight w:val="none"/>
          <w:lang w:val="en-US" w:eastAsia="zh-CN"/>
        </w:rPr>
        <w:t>、《浙江省财政厅关于进一步加大政府采购支持中小企业力度助力扎实稳住经济的通知》（浙财采监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8号）</w:t>
      </w:r>
      <w:r>
        <w:rPr>
          <w:rFonts w:hint="eastAsia" w:eastAsia="宋体" w:cs="宋体"/>
          <w:color w:val="auto"/>
          <w:sz w:val="24"/>
          <w:szCs w:val="24"/>
          <w:highlight w:val="none"/>
          <w:lang w:val="en-US" w:eastAsia="zh-CN"/>
        </w:rPr>
        <w:t>、《浙江省财政厅关于进一步规范政府采购秩序促进公平竞争的通知》（浙财采监〔2025〕2号）</w:t>
      </w:r>
      <w:r>
        <w:rPr>
          <w:rFonts w:hint="eastAsia" w:ascii="宋体" w:hAnsi="宋体" w:eastAsia="宋体" w:cs="宋体"/>
          <w:color w:val="auto"/>
          <w:sz w:val="24"/>
          <w:szCs w:val="24"/>
          <w:highlight w:val="none"/>
        </w:rPr>
        <w:t>已分别于2022年1月29日</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2022年2月1日</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2022年7月1日</w:t>
      </w:r>
      <w:r>
        <w:rPr>
          <w:rFonts w:hint="eastAsia" w:eastAsia="宋体" w:cs="宋体"/>
          <w:color w:val="auto"/>
          <w:sz w:val="24"/>
          <w:szCs w:val="24"/>
          <w:highlight w:val="none"/>
          <w:lang w:val="en-US" w:eastAsia="zh-CN"/>
        </w:rPr>
        <w:t>、2025年4月1日</w:t>
      </w:r>
      <w:r>
        <w:rPr>
          <w:rFonts w:hint="eastAsia" w:ascii="宋体" w:hAnsi="宋体" w:eastAsia="宋体" w:cs="宋体"/>
          <w:color w:val="auto"/>
          <w:sz w:val="24"/>
          <w:szCs w:val="24"/>
          <w:highlight w:val="none"/>
        </w:rPr>
        <w:t>开始实施，此前有关规定与上述文件内容不一致的，按上述文件要求执行。</w:t>
      </w:r>
    </w:p>
    <w:p w14:paraId="62413CF4">
      <w:pPr>
        <w:pStyle w:val="24"/>
        <w:keepNext w:val="0"/>
        <w:keepLines w:val="0"/>
        <w:pageBreakBefore w:val="0"/>
        <w:widowControl w:val="0"/>
        <w:shd w:val="clear" w:color="auto" w:fill="auto"/>
        <w:kinsoku/>
        <w:wordWrap w:val="0"/>
        <w:overflowPunct/>
        <w:topLinePunct/>
        <w:autoSpaceDE/>
        <w:autoSpaceDN/>
        <w:bidi w:val="0"/>
        <w:adjustRightInd/>
        <w:snapToGrid/>
        <w:spacing w:before="0" w:beforeAutospacing="0" w:after="0" w:afterAutospacing="0" w:line="400" w:lineRule="exact"/>
        <w:ind w:right="0" w:rightChars="0"/>
        <w:textAlignment w:val="auto"/>
        <w:outlineLvl w:val="9"/>
        <w:rPr>
          <w:rFonts w:hint="eastAsia" w:ascii="宋体" w:hAnsi="宋体" w:eastAsia="宋体" w:cs="宋体"/>
          <w:color w:val="auto"/>
          <w:sz w:val="24"/>
          <w:szCs w:val="24"/>
          <w:highlight w:val="none"/>
        </w:rPr>
      </w:pP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9292BCA">
      <w:pPr>
        <w:pStyle w:val="24"/>
        <w:keepNext w:val="0"/>
        <w:keepLines w:val="0"/>
        <w:pageBreakBefore w:val="0"/>
        <w:widowControl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5E97B24">
      <w:pPr>
        <w:pStyle w:val="24"/>
        <w:keepNext w:val="0"/>
        <w:keepLines w:val="0"/>
        <w:pageBreakBefore w:val="0"/>
        <w:widowControl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4.其他事项：</w:t>
      </w:r>
    </w:p>
    <w:p w14:paraId="2F7C7775">
      <w:pPr>
        <w:pStyle w:val="24"/>
        <w:keepNext w:val="0"/>
        <w:keepLines w:val="0"/>
        <w:pageBreakBefore w:val="0"/>
        <w:widowControl w:val="0"/>
        <w:shd w:val="clear" w:color="auto" w:fill="auto"/>
        <w:kinsoku/>
        <w:wordWrap w:val="0"/>
        <w:overflowPunct/>
        <w:topLinePunct/>
        <w:autoSpaceDE/>
        <w:autoSpaceDN/>
        <w:bidi w:val="0"/>
        <w:adjustRightInd/>
        <w:snapToGrid/>
        <w:spacing w:before="0" w:beforeAutospacing="0" w:after="0" w:afterAutospacing="0" w:line="400" w:lineRule="exact"/>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需要落实的政府采购政策：包括节约资源、保护环境、支持创新、促进中小企业发展等。</w:t>
      </w:r>
    </w:p>
    <w:p w14:paraId="620C63D4">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right="0" w:rightChars="0" w:firstLine="480"/>
        <w:textAlignment w:val="auto"/>
        <w:outlineLvl w:val="9"/>
        <w:rPr>
          <w:rFonts w:hint="eastAsia" w:ascii="宋体" w:hAnsi="宋体" w:eastAsia="宋体" w:cs="宋体"/>
          <w:b/>
          <w:bCs/>
          <w:color w:val="auto"/>
          <w:sz w:val="24"/>
          <w:szCs w:val="24"/>
          <w:highlight w:val="none"/>
          <w:u w:val="singl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u w:val="single"/>
          <w:lang w:eastAsia="zh-CN"/>
        </w:rPr>
        <w:t>惠企政策：本采购项目，中标单位与采购人签订的政府采购合同适用于嘉兴市政府采购贷款政策，简称“政采贷”</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lang w:eastAsia="zh-CN"/>
        </w:rPr>
        <w:t>具体内容可参阅政府采购贷款流程</w:t>
      </w:r>
      <w:r>
        <w:rPr>
          <w:rFonts w:hint="eastAsia" w:ascii="宋体" w:hAnsi="宋体" w:eastAsia="宋体" w:cs="宋体"/>
          <w:b/>
          <w:bCs/>
          <w:color w:val="auto"/>
          <w:sz w:val="24"/>
          <w:szCs w:val="24"/>
          <w:highlight w:val="none"/>
          <w:u w:val="single"/>
          <w:lang w:val="en-US" w:eastAsia="zh-CN"/>
        </w:rPr>
        <w:t>:https://jinrong.zcygov.cn/luban/loan</w:t>
      </w:r>
      <w:r>
        <w:rPr>
          <w:rFonts w:hint="eastAsia" w:ascii="宋体" w:hAnsi="宋体" w:eastAsia="宋体" w:cs="宋体"/>
          <w:b/>
          <w:bCs/>
          <w:color w:val="auto"/>
          <w:sz w:val="24"/>
          <w:szCs w:val="24"/>
          <w:highlight w:val="none"/>
          <w:u w:val="single"/>
          <w:lang w:eastAsia="zh-CN"/>
        </w:rPr>
        <w:t>。</w:t>
      </w:r>
    </w:p>
    <w:p w14:paraId="1535E2F4">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right="0" w:rightChars="0" w:firstLine="48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电子交易相关</w:t>
      </w:r>
      <w:r>
        <w:rPr>
          <w:rFonts w:hint="eastAsia" w:ascii="宋体" w:hAnsi="宋体" w:eastAsia="宋体" w:cs="宋体"/>
          <w:color w:val="auto"/>
          <w:sz w:val="24"/>
          <w:szCs w:val="24"/>
          <w:highlight w:val="none"/>
          <w:lang w:eastAsia="zh-CN"/>
        </w:rPr>
        <w:t>事项：</w:t>
      </w:r>
    </w:p>
    <w:p w14:paraId="09B3DA6B">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1）本项目按照《浙江省财政厅关于印发浙江省政府采购项</w:t>
      </w:r>
      <w:r>
        <w:rPr>
          <w:rFonts w:hint="eastAsia" w:eastAsia="宋体" w:cs="宋体"/>
          <w:color w:val="auto"/>
          <w:sz w:val="24"/>
          <w:szCs w:val="24"/>
          <w:highlight w:val="none"/>
          <w:lang w:val="en-US" w:eastAsia="zh-CN"/>
        </w:rPr>
        <w:t>目</w:t>
      </w:r>
      <w:r>
        <w:rPr>
          <w:rFonts w:hint="eastAsia" w:ascii="宋体" w:hAnsi="宋体" w:eastAsia="宋体" w:cs="宋体"/>
          <w:color w:val="auto"/>
          <w:sz w:val="24"/>
          <w:szCs w:val="24"/>
          <w:highlight w:val="none"/>
          <w:lang w:val="en-US" w:eastAsia="zh-CN"/>
        </w:rPr>
        <w:t>电子交易管理暂行办法的通知》实行电子交易。</w:t>
      </w:r>
    </w:p>
    <w:p w14:paraId="72038941">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2）供应商注册</w:t>
      </w:r>
    </w:p>
    <w:p w14:paraId="74D96FAE">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A.注册网址：浙江政府采购网（https://zfcg.czt.zj.gov.cn/）</w:t>
      </w:r>
    </w:p>
    <w:p w14:paraId="58B097EA">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B.供应商按照《浙江省政府采购供应商注册和诚信管理暂行办法》要求执行。</w:t>
      </w:r>
    </w:p>
    <w:p w14:paraId="194122AF">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3）获取</w:t>
      </w:r>
      <w:r>
        <w:rPr>
          <w:rFonts w:hint="eastAsia" w:eastAsia="宋体" w:cs="宋体"/>
          <w:color w:val="auto"/>
          <w:sz w:val="24"/>
          <w:szCs w:val="24"/>
          <w:highlight w:val="none"/>
          <w:lang w:val="en-US" w:eastAsia="zh-CN"/>
        </w:rPr>
        <w:t>采购文件</w:t>
      </w:r>
    </w:p>
    <w:p w14:paraId="40C682D2">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A.获取方式：采购公告发布后，在政采云平台已完成注册的供应商</w:t>
      </w:r>
      <w:r>
        <w:rPr>
          <w:rFonts w:hint="eastAsia" w:eastAsia="宋体" w:cs="宋体"/>
          <w:color w:val="auto"/>
          <w:sz w:val="24"/>
          <w:szCs w:val="24"/>
          <w:highlight w:val="none"/>
          <w:lang w:val="en-US" w:eastAsia="zh-CN"/>
        </w:rPr>
        <w:t>登录</w:t>
      </w:r>
      <w:r>
        <w:rPr>
          <w:rFonts w:hint="eastAsia" w:ascii="宋体" w:hAnsi="宋体" w:eastAsia="宋体" w:cs="宋体"/>
          <w:color w:val="auto"/>
          <w:sz w:val="24"/>
          <w:szCs w:val="24"/>
          <w:highlight w:val="none"/>
          <w:lang w:val="en-US" w:eastAsia="zh-CN"/>
        </w:rPr>
        <w:t>系统，申请获取</w:t>
      </w:r>
      <w:r>
        <w:rPr>
          <w:rFonts w:hint="eastAsia"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，待审核通过后，可下载</w:t>
      </w:r>
      <w:r>
        <w:rPr>
          <w:rFonts w:hint="eastAsia"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。如果“已申请”标签页显示状态为“审核通过”即为</w:t>
      </w:r>
      <w:r>
        <w:rPr>
          <w:rFonts w:hint="eastAsia"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获取成功。路径：用户中心——项目采购——获取</w:t>
      </w:r>
      <w:r>
        <w:rPr>
          <w:rFonts w:hint="eastAsia"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管理。在“已获取”的状态下，供应商可下载查看</w:t>
      </w:r>
      <w:r>
        <w:rPr>
          <w:rFonts w:hint="eastAsia"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w:t>
      </w:r>
    </w:p>
    <w:p w14:paraId="0BA95D53">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426"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B.获取网址：浙江政府采购网（https://zfcg.czt.zj.gov.cn/）    </w:t>
      </w:r>
    </w:p>
    <w:p w14:paraId="5F870E87">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426"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C.采购公告附件里的采购文件仅供阅览使用, 潜在供应商应当按照上述规定方式获取采购文件，未按照规定方式获取采购文件的，不得对采购文件提起质疑投诉；未按上述规定获取</w:t>
      </w:r>
      <w:r>
        <w:rPr>
          <w:rFonts w:hint="eastAsia"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的投标将被拒绝。</w:t>
      </w:r>
    </w:p>
    <w:p w14:paraId="7122095C">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4）响应文件制作注意事项</w:t>
      </w:r>
    </w:p>
    <w:p w14:paraId="480C7649">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A.供应商将政采云电子交易客户端下载、安装完成后，可通过账号密码或CA登录客户端进行响应文件制作。</w:t>
      </w:r>
    </w:p>
    <w:p w14:paraId="10698257">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注：供应商先要申领CA，拿到CA后需要在政采云平台进行绑定。完成CA数字证书办理在资料齐全的情况下预计7个工作日左右，建议供应商获取</w:t>
      </w:r>
      <w:r>
        <w:rPr>
          <w:rFonts w:hint="eastAsia"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后立即办理。CA证书申领流程：登录政采云网站（https://www.zcygov.cn/），点击右上角我的工作台--右上角ca管理--ca申领</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证书遗失补办、延期、解锁、质保等业务可以在联连客户端上进行操作；使用政采云投标客户端时，建议使用WIN7及以上操作系统。</w:t>
      </w:r>
    </w:p>
    <w:p w14:paraId="6267E2E3">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B.电子交易操作指南：“政府采购云平台—服务中心—帮助文档—项目采购”（</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"https://service.zcygov.cn/#/knowledges/tree?tag=AG1DtGwBFdiHxlNdhY0r"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https://service.zcygov.cn/#/knowledges/tree?tag=AG1DtGwBFdiHxlNdhY0r</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），登录查看电子招投标相关文档。浙江省“项目采购电子交易系统/不见面开评审”学习专题：https://edu.zcygov.cn/luban/e-biding。</w:t>
      </w:r>
    </w:p>
    <w:p w14:paraId="2EF5247F">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5）投标保证金：免。</w:t>
      </w:r>
    </w:p>
    <w:p w14:paraId="31F88F83">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6）投标注意事项</w:t>
      </w:r>
    </w:p>
    <w:p w14:paraId="36D52FAE">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A.响应文件提交注意事项</w:t>
      </w:r>
    </w:p>
    <w:p w14:paraId="1EB5D9B9">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a.供应商进行电子投标应安装客户端软件，并按照</w:t>
      </w:r>
      <w:r>
        <w:rPr>
          <w:rFonts w:hint="eastAsia"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和电子交易平台的要求编制并加密响应文件。供应商未按规定加密的响应文件，</w:t>
      </w:r>
      <w:r>
        <w:rPr>
          <w:rFonts w:hint="eastAsia" w:eastAsia="宋体" w:cs="宋体"/>
          <w:color w:val="auto"/>
          <w:sz w:val="24"/>
          <w:szCs w:val="24"/>
          <w:highlight w:val="none"/>
          <w:lang w:val="en-US" w:eastAsia="zh-CN"/>
        </w:rPr>
        <w:t>采购代理机构</w:t>
      </w:r>
      <w:r>
        <w:rPr>
          <w:rFonts w:hint="eastAsia" w:ascii="宋体" w:hAnsi="宋体" w:eastAsia="宋体" w:cs="宋体"/>
          <w:color w:val="auto"/>
          <w:sz w:val="24"/>
          <w:szCs w:val="24"/>
          <w:highlight w:val="none"/>
          <w:lang w:val="en-US" w:eastAsia="zh-CN"/>
        </w:rPr>
        <w:t>应当拒收。</w:t>
      </w:r>
    </w:p>
    <w:p w14:paraId="0C238D53">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b.供应商应当在投标截止时间前完成响应文件的传输提交，并可以补充、修改或者撤回响应文件。补充或者修改响应文件的，应当先行撤回原文件，补充、修改后重新传输提交。投标截止时间前未完成传输的，视为撤回响应文件。投标截止时间后提交的响应文件，视为无效。</w:t>
      </w:r>
    </w:p>
    <w:p w14:paraId="2E6BF85D">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B.在线投标响应（电子投标）说明</w:t>
      </w:r>
    </w:p>
    <w:p w14:paraId="5A9C622F">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a.本项目通过“政府采购云平台（https://www.zcygov.cn/）”实行在线投标响应（电子投标），供应商应先安装“政采云电子交易客户端”，并按照本</w:t>
      </w:r>
      <w:r>
        <w:rPr>
          <w:rFonts w:hint="eastAsia"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和“政府采购云平台”的要求，通过“政采云电子交易客户端”编制并加密响应文件。供应商未按规定加密的响应文件，“政府采购云平台”将予以拒收。</w:t>
      </w:r>
    </w:p>
    <w:p w14:paraId="0F230C21">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“政采云电子交易客户端”请自行前往“浙江政府采购网-下载专区-政采云电子交易客户端”进行下载；电子投标具体操作流程详见《政府采购项目电子交易管理操作指南-供应商》。</w:t>
      </w:r>
    </w:p>
    <w:p w14:paraId="7FDC5EB5">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b.为确保网上操作合法、有效和安全，投标供应商应当在投标截止时间前完成在“政府采购云平台”的身份认证，确保在电子投标过程中能够对相关数据电文进行加密和使用电子签章。</w:t>
      </w:r>
    </w:p>
    <w:p w14:paraId="4E8FC4F6">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c.投标供应商应当在投标截止时间前，将生成的“电子加密响应文件”上传递交至“政府采购云平台”。投标截止时间以后上传递交的响应文件将被“政府采购云平台”拒收。</w:t>
      </w:r>
    </w:p>
    <w:p w14:paraId="54228248">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7）投标说明：</w:t>
      </w:r>
    </w:p>
    <w:p w14:paraId="0D727B88">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482"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供应商无需到开标现场，但须准时在线参加，直至评审结束。</w:t>
      </w:r>
      <w:r>
        <w:rPr>
          <w:rFonts w:hint="eastAsia" w:ascii="宋体" w:hAnsi="宋体" w:eastAsia="宋体" w:cs="宋体"/>
          <w:color w:val="auto"/>
          <w:sz w:val="24"/>
          <w:szCs w:val="24"/>
          <w:highlight w:val="none"/>
          <w:lang w:val="en-US" w:eastAsia="zh-CN"/>
        </w:rPr>
        <w:t>开标时间后半小时内供应商可以登录“政采云”平台，用“项目采购-开标评标”功能进行解密响应文件若在规定时间内响应文件无法解密或解密失败，则投标无效。为确保采购项目顺利实施，避免因解密失败导致供应商投标无效，供应商在电子交易平台传输提交投标文件后，将政采云平台上最后生成的具备电子签章的备份电子投标文件（文件后缀名为.bfbs）1份在投标截止时间前，以U盘等形式存储的电子备份响应文件密封快递（推荐顺丰）寄至海盐县望海街道宝隆商业中心高层三楼，</w:t>
      </w:r>
      <w:r>
        <w:rPr>
          <w:rFonts w:hint="eastAsia" w:eastAsia="宋体" w:cs="宋体"/>
          <w:color w:val="auto"/>
          <w:sz w:val="24"/>
          <w:szCs w:val="24"/>
          <w:highlight w:val="none"/>
          <w:lang w:val="en-US" w:eastAsia="zh-CN"/>
        </w:rPr>
        <w:t>朱夏晶</w:t>
      </w:r>
      <w:r>
        <w:rPr>
          <w:rFonts w:hint="eastAsia" w:ascii="宋体" w:hAnsi="宋体" w:eastAsia="宋体" w:cs="宋体"/>
          <w:color w:val="auto"/>
          <w:sz w:val="24"/>
          <w:szCs w:val="24"/>
          <w:highlight w:val="none"/>
          <w:lang w:val="en-US" w:eastAsia="zh-CN"/>
        </w:rPr>
        <w:t>收，联系电话：0573-86118612。</w:t>
      </w:r>
    </w:p>
    <w:p w14:paraId="2AB9D9CC">
      <w:pPr>
        <w:pStyle w:val="24"/>
        <w:keepNext w:val="0"/>
        <w:keepLines w:val="0"/>
        <w:pageBreakBefore w:val="0"/>
        <w:widowControl w:val="0"/>
        <w:suppressLineNumbers w:val="0"/>
        <w:shd w:val="clear" w:color="auto" w:fill="auto"/>
        <w:kinsoku/>
        <w:wordWrap w:val="0"/>
        <w:overflowPunct/>
        <w:topLinePunct/>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备份电子投标文件为非强制性要求，但如遇因供应商电子投标文件解密失败等情况造成无效标，后果由供应商自负。</w:t>
      </w:r>
    </w:p>
    <w:bookmarkEnd w:id="11"/>
    <w:p w14:paraId="3E2C5206">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left="0" w:leftChars="0" w:right="0" w:rightChars="0" w:firstLine="482" w:firstLineChars="200"/>
        <w:jc w:val="left"/>
        <w:textAlignment w:val="auto"/>
        <w:outlineLvl w:val="9"/>
        <w:rPr>
          <w:rStyle w:val="29"/>
          <w:rFonts w:hint="eastAsia" w:ascii="宋体" w:hAnsi="宋体" w:eastAsia="宋体" w:cs="宋体"/>
          <w:b/>
          <w:bCs/>
          <w:color w:val="auto"/>
          <w:sz w:val="24"/>
          <w:szCs w:val="24"/>
          <w:highlight w:val="none"/>
        </w:rPr>
      </w:pPr>
      <w:r>
        <w:rPr>
          <w:rStyle w:val="29"/>
          <w:rFonts w:hint="eastAsia" w:ascii="宋体" w:hAnsi="宋体" w:eastAsia="宋体" w:cs="宋体"/>
          <w:b/>
          <w:bCs/>
          <w:color w:val="auto"/>
          <w:sz w:val="24"/>
          <w:szCs w:val="24"/>
          <w:highlight w:val="none"/>
        </w:rPr>
        <w:t>七、对本次招标提出询问、质疑、投诉，请按以下方式联系。</w:t>
      </w:r>
    </w:p>
    <w:p w14:paraId="3D341AC1">
      <w:pPr>
        <w:pStyle w:val="24"/>
        <w:keepNext w:val="0"/>
        <w:keepLines w:val="0"/>
        <w:pageBreakBefore w:val="0"/>
        <w:widowControl w:val="0"/>
        <w:kinsoku/>
        <w:wordWrap w:val="0"/>
        <w:overflowPunct w:val="0"/>
        <w:topLinePunct w:val="0"/>
        <w:bidi w:val="0"/>
        <w:adjustRightInd/>
        <w:snapToGrid/>
        <w:spacing w:before="0" w:beforeAutospacing="0" w:after="0" w:afterAutospacing="0"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w:t>
      </w:r>
      <w:r>
        <w:rPr>
          <w:rFonts w:hint="eastAsia"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信息</w:t>
      </w:r>
    </w:p>
    <w:p w14:paraId="212C86C8">
      <w:pPr>
        <w:pStyle w:val="24"/>
        <w:keepNext w:val="0"/>
        <w:keepLines w:val="0"/>
        <w:pageBreakBefore w:val="0"/>
        <w:widowControl w:val="0"/>
        <w:kinsoku/>
        <w:wordWrap w:val="0"/>
        <w:overflowPunct w:val="0"/>
        <w:bidi w:val="0"/>
        <w:adjustRightInd/>
        <w:snapToGrid/>
        <w:spacing w:before="0" w:beforeAutospacing="0" w:after="0" w:afterAutospacing="0" w:line="400" w:lineRule="exact"/>
        <w:ind w:firstLine="480" w:firstLineChars="200"/>
        <w:textAlignment w:val="auto"/>
        <w:rPr>
          <w:rFonts w:hint="eastAsia" w:cs="宋体" w:eastAsiaTheme="minorEastAsia"/>
          <w:color w:val="auto"/>
          <w:sz w:val="24"/>
          <w:szCs w:val="24"/>
          <w:highlight w:val="none"/>
          <w:lang w:eastAsia="zh-CN"/>
        </w:rPr>
      </w:pPr>
      <w:r>
        <w:rPr>
          <w:rFonts w:hint="eastAsia" w:cs="宋体"/>
          <w:color w:val="auto"/>
          <w:sz w:val="24"/>
          <w:szCs w:val="24"/>
          <w:highlight w:val="none"/>
        </w:rPr>
        <w:t>名称：</w:t>
      </w:r>
      <w:r>
        <w:rPr>
          <w:rFonts w:hint="eastAsia" w:cs="宋体"/>
          <w:color w:val="auto"/>
          <w:sz w:val="24"/>
          <w:szCs w:val="24"/>
          <w:highlight w:val="none"/>
          <w:u w:val="single"/>
          <w:lang w:eastAsia="zh-CN"/>
        </w:rPr>
        <w:t>海盐县农业农村局</w:t>
      </w:r>
    </w:p>
    <w:p w14:paraId="66D2C50E">
      <w:pPr>
        <w:pStyle w:val="24"/>
        <w:keepNext w:val="0"/>
        <w:keepLines w:val="0"/>
        <w:pageBreakBefore w:val="0"/>
        <w:widowControl w:val="0"/>
        <w:kinsoku/>
        <w:wordWrap w:val="0"/>
        <w:overflowPunct w:val="0"/>
        <w:bidi w:val="0"/>
        <w:adjustRightInd/>
        <w:snapToGrid/>
        <w:spacing w:before="0" w:beforeAutospacing="0" w:after="0" w:afterAutospacing="0" w:line="400" w:lineRule="exact"/>
        <w:ind w:firstLine="480" w:firstLineChars="200"/>
        <w:textAlignment w:val="auto"/>
        <w:rPr>
          <w:rFonts w:hint="eastAsia" w:cs="宋体" w:eastAsiaTheme="minorEastAsia"/>
          <w:color w:val="auto"/>
          <w:sz w:val="24"/>
          <w:szCs w:val="24"/>
          <w:highlight w:val="none"/>
          <w:u w:val="single"/>
          <w:lang w:eastAsia="zh-CN"/>
        </w:rPr>
      </w:pPr>
      <w:r>
        <w:rPr>
          <w:rFonts w:hint="eastAsia" w:cs="宋体"/>
          <w:color w:val="auto"/>
          <w:sz w:val="24"/>
          <w:szCs w:val="24"/>
          <w:highlight w:val="none"/>
        </w:rPr>
        <w:t>地址：</w:t>
      </w:r>
      <w:r>
        <w:rPr>
          <w:rFonts w:hint="eastAsia" w:eastAsia="宋体" w:cs="宋体"/>
          <w:color w:val="auto"/>
          <w:sz w:val="24"/>
          <w:szCs w:val="24"/>
          <w:highlight w:val="none"/>
          <w:u w:val="single"/>
          <w:lang w:eastAsia="zh-CN"/>
        </w:rPr>
        <w:t>海盐县武原街道枣园西路209号</w:t>
      </w:r>
    </w:p>
    <w:p w14:paraId="12C2D7A6">
      <w:pPr>
        <w:pStyle w:val="24"/>
        <w:keepNext w:val="0"/>
        <w:keepLines w:val="0"/>
        <w:pageBreakBefore w:val="0"/>
        <w:widowControl w:val="0"/>
        <w:kinsoku/>
        <w:wordWrap w:val="0"/>
        <w:overflowPunct w:val="0"/>
        <w:bidi w:val="0"/>
        <w:adjustRightInd/>
        <w:snapToGrid/>
        <w:spacing w:before="0" w:beforeAutospacing="0" w:after="0" w:afterAutospacing="0" w:line="400" w:lineRule="exact"/>
        <w:ind w:firstLine="480" w:firstLineChars="200"/>
        <w:textAlignment w:val="auto"/>
        <w:rPr>
          <w:rFonts w:hint="eastAsia" w:cs="宋体"/>
          <w:color w:val="auto"/>
          <w:sz w:val="24"/>
          <w:szCs w:val="24"/>
          <w:highlight w:val="none"/>
        </w:rPr>
      </w:pPr>
      <w:r>
        <w:rPr>
          <w:rFonts w:hint="eastAsia" w:cs="宋体"/>
          <w:color w:val="auto"/>
          <w:sz w:val="24"/>
          <w:szCs w:val="24"/>
          <w:highlight w:val="none"/>
        </w:rPr>
        <w:t>项目联系人（询问）：</w:t>
      </w:r>
      <w:r>
        <w:rPr>
          <w:rFonts w:hint="eastAsia" w:cs="宋体"/>
          <w:color w:val="auto"/>
          <w:sz w:val="24"/>
          <w:szCs w:val="24"/>
          <w:highlight w:val="none"/>
          <w:u w:val="single"/>
          <w:lang w:eastAsia="zh-CN"/>
        </w:rPr>
        <w:t>黄先生</w:t>
      </w:r>
    </w:p>
    <w:p w14:paraId="2A16CAA0">
      <w:pPr>
        <w:pStyle w:val="24"/>
        <w:keepNext w:val="0"/>
        <w:keepLines w:val="0"/>
        <w:pageBreakBefore w:val="0"/>
        <w:widowControl w:val="0"/>
        <w:kinsoku/>
        <w:wordWrap w:val="0"/>
        <w:overflowPunct w:val="0"/>
        <w:bidi w:val="0"/>
        <w:adjustRightInd/>
        <w:snapToGrid/>
        <w:spacing w:before="0" w:beforeAutospacing="0" w:after="0" w:afterAutospacing="0" w:line="400" w:lineRule="exact"/>
        <w:ind w:firstLine="480" w:firstLineChars="200"/>
        <w:textAlignment w:val="auto"/>
        <w:rPr>
          <w:rFonts w:hint="eastAsia" w:cs="宋体"/>
          <w:color w:val="auto"/>
          <w:sz w:val="24"/>
          <w:szCs w:val="24"/>
          <w:highlight w:val="none"/>
        </w:rPr>
      </w:pPr>
      <w:r>
        <w:rPr>
          <w:rFonts w:hint="eastAsia" w:cs="宋体"/>
          <w:color w:val="auto"/>
          <w:sz w:val="24"/>
          <w:szCs w:val="24"/>
          <w:highlight w:val="none"/>
        </w:rPr>
        <w:t>项目联系方式（询问）：</w:t>
      </w:r>
      <w:r>
        <w:rPr>
          <w:rFonts w:hint="eastAsia" w:cs="Arial"/>
          <w:color w:val="auto"/>
          <w:sz w:val="24"/>
          <w:szCs w:val="24"/>
          <w:highlight w:val="none"/>
          <w:u w:val="single"/>
          <w:lang w:val="en-US" w:eastAsia="zh-CN"/>
        </w:rPr>
        <w:t>0573-86153072</w:t>
      </w:r>
    </w:p>
    <w:p w14:paraId="5142E6B9">
      <w:pPr>
        <w:pStyle w:val="24"/>
        <w:keepNext w:val="0"/>
        <w:keepLines w:val="0"/>
        <w:pageBreakBefore w:val="0"/>
        <w:widowControl w:val="0"/>
        <w:kinsoku/>
        <w:wordWrap w:val="0"/>
        <w:overflowPunct w:val="0"/>
        <w:autoSpaceDE w:val="0"/>
        <w:autoSpaceDN w:val="0"/>
        <w:bidi w:val="0"/>
        <w:adjustRightInd/>
        <w:snapToGrid/>
        <w:spacing w:before="0" w:beforeAutospacing="0" w:after="0" w:afterAutospacing="0" w:line="400" w:lineRule="exact"/>
        <w:ind w:firstLine="480" w:firstLineChars="200"/>
        <w:textAlignment w:val="auto"/>
        <w:rPr>
          <w:rFonts w:cs="宋体"/>
          <w:color w:val="auto"/>
          <w:sz w:val="24"/>
          <w:szCs w:val="24"/>
          <w:highlight w:val="none"/>
        </w:rPr>
      </w:pPr>
      <w:r>
        <w:rPr>
          <w:rFonts w:hint="eastAsia" w:cs="宋体"/>
          <w:color w:val="auto"/>
          <w:sz w:val="24"/>
          <w:szCs w:val="24"/>
          <w:highlight w:val="none"/>
        </w:rPr>
        <w:t>质疑联系人：</w:t>
      </w:r>
      <w:r>
        <w:rPr>
          <w:rFonts w:hint="eastAsia" w:eastAsia="宋体" w:cs="宋体"/>
          <w:color w:val="auto"/>
          <w:sz w:val="24"/>
          <w:szCs w:val="24"/>
          <w:highlight w:val="none"/>
          <w:u w:val="single"/>
          <w:lang w:val="en-US" w:eastAsia="zh-CN"/>
        </w:rPr>
        <w:t>毛先生</w:t>
      </w:r>
    </w:p>
    <w:p w14:paraId="0C96B932">
      <w:pPr>
        <w:pStyle w:val="24"/>
        <w:keepNext w:val="0"/>
        <w:keepLines w:val="0"/>
        <w:pageBreakBefore w:val="0"/>
        <w:widowControl w:val="0"/>
        <w:kinsoku/>
        <w:wordWrap w:val="0"/>
        <w:overflowPunct w:val="0"/>
        <w:topLinePunct w:val="0"/>
        <w:bidi w:val="0"/>
        <w:adjustRightInd/>
        <w:snapToGrid/>
        <w:spacing w:before="0" w:beforeAutospacing="0" w:after="0" w:afterAutospacing="0"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cs="宋体"/>
          <w:color w:val="auto"/>
          <w:sz w:val="24"/>
          <w:szCs w:val="24"/>
          <w:highlight w:val="none"/>
        </w:rPr>
        <w:t>质疑联系方式：</w:t>
      </w:r>
      <w:r>
        <w:rPr>
          <w:rFonts w:hint="eastAsia" w:eastAsia="宋体" w:cs="宋体"/>
          <w:color w:val="auto"/>
          <w:sz w:val="24"/>
          <w:szCs w:val="24"/>
          <w:highlight w:val="none"/>
          <w:u w:val="single"/>
          <w:lang w:val="en-US" w:eastAsia="zh-CN"/>
        </w:rPr>
        <w:t>0573-86116720</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2.采购代理机构信息</w:t>
      </w:r>
    </w:p>
    <w:p w14:paraId="7486538E">
      <w:pPr>
        <w:pStyle w:val="24"/>
        <w:keepNext w:val="0"/>
        <w:keepLines w:val="0"/>
        <w:pageBreakBefore w:val="0"/>
        <w:widowControl w:val="0"/>
        <w:kinsoku/>
        <w:wordWrap w:val="0"/>
        <w:overflowPunct w:val="0"/>
        <w:topLinePunct w:val="0"/>
        <w:bidi w:val="0"/>
        <w:adjustRightInd/>
        <w:snapToGrid/>
        <w:spacing w:before="0" w:beforeAutospacing="0" w:after="0" w:afterAutospacing="0"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eastAsia="宋体" w:cs="宋体"/>
          <w:color w:val="auto"/>
          <w:sz w:val="24"/>
          <w:szCs w:val="24"/>
          <w:highlight w:val="none"/>
          <w:u w:val="single"/>
          <w:lang w:eastAsia="zh-CN"/>
        </w:rPr>
        <w:t>浙江中望工程管理有限公司</w:t>
      </w:r>
    </w:p>
    <w:p w14:paraId="2C30EBF1">
      <w:pPr>
        <w:pStyle w:val="24"/>
        <w:keepNext w:val="0"/>
        <w:keepLines w:val="0"/>
        <w:pageBreakBefore w:val="0"/>
        <w:widowControl w:val="0"/>
        <w:kinsoku/>
        <w:wordWrap w:val="0"/>
        <w:overflowPunct w:val="0"/>
        <w:topLinePunct w:val="0"/>
        <w:bidi w:val="0"/>
        <w:adjustRightInd/>
        <w:snapToGrid/>
        <w:spacing w:before="0" w:beforeAutospacing="0" w:after="0" w:afterAutospacing="0" w:line="400" w:lineRule="exact"/>
        <w:ind w:firstLine="480" w:firstLineChars="200"/>
        <w:textAlignment w:val="auto"/>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eastAsia="宋体" w:cs="宋体"/>
          <w:color w:val="auto"/>
          <w:sz w:val="24"/>
          <w:szCs w:val="24"/>
          <w:highlight w:val="none"/>
          <w:u w:val="single"/>
          <w:lang w:eastAsia="zh-CN"/>
        </w:rPr>
        <w:t>海盐县望海街道宝隆商业中心高层三楼</w:t>
      </w:r>
    </w:p>
    <w:p w14:paraId="02FAFE13">
      <w:pPr>
        <w:pStyle w:val="24"/>
        <w:keepNext w:val="0"/>
        <w:keepLines w:val="0"/>
        <w:pageBreakBefore w:val="0"/>
        <w:widowControl w:val="0"/>
        <w:kinsoku/>
        <w:wordWrap w:val="0"/>
        <w:overflowPunct w:val="0"/>
        <w:topLinePunct w:val="0"/>
        <w:bidi w:val="0"/>
        <w:adjustRightInd/>
        <w:snapToGrid/>
        <w:spacing w:before="0" w:beforeAutospacing="0" w:after="0" w:afterAutospacing="0"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项目联系人（询问）：</w:t>
      </w:r>
      <w:r>
        <w:rPr>
          <w:rFonts w:hint="eastAsia" w:eastAsia="宋体" w:cs="宋体"/>
          <w:color w:val="auto"/>
          <w:sz w:val="24"/>
          <w:szCs w:val="24"/>
          <w:highlight w:val="none"/>
          <w:u w:val="single"/>
          <w:lang w:val="en-US" w:eastAsia="zh-CN"/>
        </w:rPr>
        <w:t>朱夏晶</w:t>
      </w:r>
      <w:r>
        <w:rPr>
          <w:rFonts w:hint="eastAsia" w:ascii="宋体" w:hAnsi="宋体" w:eastAsia="宋体" w:cs="宋体"/>
          <w:color w:val="auto"/>
          <w:sz w:val="24"/>
          <w:szCs w:val="24"/>
          <w:highlight w:val="none"/>
        </w:rPr>
        <w:t xml:space="preserve"> </w:t>
      </w:r>
    </w:p>
    <w:p w14:paraId="1B0535B8">
      <w:pPr>
        <w:pStyle w:val="24"/>
        <w:keepNext w:val="0"/>
        <w:keepLines w:val="0"/>
        <w:pageBreakBefore w:val="0"/>
        <w:widowControl w:val="0"/>
        <w:kinsoku/>
        <w:wordWrap w:val="0"/>
        <w:overflowPunct w:val="0"/>
        <w:topLinePunct w:val="0"/>
        <w:bidi w:val="0"/>
        <w:adjustRightInd/>
        <w:snapToGrid/>
        <w:spacing w:before="0" w:beforeAutospacing="0" w:after="0" w:afterAutospacing="0"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项目联系方式（询问）：</w:t>
      </w:r>
      <w:r>
        <w:rPr>
          <w:rFonts w:hint="eastAsia" w:eastAsia="宋体" w:cs="宋体"/>
          <w:color w:val="auto"/>
          <w:sz w:val="24"/>
          <w:szCs w:val="24"/>
          <w:highlight w:val="none"/>
          <w:u w:val="single"/>
          <w:lang w:eastAsia="zh-CN"/>
        </w:rPr>
        <w:t>0573-86118612</w:t>
      </w:r>
    </w:p>
    <w:p w14:paraId="0FCB66C5">
      <w:pPr>
        <w:pStyle w:val="24"/>
        <w:keepNext w:val="0"/>
        <w:keepLines w:val="0"/>
        <w:pageBreakBefore w:val="0"/>
        <w:widowControl w:val="0"/>
        <w:kinsoku/>
        <w:wordWrap w:val="0"/>
        <w:overflowPunct w:val="0"/>
        <w:topLinePunct w:val="0"/>
        <w:bidi w:val="0"/>
        <w:adjustRightInd/>
        <w:snapToGrid/>
        <w:spacing w:before="0" w:beforeAutospacing="0" w:after="0" w:afterAutospacing="0" w:line="400" w:lineRule="exact"/>
        <w:ind w:firstLine="480" w:firstLineChars="200"/>
        <w:textAlignment w:val="auto"/>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质疑联系人：</w:t>
      </w:r>
      <w:r>
        <w:rPr>
          <w:rFonts w:hint="eastAsia" w:eastAsia="宋体" w:cs="宋体"/>
          <w:color w:val="auto"/>
          <w:sz w:val="24"/>
          <w:szCs w:val="24"/>
          <w:highlight w:val="none"/>
          <w:u w:val="single"/>
          <w:lang w:val="en-US" w:eastAsia="zh-CN"/>
        </w:rPr>
        <w:t>沈雪琴</w:t>
      </w:r>
    </w:p>
    <w:p w14:paraId="43502D09">
      <w:pPr>
        <w:pStyle w:val="24"/>
        <w:keepNext w:val="0"/>
        <w:keepLines w:val="0"/>
        <w:pageBreakBefore w:val="0"/>
        <w:widowControl w:val="0"/>
        <w:kinsoku/>
        <w:wordWrap w:val="0"/>
        <w:overflowPunct w:val="0"/>
        <w:topLinePunct w:val="0"/>
        <w:bidi w:val="0"/>
        <w:adjustRightInd/>
        <w:snapToGrid/>
        <w:spacing w:before="0" w:beforeAutospacing="0" w:after="0" w:afterAutospacing="0"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质疑联系方式：</w:t>
      </w:r>
      <w:r>
        <w:rPr>
          <w:rFonts w:hint="eastAsia" w:eastAsia="宋体" w:cs="宋体"/>
          <w:color w:val="auto"/>
          <w:sz w:val="24"/>
          <w:szCs w:val="24"/>
          <w:highlight w:val="none"/>
          <w:u w:val="single"/>
          <w:lang w:eastAsia="zh-CN"/>
        </w:rPr>
        <w:t>0573-86118612</w:t>
      </w:r>
    </w:p>
    <w:p w14:paraId="7C09D526">
      <w:pPr>
        <w:pStyle w:val="24"/>
        <w:keepNext w:val="0"/>
        <w:keepLines w:val="0"/>
        <w:pageBreakBefore w:val="0"/>
        <w:widowControl w:val="0"/>
        <w:kinsoku/>
        <w:wordWrap w:val="0"/>
        <w:overflowPunct w:val="0"/>
        <w:topLinePunct w:val="0"/>
        <w:bidi w:val="0"/>
        <w:adjustRightInd/>
        <w:snapToGrid/>
        <w:spacing w:before="0" w:beforeAutospacing="0" w:after="0" w:afterAutospacing="0"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3.同级政府采购监督管理部门</w:t>
      </w:r>
    </w:p>
    <w:p w14:paraId="10F81C5F">
      <w:pPr>
        <w:pStyle w:val="24"/>
        <w:keepNext w:val="0"/>
        <w:keepLines w:val="0"/>
        <w:pageBreakBefore w:val="0"/>
        <w:widowControl w:val="0"/>
        <w:kinsoku/>
        <w:wordWrap w:val="0"/>
        <w:overflowPunct w:val="0"/>
        <w:topLinePunct w:val="0"/>
        <w:bidi w:val="0"/>
        <w:adjustRightInd/>
        <w:snapToGrid/>
        <w:spacing w:before="0" w:beforeAutospacing="0" w:after="0" w:afterAutospacing="0"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海盐县财政局政府采购监管科</w:t>
      </w:r>
    </w:p>
    <w:p w14:paraId="33212B7D">
      <w:pPr>
        <w:pStyle w:val="24"/>
        <w:keepNext w:val="0"/>
        <w:keepLines w:val="0"/>
        <w:pageBreakBefore w:val="0"/>
        <w:widowControl w:val="0"/>
        <w:kinsoku/>
        <w:wordWrap w:val="0"/>
        <w:overflowPunct w:val="0"/>
        <w:topLinePunct w:val="0"/>
        <w:bidi w:val="0"/>
        <w:adjustRightInd/>
        <w:snapToGrid/>
        <w:spacing w:before="0" w:beforeAutospacing="0" w:after="0" w:afterAutospacing="0" w:line="4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海盐县武原街道新桥北路168号</w:t>
      </w:r>
    </w:p>
    <w:p w14:paraId="1CC37562">
      <w:pPr>
        <w:pStyle w:val="24"/>
        <w:keepNext w:val="0"/>
        <w:keepLines w:val="0"/>
        <w:pageBreakBefore w:val="0"/>
        <w:widowControl w:val="0"/>
        <w:kinsoku/>
        <w:wordWrap w:val="0"/>
        <w:overflowPunct w:val="0"/>
        <w:topLinePunct w:val="0"/>
        <w:bidi w:val="0"/>
        <w:adjustRightInd/>
        <w:snapToGrid/>
        <w:spacing w:before="0" w:beforeAutospacing="0" w:after="0" w:afterAutospacing="0"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cs="宋体"/>
          <w:color w:val="auto"/>
          <w:sz w:val="24"/>
          <w:szCs w:val="24"/>
          <w:highlight w:val="none"/>
          <w:u w:val="single"/>
          <w:lang w:val="en-US" w:eastAsia="zh-CN"/>
        </w:rPr>
        <w:t>采监科</w:t>
      </w:r>
      <w:r>
        <w:rPr>
          <w:rFonts w:hint="eastAsia" w:ascii="宋体" w:hAnsi="宋体" w:eastAsia="宋体" w:cs="宋体"/>
          <w:color w:val="auto"/>
          <w:sz w:val="24"/>
          <w:szCs w:val="24"/>
          <w:highlight w:val="none"/>
        </w:rPr>
        <w:t xml:space="preserve">  </w:t>
      </w:r>
    </w:p>
    <w:p w14:paraId="2453F8BD">
      <w:pPr>
        <w:pStyle w:val="24"/>
        <w:keepNext w:val="0"/>
        <w:keepLines w:val="0"/>
        <w:pageBreakBefore w:val="0"/>
        <w:widowControl w:val="0"/>
        <w:kinsoku/>
        <w:wordWrap w:val="0"/>
        <w:overflowPunct w:val="0"/>
        <w:topLinePunct w:val="0"/>
        <w:autoSpaceDE/>
        <w:autoSpaceDN/>
        <w:bidi w:val="0"/>
        <w:adjustRightInd/>
        <w:snapToGrid/>
        <w:spacing w:before="0" w:beforeAutospacing="0" w:after="0" w:afterAutospacing="0" w:line="4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监督投诉电话：</w:t>
      </w:r>
      <w:r>
        <w:rPr>
          <w:rFonts w:hint="eastAsia" w:ascii="宋体" w:hAnsi="宋体" w:eastAsia="宋体" w:cs="宋体"/>
          <w:color w:val="auto"/>
          <w:sz w:val="24"/>
          <w:szCs w:val="24"/>
          <w:highlight w:val="none"/>
          <w:u w:val="single"/>
        </w:rPr>
        <w:t>0573-86122512</w:t>
      </w:r>
    </w:p>
    <w:p w14:paraId="41509AE0">
      <w:pPr>
        <w:pStyle w:val="24"/>
        <w:keepNext w:val="0"/>
        <w:keepLines w:val="0"/>
        <w:pageBreakBefore w:val="0"/>
        <w:widowControl w:val="0"/>
        <w:kinsoku/>
        <w:wordWrap w:val="0"/>
        <w:overflowPunct/>
        <w:topLinePunct/>
        <w:autoSpaceDE/>
        <w:autoSpaceDN/>
        <w:bidi w:val="0"/>
        <w:adjustRightInd/>
        <w:snapToGrid/>
        <w:spacing w:before="0" w:beforeAutospacing="0" w:after="0" w:afterAutospacing="0" w:line="400" w:lineRule="exact"/>
        <w:ind w:firstLine="480" w:firstLineChars="20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bidi="ar"/>
        </w:rPr>
        <w:t>若对项目采购电子交易系统操作有疑问，可登录政采云（https://www.zcygov.cn/），点击右侧咨询小采，获取采小蜜智能服务管家帮助，或拨打政采云服务热线95763获取热线服务帮助。</w:t>
      </w:r>
    </w:p>
    <w:p w14:paraId="35C4EE33">
      <w:pPr>
        <w:keepNext w:val="0"/>
        <w:keepLines w:val="0"/>
        <w:pageBreakBefore w:val="0"/>
        <w:widowControl w:val="0"/>
        <w:kinsoku/>
        <w:wordWrap w:val="0"/>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CA问题联系电话（人工）：汇信CA 400-888-4636；天谷CA 400-087-8198。</w:t>
      </w:r>
    </w:p>
    <w:p w14:paraId="501952A9">
      <w:pPr>
        <w:pStyle w:val="24"/>
        <w:keepNext w:val="0"/>
        <w:keepLines w:val="0"/>
        <w:pageBreakBefore w:val="0"/>
        <w:widowControl w:val="0"/>
        <w:shd w:val="clear"/>
        <w:kinsoku/>
        <w:wordWrap w:val="0"/>
        <w:overflowPunct/>
        <w:topLinePunct/>
        <w:autoSpaceDE/>
        <w:autoSpaceDN/>
        <w:bidi w:val="0"/>
        <w:adjustRightInd/>
        <w:snapToGrid/>
        <w:spacing w:before="0" w:beforeAutospacing="0" w:after="0" w:afterAutospacing="0" w:line="400" w:lineRule="exact"/>
        <w:ind w:right="0" w:rightChars="0"/>
        <w:textAlignment w:val="auto"/>
        <w:rPr>
          <w:rFonts w:hint="eastAsia" w:ascii="宋体" w:hAnsi="宋体" w:eastAsia="宋体" w:cs="宋体"/>
          <w:color w:val="auto"/>
          <w:kern w:val="0"/>
          <w:sz w:val="24"/>
          <w:szCs w:val="24"/>
          <w:highlight w:val="none"/>
          <w:lang w:bidi="ar"/>
        </w:rPr>
        <w:sectPr>
          <w:footerReference r:id="rId8" w:type="default"/>
          <w:pgSz w:w="11906" w:h="16838"/>
          <w:pgMar w:top="1361" w:right="1361" w:bottom="1361" w:left="1361" w:header="851" w:footer="850" w:gutter="0"/>
          <w:pgBorders>
            <w:top w:val="none" w:sz="0" w:space="0"/>
            <w:left w:val="none" w:sz="0" w:space="0"/>
            <w:bottom w:val="none" w:sz="0" w:space="0"/>
            <w:right w:val="none" w:sz="0" w:space="0"/>
          </w:pgBorders>
          <w:pgNumType w:fmt="decimal" w:start="1"/>
          <w:cols w:space="0" w:num="1"/>
          <w:rtlGutter w:val="0"/>
          <w:docGrid w:linePitch="312" w:charSpace="0"/>
        </w:sectPr>
      </w:pPr>
    </w:p>
    <w:p w14:paraId="52B47BF2">
      <w:pPr>
        <w:pStyle w:val="3"/>
        <w:keepNext/>
        <w:keepLines/>
        <w:pageBreakBefore w:val="0"/>
        <w:widowControl w:val="0"/>
        <w:numPr>
          <w:ilvl w:val="0"/>
          <w:numId w:val="3"/>
        </w:numPr>
        <w:kinsoku/>
        <w:wordWrap/>
        <w:overflowPunct/>
        <w:topLinePunct w:val="0"/>
        <w:autoSpaceDE/>
        <w:autoSpaceDN/>
        <w:bidi w:val="0"/>
        <w:adjustRightInd/>
        <w:snapToGrid/>
        <w:spacing w:before="0" w:after="0" w:line="400" w:lineRule="exact"/>
        <w:jc w:val="center"/>
        <w:textAlignment w:val="auto"/>
        <w:rPr>
          <w:rFonts w:hint="eastAsia"/>
          <w:sz w:val="30"/>
          <w:szCs w:val="30"/>
        </w:rPr>
      </w:pPr>
      <w:bookmarkStart w:id="13" w:name="_Toc6283"/>
      <w:r>
        <w:rPr>
          <w:rFonts w:hint="eastAsia"/>
          <w:sz w:val="30"/>
          <w:szCs w:val="30"/>
        </w:rPr>
        <w:t>招标需求</w:t>
      </w:r>
      <w:bookmarkEnd w:id="13"/>
    </w:p>
    <w:p w14:paraId="7DB499CD">
      <w:pPr>
        <w:keepNext w:val="0"/>
        <w:keepLines w:val="0"/>
        <w:pageBreakBefore w:val="0"/>
        <w:widowControl w:val="0"/>
        <w:kinsoku/>
        <w:wordWrap/>
        <w:overflowPunct/>
        <w:topLinePunct w:val="0"/>
        <w:autoSpaceDE/>
        <w:autoSpaceDN/>
        <w:bidi w:val="0"/>
        <w:adjustRightInd w:val="0"/>
        <w:snapToGrid/>
        <w:spacing w:line="400" w:lineRule="exact"/>
        <w:ind w:firstLine="482" w:firstLineChars="200"/>
        <w:textAlignment w:val="auto"/>
        <w:rPr>
          <w:rFonts w:hint="eastAsia"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rPr>
        <w:t>一、项目概况</w:t>
      </w:r>
      <w:r>
        <w:rPr>
          <w:rFonts w:hint="eastAsia" w:ascii="Times New Roman" w:hAnsi="Times New Roman" w:eastAsia="宋体" w:cs="Times New Roman"/>
          <w:b/>
          <w:bCs/>
          <w:color w:val="auto"/>
          <w:sz w:val="24"/>
          <w:szCs w:val="24"/>
          <w:lang w:eastAsia="zh-CN"/>
        </w:rPr>
        <w:t>：</w:t>
      </w:r>
    </w:p>
    <w:p w14:paraId="147D45F6">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w:t>
      </w:r>
      <w:r>
        <w:rPr>
          <w:rFonts w:hint="eastAsia" w:ascii="Times New Roman" w:hAnsi="Times New Roman" w:eastAsia="宋体" w:cs="Times New Roman"/>
          <w:color w:val="auto"/>
          <w:sz w:val="24"/>
          <w:szCs w:val="24"/>
          <w:lang w:eastAsia="zh-CN"/>
        </w:rPr>
        <w:t>海盐县</w:t>
      </w:r>
      <w:r>
        <w:rPr>
          <w:rFonts w:hint="default" w:ascii="Times New Roman" w:hAnsi="Times New Roman" w:eastAsia="宋体" w:cs="Times New Roman"/>
          <w:color w:val="auto"/>
          <w:sz w:val="24"/>
          <w:szCs w:val="24"/>
        </w:rPr>
        <w:t>农田基础设施管护办法(试行)》等文件规定</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针对农田存在的"重建设，轻管护”现象，创新建后管护机制，落实好管护责任，引入“保险+管护”服务机制，提升高标准农田的管护质效和覆盖率，破解“重建轻管”难题。现针对</w:t>
      </w:r>
      <w:r>
        <w:rPr>
          <w:rFonts w:hint="eastAsia" w:ascii="Times New Roman" w:hAnsi="Times New Roman" w:eastAsia="宋体" w:cs="Times New Roman"/>
          <w:color w:val="auto"/>
          <w:sz w:val="24"/>
          <w:szCs w:val="24"/>
          <w:lang w:eastAsia="zh-CN"/>
        </w:rPr>
        <w:t>2026年海盐县高标准农田管护保险项目</w:t>
      </w:r>
      <w:r>
        <w:rPr>
          <w:rFonts w:hint="default" w:ascii="Times New Roman" w:hAnsi="Times New Roman" w:eastAsia="宋体" w:cs="Times New Roman"/>
          <w:color w:val="auto"/>
          <w:sz w:val="24"/>
          <w:szCs w:val="24"/>
        </w:rPr>
        <w:t>，主要包括</w:t>
      </w:r>
      <w:r>
        <w:rPr>
          <w:rFonts w:hint="default" w:ascii="Times New Roman" w:hAnsi="Times New Roman" w:eastAsia="宋体" w:cs="Times New Roman"/>
          <w:color w:val="auto"/>
          <w:sz w:val="24"/>
          <w:szCs w:val="24"/>
          <w:lang w:val="en-US" w:eastAsia="zh-CN"/>
        </w:rPr>
        <w:t>武原街道、西塘桥街道、望海街道、秦山街道和沈荡镇、百步镇、于城镇、澉浦镇、通元镇</w:t>
      </w:r>
      <w:r>
        <w:rPr>
          <w:rFonts w:hint="default" w:ascii="Times New Roman" w:hAnsi="Times New Roman" w:eastAsia="宋体" w:cs="Times New Roman"/>
          <w:color w:val="auto"/>
          <w:sz w:val="24"/>
          <w:szCs w:val="24"/>
        </w:rPr>
        <w:t>等</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个</w:t>
      </w:r>
      <w:r>
        <w:rPr>
          <w:rFonts w:hint="eastAsia" w:ascii="Times New Roman" w:hAnsi="Times New Roman" w:eastAsia="宋体" w:cs="Times New Roman"/>
          <w:color w:val="auto"/>
          <w:sz w:val="24"/>
          <w:szCs w:val="24"/>
          <w:lang w:eastAsia="zh-CN"/>
        </w:rPr>
        <w:t>镇（街道）</w:t>
      </w:r>
      <w:r>
        <w:rPr>
          <w:rFonts w:hint="default" w:ascii="Times New Roman" w:hAnsi="Times New Roman" w:eastAsia="宋体" w:cs="Times New Roman"/>
          <w:color w:val="auto"/>
          <w:sz w:val="24"/>
          <w:szCs w:val="24"/>
        </w:rPr>
        <w:t>高标准农田面积</w:t>
      </w:r>
      <w:r>
        <w:rPr>
          <w:rFonts w:hint="eastAsia" w:ascii="Times New Roman" w:hAnsi="Times New Roman" w:eastAsia="宋体" w:cs="Times New Roman"/>
          <w:color w:val="auto"/>
          <w:sz w:val="24"/>
          <w:szCs w:val="24"/>
          <w:highlight w:val="none"/>
          <w:lang w:val="en-US" w:eastAsia="zh-CN"/>
        </w:rPr>
        <w:t>28.3804</w:t>
      </w:r>
      <w:r>
        <w:rPr>
          <w:rFonts w:hint="default" w:ascii="Times New Roman" w:hAnsi="Times New Roman" w:eastAsia="宋体" w:cs="Times New Roman"/>
          <w:color w:val="auto"/>
          <w:sz w:val="24"/>
          <w:szCs w:val="24"/>
        </w:rPr>
        <w:t>万亩（质保期以外的高标田），项目区内现主要有小型堰坝、小型泵站、小型集雨设施；明渠、管道设施；硬化明沟、暗管等排水设施；水闸、渡槽、涵洞、跌水、量水设施；喷灌、微灌、管灌等高效节水灌溉等基础设施。本项目拟对上述基础设施提供保险保障和管护，助力打造</w:t>
      </w:r>
      <w:r>
        <w:rPr>
          <w:rFonts w:hint="default" w:ascii="Times New Roman" w:hAnsi="Times New Roman" w:eastAsia="宋体" w:cs="Times New Roman"/>
          <w:color w:val="auto"/>
          <w:sz w:val="24"/>
          <w:szCs w:val="24"/>
          <w:lang w:eastAsia="zh-CN"/>
        </w:rPr>
        <w:t>海盐县</w:t>
      </w:r>
      <w:r>
        <w:rPr>
          <w:rFonts w:hint="default" w:ascii="Times New Roman" w:hAnsi="Times New Roman" w:eastAsia="宋体" w:cs="Times New Roman"/>
          <w:color w:val="auto"/>
          <w:sz w:val="24"/>
          <w:szCs w:val="24"/>
        </w:rPr>
        <w:t>高标准农田设施基础建设样板。</w:t>
      </w:r>
    </w:p>
    <w:p w14:paraId="24F1A4D8">
      <w:pPr>
        <w:keepNext w:val="0"/>
        <w:keepLines w:val="0"/>
        <w:pageBreakBefore w:val="0"/>
        <w:widowControl w:val="0"/>
        <w:kinsoku/>
        <w:wordWrap/>
        <w:overflowPunct/>
        <w:topLinePunct w:val="0"/>
        <w:autoSpaceDE/>
        <w:autoSpaceDN/>
        <w:bidi w:val="0"/>
        <w:adjustRightInd w:val="0"/>
        <w:snapToGrid/>
        <w:spacing w:line="400" w:lineRule="exact"/>
        <w:ind w:firstLine="48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eastAsia="zh-CN"/>
        </w:rPr>
        <w:t>二、</w:t>
      </w:r>
      <w:r>
        <w:rPr>
          <w:rFonts w:hint="default" w:ascii="Times New Roman" w:hAnsi="Times New Roman" w:eastAsia="宋体" w:cs="Times New Roman"/>
          <w:b/>
          <w:bCs/>
          <w:color w:val="auto"/>
          <w:sz w:val="24"/>
          <w:szCs w:val="24"/>
        </w:rPr>
        <w:t>本项目具体范围：</w:t>
      </w:r>
      <w:r>
        <w:rPr>
          <w:rFonts w:hint="default" w:ascii="Times New Roman" w:hAnsi="Times New Roman" w:eastAsia="宋体" w:cs="Times New Roman"/>
          <w:color w:val="auto"/>
          <w:sz w:val="24"/>
          <w:szCs w:val="24"/>
        </w:rPr>
        <w:t>为</w:t>
      </w:r>
      <w:r>
        <w:rPr>
          <w:rFonts w:hint="default" w:ascii="Times New Roman" w:hAnsi="Times New Roman" w:eastAsia="宋体" w:cs="Times New Roman"/>
          <w:color w:val="auto"/>
          <w:sz w:val="24"/>
          <w:szCs w:val="24"/>
          <w:lang w:eastAsia="zh-CN"/>
        </w:rPr>
        <w:t>海盐县</w:t>
      </w:r>
      <w:r>
        <w:rPr>
          <w:rFonts w:hint="default" w:ascii="Times New Roman" w:hAnsi="Times New Roman" w:eastAsia="宋体" w:cs="Times New Roman"/>
          <w:color w:val="auto"/>
          <w:sz w:val="24"/>
          <w:szCs w:val="24"/>
        </w:rPr>
        <w:t>高标准农田基础设施在维管过程中所涉及的相关责任赔偿、费用补偿及其它风险提供综合保险保障服务，具体承保范围见下表；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7"/>
        <w:gridCol w:w="2854"/>
      </w:tblGrid>
      <w:tr w14:paraId="5E4A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654DA7F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乡镇</w:t>
            </w:r>
          </w:p>
        </w:tc>
        <w:tc>
          <w:tcPr>
            <w:tcW w:w="2854" w:type="dxa"/>
            <w:vAlign w:val="center"/>
          </w:tcPr>
          <w:p w14:paraId="6F31A31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面积（亩）</w:t>
            </w:r>
          </w:p>
        </w:tc>
      </w:tr>
      <w:tr w14:paraId="0B61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71D8FEC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武原街道</w:t>
            </w:r>
          </w:p>
        </w:tc>
        <w:tc>
          <w:tcPr>
            <w:tcW w:w="2854" w:type="dxa"/>
            <w:vAlign w:val="center"/>
          </w:tcPr>
          <w:p w14:paraId="2CB3DE3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17155</w:t>
            </w:r>
          </w:p>
        </w:tc>
      </w:tr>
      <w:tr w14:paraId="3F6B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312CE0C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西塘桥街道</w:t>
            </w:r>
          </w:p>
        </w:tc>
        <w:tc>
          <w:tcPr>
            <w:tcW w:w="2854" w:type="dxa"/>
            <w:vAlign w:val="center"/>
          </w:tcPr>
          <w:p w14:paraId="21B888F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15467</w:t>
            </w:r>
          </w:p>
        </w:tc>
      </w:tr>
      <w:tr w14:paraId="1C71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0DE64B6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望海街道</w:t>
            </w:r>
          </w:p>
        </w:tc>
        <w:tc>
          <w:tcPr>
            <w:tcW w:w="2854" w:type="dxa"/>
            <w:vAlign w:val="center"/>
          </w:tcPr>
          <w:p w14:paraId="56E7FA1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34798</w:t>
            </w:r>
          </w:p>
        </w:tc>
      </w:tr>
      <w:tr w14:paraId="68CB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4843929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秦山街道</w:t>
            </w:r>
          </w:p>
        </w:tc>
        <w:tc>
          <w:tcPr>
            <w:tcW w:w="2854" w:type="dxa"/>
            <w:vAlign w:val="center"/>
          </w:tcPr>
          <w:p w14:paraId="635C58E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35018</w:t>
            </w:r>
          </w:p>
        </w:tc>
      </w:tr>
      <w:tr w14:paraId="02FD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4F6890F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沈荡镇</w:t>
            </w:r>
          </w:p>
        </w:tc>
        <w:tc>
          <w:tcPr>
            <w:tcW w:w="2854" w:type="dxa"/>
            <w:vAlign w:val="center"/>
          </w:tcPr>
          <w:p w14:paraId="798F214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45431</w:t>
            </w:r>
          </w:p>
        </w:tc>
      </w:tr>
      <w:tr w14:paraId="673C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70348D2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百步镇</w:t>
            </w:r>
          </w:p>
        </w:tc>
        <w:tc>
          <w:tcPr>
            <w:tcW w:w="2854" w:type="dxa"/>
            <w:vAlign w:val="center"/>
          </w:tcPr>
          <w:p w14:paraId="394B022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43938</w:t>
            </w:r>
          </w:p>
        </w:tc>
      </w:tr>
      <w:tr w14:paraId="4DF9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4758E79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于城镇</w:t>
            </w:r>
          </w:p>
        </w:tc>
        <w:tc>
          <w:tcPr>
            <w:tcW w:w="2854" w:type="dxa"/>
            <w:vAlign w:val="center"/>
          </w:tcPr>
          <w:p w14:paraId="2C9DF80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30259</w:t>
            </w:r>
          </w:p>
        </w:tc>
      </w:tr>
      <w:tr w14:paraId="52A6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51B4A8F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澉浦镇</w:t>
            </w:r>
          </w:p>
        </w:tc>
        <w:tc>
          <w:tcPr>
            <w:tcW w:w="2854" w:type="dxa"/>
            <w:vAlign w:val="center"/>
          </w:tcPr>
          <w:p w14:paraId="48B3152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20876</w:t>
            </w:r>
          </w:p>
        </w:tc>
      </w:tr>
      <w:tr w14:paraId="433F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1ECE6AF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通元镇</w:t>
            </w:r>
          </w:p>
        </w:tc>
        <w:tc>
          <w:tcPr>
            <w:tcW w:w="2854" w:type="dxa"/>
            <w:vAlign w:val="center"/>
          </w:tcPr>
          <w:p w14:paraId="7417C5A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40862</w:t>
            </w:r>
          </w:p>
        </w:tc>
      </w:tr>
      <w:tr w14:paraId="6514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5CC8ACE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总计</w:t>
            </w:r>
          </w:p>
        </w:tc>
        <w:tc>
          <w:tcPr>
            <w:tcW w:w="2854" w:type="dxa"/>
            <w:vAlign w:val="center"/>
          </w:tcPr>
          <w:p w14:paraId="199E32E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283804</w:t>
            </w:r>
          </w:p>
        </w:tc>
      </w:tr>
    </w:tbl>
    <w:p w14:paraId="488716C7">
      <w:pPr>
        <w:keepNext w:val="0"/>
        <w:keepLines w:val="0"/>
        <w:pageBreakBefore w:val="0"/>
        <w:widowControl w:val="0"/>
        <w:kinsoku/>
        <w:wordWrap/>
        <w:overflowPunct/>
        <w:topLinePunct w:val="0"/>
        <w:autoSpaceDE/>
        <w:autoSpaceDN/>
        <w:bidi w:val="0"/>
        <w:adjustRightInd w:val="0"/>
        <w:snapToGrid/>
        <w:spacing w:line="400" w:lineRule="exact"/>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eastAsia="zh-CN"/>
        </w:rPr>
        <w:t>三、</w:t>
      </w:r>
      <w:r>
        <w:rPr>
          <w:rFonts w:hint="default" w:ascii="Times New Roman" w:hAnsi="Times New Roman" w:eastAsia="宋体" w:cs="Times New Roman"/>
          <w:b/>
          <w:bCs/>
          <w:color w:val="auto"/>
          <w:sz w:val="24"/>
          <w:szCs w:val="24"/>
        </w:rPr>
        <w:t>本项目保障内容：</w:t>
      </w:r>
    </w:p>
    <w:p w14:paraId="309FD6AB">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高标准农田基础设施财产损失保险：保险公司负责赔偿因自然灾害、意外事故造成农田基础设施损坏所需要进行维修或重置费用</w:t>
      </w:r>
      <w:r>
        <w:rPr>
          <w:rFonts w:hint="default" w:ascii="Times New Roman" w:hAnsi="Times New Roman" w:eastAsia="宋体" w:cs="Times New Roman"/>
          <w:color w:val="auto"/>
          <w:sz w:val="24"/>
          <w:szCs w:val="24"/>
          <w:lang w:eastAsia="zh-CN"/>
        </w:rPr>
        <w:t>。</w:t>
      </w:r>
    </w:p>
    <w:p w14:paraId="15F6B733">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高标准农田基础设施预防措施费用保险：保险公司负责为维护保险标的状况完好而采取相应预防措施，包括农田管护所支出的必要、合理的费用。</w:t>
      </w:r>
    </w:p>
    <w:p w14:paraId="5F15B004">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高标准农田基础设施预防措施费用保险保障额度不得低于总保费的60%且不高于总保费的85%。</w:t>
      </w:r>
    </w:p>
    <w:p w14:paraId="5E0E74AD">
      <w:pPr>
        <w:keepNext w:val="0"/>
        <w:keepLines w:val="0"/>
        <w:pageBreakBefore w:val="0"/>
        <w:widowControl w:val="0"/>
        <w:kinsoku/>
        <w:wordWrap/>
        <w:overflowPunct/>
        <w:topLinePunct w:val="0"/>
        <w:autoSpaceDE/>
        <w:autoSpaceDN/>
        <w:bidi w:val="0"/>
        <w:adjustRightInd w:val="0"/>
        <w:snapToGrid/>
        <w:spacing w:line="400" w:lineRule="exact"/>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eastAsia="zh-CN"/>
        </w:rPr>
        <w:t>四、</w:t>
      </w:r>
      <w:r>
        <w:rPr>
          <w:rFonts w:hint="default" w:ascii="Times New Roman" w:hAnsi="Times New Roman" w:eastAsia="宋体" w:cs="Times New Roman"/>
          <w:b/>
          <w:bCs/>
          <w:color w:val="auto"/>
          <w:sz w:val="24"/>
          <w:szCs w:val="24"/>
        </w:rPr>
        <w:t>本项目</w:t>
      </w:r>
      <w:r>
        <w:rPr>
          <w:rFonts w:hint="default" w:ascii="Times New Roman" w:hAnsi="Times New Roman" w:eastAsia="宋体" w:cs="Times New Roman"/>
          <w:b/>
          <w:bCs/>
          <w:color w:val="auto"/>
          <w:sz w:val="24"/>
          <w:szCs w:val="24"/>
          <w:lang w:eastAsia="zh-CN"/>
        </w:rPr>
        <w:t>最低</w:t>
      </w:r>
      <w:r>
        <w:rPr>
          <w:rFonts w:hint="default" w:ascii="Times New Roman" w:hAnsi="Times New Roman" w:eastAsia="宋体" w:cs="Times New Roman"/>
          <w:b/>
          <w:bCs/>
          <w:color w:val="auto"/>
          <w:sz w:val="24"/>
          <w:szCs w:val="24"/>
        </w:rPr>
        <w:t>保障</w:t>
      </w:r>
      <w:r>
        <w:rPr>
          <w:rFonts w:hint="default" w:ascii="Times New Roman" w:hAnsi="Times New Roman" w:eastAsia="宋体" w:cs="Times New Roman"/>
          <w:b/>
          <w:bCs/>
          <w:color w:val="auto"/>
          <w:sz w:val="24"/>
          <w:szCs w:val="24"/>
          <w:lang w:eastAsia="zh-CN"/>
        </w:rPr>
        <w:t>要求</w:t>
      </w:r>
      <w:r>
        <w:rPr>
          <w:rFonts w:hint="default" w:ascii="Times New Roman" w:hAnsi="Times New Roman" w:eastAsia="宋体" w:cs="Times New Roman"/>
          <w:b/>
          <w:bCs/>
          <w:color w:val="auto"/>
          <w:sz w:val="24"/>
          <w:szCs w:val="24"/>
        </w:rPr>
        <w:t>：</w:t>
      </w:r>
    </w:p>
    <w:tbl>
      <w:tblPr>
        <w:tblStyle w:val="26"/>
        <w:tblW w:w="7873" w:type="dxa"/>
        <w:jc w:val="center"/>
        <w:tblLayout w:type="fixed"/>
        <w:tblCellMar>
          <w:top w:w="0" w:type="dxa"/>
          <w:left w:w="108" w:type="dxa"/>
          <w:bottom w:w="0" w:type="dxa"/>
          <w:right w:w="108" w:type="dxa"/>
        </w:tblCellMar>
      </w:tblPr>
      <w:tblGrid>
        <w:gridCol w:w="1271"/>
        <w:gridCol w:w="3293"/>
        <w:gridCol w:w="1677"/>
        <w:gridCol w:w="1632"/>
      </w:tblGrid>
      <w:tr w14:paraId="4CAC9968">
        <w:tblPrEx>
          <w:tblCellMar>
            <w:top w:w="0" w:type="dxa"/>
            <w:left w:w="108" w:type="dxa"/>
            <w:bottom w:w="0" w:type="dxa"/>
            <w:right w:w="108" w:type="dxa"/>
          </w:tblCellMar>
        </w:tblPrEx>
        <w:trPr>
          <w:trHeight w:val="90" w:hRule="atLeast"/>
          <w:jc w:val="center"/>
        </w:trPr>
        <w:tc>
          <w:tcPr>
            <w:tcW w:w="4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E7E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bidi="ar"/>
              </w:rPr>
              <w:t>保障内容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D86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bidi="ar"/>
              </w:rPr>
              <w:t>保险金额（万元）</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732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bidi="ar"/>
              </w:rPr>
              <w:t>亩数（万</w:t>
            </w:r>
            <w:r>
              <w:rPr>
                <w:rFonts w:hint="eastAsia" w:ascii="Times New Roman" w:hAnsi="Times New Roman" w:eastAsia="宋体" w:cs="Times New Roman"/>
                <w:color w:val="auto"/>
                <w:kern w:val="0"/>
                <w:sz w:val="24"/>
                <w:szCs w:val="24"/>
                <w:lang w:eastAsia="zh-CN" w:bidi="ar"/>
              </w:rPr>
              <w:t>亩</w:t>
            </w:r>
            <w:r>
              <w:rPr>
                <w:rFonts w:hint="default" w:ascii="Times New Roman" w:hAnsi="Times New Roman" w:eastAsia="宋体" w:cs="Times New Roman"/>
                <w:color w:val="auto"/>
                <w:kern w:val="0"/>
                <w:sz w:val="24"/>
                <w:szCs w:val="24"/>
                <w:lang w:bidi="ar"/>
              </w:rPr>
              <w:t>）</w:t>
            </w:r>
          </w:p>
        </w:tc>
      </w:tr>
      <w:tr w14:paraId="0FDB469F">
        <w:tblPrEx>
          <w:tblCellMar>
            <w:top w:w="0" w:type="dxa"/>
            <w:left w:w="108" w:type="dxa"/>
            <w:bottom w:w="0" w:type="dxa"/>
            <w:right w:w="108" w:type="dxa"/>
          </w:tblCellMar>
        </w:tblPrEx>
        <w:trPr>
          <w:trHeight w:val="687" w:hRule="atLeast"/>
          <w:jc w:val="center"/>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01A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bidi="ar"/>
              </w:rPr>
              <w:t>主要保障</w:t>
            </w: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1E9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bidi="ar"/>
              </w:rPr>
              <w:t>高标准农田基础设施财产损失</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051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56760.8</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02A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28.3804</w:t>
            </w:r>
          </w:p>
        </w:tc>
      </w:tr>
      <w:tr w14:paraId="3821AB66">
        <w:tblPrEx>
          <w:tblCellMar>
            <w:top w:w="0" w:type="dxa"/>
            <w:left w:w="108" w:type="dxa"/>
            <w:bottom w:w="0" w:type="dxa"/>
            <w:right w:w="108" w:type="dxa"/>
          </w:tblCellMar>
        </w:tblPrEx>
        <w:trPr>
          <w:trHeight w:val="592" w:hRule="atLeast"/>
          <w:jc w:val="center"/>
        </w:trPr>
        <w:tc>
          <w:tcPr>
            <w:tcW w:w="1271" w:type="dxa"/>
            <w:tcBorders>
              <w:top w:val="single" w:color="000000" w:sz="4" w:space="0"/>
              <w:left w:val="single" w:color="000000" w:sz="4" w:space="0"/>
              <w:right w:val="single" w:color="000000" w:sz="4" w:space="0"/>
            </w:tcBorders>
            <w:shd w:val="clear" w:color="auto" w:fill="auto"/>
            <w:noWrap/>
            <w:vAlign w:val="center"/>
          </w:tcPr>
          <w:p w14:paraId="6A30F5D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增值保障</w:t>
            </w: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F5C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bidi="ar"/>
              </w:rPr>
              <w:t>高标准农田基础设施预防措施费用</w:t>
            </w:r>
          </w:p>
        </w:tc>
        <w:tc>
          <w:tcPr>
            <w:tcW w:w="1677" w:type="dxa"/>
            <w:tcBorders>
              <w:top w:val="single" w:color="000000" w:sz="4" w:space="0"/>
              <w:left w:val="single" w:color="000000" w:sz="4" w:space="0"/>
              <w:right w:val="single" w:color="000000" w:sz="4" w:space="0"/>
            </w:tcBorders>
            <w:shd w:val="clear" w:color="auto" w:fill="auto"/>
            <w:noWrap/>
            <w:vAlign w:val="center"/>
          </w:tcPr>
          <w:p w14:paraId="770971E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186.294</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2F7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default" w:ascii="Times New Roman" w:hAnsi="Times New Roman" w:eastAsia="宋体" w:cs="Times New Roman"/>
                <w:color w:val="auto"/>
                <w:sz w:val="24"/>
                <w:szCs w:val="24"/>
                <w:highlight w:val="none"/>
              </w:rPr>
            </w:pPr>
          </w:p>
        </w:tc>
      </w:tr>
      <w:tr w14:paraId="718CAD70">
        <w:tblPrEx>
          <w:tblCellMar>
            <w:top w:w="0" w:type="dxa"/>
            <w:left w:w="108" w:type="dxa"/>
            <w:bottom w:w="0" w:type="dxa"/>
            <w:right w:w="108" w:type="dxa"/>
          </w:tblCellMar>
        </w:tblPrEx>
        <w:trPr>
          <w:trHeight w:val="90" w:hRule="atLeast"/>
          <w:jc w:val="center"/>
        </w:trPr>
        <w:tc>
          <w:tcPr>
            <w:tcW w:w="4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2B7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保费</w:t>
            </w:r>
          </w:p>
        </w:tc>
        <w:tc>
          <w:tcPr>
            <w:tcW w:w="33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468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firstLineChars="0"/>
              <w:jc w:val="center"/>
              <w:textAlignment w:val="auto"/>
              <w:rPr>
                <w:rFonts w:hint="default" w:ascii="Times New Roman" w:hAnsi="Times New Roman" w:eastAsia="宋体" w:cs="Times New Roman"/>
                <w:color w:val="auto"/>
                <w:kern w:val="0"/>
                <w:sz w:val="24"/>
                <w:szCs w:val="24"/>
                <w:lang w:bidi="ar"/>
              </w:rPr>
            </w:pPr>
            <w:r>
              <w:rPr>
                <w:rFonts w:hint="eastAsia" w:ascii="Times New Roman" w:hAnsi="Times New Roman" w:eastAsia="宋体" w:cs="Times New Roman"/>
                <w:color w:val="auto"/>
                <w:kern w:val="0"/>
                <w:sz w:val="24"/>
                <w:szCs w:val="24"/>
                <w:lang w:val="en-US" w:eastAsia="zh-CN" w:bidi="ar"/>
              </w:rPr>
              <w:t>310.49万元</w:t>
            </w:r>
          </w:p>
        </w:tc>
      </w:tr>
    </w:tbl>
    <w:p w14:paraId="66D8513C">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赔偿限额：高标准农田基础设施财产损失：累计赔偿限额</w:t>
      </w:r>
      <w:r>
        <w:rPr>
          <w:rFonts w:hint="eastAsia" w:ascii="Times New Roman" w:hAnsi="Times New Roman" w:eastAsia="宋体" w:cs="Times New Roman"/>
          <w:color w:val="auto"/>
          <w:sz w:val="24"/>
          <w:szCs w:val="24"/>
          <w:lang w:eastAsia="zh-CN"/>
        </w:rPr>
        <w:t>不低于</w:t>
      </w:r>
      <w:r>
        <w:rPr>
          <w:rFonts w:hint="eastAsia" w:ascii="Times New Roman" w:hAnsi="Times New Roman" w:eastAsia="宋体" w:cs="Times New Roman"/>
          <w:color w:val="auto"/>
          <w:sz w:val="24"/>
          <w:szCs w:val="24"/>
          <w:lang w:val="en-US" w:eastAsia="zh-CN"/>
        </w:rPr>
        <w:t>250</w:t>
      </w:r>
      <w:r>
        <w:rPr>
          <w:rFonts w:hint="default" w:ascii="Times New Roman" w:hAnsi="Times New Roman" w:eastAsia="宋体" w:cs="Times New Roman"/>
          <w:color w:val="auto"/>
          <w:sz w:val="24"/>
          <w:szCs w:val="24"/>
        </w:rPr>
        <w:t>万元，每次事故赔偿限额10万元；高标准农田基础设施财产损失免赔额：每次事故绝对免赔额</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000元或损失金额的10%两者以高者为准。</w:t>
      </w:r>
    </w:p>
    <w:p w14:paraId="659594D7">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高标准农田基础设施预防措施费用：累计赔偿限额</w:t>
      </w:r>
      <w:r>
        <w:rPr>
          <w:rFonts w:hint="default" w:ascii="Times New Roman" w:hAnsi="Times New Roman" w:eastAsia="宋体" w:cs="Times New Roman"/>
          <w:color w:val="auto"/>
          <w:sz w:val="24"/>
          <w:szCs w:val="24"/>
          <w:highlight w:val="none"/>
        </w:rPr>
        <w:t>不低于</w:t>
      </w:r>
      <w:r>
        <w:rPr>
          <w:rFonts w:hint="eastAsia" w:ascii="Times New Roman" w:hAnsi="Times New Roman" w:eastAsia="宋体" w:cs="Times New Roman"/>
          <w:color w:val="auto"/>
          <w:sz w:val="24"/>
          <w:szCs w:val="24"/>
          <w:highlight w:val="none"/>
          <w:lang w:val="en-US" w:eastAsia="zh-CN"/>
        </w:rPr>
        <w:t>186.294</w:t>
      </w:r>
      <w:r>
        <w:rPr>
          <w:rFonts w:hint="default" w:ascii="Times New Roman" w:hAnsi="Times New Roman" w:eastAsia="宋体" w:cs="Times New Roman"/>
          <w:color w:val="auto"/>
          <w:sz w:val="24"/>
          <w:szCs w:val="24"/>
          <w:highlight w:val="none"/>
        </w:rPr>
        <w:t>万元</w:t>
      </w:r>
      <w:r>
        <w:rPr>
          <w:rFonts w:hint="default" w:ascii="Times New Roman" w:hAnsi="Times New Roman" w:eastAsia="宋体" w:cs="Times New Roman"/>
          <w:color w:val="auto"/>
          <w:sz w:val="24"/>
          <w:szCs w:val="24"/>
        </w:rPr>
        <w:t>，每次事故赔偿限额10万元；高标准农田基础设施预防措施费用免赔额：</w:t>
      </w:r>
      <w:r>
        <w:rPr>
          <w:rFonts w:hint="eastAsia" w:ascii="Times New Roman" w:hAnsi="Times New Roman" w:eastAsia="宋体" w:cs="Times New Roman"/>
          <w:color w:val="auto"/>
          <w:sz w:val="24"/>
          <w:szCs w:val="24"/>
          <w:lang w:eastAsia="zh-CN"/>
        </w:rPr>
        <w:t>无</w:t>
      </w:r>
      <w:r>
        <w:rPr>
          <w:rFonts w:hint="default" w:ascii="Times New Roman" w:hAnsi="Times New Roman" w:eastAsia="宋体" w:cs="Times New Roman"/>
          <w:color w:val="auto"/>
          <w:sz w:val="24"/>
          <w:szCs w:val="24"/>
        </w:rPr>
        <w:t>。</w:t>
      </w:r>
    </w:p>
    <w:p w14:paraId="1DCA0CEE">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特别约定：本项目所有费用均含在报价中，后期不再追加任何费用。高标准农田基础设施预防措施费用保障额度不得低于</w:t>
      </w:r>
      <w:r>
        <w:rPr>
          <w:rFonts w:hint="default" w:ascii="Times New Roman" w:hAnsi="Times New Roman" w:eastAsia="宋体" w:cs="Times New Roman"/>
          <w:color w:val="auto"/>
          <w:sz w:val="24"/>
          <w:szCs w:val="24"/>
          <w:highlight w:val="none"/>
        </w:rPr>
        <w:t>总保费的60%且不得高于总保费的85%。</w:t>
      </w:r>
    </w:p>
    <w:p w14:paraId="7A656BFA">
      <w:pPr>
        <w:keepNext w:val="0"/>
        <w:keepLines w:val="0"/>
        <w:pageBreakBefore w:val="0"/>
        <w:widowControl w:val="0"/>
        <w:kinsoku/>
        <w:wordWrap/>
        <w:overflowPunct/>
        <w:topLinePunct w:val="0"/>
        <w:autoSpaceDE/>
        <w:autoSpaceDN/>
        <w:bidi w:val="0"/>
        <w:adjustRightInd w:val="0"/>
        <w:snapToGrid/>
        <w:spacing w:line="400" w:lineRule="exact"/>
        <w:ind w:firstLine="482" w:firstLineChars="200"/>
        <w:textAlignment w:val="auto"/>
        <w:rPr>
          <w:rFonts w:hint="eastAsia"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五、</w:t>
      </w:r>
      <w:r>
        <w:rPr>
          <w:rFonts w:hint="default" w:ascii="Times New Roman" w:hAnsi="Times New Roman" w:eastAsia="宋体" w:cs="Times New Roman"/>
          <w:b/>
          <w:bCs/>
          <w:color w:val="auto"/>
          <w:sz w:val="24"/>
          <w:szCs w:val="24"/>
        </w:rPr>
        <w:t>目标要求</w:t>
      </w:r>
      <w:r>
        <w:rPr>
          <w:rFonts w:hint="eastAsia" w:ascii="Times New Roman" w:hAnsi="Times New Roman" w:eastAsia="宋体" w:cs="Times New Roman"/>
          <w:b/>
          <w:bCs/>
          <w:color w:val="auto"/>
          <w:sz w:val="24"/>
          <w:szCs w:val="24"/>
          <w:lang w:eastAsia="zh-CN"/>
        </w:rPr>
        <w:t>：</w:t>
      </w:r>
    </w:p>
    <w:p w14:paraId="48BC9553">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（1）投标人需按照采购需求提供详细的保险方案，包括但不限于保障项目、保险责任、保险金额、保险条款等；</w:t>
      </w:r>
    </w:p>
    <w:p w14:paraId="6AF396CE">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（2）投标人需详细说明所提供的承保理赔服务方案，确保本项目的当事人可以获得便捷、高效、优质、全面的服务</w:t>
      </w:r>
      <w:r>
        <w:rPr>
          <w:rFonts w:hint="eastAsia" w:ascii="Times New Roman" w:hAnsi="Times New Roman" w:eastAsia="宋体" w:cs="Times New Roman"/>
          <w:color w:val="auto"/>
          <w:sz w:val="24"/>
          <w:szCs w:val="24"/>
          <w:lang w:eastAsia="zh-CN"/>
        </w:rPr>
        <w:t>。</w:t>
      </w:r>
    </w:p>
    <w:p w14:paraId="0A44BBF8">
      <w:pPr>
        <w:keepNext w:val="0"/>
        <w:keepLines w:val="0"/>
        <w:pageBreakBefore w:val="0"/>
        <w:widowControl w:val="0"/>
        <w:kinsoku/>
        <w:wordWrap/>
        <w:overflowPunct/>
        <w:topLinePunct w:val="0"/>
        <w:autoSpaceDE/>
        <w:autoSpaceDN/>
        <w:bidi w:val="0"/>
        <w:adjustRightInd w:val="0"/>
        <w:snapToGrid/>
        <w:spacing w:line="400" w:lineRule="exact"/>
        <w:ind w:firstLine="482" w:firstLineChars="200"/>
        <w:textAlignment w:val="auto"/>
        <w:rPr>
          <w:rFonts w:hint="eastAsia"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六、</w:t>
      </w:r>
      <w:r>
        <w:rPr>
          <w:rFonts w:hint="default" w:ascii="Times New Roman" w:hAnsi="Times New Roman" w:eastAsia="宋体" w:cs="Times New Roman"/>
          <w:b/>
          <w:bCs/>
          <w:color w:val="auto"/>
          <w:sz w:val="24"/>
          <w:szCs w:val="24"/>
        </w:rPr>
        <w:t>服务要求</w:t>
      </w:r>
      <w:r>
        <w:rPr>
          <w:rFonts w:hint="eastAsia" w:ascii="Times New Roman" w:hAnsi="Times New Roman" w:eastAsia="宋体" w:cs="Times New Roman"/>
          <w:b/>
          <w:bCs/>
          <w:color w:val="auto"/>
          <w:sz w:val="24"/>
          <w:szCs w:val="24"/>
          <w:lang w:eastAsia="zh-CN"/>
        </w:rPr>
        <w:t>：</w:t>
      </w:r>
    </w:p>
    <w:p w14:paraId="0D738CA2">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（1）本项目保险人中标后应按照本项目招标需求所要求的服务范围、内容及目标要求提供服务</w:t>
      </w:r>
      <w:r>
        <w:rPr>
          <w:rFonts w:hint="eastAsia" w:ascii="Times New Roman" w:hAnsi="Times New Roman" w:eastAsia="宋体" w:cs="Times New Roman"/>
          <w:color w:val="auto"/>
          <w:sz w:val="24"/>
          <w:szCs w:val="24"/>
          <w:lang w:eastAsia="zh-CN"/>
        </w:rPr>
        <w:t>。</w:t>
      </w:r>
    </w:p>
    <w:p w14:paraId="24E6D19C">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（2）项目负责人应为中标人在职人员，服务团队成员应需具备中级职称</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人</w:t>
      </w:r>
      <w:r>
        <w:rPr>
          <w:rFonts w:hint="eastAsia" w:ascii="Times New Roman" w:hAnsi="Times New Roman" w:eastAsia="宋体" w:cs="Times New Roman"/>
          <w:color w:val="auto"/>
          <w:sz w:val="24"/>
          <w:szCs w:val="24"/>
          <w:highlight w:val="none"/>
          <w:lang w:eastAsia="zh-CN"/>
        </w:rPr>
        <w:t>及</w:t>
      </w:r>
      <w:r>
        <w:rPr>
          <w:rFonts w:hint="default" w:ascii="Times New Roman" w:hAnsi="Times New Roman" w:eastAsia="宋体" w:cs="Times New Roman"/>
          <w:color w:val="auto"/>
          <w:sz w:val="24"/>
          <w:szCs w:val="24"/>
          <w:highlight w:val="none"/>
        </w:rPr>
        <w:t>以上或农业</w:t>
      </w:r>
      <w:r>
        <w:rPr>
          <w:rFonts w:hint="eastAsia" w:ascii="Times New Roman" w:hAnsi="Times New Roman" w:eastAsia="宋体" w:cs="Times New Roman"/>
          <w:color w:val="auto"/>
          <w:sz w:val="24"/>
          <w:szCs w:val="24"/>
          <w:highlight w:val="none"/>
          <w:lang w:eastAsia="zh-CN"/>
        </w:rPr>
        <w:t>工程或水利水电工程</w:t>
      </w:r>
      <w:r>
        <w:rPr>
          <w:rFonts w:hint="default" w:ascii="Times New Roman" w:hAnsi="Times New Roman" w:eastAsia="宋体" w:cs="Times New Roman"/>
          <w:color w:val="auto"/>
          <w:sz w:val="24"/>
          <w:szCs w:val="24"/>
          <w:highlight w:val="none"/>
        </w:rPr>
        <w:t>相关专业人员</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人</w:t>
      </w:r>
      <w:r>
        <w:rPr>
          <w:rFonts w:hint="eastAsia" w:ascii="Times New Roman" w:hAnsi="Times New Roman" w:eastAsia="宋体" w:cs="Times New Roman"/>
          <w:color w:val="auto"/>
          <w:sz w:val="24"/>
          <w:szCs w:val="24"/>
          <w:highlight w:val="none"/>
          <w:lang w:eastAsia="zh-CN"/>
        </w:rPr>
        <w:t>及</w:t>
      </w:r>
      <w:r>
        <w:rPr>
          <w:rFonts w:hint="default" w:ascii="Times New Roman" w:hAnsi="Times New Roman" w:eastAsia="宋体" w:cs="Times New Roman"/>
          <w:color w:val="auto"/>
          <w:sz w:val="24"/>
          <w:szCs w:val="24"/>
          <w:highlight w:val="none"/>
        </w:rPr>
        <w:t>以上</w:t>
      </w:r>
      <w:r>
        <w:rPr>
          <w:rFonts w:hint="default" w:ascii="Times New Roman" w:hAnsi="Times New Roman" w:eastAsia="宋体" w:cs="Times New Roman"/>
          <w:color w:val="auto"/>
          <w:sz w:val="24"/>
          <w:szCs w:val="24"/>
        </w:rPr>
        <w:t>，且具有良好的职业道德和严谨的工作作风</w:t>
      </w:r>
      <w:r>
        <w:rPr>
          <w:rFonts w:hint="eastAsia" w:ascii="Times New Roman" w:hAnsi="Times New Roman" w:eastAsia="宋体" w:cs="Times New Roman"/>
          <w:color w:val="auto"/>
          <w:sz w:val="24"/>
          <w:szCs w:val="24"/>
          <w:lang w:eastAsia="zh-CN"/>
        </w:rPr>
        <w:t>。</w:t>
      </w:r>
    </w:p>
    <w:p w14:paraId="2D954E78">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（3）在项目服务实施期间，中标人应按采购人实际服务需求落实所对应提供的服务工作，并做好相关管理记录，满足采购人服务需求。</w:t>
      </w:r>
    </w:p>
    <w:p w14:paraId="4B5E73F0">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eastAsia="zh-CN"/>
        </w:rPr>
        <w:t>）项目完成后，</w:t>
      </w:r>
      <w:r>
        <w:rPr>
          <w:rFonts w:hint="default" w:ascii="Times New Roman" w:hAnsi="Times New Roman" w:eastAsia="宋体" w:cs="Times New Roman"/>
          <w:color w:val="auto"/>
          <w:sz w:val="24"/>
          <w:szCs w:val="24"/>
        </w:rPr>
        <w:t>按采购人</w:t>
      </w:r>
      <w:r>
        <w:rPr>
          <w:rFonts w:hint="eastAsia" w:ascii="Times New Roman" w:hAnsi="Times New Roman" w:eastAsia="宋体" w:cs="Times New Roman"/>
          <w:color w:val="auto"/>
          <w:sz w:val="24"/>
          <w:szCs w:val="24"/>
          <w:lang w:eastAsia="zh-CN"/>
        </w:rPr>
        <w:t>要求</w:t>
      </w:r>
      <w:r>
        <w:rPr>
          <w:rFonts w:hint="eastAsia" w:ascii="Times New Roman" w:hAnsi="Times New Roman" w:eastAsia="宋体" w:cs="Times New Roman"/>
          <w:sz w:val="24"/>
          <w:szCs w:val="24"/>
          <w:lang w:eastAsia="zh-CN"/>
        </w:rPr>
        <w:t>提供台账等整套资料。</w:t>
      </w:r>
    </w:p>
    <w:p w14:paraId="6012E4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textAlignment w:val="auto"/>
        <w:rPr>
          <w:rFonts w:hint="eastAsia" w:ascii="宋体" w:hAnsi="宋体" w:eastAsia="宋体" w:cs="宋体"/>
          <w:color w:val="auto"/>
          <w:sz w:val="24"/>
          <w:szCs w:val="24"/>
          <w:highlight w:val="none"/>
          <w:lang w:val="en-US" w:eastAsia="zh-CN"/>
        </w:rPr>
      </w:pPr>
      <w:r>
        <w:rPr>
          <w:rFonts w:hint="default" w:ascii="Times New Roman" w:hAnsi="Times New Roman" w:eastAsia="宋体" w:cs="Times New Roman"/>
          <w:b/>
          <w:bCs/>
          <w:color w:val="auto"/>
          <w:kern w:val="2"/>
          <w:sz w:val="24"/>
          <w:szCs w:val="24"/>
          <w:highlight w:val="none"/>
          <w:lang w:val="en-US" w:eastAsia="zh-CN" w:bidi="ar-SA"/>
        </w:rPr>
        <w:t>七、付款方式：</w:t>
      </w:r>
      <w:r>
        <w:rPr>
          <w:rFonts w:hint="eastAsia" w:ascii="Times New Roman" w:hAnsi="Times New Roman" w:eastAsia="宋体" w:cs="Times New Roman"/>
          <w:color w:val="auto"/>
          <w:kern w:val="2"/>
          <w:sz w:val="24"/>
          <w:szCs w:val="24"/>
          <w:highlight w:val="none"/>
          <w:lang w:val="en-US" w:eastAsia="zh-CN" w:bidi="ar-SA"/>
        </w:rPr>
        <w:t>合同签订后，两个月内支付全部金额，具体费用由各个镇（街道）单独支付</w:t>
      </w:r>
      <w:r>
        <w:rPr>
          <w:rFonts w:hint="default" w:ascii="Times New Roman" w:hAnsi="Times New Roman" w:eastAsia="宋体" w:cs="Times New Roman"/>
          <w:color w:val="auto"/>
          <w:kern w:val="2"/>
          <w:sz w:val="24"/>
          <w:szCs w:val="24"/>
          <w:highlight w:val="none"/>
          <w:lang w:val="en-US" w:eastAsia="zh-CN" w:bidi="ar-SA"/>
        </w:rPr>
        <w:t>。</w:t>
      </w:r>
    </w:p>
    <w:p w14:paraId="5FA86477">
      <w:pPr>
        <w:pStyle w:val="10"/>
        <w:rPr>
          <w:rFonts w:hint="eastAsia"/>
          <w:color w:val="auto"/>
          <w:lang w:val="en-US" w:eastAsia="zh-CN"/>
        </w:rPr>
      </w:pPr>
    </w:p>
    <w:p w14:paraId="3E5B1B1D">
      <w:pPr>
        <w:pStyle w:val="11"/>
        <w:rPr>
          <w:rFonts w:hint="eastAsia"/>
          <w:color w:val="auto"/>
          <w:lang w:val="en-US" w:eastAsia="zh-CN"/>
        </w:rPr>
      </w:pPr>
    </w:p>
    <w:p w14:paraId="661996B9">
      <w:pPr>
        <w:pStyle w:val="12"/>
        <w:rPr>
          <w:rFonts w:hint="eastAsia"/>
          <w:color w:val="auto"/>
          <w:lang w:val="en-US" w:eastAsia="zh-CN"/>
        </w:rPr>
      </w:pPr>
    </w:p>
    <w:p w14:paraId="4E478A39">
      <w:pPr>
        <w:rPr>
          <w:rFonts w:hint="eastAsia"/>
          <w:color w:val="auto"/>
          <w:lang w:val="en-US" w:eastAsia="zh-CN"/>
        </w:rPr>
      </w:pPr>
    </w:p>
    <w:p w14:paraId="737901CD">
      <w:pPr>
        <w:keepNext w:val="0"/>
        <w:keepLines w:val="0"/>
        <w:pageBreakBefore w:val="0"/>
        <w:widowControl w:val="0"/>
        <w:kinsoku/>
        <w:wordWrap w:val="0"/>
        <w:overflowPunct w:val="0"/>
        <w:topLinePunct w:val="0"/>
        <w:autoSpaceDE w:val="0"/>
        <w:autoSpaceDN w:val="0"/>
        <w:bidi w:val="0"/>
        <w:adjustRightInd/>
        <w:snapToGrid/>
        <w:spacing w:before="313" w:beforeLines="100" w:after="313" w:afterLines="100" w:line="360" w:lineRule="atLeast"/>
        <w:ind w:left="0" w:leftChars="0" w:right="0" w:rightChars="0" w:firstLine="0" w:firstLineChars="0"/>
        <w:jc w:val="center"/>
        <w:textAlignment w:val="auto"/>
        <w:outlineLvl w:val="9"/>
        <w:rPr>
          <w:rFonts w:hint="eastAsia" w:ascii="宋体" w:hAnsi="宋体" w:eastAsia="宋体" w:cs="宋体"/>
          <w:b/>
          <w:color w:val="auto"/>
          <w:sz w:val="32"/>
          <w:szCs w:val="32"/>
          <w:highlight w:val="none"/>
        </w:rPr>
      </w:pPr>
    </w:p>
    <w:p w14:paraId="6E6A3793">
      <w:pPr>
        <w:pStyle w:val="3"/>
        <w:keepNext/>
        <w:keepLines/>
        <w:pageBreakBefore w:val="0"/>
        <w:widowControl w:val="0"/>
        <w:numPr>
          <w:ilvl w:val="0"/>
          <w:numId w:val="3"/>
        </w:numPr>
        <w:kinsoku/>
        <w:wordWrap/>
        <w:overflowPunct/>
        <w:topLinePunct w:val="0"/>
        <w:autoSpaceDE/>
        <w:autoSpaceDN/>
        <w:bidi w:val="0"/>
        <w:adjustRightInd/>
        <w:snapToGrid/>
        <w:spacing w:before="0" w:after="0" w:line="400" w:lineRule="exact"/>
        <w:jc w:val="center"/>
        <w:textAlignment w:val="auto"/>
        <w:rPr>
          <w:rFonts w:hint="eastAsia"/>
          <w:sz w:val="30"/>
          <w:szCs w:val="30"/>
        </w:rPr>
      </w:pPr>
      <w:r>
        <w:rPr>
          <w:rFonts w:hint="eastAsia"/>
          <w:sz w:val="30"/>
          <w:szCs w:val="30"/>
        </w:rPr>
        <w:t xml:space="preserve"> </w:t>
      </w:r>
      <w:bookmarkStart w:id="14" w:name="_Toc25596"/>
      <w:r>
        <w:rPr>
          <w:rFonts w:hint="eastAsia"/>
          <w:sz w:val="30"/>
          <w:szCs w:val="30"/>
        </w:rPr>
        <w:t>投标人须知</w:t>
      </w:r>
      <w:bookmarkEnd w:id="14"/>
    </w:p>
    <w:p w14:paraId="422E4C82">
      <w:pPr>
        <w:keepNext w:val="0"/>
        <w:keepLines w:val="0"/>
        <w:pageBreakBefore w:val="0"/>
        <w:widowControl w:val="0"/>
        <w:kinsoku/>
        <w:wordWrap w:val="0"/>
        <w:overflowPunct w:val="0"/>
        <w:topLinePunct w:val="0"/>
        <w:autoSpaceDE w:val="0"/>
        <w:autoSpaceDN w:val="0"/>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电子交易注意事项</w:t>
      </w:r>
    </w:p>
    <w:p w14:paraId="44329DF4">
      <w:pPr>
        <w:keepNext w:val="0"/>
        <w:keepLines w:val="0"/>
        <w:pageBreakBefore w:val="0"/>
        <w:widowControl w:val="0"/>
        <w:kinsoku/>
        <w:wordWrap w:val="0"/>
        <w:overflowPunct w:val="0"/>
        <w:topLinePunct w:val="0"/>
        <w:autoSpaceDE w:val="0"/>
        <w:autoSpaceDN w:val="0"/>
        <w:bidi w:val="0"/>
        <w:adjustRightInd/>
        <w:snapToGrid/>
        <w:spacing w:line="400" w:lineRule="exact"/>
        <w:ind w:left="0" w:leftChars="0" w:right="0" w:rightChars="0" w:firstLine="240" w:firstLineChars="100"/>
        <w:jc w:val="left"/>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政府采购项目电子交易活动适用《浙江省政府采购项目电子交易管理暂行办法》，现将相关注意事项告知如下：</w:t>
      </w:r>
    </w:p>
    <w:p w14:paraId="57463720">
      <w:pPr>
        <w:keepNext w:val="0"/>
        <w:keepLines w:val="0"/>
        <w:pageBreakBefore w:val="0"/>
        <w:widowControl w:val="0"/>
        <w:kinsoku/>
        <w:wordWrap w:val="0"/>
        <w:overflowPunct w:val="0"/>
        <w:topLinePunct w:val="0"/>
        <w:autoSpaceDE w:val="0"/>
        <w:autoSpaceDN w:val="0"/>
        <w:bidi w:val="0"/>
        <w:adjustRightInd/>
        <w:snapToGrid/>
        <w:spacing w:line="400" w:lineRule="exact"/>
        <w:ind w:left="0" w:leftChars="0" w:right="0" w:rightChars="0" w:firstLine="240" w:firstLineChars="1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规定的时间通过电子交易平台组织开标、开启投标文件，所有供应商均应当准时在线参加，直至评审结束。</w:t>
      </w:r>
    </w:p>
    <w:p w14:paraId="197A9591">
      <w:pPr>
        <w:pStyle w:val="24"/>
        <w:keepNext w:val="0"/>
        <w:keepLines w:val="0"/>
        <w:pageBreakBefore w:val="0"/>
        <w:widowControl w:val="0"/>
        <w:kinsoku/>
        <w:wordWrap w:val="0"/>
        <w:overflowPunct w:val="0"/>
        <w:topLinePunct w:val="0"/>
        <w:autoSpaceDE w:val="0"/>
        <w:autoSpaceDN w:val="0"/>
        <w:bidi w:val="0"/>
        <w:adjustRightInd/>
        <w:snapToGrid/>
        <w:spacing w:before="0" w:beforeAutospacing="0" w:after="0" w:afterAutospacing="0" w:line="400" w:lineRule="exact"/>
        <w:ind w:left="0" w:leftChars="0" w:right="0" w:rightChars="0" w:firstLine="240" w:firstLineChars="1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.采购过程中出现以下情形，导致电子交易平台无法正常运行，或者无法保证电子交易的公平、公正和安全时，</w:t>
      </w:r>
      <w:r>
        <w:rPr>
          <w:rFonts w:hint="eastAsia" w:eastAsia="宋体" w:cs="宋体"/>
          <w:color w:val="auto"/>
          <w:kern w:val="2"/>
          <w:sz w:val="24"/>
          <w:szCs w:val="24"/>
          <w:highlight w:val="none"/>
          <w:lang w:eastAsia="zh-CN"/>
        </w:rPr>
        <w:t>采购代理机构</w:t>
      </w:r>
      <w:r>
        <w:rPr>
          <w:rFonts w:hint="eastAsia" w:ascii="宋体" w:hAnsi="宋体" w:eastAsia="宋体" w:cs="宋体"/>
          <w:color w:val="auto"/>
          <w:kern w:val="2"/>
          <w:sz w:val="24"/>
          <w:szCs w:val="24"/>
          <w:highlight w:val="none"/>
        </w:rPr>
        <w:t>可中止电子交易活动：</w:t>
      </w:r>
    </w:p>
    <w:p w14:paraId="11FD408E">
      <w:pPr>
        <w:pStyle w:val="24"/>
        <w:keepNext w:val="0"/>
        <w:keepLines w:val="0"/>
        <w:pageBreakBefore w:val="0"/>
        <w:widowControl w:val="0"/>
        <w:kinsoku/>
        <w:wordWrap w:val="0"/>
        <w:overflowPunct w:val="0"/>
        <w:topLinePunct w:val="0"/>
        <w:autoSpaceDE w:val="0"/>
        <w:autoSpaceDN w:val="0"/>
        <w:bidi w:val="0"/>
        <w:adjustRightInd/>
        <w:snapToGrid/>
        <w:spacing w:before="0" w:beforeAutospacing="0" w:after="0" w:afterAutospacing="0" w:line="400" w:lineRule="exact"/>
        <w:ind w:left="0" w:leftChars="0" w:right="0" w:rightChars="0" w:firstLine="645"/>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（一）电子交易平台发生故障而无法登录访问的； </w:t>
      </w:r>
    </w:p>
    <w:p w14:paraId="36677F31">
      <w:pPr>
        <w:pStyle w:val="24"/>
        <w:keepNext w:val="0"/>
        <w:keepLines w:val="0"/>
        <w:pageBreakBefore w:val="0"/>
        <w:widowControl w:val="0"/>
        <w:kinsoku/>
        <w:wordWrap w:val="0"/>
        <w:overflowPunct w:val="0"/>
        <w:topLinePunct w:val="0"/>
        <w:autoSpaceDE w:val="0"/>
        <w:autoSpaceDN w:val="0"/>
        <w:bidi w:val="0"/>
        <w:adjustRightInd/>
        <w:snapToGrid/>
        <w:spacing w:before="0" w:beforeAutospacing="0" w:after="0" w:afterAutospacing="0" w:line="400" w:lineRule="exact"/>
        <w:ind w:left="0" w:leftChars="0" w:right="0" w:rightChars="0" w:firstLine="645"/>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（二）电子交易平台应用或数据库出现错误，不能进行正常操作的；</w:t>
      </w:r>
    </w:p>
    <w:p w14:paraId="6986F5A1">
      <w:pPr>
        <w:pStyle w:val="24"/>
        <w:keepNext w:val="0"/>
        <w:keepLines w:val="0"/>
        <w:pageBreakBefore w:val="0"/>
        <w:widowControl w:val="0"/>
        <w:kinsoku/>
        <w:wordWrap w:val="0"/>
        <w:overflowPunct w:val="0"/>
        <w:topLinePunct w:val="0"/>
        <w:autoSpaceDE w:val="0"/>
        <w:autoSpaceDN w:val="0"/>
        <w:bidi w:val="0"/>
        <w:adjustRightInd/>
        <w:snapToGrid/>
        <w:spacing w:before="0" w:beforeAutospacing="0" w:after="0" w:afterAutospacing="0" w:line="400" w:lineRule="exact"/>
        <w:ind w:left="0" w:leftChars="0" w:right="0" w:rightChars="0" w:firstLine="645"/>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（三）电子交易平台发现严重安全漏洞，有潜在泄密危险的；</w:t>
      </w:r>
    </w:p>
    <w:p w14:paraId="523880D1">
      <w:pPr>
        <w:pStyle w:val="24"/>
        <w:keepNext w:val="0"/>
        <w:keepLines w:val="0"/>
        <w:pageBreakBefore w:val="0"/>
        <w:widowControl w:val="0"/>
        <w:kinsoku/>
        <w:wordWrap w:val="0"/>
        <w:overflowPunct w:val="0"/>
        <w:topLinePunct w:val="0"/>
        <w:autoSpaceDE w:val="0"/>
        <w:autoSpaceDN w:val="0"/>
        <w:bidi w:val="0"/>
        <w:adjustRightInd/>
        <w:snapToGrid/>
        <w:spacing w:before="0" w:beforeAutospacing="0" w:after="0" w:afterAutospacing="0" w:line="400" w:lineRule="exact"/>
        <w:ind w:left="0" w:leftChars="0" w:right="0" w:rightChars="0" w:firstLine="645"/>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（四）病毒发作导致不能进行正常操作的； </w:t>
      </w:r>
    </w:p>
    <w:p w14:paraId="42B7F382">
      <w:pPr>
        <w:pStyle w:val="24"/>
        <w:keepNext w:val="0"/>
        <w:keepLines w:val="0"/>
        <w:pageBreakBefore w:val="0"/>
        <w:widowControl w:val="0"/>
        <w:kinsoku/>
        <w:wordWrap w:val="0"/>
        <w:overflowPunct w:val="0"/>
        <w:topLinePunct w:val="0"/>
        <w:autoSpaceDE w:val="0"/>
        <w:autoSpaceDN w:val="0"/>
        <w:bidi w:val="0"/>
        <w:adjustRightInd/>
        <w:snapToGrid/>
        <w:spacing w:before="0" w:beforeAutospacing="0" w:after="0" w:afterAutospacing="0" w:line="400" w:lineRule="exact"/>
        <w:ind w:left="0" w:leftChars="0" w:right="0" w:rightChars="0" w:firstLine="645"/>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（五）其他无法保证电子交易的公平、公正和安全的情况。</w:t>
      </w:r>
    </w:p>
    <w:p w14:paraId="6F058F6E">
      <w:pPr>
        <w:pStyle w:val="24"/>
        <w:keepNext w:val="0"/>
        <w:keepLines w:val="0"/>
        <w:pageBreakBefore w:val="0"/>
        <w:widowControl w:val="0"/>
        <w:kinsoku/>
        <w:wordWrap w:val="0"/>
        <w:overflowPunct w:val="0"/>
        <w:topLinePunct w:val="0"/>
        <w:autoSpaceDE w:val="0"/>
        <w:autoSpaceDN w:val="0"/>
        <w:bidi w:val="0"/>
        <w:adjustRightInd/>
        <w:snapToGrid/>
        <w:spacing w:before="0" w:beforeAutospacing="0" w:after="0" w:afterAutospacing="0" w:line="400" w:lineRule="exact"/>
        <w:ind w:left="0" w:leftChars="0" w:right="0" w:rightChars="0" w:firstLine="48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出现前款规定情形，不影响采购公平、公正性的，</w:t>
      </w:r>
      <w:r>
        <w:rPr>
          <w:rFonts w:hint="eastAsia" w:eastAsia="宋体" w:cs="宋体"/>
          <w:color w:val="auto"/>
          <w:kern w:val="2"/>
          <w:sz w:val="24"/>
          <w:szCs w:val="24"/>
          <w:highlight w:val="none"/>
          <w:lang w:eastAsia="zh-CN"/>
        </w:rPr>
        <w:t>采购代理机构</w:t>
      </w:r>
      <w:r>
        <w:rPr>
          <w:rFonts w:hint="eastAsia" w:ascii="宋体" w:hAnsi="宋体" w:eastAsia="宋体" w:cs="宋体"/>
          <w:color w:val="auto"/>
          <w:kern w:val="2"/>
          <w:sz w:val="24"/>
          <w:szCs w:val="24"/>
          <w:highlight w:val="none"/>
        </w:rPr>
        <w:t>可以待上述情形消除后继续组织电子交易活动，也可以决定某些环节以纸质形式进行；影响或可能影响采购公平、公正性的，应当重新采购。</w:t>
      </w:r>
    </w:p>
    <w:p w14:paraId="56E8B07D">
      <w:pPr>
        <w:pStyle w:val="24"/>
        <w:keepNext w:val="0"/>
        <w:keepLines w:val="0"/>
        <w:pageBreakBefore w:val="0"/>
        <w:widowControl w:val="0"/>
        <w:kinsoku/>
        <w:wordWrap w:val="0"/>
        <w:overflowPunct w:val="0"/>
        <w:topLinePunct w:val="0"/>
        <w:autoSpaceDE w:val="0"/>
        <w:autoSpaceDN w:val="0"/>
        <w:bidi w:val="0"/>
        <w:adjustRightInd/>
        <w:snapToGrid/>
        <w:spacing w:before="0" w:beforeAutospacing="0" w:after="0" w:afterAutospacing="0" w:line="400" w:lineRule="exact"/>
        <w:ind w:left="0" w:leftChars="0" w:right="0" w:rightChars="0" w:firstLine="480"/>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.评审中需要供应商对投标文件作出澄清、说明或者补正的，评审小组和供应商应当通过电子交易平台交换数据电文。供应商需在半小时内提交澄清说明或补正，供应商已经明确表示澄清说明或补正完毕的除外。</w:t>
      </w:r>
    </w:p>
    <w:p w14:paraId="259A15AE">
      <w:pPr>
        <w:keepNext w:val="0"/>
        <w:keepLines w:val="0"/>
        <w:pageBreakBefore w:val="0"/>
        <w:widowControl w:val="0"/>
        <w:shd w:val="clear"/>
        <w:kinsoku/>
        <w:wordWrap w:val="0"/>
        <w:overflowPunct/>
        <w:topLinePunct/>
        <w:autoSpaceDE/>
        <w:autoSpaceDN/>
        <w:bidi w:val="0"/>
        <w:adjustRightInd/>
        <w:snapToGrid w:val="0"/>
        <w:spacing w:beforeAutospacing="0" w:afterAutospacing="0" w:line="400" w:lineRule="exact"/>
        <w:ind w:firstLine="480" w:firstLineChars="200"/>
        <w:jc w:val="left"/>
        <w:textAlignment w:val="auto"/>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rPr>
        <w:t>4</w:t>
      </w:r>
      <w:r>
        <w:rPr>
          <w:rFonts w:hint="eastAsia" w:ascii="宋体" w:hAnsi="宋体" w:eastAsia="宋体" w:cs="宋体"/>
          <w:color w:val="auto"/>
          <w:kern w:val="0"/>
          <w:sz w:val="24"/>
          <w:szCs w:val="24"/>
          <w:highlight w:val="none"/>
          <w:shd w:val="clear" w:color="auto" w:fill="FFFFFF"/>
        </w:rPr>
        <w:t>.供应商须在采购代理机构宣布评审结束、产生中标候选人</w:t>
      </w:r>
      <w:r>
        <w:rPr>
          <w:rFonts w:hint="eastAsia" w:ascii="宋体" w:hAnsi="宋体" w:eastAsia="宋体" w:cs="宋体"/>
          <w:color w:val="auto"/>
          <w:kern w:val="0"/>
          <w:sz w:val="24"/>
          <w:szCs w:val="24"/>
          <w:highlight w:val="none"/>
          <w:shd w:val="clear" w:color="auto" w:fill="FFFFFF"/>
          <w:lang w:eastAsia="zh-CN"/>
        </w:rPr>
        <w:t>前</w:t>
      </w:r>
      <w:r>
        <w:rPr>
          <w:rFonts w:hint="eastAsia" w:ascii="宋体" w:hAnsi="宋体" w:eastAsia="宋体" w:cs="宋体"/>
          <w:color w:val="auto"/>
          <w:kern w:val="0"/>
          <w:sz w:val="24"/>
          <w:szCs w:val="24"/>
          <w:highlight w:val="none"/>
          <w:shd w:val="clear" w:color="auto" w:fill="FFFFFF"/>
        </w:rPr>
        <w:t>时刻关注，配合专家组工作，如有询标（澄清、质疑），在约定时间内（具体时间以询标函上规定的时间为准）通过ＣＡ进行回复。未按要求回复的，视为放弃澄清。</w:t>
      </w:r>
      <w:r>
        <w:rPr>
          <w:rFonts w:hint="eastAsia" w:ascii="宋体" w:hAnsi="宋体" w:eastAsia="宋体" w:cs="宋体"/>
          <w:color w:val="auto"/>
          <w:kern w:val="0"/>
          <w:sz w:val="24"/>
          <w:highlight w:val="none"/>
          <w:shd w:val="clear" w:color="auto" w:fill="FFFFFF"/>
        </w:rPr>
        <w:br w:type="textWrapping"/>
      </w:r>
    </w:p>
    <w:p w14:paraId="35D99CD7">
      <w:pPr>
        <w:keepNext w:val="0"/>
        <w:keepLines w:val="0"/>
        <w:pageBreakBefore w:val="0"/>
        <w:widowControl w:val="0"/>
        <w:shd w:val="clear"/>
        <w:kinsoku/>
        <w:wordWrap w:val="0"/>
        <w:overflowPunct/>
        <w:topLinePunct/>
        <w:autoSpaceDE/>
        <w:autoSpaceDN/>
        <w:bidi w:val="0"/>
        <w:adjustRightInd/>
        <w:snapToGrid w:val="0"/>
        <w:spacing w:beforeAutospacing="0" w:afterAutospacing="0" w:line="400" w:lineRule="exact"/>
        <w:jc w:val="center"/>
        <w:textAlignment w:val="auto"/>
        <w:rPr>
          <w:rFonts w:hint="eastAsia" w:ascii="宋体" w:hAnsi="宋体" w:eastAsia="宋体" w:cs="宋体"/>
          <w:color w:val="auto"/>
          <w:kern w:val="0"/>
          <w:sz w:val="24"/>
          <w:highlight w:val="none"/>
          <w:shd w:val="clear" w:color="auto" w:fill="FFFFFF"/>
        </w:rPr>
      </w:pPr>
    </w:p>
    <w:p w14:paraId="3BE13079">
      <w:pPr>
        <w:keepNext w:val="0"/>
        <w:keepLines w:val="0"/>
        <w:pageBreakBefore w:val="0"/>
        <w:widowControl w:val="0"/>
        <w:shd w:val="clear"/>
        <w:kinsoku/>
        <w:wordWrap w:val="0"/>
        <w:overflowPunct/>
        <w:topLinePunct/>
        <w:autoSpaceDE/>
        <w:autoSpaceDN/>
        <w:bidi w:val="0"/>
        <w:adjustRightInd/>
        <w:snapToGrid w:val="0"/>
        <w:spacing w:beforeAutospacing="0" w:afterAutospacing="0" w:line="400" w:lineRule="exact"/>
        <w:jc w:val="center"/>
        <w:textAlignment w:val="auto"/>
        <w:rPr>
          <w:rFonts w:hint="eastAsia" w:ascii="宋体" w:hAnsi="宋体" w:eastAsia="宋体" w:cs="宋体"/>
          <w:color w:val="auto"/>
          <w:kern w:val="0"/>
          <w:sz w:val="24"/>
          <w:highlight w:val="none"/>
          <w:shd w:val="clear" w:color="auto" w:fill="FFFFFF"/>
        </w:rPr>
      </w:pPr>
    </w:p>
    <w:p w14:paraId="6AA1977A">
      <w:pPr>
        <w:keepNext w:val="0"/>
        <w:keepLines w:val="0"/>
        <w:pageBreakBefore w:val="0"/>
        <w:widowControl w:val="0"/>
        <w:shd w:val="clear"/>
        <w:kinsoku/>
        <w:wordWrap w:val="0"/>
        <w:overflowPunct/>
        <w:topLinePunct/>
        <w:autoSpaceDE/>
        <w:autoSpaceDN/>
        <w:bidi w:val="0"/>
        <w:adjustRightInd/>
        <w:snapToGrid w:val="0"/>
        <w:spacing w:beforeAutospacing="0" w:afterAutospacing="0" w:line="400" w:lineRule="exact"/>
        <w:jc w:val="center"/>
        <w:textAlignment w:val="auto"/>
        <w:rPr>
          <w:rFonts w:hint="eastAsia" w:ascii="宋体" w:hAnsi="宋体" w:eastAsia="宋体" w:cs="宋体"/>
          <w:color w:val="auto"/>
          <w:kern w:val="0"/>
          <w:sz w:val="24"/>
          <w:highlight w:val="none"/>
          <w:shd w:val="clear" w:color="auto" w:fill="FFFFFF"/>
        </w:rPr>
      </w:pPr>
    </w:p>
    <w:p w14:paraId="173A530F">
      <w:pPr>
        <w:pStyle w:val="2"/>
        <w:rPr>
          <w:rFonts w:hint="eastAsia" w:ascii="宋体" w:hAnsi="宋体" w:eastAsia="宋体" w:cs="宋体"/>
          <w:color w:val="auto"/>
          <w:kern w:val="0"/>
          <w:sz w:val="24"/>
          <w:highlight w:val="none"/>
          <w:shd w:val="clear" w:color="auto" w:fill="FFFFFF"/>
        </w:rPr>
      </w:pPr>
    </w:p>
    <w:p w14:paraId="42E0DDE3">
      <w:pPr>
        <w:rPr>
          <w:rFonts w:hint="eastAsia"/>
        </w:rPr>
      </w:pPr>
    </w:p>
    <w:p w14:paraId="25261DAD">
      <w:pPr>
        <w:pStyle w:val="3"/>
        <w:rPr>
          <w:rFonts w:hint="eastAsia"/>
        </w:rPr>
      </w:pPr>
    </w:p>
    <w:p w14:paraId="779EA8DA">
      <w:pPr>
        <w:keepNext w:val="0"/>
        <w:keepLines w:val="0"/>
        <w:pageBreakBefore w:val="0"/>
        <w:widowControl w:val="0"/>
        <w:kinsoku/>
        <w:wordWrap w:val="0"/>
        <w:overflowPunct w:val="0"/>
        <w:topLinePunct w:val="0"/>
        <w:autoSpaceDE w:val="0"/>
        <w:autoSpaceDN w:val="0"/>
        <w:bidi w:val="0"/>
        <w:adjustRightInd/>
        <w:snapToGrid w:val="0"/>
        <w:spacing w:after="157" w:afterLines="50" w:line="240" w:lineRule="auto"/>
        <w:ind w:left="0" w:leftChars="0" w:right="0" w:rightChars="0" w:firstLine="0" w:firstLineChars="0"/>
        <w:jc w:val="center"/>
        <w:textAlignment w:val="auto"/>
        <w:outlineLvl w:val="9"/>
        <w:rPr>
          <w:rFonts w:hint="eastAsia" w:ascii="宋体" w:hAnsi="宋体" w:eastAsia="宋体" w:cs="宋体"/>
          <w:b/>
          <w:bCs/>
          <w:color w:val="auto"/>
          <w:sz w:val="28"/>
          <w:highlight w:val="none"/>
        </w:rPr>
      </w:pPr>
    </w:p>
    <w:p w14:paraId="4354A15A">
      <w:pPr>
        <w:keepNext w:val="0"/>
        <w:keepLines w:val="0"/>
        <w:pageBreakBefore w:val="0"/>
        <w:widowControl w:val="0"/>
        <w:kinsoku/>
        <w:wordWrap w:val="0"/>
        <w:overflowPunct w:val="0"/>
        <w:topLinePunct w:val="0"/>
        <w:autoSpaceDE w:val="0"/>
        <w:autoSpaceDN w:val="0"/>
        <w:bidi w:val="0"/>
        <w:adjustRightInd/>
        <w:snapToGrid w:val="0"/>
        <w:spacing w:after="157" w:afterLines="50" w:line="240" w:lineRule="auto"/>
        <w:ind w:left="0" w:leftChars="0" w:right="0" w:rightChars="0" w:firstLine="0" w:firstLineChars="0"/>
        <w:jc w:val="center"/>
        <w:textAlignment w:val="auto"/>
        <w:outlineLvl w:val="9"/>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前附表</w:t>
      </w:r>
    </w:p>
    <w:tbl>
      <w:tblPr>
        <w:tblStyle w:val="26"/>
        <w:tblW w:w="9216" w:type="dxa"/>
        <w:tblInd w:w="142" w:type="dxa"/>
        <w:tblLayout w:type="fixed"/>
        <w:tblCellMar>
          <w:top w:w="0" w:type="dxa"/>
          <w:left w:w="108" w:type="dxa"/>
          <w:bottom w:w="0" w:type="dxa"/>
          <w:right w:w="108" w:type="dxa"/>
        </w:tblCellMar>
      </w:tblPr>
      <w:tblGrid>
        <w:gridCol w:w="748"/>
        <w:gridCol w:w="8468"/>
      </w:tblGrid>
      <w:tr w14:paraId="51B594C8">
        <w:tblPrEx>
          <w:tblCellMar>
            <w:top w:w="0" w:type="dxa"/>
            <w:left w:w="108" w:type="dxa"/>
            <w:bottom w:w="0" w:type="dxa"/>
            <w:right w:w="108" w:type="dxa"/>
          </w:tblCellMar>
        </w:tblPrEx>
        <w:trPr>
          <w:trHeight w:val="9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EEECE1"/>
            <w:vAlign w:val="center"/>
          </w:tcPr>
          <w:p w14:paraId="35B664A9">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8468" w:type="dxa"/>
            <w:tcBorders>
              <w:top w:val="single" w:color="auto" w:sz="4" w:space="0"/>
              <w:left w:val="nil"/>
              <w:bottom w:val="single" w:color="auto" w:sz="4" w:space="0"/>
              <w:right w:val="single" w:color="auto" w:sz="4" w:space="0"/>
            </w:tcBorders>
            <w:shd w:val="clear" w:color="auto" w:fill="EEECE1"/>
            <w:vAlign w:val="center"/>
          </w:tcPr>
          <w:p w14:paraId="45413458">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内容、要求</w:t>
            </w:r>
          </w:p>
        </w:tc>
      </w:tr>
      <w:tr w14:paraId="0C635100">
        <w:tblPrEx>
          <w:tblCellMar>
            <w:top w:w="0" w:type="dxa"/>
            <w:left w:w="108" w:type="dxa"/>
            <w:bottom w:w="0" w:type="dxa"/>
            <w:right w:w="108" w:type="dxa"/>
          </w:tblCellMar>
        </w:tblPrEx>
        <w:trPr>
          <w:trHeight w:val="519" w:hRule="atLeast"/>
        </w:trPr>
        <w:tc>
          <w:tcPr>
            <w:tcW w:w="748" w:type="dxa"/>
            <w:tcBorders>
              <w:top w:val="single" w:color="auto" w:sz="4" w:space="0"/>
              <w:left w:val="single" w:color="auto" w:sz="4" w:space="0"/>
              <w:bottom w:val="single" w:color="auto" w:sz="4" w:space="0"/>
              <w:right w:val="single" w:color="auto" w:sz="4" w:space="0"/>
            </w:tcBorders>
            <w:vAlign w:val="center"/>
          </w:tcPr>
          <w:p w14:paraId="3B726560">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8468" w:type="dxa"/>
            <w:tcBorders>
              <w:top w:val="single" w:color="auto" w:sz="4" w:space="0"/>
              <w:left w:val="nil"/>
              <w:bottom w:val="single" w:color="auto" w:sz="4" w:space="0"/>
              <w:right w:val="single" w:color="auto" w:sz="4" w:space="0"/>
            </w:tcBorders>
            <w:vAlign w:val="center"/>
          </w:tcPr>
          <w:p w14:paraId="1536EE84">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ind w:right="0" w:rightChars="0" w:firstLine="0" w:firstLineChars="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2026年海盐县高标准农田管护保险项目</w:t>
            </w:r>
          </w:p>
        </w:tc>
      </w:tr>
      <w:tr w14:paraId="7E60C06A">
        <w:tblPrEx>
          <w:tblCellMar>
            <w:top w:w="0" w:type="dxa"/>
            <w:left w:w="108" w:type="dxa"/>
            <w:bottom w:w="0" w:type="dxa"/>
            <w:right w:w="108" w:type="dxa"/>
          </w:tblCellMar>
        </w:tblPrEx>
        <w:trPr>
          <w:trHeight w:val="504" w:hRule="atLeast"/>
        </w:trPr>
        <w:tc>
          <w:tcPr>
            <w:tcW w:w="748" w:type="dxa"/>
            <w:tcBorders>
              <w:top w:val="single" w:color="auto" w:sz="4" w:space="0"/>
              <w:left w:val="single" w:color="auto" w:sz="4" w:space="0"/>
              <w:bottom w:val="single" w:color="auto" w:sz="4" w:space="0"/>
              <w:right w:val="single" w:color="auto" w:sz="4" w:space="0"/>
            </w:tcBorders>
            <w:vAlign w:val="center"/>
          </w:tcPr>
          <w:p w14:paraId="0AFEA3F9">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8468" w:type="dxa"/>
            <w:tcBorders>
              <w:top w:val="single" w:color="auto" w:sz="4" w:space="0"/>
              <w:left w:val="nil"/>
              <w:bottom w:val="single" w:color="auto" w:sz="4" w:space="0"/>
              <w:right w:val="single" w:color="auto" w:sz="4" w:space="0"/>
            </w:tcBorders>
            <w:vAlign w:val="center"/>
          </w:tcPr>
          <w:p w14:paraId="4B078C5C">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firstLine="0" w:firstLineChars="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w:t>
            </w:r>
            <w:r>
              <w:rPr>
                <w:rFonts w:hint="eastAsia" w:ascii="宋体" w:hAnsi="宋体" w:eastAsia="宋体" w:cs="宋体"/>
                <w:color w:val="000000" w:themeColor="text1"/>
                <w:sz w:val="24"/>
                <w:szCs w:val="24"/>
                <w:highlight w:val="none"/>
                <w:lang w:eastAsia="zh-CN"/>
                <w14:textFill>
                  <w14:solidFill>
                    <w14:schemeClr w14:val="tx1"/>
                  </w14:solidFill>
                </w14:textFill>
              </w:rPr>
              <w:t>内容</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2026年海盐县高标准农田管护保险项目，具体内容详见采购需求。</w:t>
            </w:r>
          </w:p>
        </w:tc>
      </w:tr>
      <w:tr w14:paraId="4E6E921A">
        <w:tblPrEx>
          <w:tblCellMar>
            <w:top w:w="0" w:type="dxa"/>
            <w:left w:w="108" w:type="dxa"/>
            <w:bottom w:w="0" w:type="dxa"/>
            <w:right w:w="108" w:type="dxa"/>
          </w:tblCellMar>
        </w:tblPrEx>
        <w:trPr>
          <w:trHeight w:val="413" w:hRule="atLeast"/>
        </w:trPr>
        <w:tc>
          <w:tcPr>
            <w:tcW w:w="748" w:type="dxa"/>
            <w:tcBorders>
              <w:top w:val="single" w:color="auto" w:sz="4" w:space="0"/>
              <w:left w:val="single" w:color="auto" w:sz="4" w:space="0"/>
              <w:bottom w:val="single" w:color="auto" w:sz="4" w:space="0"/>
              <w:right w:val="single" w:color="auto" w:sz="4" w:space="0"/>
            </w:tcBorders>
            <w:vAlign w:val="center"/>
          </w:tcPr>
          <w:p w14:paraId="3134E941">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8468" w:type="dxa"/>
            <w:tcBorders>
              <w:top w:val="single" w:color="auto" w:sz="4" w:space="0"/>
              <w:left w:val="nil"/>
              <w:bottom w:val="single" w:color="auto" w:sz="4" w:space="0"/>
              <w:right w:val="single" w:color="auto" w:sz="4" w:space="0"/>
            </w:tcBorders>
            <w:vAlign w:val="center"/>
          </w:tcPr>
          <w:p w14:paraId="1275FF6E">
            <w:pPr>
              <w:pStyle w:val="24"/>
              <w:keepNext w:val="0"/>
              <w:keepLines w:val="0"/>
              <w:pageBreakBefore w:val="0"/>
              <w:widowControl w:val="0"/>
              <w:kinsoku/>
              <w:overflowPunct w:val="0"/>
              <w:topLinePunct/>
              <w:autoSpaceDE w:val="0"/>
              <w:autoSpaceDN w:val="0"/>
              <w:bidi w:val="0"/>
              <w:adjustRightInd/>
              <w:spacing w:before="0" w:beforeAutospacing="0" w:after="0" w:afterAutospacing="0" w:line="400" w:lineRule="exact"/>
              <w:ind w:right="0" w:rightChars="0" w:firstLine="0" w:firstLineChars="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eastAsia="宋体" w:cs="宋体"/>
                <w:color w:val="000000" w:themeColor="text1"/>
                <w:sz w:val="24"/>
                <w:szCs w:val="24"/>
                <w:highlight w:val="none"/>
                <w:lang w:val="en-US" w:eastAsia="zh-CN"/>
                <w14:textFill>
                  <w14:solidFill>
                    <w14:schemeClr w14:val="tx1"/>
                  </w14:solidFill>
                </w14:textFill>
              </w:rPr>
              <w:t>最高限价:</w:t>
            </w:r>
            <w:r>
              <w:rPr>
                <w:rFonts w:hint="eastAsia" w:eastAsia="宋体" w:cs="宋体"/>
                <w:color w:val="000000" w:themeColor="text1"/>
                <w:sz w:val="24"/>
                <w:szCs w:val="24"/>
                <w:highlight w:val="none"/>
                <w:u w:val="single"/>
                <w:lang w:val="en-US" w:eastAsia="zh-CN"/>
                <w14:textFill>
                  <w14:solidFill>
                    <w14:schemeClr w14:val="tx1"/>
                  </w14:solidFill>
                </w14:textFill>
              </w:rPr>
              <w:t>3104900</w:t>
            </w:r>
            <w:r>
              <w:rPr>
                <w:rFonts w:hint="eastAsia" w:eastAsia="宋体" w:cs="宋体"/>
                <w:color w:val="000000" w:themeColor="text1"/>
                <w:sz w:val="24"/>
                <w:szCs w:val="24"/>
                <w:highlight w:val="none"/>
                <w:lang w:val="en-US" w:eastAsia="zh-CN"/>
                <w14:textFill>
                  <w14:solidFill>
                    <w14:schemeClr w14:val="tx1"/>
                  </w14:solidFill>
                </w14:textFill>
              </w:rPr>
              <w:t>元人民币，</w:t>
            </w:r>
            <w:r>
              <w:rPr>
                <w:rFonts w:hint="eastAsia" w:ascii="宋体" w:hAnsi="宋体" w:eastAsia="宋体" w:cs="宋体"/>
                <w:color w:val="000000" w:themeColor="text1"/>
                <w:sz w:val="24"/>
                <w:szCs w:val="24"/>
                <w:highlight w:val="none"/>
                <w14:textFill>
                  <w14:solidFill>
                    <w14:schemeClr w14:val="tx1"/>
                  </w14:solidFill>
                </w14:textFill>
              </w:rPr>
              <w:t>超最高限价的投标文件无效。</w:t>
            </w:r>
          </w:p>
        </w:tc>
      </w:tr>
      <w:tr w14:paraId="51A70EDB">
        <w:tblPrEx>
          <w:tblCellMar>
            <w:top w:w="0" w:type="dxa"/>
            <w:left w:w="108" w:type="dxa"/>
            <w:bottom w:w="0" w:type="dxa"/>
            <w:right w:w="108" w:type="dxa"/>
          </w:tblCellMar>
        </w:tblPrEx>
        <w:trPr>
          <w:trHeight w:val="413" w:hRule="atLeast"/>
        </w:trPr>
        <w:tc>
          <w:tcPr>
            <w:tcW w:w="748" w:type="dxa"/>
            <w:tcBorders>
              <w:top w:val="single" w:color="auto" w:sz="4" w:space="0"/>
              <w:left w:val="single" w:color="auto" w:sz="4" w:space="0"/>
              <w:bottom w:val="single" w:color="auto" w:sz="4" w:space="0"/>
              <w:right w:val="single" w:color="auto" w:sz="4" w:space="0"/>
            </w:tcBorders>
            <w:vAlign w:val="center"/>
          </w:tcPr>
          <w:p w14:paraId="7256A2BE">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8468" w:type="dxa"/>
            <w:tcBorders>
              <w:top w:val="single" w:color="auto" w:sz="4" w:space="0"/>
              <w:left w:val="nil"/>
              <w:bottom w:val="single" w:color="auto" w:sz="4" w:space="0"/>
              <w:right w:val="single" w:color="auto" w:sz="4" w:space="0"/>
            </w:tcBorders>
            <w:vAlign w:val="center"/>
          </w:tcPr>
          <w:p w14:paraId="37551E18">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textAlignment w:val="auto"/>
              <w:outlineLvl w:val="9"/>
              <w:rPr>
                <w:rFonts w:hint="eastAsia" w:ascii="宋体" w:hAnsi="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cs="宋体"/>
                <w:b w:val="0"/>
                <w:bCs/>
                <w:color w:val="000000" w:themeColor="text1"/>
                <w:kern w:val="0"/>
                <w:sz w:val="24"/>
                <w:szCs w:val="24"/>
                <w:highlight w:val="none"/>
                <w:lang w:eastAsia="zh-CN"/>
                <w14:textFill>
                  <w14:solidFill>
                    <w14:schemeClr w14:val="tx1"/>
                  </w14:solidFill>
                </w14:textFill>
              </w:rPr>
              <w:t>讲解演示：</w:t>
            </w:r>
          </w:p>
          <w:p w14:paraId="636BCC4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cs="宋体"/>
                <w:b/>
                <w:color w:val="000000" w:themeColor="text1"/>
                <w:sz w:val="24"/>
                <w:highlight w:val="none"/>
                <w14:textFill>
                  <w14:solidFill>
                    <w14:schemeClr w14:val="tx1"/>
                  </w14:solidFill>
                </w14:textFill>
              </w:rPr>
            </w:pPr>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sym w:font="Wingdings" w:char="00FE"/>
            </w:r>
            <w:r>
              <w:rPr>
                <w:rFonts w:hint="eastAsia" w:ascii="宋体" w:hAnsi="宋体" w:cs="宋体"/>
                <w:color w:val="000000" w:themeColor="text1"/>
                <w:kern w:val="0"/>
                <w:sz w:val="24"/>
                <w:highlight w:val="none"/>
                <w:lang w:val="zh-CN"/>
                <w14:textFill>
                  <w14:solidFill>
                    <w14:schemeClr w14:val="tx1"/>
                  </w14:solidFill>
                </w14:textFill>
              </w:rPr>
              <w:t>无。</w:t>
            </w:r>
          </w:p>
          <w:p w14:paraId="2A546125">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textAlignment w:val="auto"/>
              <w:outlineLvl w:val="9"/>
              <w:rPr>
                <w:rFonts w:hint="eastAsia" w:ascii="宋体" w:hAnsi="宋体" w:cs="宋体"/>
                <w:color w:val="000000" w:themeColor="text1"/>
                <w:sz w:val="24"/>
                <w:lang w:eastAsia="zh-CN"/>
                <w14:textFill>
                  <w14:solidFill>
                    <w14:schemeClr w14:val="tx1"/>
                  </w14:solidFill>
                </w14:textFill>
              </w:rPr>
            </w:pPr>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sym w:font="Wingdings" w:char="00A8"/>
            </w:r>
            <w:r>
              <w:rPr>
                <w:rFonts w:hint="eastAsia" w:ascii="宋体" w:hAnsi="宋体" w:cs="宋体"/>
                <w:color w:val="000000" w:themeColor="text1"/>
                <w:sz w:val="24"/>
                <w:lang w:eastAsia="zh-CN"/>
                <w14:textFill>
                  <w14:solidFill>
                    <w14:schemeClr w14:val="tx1"/>
                  </w14:solidFill>
                </w14:textFill>
              </w:rPr>
              <w:t>方式一：政采云平台在线讲解演示。政采云平台在线讲解需投标人根据政采云平台操作要求做好准备工作，提前完善软硬件配置环境。</w:t>
            </w:r>
          </w:p>
          <w:p w14:paraId="446E7AA2">
            <w:pPr>
              <w:keepNext w:val="0"/>
              <w:keepLines w:val="0"/>
              <w:pageBreakBefore w:val="0"/>
              <w:widowControl w:val="0"/>
              <w:numPr>
                <w:ilvl w:val="0"/>
                <w:numId w:val="0"/>
              </w:numPr>
              <w:shd w:val="clear" w:color="auto" w:fill="auto"/>
              <w:kinsoku/>
              <w:wordWrap w:val="0"/>
              <w:overflowPunct w:val="0"/>
              <w:topLinePunct w:val="0"/>
              <w:autoSpaceDE w:val="0"/>
              <w:autoSpaceDN w:val="0"/>
              <w:bidi w:val="0"/>
              <w:adjustRightInd/>
              <w:snapToGrid/>
              <w:spacing w:line="400" w:lineRule="exact"/>
              <w:ind w:right="0" w:right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sym w:font="Wingdings" w:char="00A8"/>
            </w:r>
            <w:r>
              <w:rPr>
                <w:rFonts w:hint="eastAsia" w:ascii="宋体" w:hAnsi="宋体" w:cs="宋体"/>
                <w:color w:val="000000" w:themeColor="text1"/>
                <w:sz w:val="24"/>
                <w:lang w:eastAsia="zh-CN"/>
                <w14:textFill>
                  <w14:solidFill>
                    <w14:schemeClr w14:val="tx1"/>
                  </w14:solidFill>
                </w14:textFill>
              </w:rPr>
              <w:t>方式二：</w:t>
            </w:r>
            <w:r>
              <w:rPr>
                <w:rFonts w:hint="eastAsia" w:ascii="宋体" w:hAnsi="宋体" w:cs="宋体"/>
                <w:color w:val="000000" w:themeColor="text1"/>
                <w:sz w:val="24"/>
                <w:highlight w:val="none"/>
                <w:lang w:eastAsia="zh-CN"/>
                <w14:textFill>
                  <w14:solidFill>
                    <w14:schemeClr w14:val="tx1"/>
                  </w14:solidFill>
                </w14:textFill>
              </w:rPr>
              <w:t>交易中心现场讲解演示。现场讲解</w:t>
            </w:r>
            <w:r>
              <w:rPr>
                <w:rFonts w:hint="eastAsia" w:ascii="宋体" w:hAnsi="宋体" w:cs="宋体"/>
                <w:color w:val="000000" w:themeColor="text1"/>
                <w:sz w:val="24"/>
                <w:highlight w:val="none"/>
                <w:lang w:val="en-US" w:eastAsia="zh-CN"/>
                <w14:textFill>
                  <w14:solidFill>
                    <w14:schemeClr w14:val="tx1"/>
                  </w14:solidFill>
                </w14:textFill>
              </w:rPr>
              <w:t>演示</w:t>
            </w:r>
            <w:r>
              <w:rPr>
                <w:rFonts w:hint="eastAsia" w:ascii="宋体" w:hAnsi="宋体" w:cs="宋体"/>
                <w:color w:val="000000" w:themeColor="text1"/>
                <w:sz w:val="24"/>
                <w:highlight w:val="none"/>
                <w:lang w:eastAsia="zh-CN"/>
                <w14:textFill>
                  <w14:solidFill>
                    <w14:schemeClr w14:val="tx1"/>
                  </w14:solidFill>
                </w14:textFill>
              </w:rPr>
              <w:t>地点为</w:t>
            </w:r>
            <w:r>
              <w:rPr>
                <w:rFonts w:hint="eastAsia" w:ascii="宋体" w:hAnsi="宋体" w:cs="宋体"/>
                <w:color w:val="000000" w:themeColor="text1"/>
                <w:sz w:val="24"/>
                <w:highlight w:val="none"/>
                <w:lang w:val="en-US" w:eastAsia="zh-CN"/>
                <w14:textFill>
                  <w14:solidFill>
                    <w14:schemeClr w14:val="tx1"/>
                  </w14:solidFill>
                </w14:textFill>
              </w:rPr>
              <w:t>海盐县公共资源交易中心三楼（海盐县海政路333号）</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lang w:eastAsia="zh-CN"/>
                <w14:textFill>
                  <w14:solidFill>
                    <w14:schemeClr w14:val="tx1"/>
                  </w14:solidFill>
                </w14:textFill>
              </w:rPr>
              <w:t>讲解演示</w:t>
            </w:r>
            <w:r>
              <w:rPr>
                <w:rFonts w:hint="eastAsia" w:ascii="宋体" w:hAnsi="宋体" w:cs="宋体"/>
                <w:b/>
                <w:bCs/>
                <w:color w:val="000000" w:themeColor="text1"/>
                <w:sz w:val="24"/>
                <w:highlight w:val="none"/>
                <w:lang w:val="en-US" w:eastAsia="zh-CN"/>
                <w14:textFill>
                  <w14:solidFill>
                    <w14:schemeClr w14:val="tx1"/>
                  </w14:solidFill>
                </w14:textFill>
              </w:rPr>
              <w:t>所需电脑</w:t>
            </w:r>
            <w:r>
              <w:rPr>
                <w:rFonts w:hint="eastAsia" w:ascii="宋体" w:hAnsi="宋体" w:cs="宋体"/>
                <w:b/>
                <w:bCs/>
                <w:color w:val="000000" w:themeColor="text1"/>
                <w:sz w:val="24"/>
                <w:highlight w:val="none"/>
                <w:lang w:eastAsia="zh-CN"/>
                <w14:textFill>
                  <w14:solidFill>
                    <w14:schemeClr w14:val="tx1"/>
                  </w14:solidFill>
                </w14:textFill>
              </w:rPr>
              <w:t>由投标人自备。</w:t>
            </w:r>
            <w:r>
              <w:rPr>
                <w:rFonts w:hint="eastAsia" w:ascii="宋体" w:hAnsi="宋体" w:cs="宋体"/>
                <w:color w:val="000000" w:themeColor="text1"/>
                <w:sz w:val="24"/>
                <w:highlight w:val="none"/>
                <w:lang w:eastAsia="zh-CN"/>
                <w14:textFill>
                  <w14:solidFill>
                    <w14:schemeClr w14:val="tx1"/>
                  </w14:solidFill>
                </w14:textFill>
              </w:rPr>
              <w:t>现场讲解演示人员进场时提供讲解人员名单（加盖公章或授权代表签名）及身份证明，否则不得讲解演示。</w:t>
            </w:r>
          </w:p>
          <w:p w14:paraId="1954191D">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注：因</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自身原因导致无法演示或者演示效果不理想的，责任自负。因平台原因导致本项目方案讲解演示环节无法顺利开展，按照《浙江省政府采购项目电子交易管理暂行办法》相关规定执行。</w:t>
            </w:r>
          </w:p>
        </w:tc>
      </w:tr>
      <w:tr w14:paraId="273D6F8E">
        <w:tblPrEx>
          <w:tblCellMar>
            <w:top w:w="0" w:type="dxa"/>
            <w:left w:w="108" w:type="dxa"/>
            <w:bottom w:w="0" w:type="dxa"/>
            <w:right w:w="108" w:type="dxa"/>
          </w:tblCellMar>
        </w:tblPrEx>
        <w:trPr>
          <w:trHeight w:val="778" w:hRule="atLeast"/>
        </w:trPr>
        <w:tc>
          <w:tcPr>
            <w:tcW w:w="748" w:type="dxa"/>
            <w:tcBorders>
              <w:top w:val="single" w:color="auto" w:sz="4" w:space="0"/>
              <w:left w:val="single" w:color="auto" w:sz="4" w:space="0"/>
              <w:bottom w:val="single" w:color="auto" w:sz="4" w:space="0"/>
              <w:right w:val="single" w:color="auto" w:sz="4" w:space="0"/>
            </w:tcBorders>
            <w:vAlign w:val="center"/>
          </w:tcPr>
          <w:p w14:paraId="26670CD7">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8468" w:type="dxa"/>
            <w:tcBorders>
              <w:top w:val="single" w:color="auto" w:sz="4" w:space="0"/>
              <w:left w:val="nil"/>
              <w:bottom w:val="single" w:color="auto" w:sz="4" w:space="0"/>
              <w:right w:val="single" w:color="auto" w:sz="4" w:space="0"/>
            </w:tcBorders>
            <w:vAlign w:val="center"/>
          </w:tcPr>
          <w:p w14:paraId="5766F0C6">
            <w:pPr>
              <w:pStyle w:val="24"/>
              <w:keepNext w:val="0"/>
              <w:keepLines w:val="0"/>
              <w:pageBreakBefore w:val="0"/>
              <w:widowControl w:val="0"/>
              <w:kinsoku/>
              <w:overflowPunct w:val="0"/>
              <w:topLinePunct/>
              <w:autoSpaceDE w:val="0"/>
              <w:autoSpaceDN w:val="0"/>
              <w:bidi w:val="0"/>
              <w:adjustRightInd/>
              <w:spacing w:before="0" w:beforeAutospacing="0" w:after="0" w:afterAutospacing="0" w:line="400" w:lineRule="exact"/>
              <w:ind w:right="0" w:rightChars="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现场踏勘：投标人可</w:t>
            </w:r>
            <w:r>
              <w:rPr>
                <w:rFonts w:hint="eastAsia" w:ascii="宋体" w:hAnsi="宋体" w:eastAsia="宋体" w:cs="宋体"/>
                <w:color w:val="000000" w:themeColor="text1"/>
                <w:sz w:val="24"/>
                <w:szCs w:val="24"/>
                <w:highlight w:val="none"/>
                <w:lang w:eastAsia="zh-CN"/>
                <w14:textFill>
                  <w14:solidFill>
                    <w14:schemeClr w14:val="tx1"/>
                  </w14:solidFill>
                </w14:textFill>
              </w:rPr>
              <w:t>自行联系采购人</w:t>
            </w:r>
            <w:r>
              <w:rPr>
                <w:rFonts w:hint="eastAsia" w:ascii="宋体" w:hAnsi="宋体" w:eastAsia="宋体" w:cs="宋体"/>
                <w:color w:val="000000" w:themeColor="text1"/>
                <w:sz w:val="24"/>
                <w:szCs w:val="24"/>
                <w:highlight w:val="none"/>
                <w14:textFill>
                  <w14:solidFill>
                    <w14:schemeClr w14:val="tx1"/>
                  </w14:solidFill>
                </w14:textFill>
              </w:rPr>
              <w:t>对本次采购项目实施现场进行现场踏勘，</w:t>
            </w:r>
            <w:r>
              <w:rPr>
                <w:rFonts w:hint="eastAsia" w:ascii="宋体" w:hAnsi="宋体" w:eastAsia="宋体" w:cs="宋体"/>
                <w:color w:val="000000" w:themeColor="text1"/>
                <w:sz w:val="24"/>
                <w:szCs w:val="24"/>
                <w:highlight w:val="none"/>
                <w:lang w:eastAsia="zh-CN"/>
                <w14:textFill>
                  <w14:solidFill>
                    <w14:schemeClr w14:val="tx1"/>
                  </w14:solidFill>
                </w14:textFill>
              </w:rPr>
              <w:t>踏勘时</w:t>
            </w:r>
            <w:r>
              <w:rPr>
                <w:rFonts w:hint="eastAsia" w:ascii="宋体" w:hAnsi="宋体" w:eastAsia="宋体" w:cs="宋体"/>
                <w:color w:val="000000" w:themeColor="text1"/>
                <w:sz w:val="24"/>
                <w:szCs w:val="24"/>
                <w:highlight w:val="none"/>
                <w14:textFill>
                  <w14:solidFill>
                    <w14:schemeClr w14:val="tx1"/>
                  </w14:solidFill>
                </w14:textFill>
              </w:rPr>
              <w:t>应携带企业法人营业执照复印件（加盖单位公章）、法定代表人身份证或法定代表人委托书、委托代理人身份证。</w:t>
            </w:r>
          </w:p>
          <w:p w14:paraId="2880FC30">
            <w:pPr>
              <w:pStyle w:val="24"/>
              <w:keepNext w:val="0"/>
              <w:keepLines w:val="0"/>
              <w:pageBreakBefore w:val="0"/>
              <w:widowControl w:val="0"/>
              <w:kinsoku/>
              <w:overflowPunct w:val="0"/>
              <w:topLinePunct/>
              <w:autoSpaceDE w:val="0"/>
              <w:autoSpaceDN w:val="0"/>
              <w:bidi w:val="0"/>
              <w:adjustRightInd/>
              <w:spacing w:before="0" w:beforeAutospacing="0" w:after="0" w:afterAutospacing="0" w:line="400" w:lineRule="exact"/>
              <w:ind w:right="0" w:rightChars="0"/>
              <w:jc w:val="left"/>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r>
              <w:rPr>
                <w:rFonts w:hint="eastAsia" w:eastAsia="宋体" w:cs="宋体"/>
                <w:color w:val="000000" w:themeColor="text1"/>
                <w:sz w:val="24"/>
                <w:szCs w:val="24"/>
                <w:highlight w:val="none"/>
                <w:lang w:val="en-US" w:eastAsia="zh-CN"/>
                <w14:textFill>
                  <w14:solidFill>
                    <w14:schemeClr w14:val="tx1"/>
                  </w14:solidFill>
                </w14:textFill>
              </w:rPr>
              <w:t>黄先生</w:t>
            </w: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r>
              <w:rPr>
                <w:rFonts w:hint="eastAsia" w:eastAsia="宋体" w:cs="宋体"/>
                <w:color w:val="000000" w:themeColor="text1"/>
                <w:sz w:val="24"/>
                <w:szCs w:val="24"/>
                <w:highlight w:val="none"/>
                <w:lang w:val="en-US" w:eastAsia="zh-CN"/>
                <w14:textFill>
                  <w14:solidFill>
                    <w14:schemeClr w14:val="tx1"/>
                  </w14:solidFill>
                </w14:textFill>
              </w:rPr>
              <w:t>：0573-86153072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r>
      <w:tr w14:paraId="575D1182">
        <w:tblPrEx>
          <w:tblCellMar>
            <w:top w:w="0" w:type="dxa"/>
            <w:left w:w="108" w:type="dxa"/>
            <w:bottom w:w="0" w:type="dxa"/>
            <w:right w:w="108" w:type="dxa"/>
          </w:tblCellMar>
        </w:tblPrEx>
        <w:trPr>
          <w:trHeight w:val="254" w:hRule="atLeast"/>
        </w:trPr>
        <w:tc>
          <w:tcPr>
            <w:tcW w:w="748" w:type="dxa"/>
            <w:tcBorders>
              <w:top w:val="single" w:color="auto" w:sz="4" w:space="0"/>
              <w:left w:val="single" w:color="auto" w:sz="4" w:space="0"/>
              <w:bottom w:val="single" w:color="auto" w:sz="4" w:space="0"/>
              <w:right w:val="single" w:color="auto" w:sz="4" w:space="0"/>
            </w:tcBorders>
            <w:vAlign w:val="center"/>
          </w:tcPr>
          <w:p w14:paraId="2303252A">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8468" w:type="dxa"/>
            <w:tcBorders>
              <w:top w:val="single" w:color="auto" w:sz="4" w:space="0"/>
              <w:left w:val="nil"/>
              <w:bottom w:val="single" w:color="auto" w:sz="4" w:space="0"/>
              <w:right w:val="single" w:color="auto" w:sz="4" w:space="0"/>
            </w:tcBorders>
            <w:vAlign w:val="center"/>
          </w:tcPr>
          <w:p w14:paraId="3ADD9F1C">
            <w:pPr>
              <w:pStyle w:val="24"/>
              <w:keepNext w:val="0"/>
              <w:keepLines w:val="0"/>
              <w:pageBreakBefore w:val="0"/>
              <w:widowControl w:val="0"/>
              <w:kinsoku/>
              <w:overflowPunct w:val="0"/>
              <w:topLinePunct/>
              <w:autoSpaceDE w:val="0"/>
              <w:autoSpaceDN w:val="0"/>
              <w:bidi w:val="0"/>
              <w:adjustRightInd/>
              <w:spacing w:before="0" w:beforeAutospacing="0" w:after="0" w:afterAutospacing="0" w:line="400" w:lineRule="exact"/>
              <w:ind w:right="0" w:rightChars="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投标报价及费用：</w:t>
            </w:r>
          </w:p>
          <w:p w14:paraId="39DF5325">
            <w:pPr>
              <w:pStyle w:val="24"/>
              <w:keepNext w:val="0"/>
              <w:keepLines w:val="0"/>
              <w:pageBreakBefore w:val="0"/>
              <w:widowControl w:val="0"/>
              <w:kinsoku/>
              <w:overflowPunct w:val="0"/>
              <w:topLinePunct/>
              <w:autoSpaceDE w:val="0"/>
              <w:autoSpaceDN w:val="0"/>
              <w:bidi w:val="0"/>
              <w:adjustRightInd/>
              <w:spacing w:before="0" w:beforeAutospacing="0" w:after="0" w:afterAutospacing="0" w:line="400" w:lineRule="exact"/>
              <w:ind w:right="0" w:rightChars="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1.本项目投标应以人民币报价；</w:t>
            </w:r>
          </w:p>
          <w:p w14:paraId="36AAE77B">
            <w:pPr>
              <w:pStyle w:val="24"/>
              <w:keepNext w:val="0"/>
              <w:keepLines w:val="0"/>
              <w:pageBreakBefore w:val="0"/>
              <w:widowControl w:val="0"/>
              <w:kinsoku/>
              <w:overflowPunct w:val="0"/>
              <w:topLinePunct/>
              <w:autoSpaceDE w:val="0"/>
              <w:autoSpaceDN w:val="0"/>
              <w:bidi w:val="0"/>
              <w:adjustRightInd/>
              <w:spacing w:before="0" w:beforeAutospacing="0" w:after="0" w:afterAutospacing="0" w:line="400" w:lineRule="exact"/>
              <w:ind w:right="0" w:rightChars="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2.不论投标结果如何，投标人均应自行承担所有与投标有关的全部费用。</w:t>
            </w:r>
          </w:p>
        </w:tc>
      </w:tr>
      <w:tr w14:paraId="1D0F388F">
        <w:tblPrEx>
          <w:tblCellMar>
            <w:top w:w="0" w:type="dxa"/>
            <w:left w:w="108" w:type="dxa"/>
            <w:bottom w:w="0" w:type="dxa"/>
            <w:right w:w="108" w:type="dxa"/>
          </w:tblCellMar>
        </w:tblPrEx>
        <w:trPr>
          <w:trHeight w:val="90" w:hRule="atLeast"/>
        </w:trPr>
        <w:tc>
          <w:tcPr>
            <w:tcW w:w="748" w:type="dxa"/>
            <w:tcBorders>
              <w:top w:val="single" w:color="auto" w:sz="4" w:space="0"/>
              <w:left w:val="single" w:color="auto" w:sz="4" w:space="0"/>
              <w:bottom w:val="single" w:color="auto" w:sz="4" w:space="0"/>
              <w:right w:val="single" w:color="auto" w:sz="4" w:space="0"/>
            </w:tcBorders>
            <w:vAlign w:val="center"/>
          </w:tcPr>
          <w:p w14:paraId="248BB2F5">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8468" w:type="dxa"/>
            <w:tcBorders>
              <w:top w:val="single" w:color="auto" w:sz="4" w:space="0"/>
              <w:left w:val="nil"/>
              <w:bottom w:val="single" w:color="auto" w:sz="4" w:space="0"/>
              <w:right w:val="single" w:color="auto" w:sz="4" w:space="0"/>
            </w:tcBorders>
            <w:vAlign w:val="center"/>
          </w:tcPr>
          <w:p w14:paraId="4D878CBB">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textAlignment w:val="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投标保证金：无。</w:t>
            </w:r>
          </w:p>
        </w:tc>
      </w:tr>
      <w:tr w14:paraId="1F998F1A">
        <w:tblPrEx>
          <w:tblCellMar>
            <w:top w:w="0" w:type="dxa"/>
            <w:left w:w="108" w:type="dxa"/>
            <w:bottom w:w="0" w:type="dxa"/>
            <w:right w:w="108" w:type="dxa"/>
          </w:tblCellMar>
        </w:tblPrEx>
        <w:trPr>
          <w:trHeight w:val="244" w:hRule="atLeast"/>
        </w:trPr>
        <w:tc>
          <w:tcPr>
            <w:tcW w:w="748" w:type="dxa"/>
            <w:tcBorders>
              <w:top w:val="single" w:color="auto" w:sz="4" w:space="0"/>
              <w:left w:val="single" w:color="auto" w:sz="4" w:space="0"/>
              <w:bottom w:val="single" w:color="auto" w:sz="4" w:space="0"/>
              <w:right w:val="single" w:color="auto" w:sz="4" w:space="0"/>
            </w:tcBorders>
            <w:vAlign w:val="center"/>
          </w:tcPr>
          <w:p w14:paraId="7B259BD1">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8</w:t>
            </w:r>
          </w:p>
        </w:tc>
        <w:tc>
          <w:tcPr>
            <w:tcW w:w="8468" w:type="dxa"/>
            <w:tcBorders>
              <w:top w:val="single" w:color="auto" w:sz="4" w:space="0"/>
              <w:left w:val="nil"/>
              <w:bottom w:val="single" w:color="auto" w:sz="4" w:space="0"/>
              <w:right w:val="single" w:color="auto" w:sz="4" w:space="0"/>
            </w:tcBorders>
            <w:vAlign w:val="center"/>
          </w:tcPr>
          <w:p w14:paraId="638F8FCD">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答疑与澄清：投标人应认真阅读本</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，发现其中有误或有不合理要求的，投标人必须在知道或者应当知道之日起七个工作日内以书面形式向招标人一次性提出。采购代理机构对已发出的</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进行必要澄清、答复、修改或补充的，应当在</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要求提交投标文件截止时间十五日前，在浙江政府采购网(</w:t>
            </w:r>
            <w:r>
              <w:rPr>
                <w:rFonts w:hint="eastAsia" w:ascii="宋体" w:hAnsi="宋体" w:eastAsia="宋体" w:cs="宋体"/>
                <w:color w:val="000000" w:themeColor="text1"/>
                <w:sz w:val="24"/>
                <w:szCs w:val="24"/>
                <w:highlight w:val="none"/>
                <w:lang w:eastAsia="zh-CN"/>
                <w14:textFill>
                  <w14:solidFill>
                    <w14:schemeClr w14:val="tx1"/>
                  </w14:solidFill>
                </w14:textFill>
              </w:rPr>
              <w:t>https://zfcg.czt.zj.gov.cn/</w:t>
            </w:r>
            <w:r>
              <w:rPr>
                <w:rFonts w:hint="eastAsia" w:ascii="宋体" w:hAnsi="宋体" w:eastAsia="宋体" w:cs="宋体"/>
                <w:color w:val="000000" w:themeColor="text1"/>
                <w:sz w:val="24"/>
                <w:szCs w:val="24"/>
                <w:highlight w:val="none"/>
                <w14:textFill>
                  <w14:solidFill>
                    <w14:schemeClr w14:val="tx1"/>
                  </w14:solidFill>
                </w14:textFill>
              </w:rPr>
              <w:t>)上发布更正公告，请投标人在投标截止前及时关注。</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的要澄清、答复、修改或补充，一经在上述媒体发布，即视所有投标人都已经收到相关文件。</w:t>
            </w:r>
          </w:p>
        </w:tc>
      </w:tr>
      <w:tr w14:paraId="7A03B299">
        <w:tblPrEx>
          <w:tblCellMar>
            <w:top w:w="0" w:type="dxa"/>
            <w:left w:w="108" w:type="dxa"/>
            <w:bottom w:w="0" w:type="dxa"/>
            <w:right w:w="108" w:type="dxa"/>
          </w:tblCellMar>
        </w:tblPrEx>
        <w:trPr>
          <w:trHeight w:val="586" w:hRule="atLeast"/>
        </w:trPr>
        <w:tc>
          <w:tcPr>
            <w:tcW w:w="748" w:type="dxa"/>
            <w:tcBorders>
              <w:top w:val="single" w:color="auto" w:sz="4" w:space="0"/>
              <w:left w:val="single" w:color="auto" w:sz="4" w:space="0"/>
              <w:bottom w:val="single" w:color="auto" w:sz="4" w:space="0"/>
              <w:right w:val="single" w:color="auto" w:sz="4" w:space="0"/>
            </w:tcBorders>
            <w:vAlign w:val="center"/>
          </w:tcPr>
          <w:p w14:paraId="17A6E60D">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8468" w:type="dxa"/>
            <w:tcBorders>
              <w:top w:val="single" w:color="auto" w:sz="4" w:space="0"/>
              <w:left w:val="nil"/>
              <w:bottom w:val="single" w:color="auto" w:sz="4" w:space="0"/>
              <w:right w:val="single" w:color="auto" w:sz="4" w:space="0"/>
            </w:tcBorders>
            <w:vAlign w:val="center"/>
          </w:tcPr>
          <w:p w14:paraId="169B10F4">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outlineLvl w:val="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采购公告发布后，在政采云平台已完成注册的供应商登</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录</w:t>
            </w:r>
            <w:r>
              <w:rPr>
                <w:rFonts w:hint="eastAsia" w:ascii="宋体" w:hAnsi="宋体" w:eastAsia="宋体" w:cs="宋体"/>
                <w:bCs/>
                <w:color w:val="000000" w:themeColor="text1"/>
                <w:sz w:val="24"/>
                <w:szCs w:val="24"/>
                <w:highlight w:val="none"/>
                <w14:textFill>
                  <w14:solidFill>
                    <w14:schemeClr w14:val="tx1"/>
                  </w14:solidFill>
                </w14:textFill>
              </w:rPr>
              <w:t>系统，申请获取采购文件，待审核通过后，可下载采购文件。如果“已申请”标签页显示状态为“审核通过”即为报名成功。</w:t>
            </w:r>
          </w:p>
          <w:p w14:paraId="029BF9E9">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outlineLvl w:val="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路径：用户中心——项目采购——获取采购文件管理。</w:t>
            </w:r>
          </w:p>
          <w:p w14:paraId="55FD95AD">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outlineLvl w:val="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在“已获取”的状态下，供应商可下载查看</w:t>
            </w:r>
            <w:r>
              <w:rPr>
                <w:rFonts w:hint="eastAsia" w:ascii="宋体" w:hAnsi="宋体" w:eastAsia="宋体" w:cs="宋体"/>
                <w:bCs/>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bCs/>
                <w:color w:val="000000" w:themeColor="text1"/>
                <w:sz w:val="24"/>
                <w:szCs w:val="24"/>
                <w:highlight w:val="none"/>
                <w14:textFill>
                  <w14:solidFill>
                    <w14:schemeClr w14:val="tx1"/>
                  </w14:solidFill>
                </w14:textFill>
              </w:rPr>
              <w:t>。</w:t>
            </w:r>
          </w:p>
          <w:p w14:paraId="36669D8B">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获取采购文件网址：浙江政府采购网</w:t>
            </w:r>
            <w:r>
              <w:rPr>
                <w:rFonts w:hint="eastAsia" w:ascii="宋体" w:hAnsi="宋体" w:eastAsia="宋体" w:cs="宋体"/>
                <w:bCs/>
                <w:color w:val="000000" w:themeColor="text1"/>
                <w:sz w:val="24"/>
                <w:szCs w:val="24"/>
                <w:highlight w:val="none"/>
                <w:lang w:eastAsia="zh-CN"/>
                <w14:textFill>
                  <w14:solidFill>
                    <w14:schemeClr w14:val="tx1"/>
                  </w14:solidFill>
                </w14:textFill>
              </w:rPr>
              <w:t>（https://zfcg.czt.zj.gov.cn/）</w:t>
            </w:r>
          </w:p>
        </w:tc>
      </w:tr>
      <w:tr w14:paraId="569ECCBE">
        <w:tblPrEx>
          <w:tblCellMar>
            <w:top w:w="0" w:type="dxa"/>
            <w:left w:w="108" w:type="dxa"/>
            <w:bottom w:w="0" w:type="dxa"/>
            <w:right w:w="108" w:type="dxa"/>
          </w:tblCellMar>
        </w:tblPrEx>
        <w:trPr>
          <w:trHeight w:val="204" w:hRule="atLeast"/>
        </w:trPr>
        <w:tc>
          <w:tcPr>
            <w:tcW w:w="748" w:type="dxa"/>
            <w:tcBorders>
              <w:top w:val="single" w:color="auto" w:sz="4" w:space="0"/>
              <w:left w:val="single" w:color="auto" w:sz="4" w:space="0"/>
              <w:bottom w:val="single" w:color="auto" w:sz="4" w:space="0"/>
              <w:right w:val="single" w:color="auto" w:sz="4" w:space="0"/>
            </w:tcBorders>
            <w:vAlign w:val="center"/>
          </w:tcPr>
          <w:p w14:paraId="349E2A29">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8468" w:type="dxa"/>
            <w:tcBorders>
              <w:top w:val="single" w:color="auto" w:sz="4" w:space="0"/>
              <w:left w:val="nil"/>
              <w:bottom w:val="single" w:color="auto" w:sz="4" w:space="0"/>
              <w:right w:val="single" w:color="auto" w:sz="4" w:space="0"/>
            </w:tcBorders>
            <w:vAlign w:val="center"/>
          </w:tcPr>
          <w:p w14:paraId="671B64F8">
            <w:pPr>
              <w:keepNext w:val="0"/>
              <w:keepLines w:val="0"/>
              <w:pageBreakBefore w:val="0"/>
              <w:widowControl w:val="0"/>
              <w:kinsoku/>
              <w:wordWrap w:val="0"/>
              <w:overflowPunct w:val="0"/>
              <w:topLinePunct w:val="0"/>
              <w:autoSpaceDE w:val="0"/>
              <w:autoSpaceDN w:val="0"/>
              <w:bidi w:val="0"/>
              <w:adjustRightInd/>
              <w:spacing w:line="400" w:lineRule="exact"/>
              <w:ind w:right="0" w:rightChars="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投标文件形式、制作及组成：</w:t>
            </w:r>
          </w:p>
          <w:p w14:paraId="5E5B3864">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投标人应准备电子加密投标文件，按政采云平台供应商项目采购-电子招投标操作指南（网址：https://service.zcygov.cn/#/knowledges/CW1EtGwBFdiHxlNd6I3m/6IMVAG0BFdiHxlNdQ8Na?keyword）及本</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要求递交。</w:t>
            </w:r>
          </w:p>
          <w:p w14:paraId="49DB6D33">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投标文件均由资格文件、商务技术文件、报价文件组成。</w:t>
            </w:r>
          </w:p>
        </w:tc>
      </w:tr>
      <w:tr w14:paraId="0DF7111B">
        <w:tblPrEx>
          <w:tblCellMar>
            <w:top w:w="0" w:type="dxa"/>
            <w:left w:w="108" w:type="dxa"/>
            <w:bottom w:w="0" w:type="dxa"/>
            <w:right w:w="108" w:type="dxa"/>
          </w:tblCellMar>
        </w:tblPrEx>
        <w:trPr>
          <w:trHeight w:val="346" w:hRule="atLeast"/>
        </w:trPr>
        <w:tc>
          <w:tcPr>
            <w:tcW w:w="748" w:type="dxa"/>
            <w:tcBorders>
              <w:top w:val="single" w:color="auto" w:sz="4" w:space="0"/>
              <w:left w:val="single" w:color="auto" w:sz="4" w:space="0"/>
              <w:bottom w:val="single" w:color="auto" w:sz="4" w:space="0"/>
              <w:right w:val="single" w:color="auto" w:sz="4" w:space="0"/>
            </w:tcBorders>
            <w:vAlign w:val="center"/>
          </w:tcPr>
          <w:p w14:paraId="2BCC12C4">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p>
        </w:tc>
        <w:tc>
          <w:tcPr>
            <w:tcW w:w="8468" w:type="dxa"/>
            <w:tcBorders>
              <w:top w:val="single" w:color="auto" w:sz="4" w:space="0"/>
              <w:left w:val="nil"/>
              <w:bottom w:val="single" w:color="auto" w:sz="4" w:space="0"/>
              <w:right w:val="single" w:color="auto" w:sz="4" w:space="0"/>
            </w:tcBorders>
            <w:vAlign w:val="center"/>
          </w:tcPr>
          <w:p w14:paraId="544408C5">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投标截止时间：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2026年4月30日09:00</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eastAsia="zh-CN"/>
                <w14:textFill>
                  <w14:solidFill>
                    <w14:schemeClr w14:val="tx1"/>
                  </w14:solidFill>
                </w14:textFill>
              </w:rPr>
              <w:t>（北京时间）</w:t>
            </w:r>
          </w:p>
          <w:p w14:paraId="103044A5">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投标地点：</w:t>
            </w:r>
            <w:r>
              <w:rPr>
                <w:rFonts w:hint="eastAsia" w:ascii="宋体" w:hAnsi="宋体" w:eastAsia="宋体" w:cs="宋体"/>
                <w:color w:val="000000" w:themeColor="text1"/>
                <w:sz w:val="24"/>
                <w:szCs w:val="24"/>
                <w:highlight w:val="none"/>
                <w:u w:val="none"/>
                <w14:textFill>
                  <w14:solidFill>
                    <w14:schemeClr w14:val="tx1"/>
                  </w14:solidFill>
                </w14:textFill>
              </w:rPr>
              <w:t>浙江政府采购网（http://zfcg.czt.zj.gov.cn/）在线投标响应</w:t>
            </w:r>
          </w:p>
        </w:tc>
      </w:tr>
      <w:tr w14:paraId="1081316A">
        <w:tblPrEx>
          <w:tblCellMar>
            <w:top w:w="0" w:type="dxa"/>
            <w:left w:w="108" w:type="dxa"/>
            <w:bottom w:w="0" w:type="dxa"/>
            <w:right w:w="108" w:type="dxa"/>
          </w:tblCellMar>
        </w:tblPrEx>
        <w:trPr>
          <w:trHeight w:val="343" w:hRule="atLeast"/>
        </w:trPr>
        <w:tc>
          <w:tcPr>
            <w:tcW w:w="748" w:type="dxa"/>
            <w:tcBorders>
              <w:top w:val="single" w:color="auto" w:sz="4" w:space="0"/>
              <w:left w:val="single" w:color="auto" w:sz="4" w:space="0"/>
              <w:bottom w:val="single" w:color="auto" w:sz="4" w:space="0"/>
              <w:right w:val="single" w:color="auto" w:sz="4" w:space="0"/>
            </w:tcBorders>
            <w:vAlign w:val="center"/>
          </w:tcPr>
          <w:p w14:paraId="2991C5B5">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outlineLvl w:val="9"/>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8468" w:type="dxa"/>
            <w:tcBorders>
              <w:top w:val="single" w:color="auto" w:sz="4" w:space="0"/>
              <w:left w:val="nil"/>
              <w:bottom w:val="single" w:color="auto" w:sz="4" w:space="0"/>
              <w:right w:val="single" w:color="auto" w:sz="4" w:space="0"/>
            </w:tcBorders>
            <w:vAlign w:val="center"/>
          </w:tcPr>
          <w:p w14:paraId="4E2B8499">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电子加密投标文件的传输递交：</w:t>
            </w:r>
            <w:r>
              <w:rPr>
                <w:rFonts w:hint="eastAsia" w:ascii="宋体" w:hAnsi="宋体" w:eastAsia="宋体" w:cs="宋体"/>
                <w:color w:val="000000" w:themeColor="text1"/>
                <w:kern w:val="0"/>
                <w:sz w:val="24"/>
                <w:szCs w:val="24"/>
                <w:highlight w:val="none"/>
                <w14:textFill>
                  <w14:solidFill>
                    <w14:schemeClr w14:val="tx1"/>
                  </w14:solidFill>
                </w14:textFill>
              </w:rPr>
              <w:t>投标人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送达的投标文件，将被拒收。</w:t>
            </w:r>
          </w:p>
        </w:tc>
      </w:tr>
      <w:tr w14:paraId="15F7ACC5">
        <w:tblPrEx>
          <w:tblCellMar>
            <w:top w:w="0" w:type="dxa"/>
            <w:left w:w="108" w:type="dxa"/>
            <w:bottom w:w="0" w:type="dxa"/>
            <w:right w:w="108" w:type="dxa"/>
          </w:tblCellMar>
        </w:tblPrEx>
        <w:trPr>
          <w:trHeight w:val="343" w:hRule="atLeast"/>
        </w:trPr>
        <w:tc>
          <w:tcPr>
            <w:tcW w:w="748" w:type="dxa"/>
            <w:tcBorders>
              <w:top w:val="single" w:color="auto" w:sz="4" w:space="0"/>
              <w:left w:val="single" w:color="auto" w:sz="4" w:space="0"/>
              <w:bottom w:val="single" w:color="auto" w:sz="4" w:space="0"/>
              <w:right w:val="single" w:color="auto" w:sz="4" w:space="0"/>
            </w:tcBorders>
            <w:vAlign w:val="center"/>
          </w:tcPr>
          <w:p w14:paraId="342B85D6">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p>
        </w:tc>
        <w:tc>
          <w:tcPr>
            <w:tcW w:w="8468" w:type="dxa"/>
            <w:tcBorders>
              <w:top w:val="single" w:color="auto" w:sz="4" w:space="0"/>
              <w:left w:val="nil"/>
              <w:bottom w:val="single" w:color="auto" w:sz="4" w:space="0"/>
              <w:right w:val="single" w:color="auto" w:sz="4" w:space="0"/>
            </w:tcBorders>
            <w:vAlign w:val="center"/>
          </w:tcPr>
          <w:p w14:paraId="5AEC21D3">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2026年4月30日09:00</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eastAsia="zh-CN"/>
                <w14:textFill>
                  <w14:solidFill>
                    <w14:schemeClr w14:val="tx1"/>
                  </w14:solidFill>
                </w14:textFill>
              </w:rPr>
              <w:t>（北京时间）</w:t>
            </w:r>
          </w:p>
          <w:p w14:paraId="210549CF">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outlineLvl w:val="9"/>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开标地点：</w:t>
            </w:r>
            <w:r>
              <w:rPr>
                <w:rFonts w:hint="eastAsia" w:ascii="宋体" w:hAnsi="宋体" w:eastAsia="宋体" w:cs="宋体"/>
                <w:color w:val="000000" w:themeColor="text1"/>
                <w:sz w:val="24"/>
                <w:szCs w:val="24"/>
                <w:highlight w:val="none"/>
                <w:lang w:eastAsia="zh-CN"/>
                <w14:textFill>
                  <w14:solidFill>
                    <w14:schemeClr w14:val="tx1"/>
                  </w14:solidFill>
                </w14:textFill>
              </w:rPr>
              <w:t>登录政采云平台</w:t>
            </w:r>
            <w:r>
              <w:rPr>
                <w:rFonts w:hint="eastAsia" w:ascii="宋体" w:hAnsi="宋体" w:eastAsia="宋体" w:cs="宋体"/>
                <w:color w:val="000000" w:themeColor="text1"/>
                <w:sz w:val="24"/>
                <w:szCs w:val="24"/>
                <w:highlight w:val="none"/>
                <w14:textFill>
                  <w14:solidFill>
                    <w14:schemeClr w14:val="tx1"/>
                  </w14:solidFill>
                </w14:textFill>
              </w:rPr>
              <w:t>https://login.zcygov.cn/</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，进入本项目开标大厅。</w:t>
            </w:r>
          </w:p>
          <w:p w14:paraId="741A4369">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outlineLvl w:val="9"/>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FFFFFF"/>
                <w:lang w:eastAsia="zh-CN"/>
                <w14:textFill>
                  <w14:solidFill>
                    <w14:schemeClr w14:val="tx1"/>
                  </w14:solidFill>
                </w14:textFill>
              </w:rPr>
              <w:t>供应商无需到</w:t>
            </w:r>
            <w:r>
              <w:rPr>
                <w:rFonts w:hint="eastAsia" w:ascii="宋体" w:hAnsi="宋体" w:eastAsia="宋体" w:cs="宋体"/>
                <w:b/>
                <w:bCs/>
                <w:color w:val="000000" w:themeColor="text1"/>
                <w:sz w:val="24"/>
                <w:szCs w:val="24"/>
                <w:highlight w:val="none"/>
                <w:shd w:val="clear" w:color="auto" w:fill="FFFFFF"/>
                <w14:textFill>
                  <w14:solidFill>
                    <w14:schemeClr w14:val="tx1"/>
                  </w14:solidFill>
                </w14:textFill>
              </w:rPr>
              <w:t>开标现场，</w:t>
            </w:r>
            <w:r>
              <w:rPr>
                <w:rFonts w:hint="eastAsia" w:ascii="宋体" w:hAnsi="宋体" w:eastAsia="宋体" w:cs="宋体"/>
                <w:b/>
                <w:bCs/>
                <w:color w:val="000000" w:themeColor="text1"/>
                <w:sz w:val="24"/>
                <w:szCs w:val="24"/>
                <w:highlight w:val="none"/>
                <w:shd w:val="clear" w:color="auto" w:fill="FFFFFF"/>
                <w:lang w:eastAsia="zh-CN"/>
                <w14:textFill>
                  <w14:solidFill>
                    <w14:schemeClr w14:val="tx1"/>
                  </w14:solidFill>
                </w14:textFill>
              </w:rPr>
              <w:t>但</w:t>
            </w:r>
            <w:r>
              <w:rPr>
                <w:rFonts w:hint="eastAsia" w:ascii="宋体" w:hAnsi="宋体" w:eastAsia="宋体" w:cs="宋体"/>
                <w:b/>
                <w:bCs/>
                <w:color w:val="000000" w:themeColor="text1"/>
                <w:sz w:val="24"/>
                <w:szCs w:val="24"/>
                <w:highlight w:val="none"/>
                <w:shd w:val="clear" w:color="auto" w:fill="FFFFFF"/>
                <w14:textFill>
                  <w14:solidFill>
                    <w14:schemeClr w14:val="tx1"/>
                  </w14:solidFill>
                </w14:textFill>
              </w:rPr>
              <w:t>须准时在线参加，直至评审结束。</w:t>
            </w:r>
          </w:p>
        </w:tc>
      </w:tr>
      <w:tr w14:paraId="732F021E">
        <w:tblPrEx>
          <w:tblCellMar>
            <w:top w:w="0" w:type="dxa"/>
            <w:left w:w="108" w:type="dxa"/>
            <w:bottom w:w="0" w:type="dxa"/>
            <w:right w:w="108" w:type="dxa"/>
          </w:tblCellMar>
        </w:tblPrEx>
        <w:trPr>
          <w:trHeight w:val="90" w:hRule="atLeast"/>
        </w:trPr>
        <w:tc>
          <w:tcPr>
            <w:tcW w:w="748" w:type="dxa"/>
            <w:tcBorders>
              <w:top w:val="single" w:color="auto" w:sz="4" w:space="0"/>
              <w:left w:val="single" w:color="auto" w:sz="4" w:space="0"/>
              <w:bottom w:val="single" w:color="auto" w:sz="4" w:space="0"/>
              <w:right w:val="single" w:color="auto" w:sz="4" w:space="0"/>
            </w:tcBorders>
            <w:vAlign w:val="center"/>
          </w:tcPr>
          <w:p w14:paraId="22BFA1C1">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8468" w:type="dxa"/>
            <w:tcBorders>
              <w:top w:val="single" w:color="auto" w:sz="4" w:space="0"/>
              <w:left w:val="nil"/>
              <w:bottom w:val="single" w:color="auto" w:sz="4" w:space="0"/>
              <w:right w:val="single" w:color="auto" w:sz="4" w:space="0"/>
            </w:tcBorders>
            <w:vAlign w:val="center"/>
          </w:tcPr>
          <w:p w14:paraId="5BFC464F">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评标办法及评分标准：详见第四章。</w:t>
            </w:r>
          </w:p>
        </w:tc>
      </w:tr>
      <w:tr w14:paraId="4FB9F988">
        <w:tblPrEx>
          <w:tblCellMar>
            <w:top w:w="0" w:type="dxa"/>
            <w:left w:w="108" w:type="dxa"/>
            <w:bottom w:w="0" w:type="dxa"/>
            <w:right w:w="108" w:type="dxa"/>
          </w:tblCellMar>
        </w:tblPrEx>
        <w:trPr>
          <w:trHeight w:val="90" w:hRule="atLeast"/>
        </w:trPr>
        <w:tc>
          <w:tcPr>
            <w:tcW w:w="748" w:type="dxa"/>
            <w:tcBorders>
              <w:top w:val="single" w:color="auto" w:sz="4" w:space="0"/>
              <w:left w:val="single" w:color="auto" w:sz="4" w:space="0"/>
              <w:bottom w:val="single" w:color="auto" w:sz="4" w:space="0"/>
              <w:right w:val="single" w:color="auto" w:sz="4" w:space="0"/>
            </w:tcBorders>
            <w:vAlign w:val="center"/>
          </w:tcPr>
          <w:p w14:paraId="3DC936FA">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p>
        </w:tc>
        <w:tc>
          <w:tcPr>
            <w:tcW w:w="8468" w:type="dxa"/>
            <w:tcBorders>
              <w:top w:val="single" w:color="auto" w:sz="4" w:space="0"/>
              <w:left w:val="nil"/>
              <w:bottom w:val="single" w:color="auto" w:sz="4" w:space="0"/>
              <w:right w:val="single" w:color="auto" w:sz="4" w:space="0"/>
            </w:tcBorders>
            <w:vAlign w:val="center"/>
          </w:tcPr>
          <w:p w14:paraId="5F1F4E56">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textAlignment w:val="bottom"/>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中标公告及中标通知书：中标、成交供应商确定之日起2个工作日内，中标公告发布于浙江省政府采购网(</w:t>
            </w:r>
            <w:r>
              <w:rPr>
                <w:rFonts w:hint="eastAsia" w:ascii="宋体" w:hAnsi="宋体" w:eastAsia="宋体" w:cs="宋体"/>
                <w:color w:val="000000" w:themeColor="text1"/>
                <w:sz w:val="24"/>
                <w:szCs w:val="24"/>
                <w:highlight w:val="none"/>
                <w:lang w:eastAsia="zh-CN"/>
                <w14:textFill>
                  <w14:solidFill>
                    <w14:schemeClr w14:val="tx1"/>
                  </w14:solidFill>
                </w14:textFill>
              </w:rPr>
              <w:t>http://zfcg.czt.zj.gov.cn/</w:t>
            </w:r>
            <w:r>
              <w:rPr>
                <w:rFonts w:hint="eastAsia" w:ascii="宋体" w:hAnsi="宋体" w:eastAsia="宋体" w:cs="宋体"/>
                <w:color w:val="000000" w:themeColor="text1"/>
                <w:sz w:val="24"/>
                <w:szCs w:val="24"/>
                <w:highlight w:val="none"/>
                <w14:textFill>
                  <w14:solidFill>
                    <w14:schemeClr w14:val="tx1"/>
                  </w14:solidFill>
                </w14:textFill>
              </w:rPr>
              <w:t>)等网站或媒体，公告期限为1个工作日。各参加政府采购活动的供应商认为该中标结果和采购过程等使自己的权益受到损害的，可以自本公告期限届满之日（本公告发布之日后第2个工作日）起7个工作日内，以书面形式向采购人或受其委托的</w:t>
            </w:r>
            <w:r>
              <w:rPr>
                <w:rFonts w:hint="eastAsia" w:ascii="宋体" w:hAnsi="宋体" w:eastAsia="宋体" w:cs="宋体"/>
                <w:color w:val="000000" w:themeColor="text1"/>
                <w:sz w:val="24"/>
                <w:szCs w:val="24"/>
                <w:highlight w:val="none"/>
                <w:lang w:eastAsia="zh-CN"/>
                <w14:textFill>
                  <w14:solidFill>
                    <w14:schemeClr w14:val="tx1"/>
                  </w14:solidFill>
                </w14:textFill>
              </w:rPr>
              <w:t>采购代理机构</w:t>
            </w:r>
            <w:r>
              <w:rPr>
                <w:rFonts w:hint="eastAsia" w:ascii="宋体" w:hAnsi="宋体" w:eastAsia="宋体" w:cs="宋体"/>
                <w:color w:val="000000" w:themeColor="text1"/>
                <w:sz w:val="24"/>
                <w:szCs w:val="24"/>
                <w:highlight w:val="none"/>
                <w14:textFill>
                  <w14:solidFill>
                    <w14:schemeClr w14:val="tx1"/>
                  </w14:solidFill>
                </w14:textFill>
              </w:rPr>
              <w:t>提出质疑。质疑供应商对采购人、</w:t>
            </w:r>
            <w:r>
              <w:rPr>
                <w:rFonts w:hint="eastAsia" w:ascii="宋体" w:hAnsi="宋体" w:eastAsia="宋体" w:cs="宋体"/>
                <w:color w:val="000000" w:themeColor="text1"/>
                <w:sz w:val="24"/>
                <w:szCs w:val="24"/>
                <w:highlight w:val="none"/>
                <w:lang w:eastAsia="zh-CN"/>
                <w14:textFill>
                  <w14:solidFill>
                    <w14:schemeClr w14:val="tx1"/>
                  </w14:solidFill>
                </w14:textFill>
              </w:rPr>
              <w:t>采购代理机构</w:t>
            </w:r>
            <w:r>
              <w:rPr>
                <w:rFonts w:hint="eastAsia" w:ascii="宋体" w:hAnsi="宋体" w:eastAsia="宋体" w:cs="宋体"/>
                <w:color w:val="000000" w:themeColor="text1"/>
                <w:sz w:val="24"/>
                <w:szCs w:val="24"/>
                <w:highlight w:val="none"/>
                <w14:textFill>
                  <w14:solidFill>
                    <w14:schemeClr w14:val="tx1"/>
                  </w14:solidFill>
                </w14:textFill>
              </w:rPr>
              <w:t>的答复不满意或者采购人、</w:t>
            </w:r>
            <w:r>
              <w:rPr>
                <w:rFonts w:hint="eastAsia" w:ascii="宋体" w:hAnsi="宋体" w:eastAsia="宋体" w:cs="宋体"/>
                <w:color w:val="000000" w:themeColor="text1"/>
                <w:sz w:val="24"/>
                <w:szCs w:val="24"/>
                <w:highlight w:val="none"/>
                <w:lang w:eastAsia="zh-CN"/>
                <w14:textFill>
                  <w14:solidFill>
                    <w14:schemeClr w14:val="tx1"/>
                  </w14:solidFill>
                </w14:textFill>
              </w:rPr>
              <w:t>采购代理机构</w:t>
            </w:r>
            <w:r>
              <w:rPr>
                <w:rFonts w:hint="eastAsia" w:ascii="宋体" w:hAnsi="宋体" w:eastAsia="宋体" w:cs="宋体"/>
                <w:color w:val="000000" w:themeColor="text1"/>
                <w:sz w:val="24"/>
                <w:szCs w:val="24"/>
                <w:highlight w:val="none"/>
                <w14:textFill>
                  <w14:solidFill>
                    <w14:schemeClr w14:val="tx1"/>
                  </w14:solidFill>
                </w14:textFill>
              </w:rPr>
              <w:t>未在规定的时间内作出答复的，可以</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t>答复期满后十五个工作日内向同级政府采购监督管理部门投诉。质疑函范本、投诉书范本请到浙江政府采购网下载专区下载。</w:t>
            </w:r>
          </w:p>
        </w:tc>
      </w:tr>
      <w:tr w14:paraId="26739B3E">
        <w:tblPrEx>
          <w:tblCellMar>
            <w:top w:w="0" w:type="dxa"/>
            <w:left w:w="108" w:type="dxa"/>
            <w:bottom w:w="0" w:type="dxa"/>
            <w:right w:w="108" w:type="dxa"/>
          </w:tblCellMar>
        </w:tblPrEx>
        <w:trPr>
          <w:trHeight w:val="209" w:hRule="atLeast"/>
        </w:trPr>
        <w:tc>
          <w:tcPr>
            <w:tcW w:w="748" w:type="dxa"/>
            <w:tcBorders>
              <w:top w:val="single" w:color="auto" w:sz="4" w:space="0"/>
              <w:left w:val="single" w:color="auto" w:sz="4" w:space="0"/>
              <w:bottom w:val="single" w:color="auto" w:sz="4" w:space="0"/>
              <w:right w:val="single" w:color="auto" w:sz="4" w:space="0"/>
            </w:tcBorders>
            <w:vAlign w:val="center"/>
          </w:tcPr>
          <w:p w14:paraId="3C1E773B">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16</w:t>
            </w:r>
          </w:p>
        </w:tc>
        <w:tc>
          <w:tcPr>
            <w:tcW w:w="8468" w:type="dxa"/>
            <w:tcBorders>
              <w:top w:val="single" w:color="auto" w:sz="4" w:space="0"/>
              <w:left w:val="nil"/>
              <w:bottom w:val="single" w:color="auto" w:sz="4" w:space="0"/>
              <w:right w:val="single" w:color="auto" w:sz="4" w:space="0"/>
            </w:tcBorders>
            <w:vAlign w:val="center"/>
          </w:tcPr>
          <w:p w14:paraId="73536D00">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textAlignment w:val="auto"/>
              <w:outlineLvl w:val="9"/>
              <w:rPr>
                <w:rFonts w:hint="default"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▲合同履约期限：</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合同签订之日起1年</w:t>
            </w:r>
            <w:r>
              <w:rPr>
                <w:rFonts w:hint="eastAsia" w:eastAsia="宋体" w:cs="宋体"/>
                <w:color w:val="000000" w:themeColor="text1"/>
                <w:sz w:val="24"/>
                <w:szCs w:val="24"/>
                <w:highlight w:val="none"/>
                <w:lang w:eastAsia="zh-CN"/>
                <w14:textFill>
                  <w14:solidFill>
                    <w14:schemeClr w14:val="tx1"/>
                  </w14:solidFill>
                </w14:textFill>
              </w:rPr>
              <w:t>。</w:t>
            </w:r>
          </w:p>
        </w:tc>
      </w:tr>
      <w:tr w14:paraId="2E8DDC6F">
        <w:tblPrEx>
          <w:tblCellMar>
            <w:top w:w="0" w:type="dxa"/>
            <w:left w:w="108" w:type="dxa"/>
            <w:bottom w:w="0" w:type="dxa"/>
            <w:right w:w="108" w:type="dxa"/>
          </w:tblCellMar>
        </w:tblPrEx>
        <w:trPr>
          <w:trHeight w:val="70" w:hRule="atLeast"/>
        </w:trPr>
        <w:tc>
          <w:tcPr>
            <w:tcW w:w="748" w:type="dxa"/>
            <w:tcBorders>
              <w:top w:val="single" w:color="auto" w:sz="4" w:space="0"/>
              <w:left w:val="single" w:color="auto" w:sz="4" w:space="0"/>
              <w:bottom w:val="single" w:color="auto" w:sz="4" w:space="0"/>
              <w:right w:val="single" w:color="auto" w:sz="4" w:space="0"/>
            </w:tcBorders>
            <w:vAlign w:val="center"/>
          </w:tcPr>
          <w:p w14:paraId="1066EF11">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8468" w:type="dxa"/>
            <w:tcBorders>
              <w:top w:val="single" w:color="auto" w:sz="4" w:space="0"/>
              <w:left w:val="nil"/>
              <w:bottom w:val="single" w:color="auto" w:sz="4" w:space="0"/>
              <w:right w:val="single" w:color="auto" w:sz="4" w:space="0"/>
            </w:tcBorders>
            <w:vAlign w:val="center"/>
          </w:tcPr>
          <w:p w14:paraId="17559D84">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textAlignment w:val="bottom"/>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合同公告：本项目政府采购合同将于签订之日起2个工作日内发布于上述媒体，但政府采购合同中涉及国家秘密、商业秘密的内容除外。</w:t>
            </w:r>
          </w:p>
        </w:tc>
      </w:tr>
      <w:tr w14:paraId="4A81B2E5">
        <w:tblPrEx>
          <w:tblCellMar>
            <w:top w:w="0" w:type="dxa"/>
            <w:left w:w="108" w:type="dxa"/>
            <w:bottom w:w="0" w:type="dxa"/>
            <w:right w:w="108" w:type="dxa"/>
          </w:tblCellMar>
        </w:tblPrEx>
        <w:trPr>
          <w:trHeight w:val="90" w:hRule="atLeast"/>
        </w:trPr>
        <w:tc>
          <w:tcPr>
            <w:tcW w:w="748" w:type="dxa"/>
            <w:tcBorders>
              <w:top w:val="single" w:color="auto" w:sz="4" w:space="0"/>
              <w:left w:val="single" w:color="auto" w:sz="4" w:space="0"/>
              <w:bottom w:val="single" w:color="auto" w:sz="4" w:space="0"/>
              <w:right w:val="single" w:color="auto" w:sz="4" w:space="0"/>
            </w:tcBorders>
            <w:vAlign w:val="center"/>
          </w:tcPr>
          <w:p w14:paraId="16D22F5B">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8468" w:type="dxa"/>
            <w:tcBorders>
              <w:top w:val="single" w:color="auto" w:sz="4" w:space="0"/>
              <w:left w:val="nil"/>
              <w:bottom w:val="single" w:color="auto" w:sz="4" w:space="0"/>
              <w:right w:val="single" w:color="auto" w:sz="4" w:space="0"/>
            </w:tcBorders>
            <w:vAlign w:val="center"/>
          </w:tcPr>
          <w:p w14:paraId="2AB98734">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履约保证金的收取及退还</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本项目不收取履约保证金。</w:t>
            </w:r>
          </w:p>
        </w:tc>
      </w:tr>
      <w:tr w14:paraId="228F22F3">
        <w:tblPrEx>
          <w:tblCellMar>
            <w:top w:w="0" w:type="dxa"/>
            <w:left w:w="108" w:type="dxa"/>
            <w:bottom w:w="0" w:type="dxa"/>
            <w:right w:w="108" w:type="dxa"/>
          </w:tblCellMar>
        </w:tblPrEx>
        <w:trPr>
          <w:trHeight w:val="90" w:hRule="atLeast"/>
        </w:trPr>
        <w:tc>
          <w:tcPr>
            <w:tcW w:w="748" w:type="dxa"/>
            <w:tcBorders>
              <w:top w:val="single" w:color="auto" w:sz="4" w:space="0"/>
              <w:left w:val="single" w:color="auto" w:sz="4" w:space="0"/>
              <w:bottom w:val="single" w:color="auto" w:sz="4" w:space="0"/>
              <w:right w:val="single" w:color="auto" w:sz="4" w:space="0"/>
            </w:tcBorders>
            <w:vAlign w:val="center"/>
          </w:tcPr>
          <w:p w14:paraId="6585CB05">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8468" w:type="dxa"/>
            <w:tcBorders>
              <w:top w:val="single" w:color="auto" w:sz="4" w:space="0"/>
              <w:left w:val="nil"/>
              <w:bottom w:val="single" w:color="auto" w:sz="4" w:space="0"/>
              <w:right w:val="single" w:color="auto" w:sz="4" w:space="0"/>
            </w:tcBorders>
            <w:vAlign w:val="center"/>
          </w:tcPr>
          <w:p w14:paraId="3492E471">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采购资金来源：</w:t>
            </w:r>
            <w:r>
              <w:rPr>
                <w:rFonts w:hint="eastAsia" w:ascii="宋体" w:hAnsi="宋体" w:eastAsia="宋体" w:cs="宋体"/>
                <w:color w:val="000000" w:themeColor="text1"/>
                <w:sz w:val="24"/>
                <w:szCs w:val="24"/>
                <w:highlight w:val="none"/>
                <w:lang w:eastAsia="zh-CN"/>
                <w14:textFill>
                  <w14:solidFill>
                    <w14:schemeClr w14:val="tx1"/>
                  </w14:solidFill>
                </w14:textFill>
              </w:rPr>
              <w:t>财政</w:t>
            </w:r>
            <w:r>
              <w:rPr>
                <w:rFonts w:hint="eastAsia" w:ascii="宋体" w:hAnsi="宋体" w:eastAsia="宋体" w:cs="宋体"/>
                <w:color w:val="000000" w:themeColor="text1"/>
                <w:sz w:val="24"/>
                <w:szCs w:val="24"/>
                <w:highlight w:val="none"/>
                <w14:textFill>
                  <w14:solidFill>
                    <w14:schemeClr w14:val="tx1"/>
                  </w14:solidFill>
                </w14:textFill>
              </w:rPr>
              <w:t>资金。</w:t>
            </w:r>
          </w:p>
        </w:tc>
      </w:tr>
      <w:tr w14:paraId="7B693189">
        <w:tblPrEx>
          <w:tblCellMar>
            <w:top w:w="0" w:type="dxa"/>
            <w:left w:w="108" w:type="dxa"/>
            <w:bottom w:w="0" w:type="dxa"/>
            <w:right w:w="108" w:type="dxa"/>
          </w:tblCellMar>
        </w:tblPrEx>
        <w:trPr>
          <w:trHeight w:val="90" w:hRule="atLeast"/>
        </w:trPr>
        <w:tc>
          <w:tcPr>
            <w:tcW w:w="748" w:type="dxa"/>
            <w:tcBorders>
              <w:top w:val="single" w:color="auto" w:sz="4" w:space="0"/>
              <w:left w:val="single" w:color="auto" w:sz="4" w:space="0"/>
              <w:bottom w:val="single" w:color="auto" w:sz="4" w:space="0"/>
              <w:right w:val="single" w:color="auto" w:sz="4" w:space="0"/>
            </w:tcBorders>
            <w:vAlign w:val="center"/>
          </w:tcPr>
          <w:p w14:paraId="4427058F">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textAlignment w:val="auto"/>
              <w:outlineLvl w:val="9"/>
              <w:rPr>
                <w:rFonts w:hint="default" w:ascii="宋体" w:hAnsi="宋体" w:eastAsia="宋体" w:cs="宋体"/>
                <w:color w:val="000000" w:themeColor="text1"/>
                <w:sz w:val="24"/>
                <w:szCs w:val="24"/>
                <w:highlight w:val="none"/>
                <w:u w:val="none"/>
                <w:lang w:val="en-US"/>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20</w:t>
            </w:r>
          </w:p>
        </w:tc>
        <w:tc>
          <w:tcPr>
            <w:tcW w:w="8468" w:type="dxa"/>
            <w:tcBorders>
              <w:top w:val="single" w:color="auto" w:sz="4" w:space="0"/>
              <w:left w:val="nil"/>
              <w:bottom w:val="single" w:color="auto" w:sz="4" w:space="0"/>
              <w:right w:val="single" w:color="auto" w:sz="4" w:space="0"/>
            </w:tcBorders>
            <w:vAlign w:val="center"/>
          </w:tcPr>
          <w:p w14:paraId="347946DB">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textAlignment w:val="auto"/>
              <w:outlineLvl w:val="9"/>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付款方式：</w:t>
            </w:r>
            <w:r>
              <w:rPr>
                <w:rFonts w:hint="eastAsia" w:ascii="宋体" w:hAnsi="宋体" w:eastAsia="宋体" w:cs="宋体"/>
                <w:color w:val="000000" w:themeColor="text1"/>
                <w:sz w:val="24"/>
                <w:szCs w:val="24"/>
                <w:lang w:val="en-US" w:eastAsia="zh-CN"/>
                <w14:textFill>
                  <w14:solidFill>
                    <w14:schemeClr w14:val="tx1"/>
                  </w14:solidFill>
                </w14:textFill>
              </w:rPr>
              <w:t>合同签订后，两个月内支付全部金额，具体费用由各个镇（街道）单独支付。</w:t>
            </w:r>
          </w:p>
        </w:tc>
      </w:tr>
      <w:tr w14:paraId="0F24FCB7">
        <w:tblPrEx>
          <w:tblCellMar>
            <w:top w:w="0" w:type="dxa"/>
            <w:left w:w="108" w:type="dxa"/>
            <w:bottom w:w="0" w:type="dxa"/>
            <w:right w:w="108" w:type="dxa"/>
          </w:tblCellMar>
        </w:tblPrEx>
        <w:trPr>
          <w:trHeight w:val="90" w:hRule="atLeast"/>
        </w:trPr>
        <w:tc>
          <w:tcPr>
            <w:tcW w:w="748" w:type="dxa"/>
            <w:tcBorders>
              <w:top w:val="single" w:color="auto" w:sz="4" w:space="0"/>
              <w:left w:val="single" w:color="auto" w:sz="4" w:space="0"/>
              <w:bottom w:val="single" w:color="auto" w:sz="4" w:space="0"/>
              <w:right w:val="single" w:color="auto" w:sz="4" w:space="0"/>
            </w:tcBorders>
            <w:vAlign w:val="center"/>
          </w:tcPr>
          <w:p w14:paraId="00BFEDC5">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textAlignment w:val="auto"/>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p>
        </w:tc>
        <w:tc>
          <w:tcPr>
            <w:tcW w:w="8468" w:type="dxa"/>
            <w:tcBorders>
              <w:top w:val="single" w:color="auto" w:sz="4" w:space="0"/>
              <w:left w:val="nil"/>
              <w:bottom w:val="single" w:color="auto" w:sz="4" w:space="0"/>
              <w:right w:val="single" w:color="auto" w:sz="4" w:space="0"/>
            </w:tcBorders>
            <w:vAlign w:val="center"/>
          </w:tcPr>
          <w:p w14:paraId="4424CFCE">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投标文件有效期：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90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日历</w:t>
            </w:r>
            <w:r>
              <w:rPr>
                <w:rFonts w:hint="eastAsia" w:ascii="宋体" w:hAnsi="宋体" w:eastAsia="宋体" w:cs="宋体"/>
                <w:color w:val="000000" w:themeColor="text1"/>
                <w:sz w:val="24"/>
                <w:szCs w:val="24"/>
                <w:highlight w:val="none"/>
                <w14:textFill>
                  <w14:solidFill>
                    <w14:schemeClr w14:val="tx1"/>
                  </w14:solidFill>
                </w14:textFill>
              </w:rPr>
              <w:t>天。</w:t>
            </w:r>
          </w:p>
        </w:tc>
      </w:tr>
      <w:tr w14:paraId="1925D269">
        <w:tblPrEx>
          <w:tblCellMar>
            <w:top w:w="0" w:type="dxa"/>
            <w:left w:w="108" w:type="dxa"/>
            <w:bottom w:w="0" w:type="dxa"/>
            <w:right w:w="108" w:type="dxa"/>
          </w:tblCellMar>
        </w:tblPrEx>
        <w:trPr>
          <w:trHeight w:val="260" w:hRule="atLeast"/>
        </w:trPr>
        <w:tc>
          <w:tcPr>
            <w:tcW w:w="748" w:type="dxa"/>
            <w:tcBorders>
              <w:top w:val="single" w:color="auto" w:sz="4" w:space="0"/>
              <w:left w:val="single" w:color="auto" w:sz="4" w:space="0"/>
              <w:bottom w:val="single" w:color="auto" w:sz="4" w:space="0"/>
              <w:right w:val="single" w:color="auto" w:sz="4" w:space="0"/>
            </w:tcBorders>
            <w:vAlign w:val="center"/>
          </w:tcPr>
          <w:p w14:paraId="21FEF0BF">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p>
        </w:tc>
        <w:tc>
          <w:tcPr>
            <w:tcW w:w="8468" w:type="dxa"/>
            <w:tcBorders>
              <w:top w:val="single" w:color="auto" w:sz="4" w:space="0"/>
              <w:left w:val="nil"/>
              <w:bottom w:val="single" w:color="auto" w:sz="4" w:space="0"/>
              <w:right w:val="single" w:color="auto" w:sz="4" w:space="0"/>
            </w:tcBorders>
            <w:vAlign w:val="center"/>
          </w:tcPr>
          <w:p w14:paraId="47D7A00E">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ind w:right="0" w:rightChars="0"/>
              <w:jc w:val="left"/>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信用信息：</w:t>
            </w:r>
          </w:p>
          <w:p w14:paraId="73288801">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ind w:right="0" w:rightChars="0"/>
              <w:jc w:val="left"/>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1.查询渠道：“信用中国”网站(www.creditchina.gov.cn)、中国政府采购网(www.ccgp.gov.cn)；</w:t>
            </w:r>
          </w:p>
          <w:p w14:paraId="7DDC087B">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ind w:right="0" w:rightChars="0"/>
              <w:jc w:val="left"/>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2.供应商查询截止时间：采购公告发布之日起至投标截止时间；</w:t>
            </w:r>
          </w:p>
          <w:p w14:paraId="4B526CB4">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ind w:right="0" w:rightChars="0"/>
              <w:jc w:val="left"/>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3.查询记录和证据留存的具体方式：</w:t>
            </w:r>
            <w:r>
              <w:rPr>
                <w:rFonts w:ascii="Arial" w:hAnsi="Arial" w:eastAsia="宋体" w:cs="Arial"/>
                <w:i w:val="0"/>
                <w:caps w:val="0"/>
                <w:color w:val="000000" w:themeColor="text1"/>
                <w:spacing w:val="0"/>
                <w:sz w:val="24"/>
                <w:szCs w:val="24"/>
                <w14:textFill>
                  <w14:solidFill>
                    <w14:schemeClr w14:val="tx1"/>
                  </w14:solidFill>
                </w14:textFill>
              </w:rPr>
              <w:t>采购人、采购代理机构</w:t>
            </w:r>
            <w:r>
              <w:rPr>
                <w:rFonts w:hint="eastAsia" w:ascii="Arial" w:hAnsi="Arial" w:eastAsia="宋体" w:cs="Arial"/>
                <w:i w:val="0"/>
                <w:caps w:val="0"/>
                <w:color w:val="000000" w:themeColor="text1"/>
                <w:spacing w:val="0"/>
                <w:sz w:val="24"/>
                <w:szCs w:val="24"/>
                <w:lang w:eastAsia="zh-CN"/>
                <w14:textFill>
                  <w14:solidFill>
                    <w14:schemeClr w14:val="tx1"/>
                  </w14:solidFill>
                </w14:textFill>
              </w:rPr>
              <w:t>于</w:t>
            </w:r>
            <w:r>
              <w:rPr>
                <w:rFonts w:hint="eastAsia" w:ascii="宋体" w:hAnsi="宋体" w:eastAsia="宋体" w:cs="宋体"/>
                <w:color w:val="000000" w:themeColor="text1"/>
                <w:sz w:val="24"/>
                <w:szCs w:val="24"/>
                <w14:textFill>
                  <w14:solidFill>
                    <w14:schemeClr w14:val="tx1"/>
                  </w14:solidFill>
                </w14:textFill>
              </w:rPr>
              <w:t>开标当日</w:t>
            </w:r>
            <w:r>
              <w:rPr>
                <w:rFonts w:hint="eastAsia" w:hAnsi="宋体" w:eastAsia="宋体" w:cs="宋体"/>
                <w:color w:val="000000" w:themeColor="text1"/>
                <w:sz w:val="24"/>
                <w:szCs w:val="24"/>
                <w:highlight w:val="none"/>
                <w:lang w:val="en-US" w:eastAsia="zh-CN"/>
                <w14:textFill>
                  <w14:solidFill>
                    <w14:schemeClr w14:val="tx1"/>
                  </w14:solidFill>
                </w14:textFill>
              </w:rPr>
              <w:t>网站</w:t>
            </w:r>
            <w:r>
              <w:rPr>
                <w:rFonts w:hint="eastAsia" w:ascii="宋体" w:hAnsi="宋体" w:eastAsia="宋体" w:cs="宋体"/>
                <w:color w:val="000000" w:themeColor="text1"/>
                <w:sz w:val="24"/>
                <w:szCs w:val="24"/>
                <w14:textFill>
                  <w14:solidFill>
                    <w14:schemeClr w14:val="tx1"/>
                  </w14:solidFill>
                </w14:textFill>
              </w:rPr>
              <w:t>查询</w:t>
            </w:r>
            <w:r>
              <w:rPr>
                <w:rFonts w:hint="eastAsia" w:ascii="宋体" w:hAnsi="宋体" w:eastAsia="宋体" w:cs="宋体"/>
                <w:color w:val="000000" w:themeColor="text1"/>
                <w:sz w:val="24"/>
                <w:szCs w:val="24"/>
                <w:lang w:eastAsia="zh-CN"/>
                <w14:textFill>
                  <w14:solidFill>
                    <w14:schemeClr w14:val="tx1"/>
                  </w14:solidFill>
                </w14:textFill>
              </w:rPr>
              <w:t>并</w:t>
            </w:r>
            <w:r>
              <w:rPr>
                <w:rFonts w:hint="eastAsia" w:hAnsi="宋体" w:eastAsia="宋体" w:cs="宋体"/>
                <w:color w:val="000000" w:themeColor="text1"/>
                <w:sz w:val="24"/>
                <w:szCs w:val="24"/>
                <w:highlight w:val="none"/>
                <w:lang w:val="en-US" w:eastAsia="zh-CN"/>
                <w14:textFill>
                  <w14:solidFill>
                    <w14:schemeClr w14:val="tx1"/>
                  </w14:solidFill>
                </w14:textFill>
              </w:rPr>
              <w:t>截图（查询结果以此为准）；</w:t>
            </w:r>
          </w:p>
          <w:p w14:paraId="11208218">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ind w:right="0" w:rightChars="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根据财库[2016]125号文件，对列入失信被执行人、重大税收违法案件当事人名单、政府采购严重违法失信行为记录名单及其他不符合《中华人民共和国政府采购法》第二十二条规定条件的供应商，应当拒绝其参与政府采购活动。</w:t>
            </w:r>
          </w:p>
        </w:tc>
      </w:tr>
      <w:tr w14:paraId="4022E096">
        <w:tblPrEx>
          <w:tblCellMar>
            <w:top w:w="0" w:type="dxa"/>
            <w:left w:w="108" w:type="dxa"/>
            <w:bottom w:w="0" w:type="dxa"/>
            <w:right w:w="108" w:type="dxa"/>
          </w:tblCellMar>
        </w:tblPrEx>
        <w:trPr>
          <w:trHeight w:val="260" w:hRule="atLeast"/>
        </w:trPr>
        <w:tc>
          <w:tcPr>
            <w:tcW w:w="748" w:type="dxa"/>
            <w:tcBorders>
              <w:top w:val="single" w:color="auto" w:sz="4" w:space="0"/>
              <w:left w:val="single" w:color="auto" w:sz="4" w:space="0"/>
              <w:bottom w:val="single" w:color="auto" w:sz="4" w:space="0"/>
              <w:right w:val="single" w:color="auto" w:sz="4" w:space="0"/>
            </w:tcBorders>
            <w:vAlign w:val="center"/>
          </w:tcPr>
          <w:p w14:paraId="7899C041">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textAlignment w:val="auto"/>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p>
        </w:tc>
        <w:tc>
          <w:tcPr>
            <w:tcW w:w="8468" w:type="dxa"/>
            <w:tcBorders>
              <w:top w:val="single" w:color="auto" w:sz="4" w:space="0"/>
              <w:left w:val="nil"/>
              <w:bottom w:val="single" w:color="auto" w:sz="4" w:space="0"/>
              <w:right w:val="single" w:color="auto" w:sz="4" w:space="0"/>
            </w:tcBorders>
            <w:vAlign w:val="center"/>
          </w:tcPr>
          <w:p w14:paraId="26EB6516">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ind w:right="0" w:rightChars="0"/>
              <w:jc w:val="left"/>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浙财采监〔2013〕24号 第六条</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BCE486B">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ind w:right="0" w:rightChars="0"/>
              <w:jc w:val="left"/>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政府采购活动。</w:t>
            </w:r>
          </w:p>
          <w:p w14:paraId="60C29DE4">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ind w:right="0" w:rightChars="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上述单位参加政府采购活动时，应提供该单位负责人签署的相关文件材料（合伙企业由全体合伙人签署相关材料，但合伙协议约定或者全体合伙人决定委托一名或数名合伙人执行合伙企业事务的，由执行合伙企业事务的全体合伙人签署相关文件材料），与其他法人单位法定代表人签署的文件材料具有同等效力。</w:t>
            </w:r>
          </w:p>
        </w:tc>
      </w:tr>
      <w:tr w14:paraId="24A902F3">
        <w:tblPrEx>
          <w:tblCellMar>
            <w:top w:w="0" w:type="dxa"/>
            <w:left w:w="108" w:type="dxa"/>
            <w:bottom w:w="0" w:type="dxa"/>
            <w:right w:w="108" w:type="dxa"/>
          </w:tblCellMar>
        </w:tblPrEx>
        <w:trPr>
          <w:trHeight w:val="260" w:hRule="atLeast"/>
        </w:trPr>
        <w:tc>
          <w:tcPr>
            <w:tcW w:w="748" w:type="dxa"/>
            <w:tcBorders>
              <w:top w:val="single" w:color="auto" w:sz="4" w:space="0"/>
              <w:left w:val="single" w:color="auto" w:sz="4" w:space="0"/>
              <w:bottom w:val="single" w:color="auto" w:sz="4" w:space="0"/>
              <w:right w:val="single" w:color="auto" w:sz="4" w:space="0"/>
            </w:tcBorders>
            <w:vAlign w:val="center"/>
          </w:tcPr>
          <w:p w14:paraId="516EA709">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p>
        </w:tc>
        <w:tc>
          <w:tcPr>
            <w:tcW w:w="8468" w:type="dxa"/>
            <w:tcBorders>
              <w:top w:val="single" w:color="auto" w:sz="4" w:space="0"/>
              <w:left w:val="nil"/>
              <w:bottom w:val="single" w:color="auto" w:sz="4" w:space="0"/>
              <w:right w:val="single" w:color="auto" w:sz="4" w:space="0"/>
            </w:tcBorders>
            <w:vAlign w:val="center"/>
          </w:tcPr>
          <w:p w14:paraId="2187BE1A">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强制采购或节能产品、环境标志产品政府采购执行政策：</w:t>
            </w:r>
          </w:p>
          <w:p w14:paraId="14B32D1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（1）强制采购</w:t>
            </w:r>
          </w:p>
          <w:p w14:paraId="1F94432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Wingdings" w:hAnsi="Wingdings" w:eastAsia="宋体" w:cs="宋体"/>
                <w:color w:val="000000" w:themeColor="text1"/>
                <w:kern w:val="0"/>
                <w:sz w:val="24"/>
                <w:szCs w:val="24"/>
                <w:highlight w:val="none"/>
                <w:lang w:val="en-US" w:eastAsia="zh-CN" w:bidi="ar-SA"/>
                <w14:textFill>
                  <w14:solidFill>
                    <w14:schemeClr w14:val="tx1"/>
                  </w14:solidFill>
                </w14:textFill>
              </w:rPr>
              <w:sym w:font="Wingdings" w:char="00FE"/>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无。</w:t>
            </w:r>
          </w:p>
          <w:p w14:paraId="19D1886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Wingdings" w:hAnsi="Wingdings" w:eastAsia="宋体" w:cs="宋体"/>
                <w:color w:val="000000" w:themeColor="text1"/>
                <w:kern w:val="0"/>
                <w:sz w:val="24"/>
                <w:szCs w:val="24"/>
                <w:highlight w:val="none"/>
                <w:lang w:val="en-US" w:eastAsia="zh-CN" w:bidi="ar-SA"/>
                <w14:textFill>
                  <w14:solidFill>
                    <w14:schemeClr w14:val="tx1"/>
                  </w14:solidFill>
                </w14:textFill>
              </w:rPr>
              <w:sym w:font="Wingdings" w:char="00A8"/>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▲根据《关于调整优化节能产品、环境标志产品政府采购执行机制的通知（财库〔2019〕9号）》等相关规定，本次采购货物清单中</w:t>
            </w:r>
            <w:r>
              <w:rPr>
                <w:rFonts w:hint="eastAsia" w:ascii="宋体" w:hAnsi="宋体" w:eastAsia="宋体" w:cs="宋体"/>
                <w:color w:val="000000" w:themeColor="text1"/>
                <w:sz w:val="24"/>
                <w:szCs w:val="24"/>
                <w:highlight w:val="none"/>
                <w:u w:val="single"/>
                <w:vertAlign w:val="baseline"/>
                <w:lang w:val="en-US" w:eastAsia="zh-CN"/>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vertAlign w:val="baselin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属于《关于印发节能产品政府采购品目清单的通知（财库〔2019〕19号）》政府强制采购产品，供应商须提供所投产品的认证证书或（证书发布平台的认证证书查询截图）（认证机构名单：《市场监管总局关于发布参与实施政府采购节能产品、环境标志产品认证机构名录的公告》2019年第16号），否则其投标响应（投标）将作为无效标处理。</w:t>
            </w:r>
          </w:p>
          <w:p w14:paraId="078B4A28">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textAlignment w:val="bottom"/>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政府采购节能</w:t>
            </w:r>
            <w:r>
              <w:rPr>
                <w:rFonts w:hint="eastAsia" w:ascii="宋体" w:hAnsi="宋体" w:eastAsia="宋体" w:cs="宋体"/>
                <w:color w:val="000000" w:themeColor="text1"/>
                <w:sz w:val="24"/>
                <w:szCs w:val="24"/>
                <w:highlight w:val="none"/>
                <w:lang w:eastAsia="zh-CN"/>
                <w14:textFill>
                  <w14:solidFill>
                    <w14:schemeClr w14:val="tx1"/>
                  </w14:solidFill>
                </w14:textFill>
              </w:rPr>
              <w:t>产品、</w:t>
            </w:r>
            <w:r>
              <w:rPr>
                <w:rFonts w:hint="eastAsia" w:ascii="宋体" w:hAnsi="宋体" w:eastAsia="宋体" w:cs="宋体"/>
                <w:color w:val="000000" w:themeColor="text1"/>
                <w:sz w:val="24"/>
                <w:szCs w:val="24"/>
                <w:highlight w:val="none"/>
                <w14:textFill>
                  <w14:solidFill>
                    <w14:schemeClr w14:val="tx1"/>
                  </w14:solidFill>
                </w14:textFill>
              </w:rPr>
              <w:t>环</w:t>
            </w:r>
            <w:r>
              <w:rPr>
                <w:rFonts w:hint="eastAsia" w:ascii="宋体" w:hAnsi="宋体" w:eastAsia="宋体" w:cs="宋体"/>
                <w:color w:val="000000" w:themeColor="text1"/>
                <w:sz w:val="24"/>
                <w:szCs w:val="24"/>
                <w:highlight w:val="none"/>
                <w:lang w:eastAsia="zh-CN"/>
                <w14:textFill>
                  <w14:solidFill>
                    <w14:schemeClr w14:val="tx1"/>
                  </w14:solidFill>
                </w14:textFill>
              </w:rPr>
              <w:t>境标志</w:t>
            </w:r>
            <w:r>
              <w:rPr>
                <w:rFonts w:hint="eastAsia" w:ascii="宋体" w:hAnsi="宋体" w:eastAsia="宋体" w:cs="宋体"/>
                <w:color w:val="000000" w:themeColor="text1"/>
                <w:sz w:val="24"/>
                <w:szCs w:val="24"/>
                <w:highlight w:val="none"/>
                <w14:textFill>
                  <w14:solidFill>
                    <w14:schemeClr w14:val="tx1"/>
                  </w14:solidFill>
                </w14:textFill>
              </w:rPr>
              <w:t>产品</w:t>
            </w:r>
            <w:r>
              <w:rPr>
                <w:rFonts w:hint="eastAsia" w:ascii="宋体" w:hAnsi="宋体" w:eastAsia="宋体" w:cs="宋体"/>
                <w:color w:val="000000" w:themeColor="text1"/>
                <w:sz w:val="24"/>
                <w:szCs w:val="24"/>
                <w:highlight w:val="none"/>
                <w:lang w:eastAsia="zh-CN"/>
                <w14:textFill>
                  <w14:solidFill>
                    <w14:schemeClr w14:val="tx1"/>
                  </w14:solidFill>
                </w14:textFill>
              </w:rPr>
              <w:t>相关政策文件</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关于调整优化节能产品、环境标志产品政府采购执行机制的通知（财库〔2019〕9号）</w:t>
            </w:r>
            <w:r>
              <w:rPr>
                <w:rFonts w:hint="eastAsia" w:ascii="宋体" w:hAnsi="宋体" w:eastAsia="宋体" w:cs="宋体"/>
                <w:color w:val="000000" w:themeColor="text1"/>
                <w:sz w:val="24"/>
                <w:szCs w:val="24"/>
                <w:highlight w:val="none"/>
                <w:lang w:eastAsia="zh-CN"/>
                <w14:textFill>
                  <w14:solidFill>
                    <w14:schemeClr w14:val="tx1"/>
                  </w14:solidFill>
                </w14:textFill>
              </w:rPr>
              <w:t>》、《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tc>
      </w:tr>
      <w:tr w14:paraId="062C1896">
        <w:tblPrEx>
          <w:tblCellMar>
            <w:top w:w="0" w:type="dxa"/>
            <w:left w:w="108" w:type="dxa"/>
            <w:bottom w:w="0" w:type="dxa"/>
            <w:right w:w="108" w:type="dxa"/>
          </w:tblCellMar>
        </w:tblPrEx>
        <w:trPr>
          <w:trHeight w:val="260" w:hRule="atLeast"/>
        </w:trPr>
        <w:tc>
          <w:tcPr>
            <w:tcW w:w="748" w:type="dxa"/>
            <w:tcBorders>
              <w:top w:val="single" w:color="auto" w:sz="4" w:space="0"/>
              <w:left w:val="single" w:color="auto" w:sz="4" w:space="0"/>
              <w:bottom w:val="single" w:color="auto" w:sz="4" w:space="0"/>
              <w:right w:val="single" w:color="auto" w:sz="4" w:space="0"/>
            </w:tcBorders>
            <w:vAlign w:val="center"/>
          </w:tcPr>
          <w:p w14:paraId="3BF7EEF3">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p>
        </w:tc>
        <w:tc>
          <w:tcPr>
            <w:tcW w:w="8468" w:type="dxa"/>
            <w:tcBorders>
              <w:top w:val="single" w:color="auto" w:sz="4" w:space="0"/>
              <w:left w:val="nil"/>
              <w:bottom w:val="single" w:color="auto" w:sz="4" w:space="0"/>
              <w:right w:val="single" w:color="auto" w:sz="4" w:space="0"/>
            </w:tcBorders>
            <w:vAlign w:val="center"/>
          </w:tcPr>
          <w:p w14:paraId="1E8837E7">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textAlignment w:val="bottom"/>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优先采购被认定为首台套产品和“制造精品”的自主创新产品。首台套产品被纳入《首台套产品推广应用指导目录》之日起</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年内，以及产品核心技术高于国内领先水平，并具有明晰自主知识产权的“制造精品”产品，自认定之日起2年内视同已具备相应销售业绩，参加政府采购活动时业绩分值为满分。</w:t>
            </w:r>
          </w:p>
        </w:tc>
      </w:tr>
      <w:tr w14:paraId="62DD083F">
        <w:tblPrEx>
          <w:tblCellMar>
            <w:top w:w="0" w:type="dxa"/>
            <w:left w:w="108" w:type="dxa"/>
            <w:bottom w:w="0" w:type="dxa"/>
            <w:right w:w="108" w:type="dxa"/>
          </w:tblCellMar>
        </w:tblPrEx>
        <w:trPr>
          <w:trHeight w:val="260" w:hRule="atLeast"/>
        </w:trPr>
        <w:tc>
          <w:tcPr>
            <w:tcW w:w="748" w:type="dxa"/>
            <w:tcBorders>
              <w:top w:val="single" w:color="auto" w:sz="4" w:space="0"/>
              <w:left w:val="single" w:color="auto" w:sz="4" w:space="0"/>
              <w:bottom w:val="single" w:color="auto" w:sz="4" w:space="0"/>
              <w:right w:val="single" w:color="auto" w:sz="4" w:space="0"/>
            </w:tcBorders>
            <w:vAlign w:val="center"/>
          </w:tcPr>
          <w:p w14:paraId="58DD97E7">
            <w:pPr>
              <w:keepNext w:val="0"/>
              <w:keepLines w:val="0"/>
              <w:pageBreakBefore w:val="0"/>
              <w:widowControl w:val="0"/>
              <w:kinsoku/>
              <w:wordWrap w:val="0"/>
              <w:overflowPunct w:val="0"/>
              <w:topLinePunct w:val="0"/>
              <w:autoSpaceDE w:val="0"/>
              <w:autoSpaceDN w:val="0"/>
              <w:bidi w:val="0"/>
              <w:adjustRightInd/>
              <w:snapToGrid w:val="0"/>
              <w:spacing w:line="400" w:lineRule="exact"/>
              <w:ind w:left="0" w:leftChars="0" w:right="0" w:rightChars="0" w:firstLine="0" w:firstLineChars="0"/>
              <w:jc w:val="center"/>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w:t>
            </w:r>
          </w:p>
        </w:tc>
        <w:tc>
          <w:tcPr>
            <w:tcW w:w="8468" w:type="dxa"/>
            <w:tcBorders>
              <w:top w:val="single" w:color="auto" w:sz="4" w:space="0"/>
              <w:left w:val="single" w:color="auto" w:sz="4" w:space="0"/>
              <w:bottom w:val="single" w:color="auto" w:sz="4" w:space="0"/>
              <w:right w:val="single" w:color="auto" w:sz="4" w:space="0"/>
            </w:tcBorders>
            <w:vAlign w:val="center"/>
          </w:tcPr>
          <w:p w14:paraId="2B51A75D">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ind w:right="0" w:rightChars="0"/>
              <w:jc w:val="left"/>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中小企业说明</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3233570">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ind w:right="0" w:rightChars="0"/>
              <w:jc w:val="left"/>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1.项目属性：</w:t>
            </w:r>
            <w:r>
              <w:rPr>
                <w:rFonts w:hint="eastAsia" w:hAnsi="宋体" w:eastAsia="宋体" w:cs="宋体"/>
                <w:b w:val="0"/>
                <w:bCs w:val="0"/>
                <w:color w:val="000000" w:themeColor="text1"/>
                <w:sz w:val="24"/>
                <w:szCs w:val="24"/>
                <w:highlight w:val="none"/>
                <w:u w:val="single"/>
                <w:lang w:val="en-US" w:eastAsia="zh-CN"/>
                <w14:textFill>
                  <w14:solidFill>
                    <w14:schemeClr w14:val="tx1"/>
                  </w14:solidFill>
                </w14:textFill>
              </w:rPr>
              <w:t>服务</w:t>
            </w:r>
            <w:r>
              <w:rPr>
                <w:rFonts w:hint="eastAsia" w:ascii="宋体" w:hAnsi="宋体" w:eastAsia="宋体" w:cs="宋体"/>
                <w:b w:val="0"/>
                <w:bCs w:val="0"/>
                <w:color w:val="000000" w:themeColor="text1"/>
                <w:sz w:val="24"/>
                <w:szCs w:val="24"/>
                <w:highlight w:val="none"/>
                <w:u w:val="single"/>
                <w:lang w:eastAsia="zh-CN"/>
                <w14:textFill>
                  <w14:solidFill>
                    <w14:schemeClr w14:val="tx1"/>
                  </w14:solidFill>
                </w14:textFill>
              </w:rPr>
              <w:t>类</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65ACF061">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ind w:right="0" w:rightChars="0"/>
              <w:jc w:val="left"/>
              <w:outlineLvl w:val="9"/>
              <w:rPr>
                <w:rFonts w:hint="eastAsia"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2.采购标的：</w:t>
            </w:r>
            <w:r>
              <w:rPr>
                <w:rFonts w:hint="eastAsia" w:hAnsi="宋体" w:eastAsia="宋体" w:cs="宋体"/>
                <w:color w:val="000000" w:themeColor="text1"/>
                <w:sz w:val="24"/>
                <w:szCs w:val="24"/>
                <w:highlight w:val="none"/>
                <w:u w:val="single"/>
                <w:lang w:eastAsia="zh-CN"/>
                <w14:textFill>
                  <w14:solidFill>
                    <w14:schemeClr w14:val="tx1"/>
                  </w14:solidFill>
                </w14:textFill>
              </w:rPr>
              <w:t>2026年海盐县高标准农田管护保险项目</w:t>
            </w:r>
            <w:r>
              <w:rPr>
                <w:rFonts w:hint="eastAsia" w:hAnsi="宋体" w:eastAsia="宋体" w:cs="宋体"/>
                <w:color w:val="000000" w:themeColor="text1"/>
                <w:sz w:val="24"/>
                <w:szCs w:val="24"/>
                <w:highlight w:val="none"/>
                <w:lang w:eastAsia="zh-CN"/>
                <w14:textFill>
                  <w14:solidFill>
                    <w14:schemeClr w14:val="tx1"/>
                  </w14:solidFill>
                </w14:textFill>
              </w:rPr>
              <w:t>；</w:t>
            </w:r>
          </w:p>
          <w:p w14:paraId="0B17482E">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ind w:right="0" w:rightChars="0"/>
              <w:jc w:val="left"/>
              <w:outlineLvl w:val="9"/>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供应商按照上述明确的采购标的填报《中小企业声明函（</w:t>
            </w:r>
            <w:r>
              <w:rPr>
                <w:rFonts w:hint="eastAsia" w:hAnsi="宋体" w:eastAsia="宋体" w:cs="宋体"/>
                <w:color w:val="000000" w:themeColor="text1"/>
                <w:sz w:val="24"/>
                <w:szCs w:val="24"/>
                <w:highlight w:val="none"/>
                <w:u w:val="singl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p>
          <w:p w14:paraId="1A916BEB">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jc w:val="left"/>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所属行业：</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租赁和商务服务业</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14965F9">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jc w:val="left"/>
              <w:textAlignment w:val="auto"/>
              <w:outlineLvl w:val="9"/>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中小企业划型标准</w:t>
            </w:r>
            <w:r>
              <w:rPr>
                <w:rFonts w:hint="eastAsia" w:ascii="宋体" w:hAnsi="宋体" w:eastAsia="宋体" w:cs="宋体"/>
                <w:color w:val="000000" w:themeColor="text1"/>
                <w:sz w:val="24"/>
                <w:szCs w:val="24"/>
                <w:highlight w:val="none"/>
                <w:u w:val="none"/>
                <w:lang w:eastAsia="zh-CN"/>
                <w14:textFill>
                  <w14:solidFill>
                    <w14:schemeClr w14:val="tx1"/>
                  </w14:solidFill>
                </w14:textFill>
              </w:rPr>
              <w:t>请按照《中小企业划型标准规定》（</w:t>
            </w:r>
            <w:r>
              <w:rPr>
                <w:rFonts w:hint="eastAsia" w:ascii="宋体" w:hAnsi="宋体" w:eastAsia="宋体" w:cs="宋体"/>
                <w:color w:val="000000" w:themeColor="text1"/>
                <w:sz w:val="24"/>
                <w:szCs w:val="24"/>
                <w:highlight w:val="none"/>
                <w:u w:val="none"/>
                <w14:textFill>
                  <w14:solidFill>
                    <w14:schemeClr w14:val="tx1"/>
                  </w14:solidFill>
                </w14:textFill>
              </w:rPr>
              <w:t>工信部联企业〔2011〕300号</w:t>
            </w:r>
            <w:r>
              <w:rPr>
                <w:rFonts w:hint="eastAsia" w:ascii="宋体" w:hAnsi="宋体" w:eastAsia="宋体" w:cs="宋体"/>
                <w:color w:val="000000" w:themeColor="text1"/>
                <w:sz w:val="24"/>
                <w:szCs w:val="24"/>
                <w:highlight w:val="none"/>
                <w:u w:val="none"/>
                <w:lang w:eastAsia="zh-CN"/>
                <w14:textFill>
                  <w14:solidFill>
                    <w14:schemeClr w14:val="tx1"/>
                  </w14:solidFill>
                </w14:textFill>
              </w:rPr>
              <w:t>）之</w:t>
            </w:r>
            <w:r>
              <w:rPr>
                <w:rFonts w:hint="eastAsia" w:ascii="宋体" w:hAnsi="宋体" w:eastAsia="宋体" w:cs="宋体"/>
                <w:color w:val="000000" w:themeColor="text1"/>
                <w:sz w:val="24"/>
                <w:szCs w:val="24"/>
                <w:highlight w:val="none"/>
                <w:u w:val="none"/>
                <w14:textFill>
                  <w14:solidFill>
                    <w14:schemeClr w14:val="tx1"/>
                  </w14:solidFill>
                </w14:textFill>
              </w:rPr>
              <w:t>规定</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4"/>
                <w:szCs w:val="24"/>
                <w:highlight w:val="none"/>
                <w:u w:val="single"/>
                <w:lang w:eastAsia="zh-CN"/>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40A4D1C">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ind w:right="0" w:rightChars="0"/>
              <w:jc w:val="left"/>
              <w:outlineLvl w:val="9"/>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相关政策文件：《中小企业划型标准规定》（</w:t>
            </w:r>
            <w:r>
              <w:rPr>
                <w:rFonts w:hint="eastAsia" w:ascii="宋体" w:hAnsi="宋体" w:eastAsia="宋体" w:cs="宋体"/>
                <w:color w:val="000000" w:themeColor="text1"/>
                <w:sz w:val="24"/>
                <w:szCs w:val="24"/>
                <w:highlight w:val="none"/>
                <w14:textFill>
                  <w14:solidFill>
                    <w14:schemeClr w14:val="tx1"/>
                  </w14:solidFill>
                </w14:textFill>
              </w:rPr>
              <w:t>工信部联企业〔2011〕300号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《政府采购促进中小企业发展管理办法（</w:t>
            </w:r>
            <w:r>
              <w:rPr>
                <w:rFonts w:hint="eastAsia" w:ascii="宋体" w:hAnsi="宋体" w:eastAsia="宋体" w:cs="宋体"/>
                <w:color w:val="000000" w:themeColor="text1"/>
                <w:spacing w:val="0"/>
                <w:sz w:val="24"/>
                <w:szCs w:val="24"/>
                <w:highlight w:val="none"/>
                <w14:textFill>
                  <w14:solidFill>
                    <w14:schemeClr w14:val="tx1"/>
                  </w14:solidFill>
                </w14:textFill>
              </w:rPr>
              <w:t>财库〔2020〕46号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《财政部关于进一步加大政府采购支持中小企业力度的通知（</w:t>
            </w:r>
            <w:r>
              <w:rPr>
                <w:rFonts w:hint="eastAsia" w:ascii="宋体" w:hAnsi="宋体" w:eastAsia="宋体" w:cs="宋体"/>
                <w:color w:val="000000" w:themeColor="text1"/>
                <w:spacing w:val="0"/>
                <w:sz w:val="24"/>
                <w:szCs w:val="24"/>
                <w:highlight w:val="none"/>
                <w14:textFill>
                  <w14:solidFill>
                    <w14:schemeClr w14:val="tx1"/>
                  </w14:solidFill>
                </w14:textFill>
              </w:rPr>
              <w:t>财库〔2022〕19号</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shd w:val="clear" w:color="auto" w:fill="auto"/>
                <w:lang w:eastAsia="zh-CN"/>
                <w14:textFill>
                  <w14:solidFill>
                    <w14:schemeClr w14:val="tx1"/>
                  </w14:solidFill>
                </w14:textFill>
              </w:rPr>
              <w:t>《浙江省财政厅关于进一步加大政府采购支持中小企业力度助力扎实稳住经济的通知（</w:t>
            </w:r>
            <w:r>
              <w:rPr>
                <w:rFonts w:hint="eastAsia" w:ascii="宋体" w:hAnsi="宋体" w:eastAsia="宋体" w:cs="宋体"/>
                <w:color w:val="000000" w:themeColor="text1"/>
                <w:spacing w:val="0"/>
                <w:sz w:val="24"/>
                <w:szCs w:val="24"/>
                <w:highlight w:val="none"/>
                <w:shd w:val="clear" w:color="auto" w:fill="auto"/>
                <w14:textFill>
                  <w14:solidFill>
                    <w14:schemeClr w14:val="tx1"/>
                  </w14:solidFill>
                </w14:textFill>
              </w:rPr>
              <w:t>浙财采监〔2022〕8号</w:t>
            </w:r>
            <w:r>
              <w:rPr>
                <w:rFonts w:hint="eastAsia" w:ascii="宋体" w:hAnsi="宋体" w:eastAsia="宋体" w:cs="宋体"/>
                <w:color w:val="000000" w:themeColor="text1"/>
                <w:spacing w:val="0"/>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《财政部司法部关于政府采购支持监狱企业发展有关问题的通知(财库〔2014〕68号)》、《财政部民政部中国残疾人联合会关于促进残疾人就业政府采购政策的通知（财库〔2017〕141号）》</w:t>
            </w:r>
            <w:r>
              <w:rPr>
                <w:rFonts w:hint="eastAsia" w:hAnsi="宋体" w:eastAsia="宋体" w:cs="宋体"/>
                <w:color w:val="000000" w:themeColor="text1"/>
                <w:sz w:val="24"/>
                <w:szCs w:val="24"/>
                <w:highlight w:val="none"/>
                <w:lang w:eastAsia="zh-CN"/>
                <w14:textFill>
                  <w14:solidFill>
                    <w14:schemeClr w14:val="tx1"/>
                  </w14:solidFill>
                </w14:textFill>
              </w:rPr>
              <w:t>。</w:t>
            </w:r>
          </w:p>
        </w:tc>
      </w:tr>
      <w:tr w14:paraId="3AA611B5">
        <w:tblPrEx>
          <w:tblCellMar>
            <w:top w:w="0" w:type="dxa"/>
            <w:left w:w="108" w:type="dxa"/>
            <w:bottom w:w="0" w:type="dxa"/>
            <w:right w:w="108" w:type="dxa"/>
          </w:tblCellMar>
        </w:tblPrEx>
        <w:trPr>
          <w:trHeight w:val="90" w:hRule="atLeast"/>
        </w:trPr>
        <w:tc>
          <w:tcPr>
            <w:tcW w:w="748" w:type="dxa"/>
            <w:tcBorders>
              <w:top w:val="single" w:color="auto" w:sz="4" w:space="0"/>
              <w:left w:val="single" w:color="auto" w:sz="4" w:space="0"/>
              <w:bottom w:val="single" w:color="auto" w:sz="4" w:space="0"/>
              <w:right w:val="single" w:color="auto" w:sz="4" w:space="0"/>
            </w:tcBorders>
            <w:vAlign w:val="center"/>
          </w:tcPr>
          <w:p w14:paraId="473DDB3C">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ind w:right="0" w:rightChars="0" w:firstLine="0" w:firstLineChars="0"/>
              <w:jc w:val="center"/>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pacing w:val="0"/>
                <w:sz w:val="24"/>
                <w:szCs w:val="24"/>
                <w:highlight w:val="none"/>
                <w:lang w:val="en-US" w:eastAsia="zh-CN"/>
                <w14:textFill>
                  <w14:solidFill>
                    <w14:schemeClr w14:val="tx1"/>
                  </w14:solidFill>
                </w14:textFill>
              </w:rPr>
              <w:t>27</w:t>
            </w:r>
          </w:p>
        </w:tc>
        <w:tc>
          <w:tcPr>
            <w:tcW w:w="8468" w:type="dxa"/>
            <w:tcBorders>
              <w:top w:val="single" w:color="auto" w:sz="4" w:space="0"/>
              <w:left w:val="single" w:color="auto" w:sz="4" w:space="0"/>
              <w:bottom w:val="single" w:color="auto" w:sz="4" w:space="0"/>
              <w:right w:val="single" w:color="auto" w:sz="4" w:space="0"/>
            </w:tcBorders>
            <w:vAlign w:val="center"/>
          </w:tcPr>
          <w:p w14:paraId="6F3DBA4B">
            <w:pPr>
              <w:keepNext w:val="0"/>
              <w:keepLines w:val="0"/>
              <w:pageBreakBefore w:val="0"/>
              <w:widowControl w:val="0"/>
              <w:kinsoku/>
              <w:wordWrap w:val="0"/>
              <w:overflowPunct w:val="0"/>
              <w:topLinePunct w:val="0"/>
              <w:autoSpaceDE w:val="0"/>
              <w:autoSpaceDN w:val="0"/>
              <w:bidi w:val="0"/>
              <w:adjustRightInd/>
              <w:snapToGrid w:val="0"/>
              <w:spacing w:line="400" w:lineRule="exact"/>
              <w:ind w:right="0" w:rightChars="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解释：本</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的解释权属于招标采购单位。</w:t>
            </w:r>
          </w:p>
        </w:tc>
      </w:tr>
    </w:tbl>
    <w:p w14:paraId="782443E8">
      <w:pPr>
        <w:pStyle w:val="17"/>
        <w:keepNext w:val="0"/>
        <w:keepLines w:val="0"/>
        <w:pageBreakBefore w:val="0"/>
        <w:widowControl w:val="0"/>
        <w:kinsoku/>
        <w:wordWrap w:val="0"/>
        <w:overflowPunct/>
        <w:topLinePunct/>
        <w:autoSpaceDE/>
        <w:autoSpaceDN/>
        <w:bidi w:val="0"/>
        <w:adjustRightInd/>
        <w:snapToGrid w:val="0"/>
        <w:spacing w:before="0" w:beforeLines="0" w:beforeAutospacing="0" w:after="0" w:afterLines="0" w:afterAutospacing="0" w:line="400" w:lineRule="exact"/>
        <w:ind w:left="0" w:leftChars="0" w:right="0" w:rightChars="0" w:firstLine="0" w:firstLineChars="0"/>
        <w:jc w:val="center"/>
        <w:textAlignment w:val="auto"/>
        <w:outlineLvl w:val="0"/>
        <w:rPr>
          <w:rFonts w:hint="eastAsia" w:ascii="宋体" w:hAnsi="宋体" w:eastAsia="宋体" w:cs="宋体"/>
          <w:b/>
          <w:color w:val="auto"/>
          <w:sz w:val="24"/>
          <w:szCs w:val="24"/>
          <w:highlight w:val="none"/>
        </w:rPr>
      </w:pPr>
      <w:bookmarkStart w:id="15" w:name="_Toc25051"/>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总则</w:t>
      </w:r>
      <w:bookmarkEnd w:id="15"/>
    </w:p>
    <w:p w14:paraId="07D1B563">
      <w:pPr>
        <w:pStyle w:val="17"/>
        <w:keepNext w:val="0"/>
        <w:keepLines w:val="0"/>
        <w:pageBreakBefore w:val="0"/>
        <w:widowControl w:val="0"/>
        <w:numPr>
          <w:ilvl w:val="0"/>
          <w:numId w:val="0"/>
        </w:numPr>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16" w:name="_Toc21344"/>
      <w:r>
        <w:rPr>
          <w:rFonts w:hint="eastAsia" w:ascii="宋体" w:hAnsi="宋体" w:eastAsia="宋体" w:cs="宋体"/>
          <w:b/>
          <w:color w:val="auto"/>
          <w:sz w:val="24"/>
          <w:szCs w:val="24"/>
          <w:highlight w:val="none"/>
        </w:rPr>
        <w:t>（一）适用范围</w:t>
      </w:r>
      <w:bookmarkEnd w:id="16"/>
    </w:p>
    <w:p w14:paraId="28251D64">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适用于本项目的招标、投标、评标、定标、验收、合同履约、付款等行为（法律、法规另有规定的，从其规定）。</w:t>
      </w:r>
    </w:p>
    <w:p w14:paraId="4694DF59">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17" w:name="_Toc23129"/>
      <w:r>
        <w:rPr>
          <w:rFonts w:hint="eastAsia" w:ascii="宋体" w:hAnsi="宋体" w:eastAsia="宋体" w:cs="宋体"/>
          <w:b/>
          <w:color w:val="auto"/>
          <w:sz w:val="24"/>
          <w:szCs w:val="24"/>
          <w:highlight w:val="none"/>
        </w:rPr>
        <w:t>（二）定义</w:t>
      </w:r>
      <w:bookmarkEnd w:id="17"/>
    </w:p>
    <w:p w14:paraId="429A639B">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rPr>
        <w:t>“采购人”系指招标公告中载明的本项目的采购</w:t>
      </w:r>
      <w:r>
        <w:rPr>
          <w:rFonts w:hint="eastAsia" w:ascii="宋体" w:hAnsi="宋体" w:cs="宋体"/>
          <w:color w:val="auto"/>
          <w:sz w:val="24"/>
          <w:szCs w:val="24"/>
          <w:highlight w:val="none"/>
          <w:lang w:val="en-US" w:eastAsia="zh-CN"/>
        </w:rPr>
        <w:t>单位</w:t>
      </w:r>
      <w:r>
        <w:rPr>
          <w:rFonts w:hint="eastAsia" w:ascii="宋体" w:hAnsi="宋体" w:cs="宋体"/>
          <w:color w:val="auto"/>
          <w:sz w:val="24"/>
          <w:szCs w:val="24"/>
          <w:highlight w:val="none"/>
        </w:rPr>
        <w:t>。</w:t>
      </w:r>
    </w:p>
    <w:p w14:paraId="513A3944">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“采购机构”系指招标公告中载明的本项目的</w:t>
      </w:r>
      <w:r>
        <w:rPr>
          <w:rFonts w:hint="eastAsia" w:ascii="宋体" w:hAnsi="宋体" w:cs="宋体"/>
          <w:color w:val="auto"/>
          <w:sz w:val="24"/>
          <w:szCs w:val="24"/>
          <w:highlight w:val="none"/>
          <w:lang w:val="en-US" w:eastAsia="zh-CN"/>
        </w:rPr>
        <w:t>采购代理机构</w:t>
      </w:r>
      <w:r>
        <w:rPr>
          <w:rFonts w:hint="eastAsia" w:ascii="宋体" w:hAnsi="宋体" w:cs="宋体"/>
          <w:color w:val="auto"/>
          <w:sz w:val="24"/>
          <w:szCs w:val="24"/>
          <w:highlight w:val="none"/>
        </w:rPr>
        <w:t>。</w:t>
      </w:r>
    </w:p>
    <w:p w14:paraId="0542AB54">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“投标人”系指是指响应招标、参加投标竞争的法人、其他组织或者自然人。</w:t>
      </w:r>
    </w:p>
    <w:p w14:paraId="07B40293">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“负责人”系指法人企业的法定负责人，或其他组织为法律、行政法规规定代表单位行使职权的主要负责人，或自然人本人。</w:t>
      </w:r>
    </w:p>
    <w:p w14:paraId="693E6DCB">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.“产品”系指供方按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规定，须向采购人提供的一切</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设备、保险、税金、备品备件、工具、手册及其它有关技术资料和材料。</w:t>
      </w:r>
    </w:p>
    <w:p w14:paraId="3431D87C">
      <w:pPr>
        <w:keepNext w:val="0"/>
        <w:keepLines w:val="0"/>
        <w:pageBreakBefore w:val="0"/>
        <w:widowControl w:val="0"/>
        <w:kinsoku/>
        <w:wordWrap w:val="0"/>
        <w:overflowPunct/>
        <w:topLinePunct/>
        <w:autoSpaceDE/>
        <w:autoSpaceDN/>
        <w:bidi w:val="0"/>
        <w:adjustRightInd/>
        <w:snapToGrid w:val="0"/>
        <w:spacing w:beforeAutospacing="0" w:afterAutospacing="0" w:line="4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.“服务”系指</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规定投标人须承担的设计、安装、调试、技术协助、校准、培训、技术指导以及其他类似的义务。</w:t>
      </w:r>
    </w:p>
    <w:p w14:paraId="774C1DD4">
      <w:pPr>
        <w:keepNext w:val="0"/>
        <w:keepLines w:val="0"/>
        <w:pageBreakBefore w:val="0"/>
        <w:widowControl w:val="0"/>
        <w:kinsoku/>
        <w:wordWrap w:val="0"/>
        <w:overflowPunct/>
        <w:topLinePunct/>
        <w:autoSpaceDE/>
        <w:autoSpaceDN/>
        <w:bidi w:val="0"/>
        <w:adjustRightInd/>
        <w:snapToGrid w:val="0"/>
        <w:spacing w:beforeAutospacing="0" w:afterAutospacing="0" w:line="4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.“项目”系指投标人按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规定向采购人提供的产品和服务。</w:t>
      </w:r>
    </w:p>
    <w:p w14:paraId="3F18CC8C">
      <w:pPr>
        <w:keepNext w:val="0"/>
        <w:keepLines w:val="0"/>
        <w:pageBreakBefore w:val="0"/>
        <w:widowControl w:val="0"/>
        <w:kinsoku/>
        <w:wordWrap w:val="0"/>
        <w:overflowPunct/>
        <w:topLinePunct/>
        <w:autoSpaceDE/>
        <w:autoSpaceDN/>
        <w:bidi w:val="0"/>
        <w:adjustRightInd/>
        <w:snapToGrid w:val="0"/>
        <w:spacing w:beforeAutospacing="0" w:afterAutospacing="0" w:line="4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.“书面形式”包括信函、传真、电报等。</w:t>
      </w:r>
    </w:p>
    <w:p w14:paraId="304B4FBE">
      <w:pPr>
        <w:keepNext w:val="0"/>
        <w:keepLines w:val="0"/>
        <w:pageBreakBefore w:val="0"/>
        <w:widowControl w:val="0"/>
        <w:kinsoku/>
        <w:wordWrap w:val="0"/>
        <w:overflowPunct/>
        <w:topLinePunct/>
        <w:autoSpaceDE/>
        <w:autoSpaceDN/>
        <w:bidi w:val="0"/>
        <w:adjustRightInd/>
        <w:snapToGrid w:val="0"/>
        <w:spacing w:beforeAutospacing="0" w:afterAutospacing="0" w:line="4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.“▲”系指实质性要求条款。</w:t>
      </w:r>
    </w:p>
    <w:p w14:paraId="7A4F1597">
      <w:pPr>
        <w:keepNext w:val="0"/>
        <w:keepLines w:val="0"/>
        <w:pageBreakBefore w:val="0"/>
        <w:widowControl w:val="0"/>
        <w:kinsoku/>
        <w:wordWrap w:val="0"/>
        <w:overflowPunct/>
        <w:topLinePunct/>
        <w:autoSpaceDE/>
        <w:autoSpaceDN/>
        <w:bidi w:val="0"/>
        <w:adjustRightInd/>
        <w:snapToGrid w:val="0"/>
        <w:spacing w:beforeAutospacing="0" w:afterAutospacing="0" w:line="4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.“★”系指核心产品。</w:t>
      </w:r>
    </w:p>
    <w:p w14:paraId="5AFB63D9">
      <w:pPr>
        <w:keepNext w:val="0"/>
        <w:keepLines w:val="0"/>
        <w:pageBreakBefore w:val="0"/>
        <w:widowControl w:val="0"/>
        <w:kinsoku/>
        <w:wordWrap w:val="0"/>
        <w:overflowPunct/>
        <w:topLinePunct/>
        <w:autoSpaceDE/>
        <w:autoSpaceDN/>
        <w:bidi w:val="0"/>
        <w:adjustRightInd/>
        <w:spacing w:beforeAutospacing="0" w:afterAutospacing="0" w:line="400" w:lineRule="exact"/>
        <w:ind w:left="0" w:leftChars="0" w:right="0" w:rightChars="0" w:firstLine="480" w:firstLineChars="200"/>
        <w:textAlignment w:val="auto"/>
        <w:outlineLvl w:val="9"/>
        <w:rPr>
          <w:rFonts w:hint="eastAsia" w:eastAsia="宋体"/>
          <w:color w:val="auto"/>
          <w:sz w:val="24"/>
          <w:szCs w:val="24"/>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cs="宋体"/>
          <w:color w:val="auto"/>
          <w:sz w:val="24"/>
          <w:szCs w:val="24"/>
          <w:highlight w:val="none"/>
        </w:rPr>
        <w:t>“</w:t>
      </w:r>
      <w:r>
        <w:rPr>
          <w:rFonts w:ascii="Wingdings" w:hAnsi="Wingdings" w:cs="宋体"/>
          <w:color w:val="auto"/>
          <w:kern w:val="0"/>
          <w:sz w:val="24"/>
          <w:szCs w:val="24"/>
          <w:highlight w:val="none"/>
        </w:rPr>
        <w:t></w:t>
      </w:r>
      <w:r>
        <w:rPr>
          <w:rFonts w:hint="eastAsia" w:ascii="宋体" w:hAnsi="宋体" w:cs="宋体"/>
          <w:color w:val="auto"/>
          <w:sz w:val="24"/>
          <w:szCs w:val="24"/>
          <w:highlight w:val="none"/>
        </w:rPr>
        <w:t>”系指适用本项目的要求，“</w:t>
      </w:r>
      <w:r>
        <w:rPr>
          <w:rFonts w:hint="eastAsia" w:ascii="宋体" w:hAnsi="宋体" w:cs="宋体"/>
          <w:color w:val="auto"/>
          <w:kern w:val="0"/>
          <w:sz w:val="24"/>
          <w:szCs w:val="24"/>
          <w:highlight w:val="none"/>
        </w:rPr>
        <w:sym w:font="Wingdings" w:char="00A8"/>
      </w:r>
      <w:r>
        <w:rPr>
          <w:rFonts w:hint="eastAsia" w:ascii="宋体" w:hAnsi="宋体" w:cs="宋体"/>
          <w:color w:val="auto"/>
          <w:sz w:val="24"/>
          <w:szCs w:val="24"/>
          <w:highlight w:val="none"/>
        </w:rPr>
        <w:t>”系指不适用本项目的要求。</w:t>
      </w:r>
    </w:p>
    <w:p w14:paraId="6CAAC169">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18" w:name="_Toc7173"/>
      <w:r>
        <w:rPr>
          <w:rFonts w:hint="eastAsia" w:ascii="宋体" w:hAnsi="宋体" w:eastAsia="宋体" w:cs="宋体"/>
          <w:b/>
          <w:color w:val="auto"/>
          <w:sz w:val="24"/>
          <w:szCs w:val="24"/>
          <w:highlight w:val="none"/>
        </w:rPr>
        <w:t>（三）招标方式</w:t>
      </w:r>
      <w:bookmarkEnd w:id="18"/>
    </w:p>
    <w:p w14:paraId="1278E4AA">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本次招标采用公开招标方式进行。</w:t>
      </w:r>
    </w:p>
    <w:p w14:paraId="0992730C">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19" w:name="_Toc22444"/>
      <w:r>
        <w:rPr>
          <w:rFonts w:hint="eastAsia" w:ascii="宋体" w:hAnsi="宋体" w:eastAsia="宋体" w:cs="宋体"/>
          <w:b/>
          <w:color w:val="auto"/>
          <w:sz w:val="24"/>
          <w:szCs w:val="24"/>
          <w:highlight w:val="none"/>
        </w:rPr>
        <w:t>（四）投标委托</w:t>
      </w:r>
      <w:bookmarkEnd w:id="19"/>
    </w:p>
    <w:p w14:paraId="716BFB80">
      <w:pPr>
        <w:pStyle w:val="13"/>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供应商无需到开标现场，但须准时在线参加，直至评审结束。</w:t>
      </w:r>
    </w:p>
    <w:p w14:paraId="6DD5D771">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20" w:name="_Toc21856"/>
      <w:r>
        <w:rPr>
          <w:rFonts w:hint="eastAsia" w:ascii="宋体" w:hAnsi="宋体" w:eastAsia="宋体" w:cs="宋体"/>
          <w:b/>
          <w:color w:val="auto"/>
          <w:sz w:val="24"/>
          <w:szCs w:val="24"/>
          <w:highlight w:val="none"/>
        </w:rPr>
        <w:t>（五）投标费用</w:t>
      </w:r>
      <w:bookmarkEnd w:id="20"/>
    </w:p>
    <w:p w14:paraId="4574694B">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不论投标结果如何，投标人均应自行承担所有与投标有关的全部费用（</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有相反规定除外）。</w:t>
      </w:r>
    </w:p>
    <w:p w14:paraId="3F21D2CC">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21" w:name="_Toc29242"/>
      <w:r>
        <w:rPr>
          <w:rFonts w:hint="eastAsia" w:ascii="宋体" w:hAnsi="宋体" w:eastAsia="宋体" w:cs="宋体"/>
          <w:b/>
          <w:color w:val="auto"/>
          <w:sz w:val="24"/>
          <w:szCs w:val="24"/>
          <w:highlight w:val="none"/>
        </w:rPr>
        <w:t>（六）联合体投标</w:t>
      </w:r>
      <w:bookmarkEnd w:id="21"/>
    </w:p>
    <w:p w14:paraId="67D6DD53">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14:paraId="4887B301">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22" w:name="_Toc8703"/>
      <w:r>
        <w:rPr>
          <w:rFonts w:hint="eastAsia" w:ascii="宋体" w:hAnsi="宋体" w:eastAsia="宋体" w:cs="宋体"/>
          <w:b/>
          <w:color w:val="auto"/>
          <w:sz w:val="24"/>
          <w:szCs w:val="24"/>
          <w:highlight w:val="none"/>
        </w:rPr>
        <w:t>（七）转包与分包</w:t>
      </w:r>
      <w:bookmarkEnd w:id="22"/>
    </w:p>
    <w:p w14:paraId="376673D7">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1.转包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本项目不允许</w:t>
      </w:r>
      <w:r>
        <w:rPr>
          <w:rFonts w:hint="eastAsia" w:ascii="宋体" w:hAnsi="宋体" w:eastAsia="宋体" w:cs="宋体"/>
          <w:color w:val="auto"/>
          <w:kern w:val="0"/>
          <w:sz w:val="24"/>
          <w:szCs w:val="24"/>
          <w:highlight w:val="none"/>
          <w:lang w:eastAsia="zh-CN"/>
        </w:rPr>
        <w:t>转包。</w:t>
      </w:r>
    </w:p>
    <w:p w14:paraId="637A3189">
      <w:pPr>
        <w:keepNext w:val="0"/>
        <w:keepLines w:val="0"/>
        <w:pageBreakBefore w:val="0"/>
        <w:widowControl w:val="0"/>
        <w:kinsoku/>
        <w:wordWrap w:val="0"/>
        <w:overflowPunct/>
        <w:topLinePunct/>
        <w:autoSpaceDE/>
        <w:autoSpaceDN/>
        <w:bidi w:val="0"/>
        <w:adjustRightInd/>
        <w:spacing w:beforeAutospacing="0" w:afterAutospacing="0" w:line="400" w:lineRule="exact"/>
        <w:ind w:left="0" w:leftChars="0" w:right="0" w:rightChars="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2.分包</w:t>
      </w:r>
      <w:r>
        <w:rPr>
          <w:rFonts w:hint="eastAsia" w:ascii="宋体" w:hAnsi="宋体" w:eastAsia="宋体" w:cs="宋体"/>
          <w:color w:val="auto"/>
          <w:kern w:val="0"/>
          <w:sz w:val="24"/>
          <w:szCs w:val="24"/>
          <w:highlight w:val="none"/>
          <w:lang w:eastAsia="zh-CN"/>
        </w:rPr>
        <w:t>：</w:t>
      </w:r>
    </w:p>
    <w:p w14:paraId="64265288">
      <w:pPr>
        <w:keepNext w:val="0"/>
        <w:keepLines w:val="0"/>
        <w:pageBreakBefore w:val="0"/>
        <w:widowControl w:val="0"/>
        <w:kinsoku/>
        <w:wordWrap w:val="0"/>
        <w:overflowPunct/>
        <w:topLinePunct/>
        <w:autoSpaceDE/>
        <w:autoSpaceDN/>
        <w:bidi w:val="0"/>
        <w:adjustRightInd/>
        <w:spacing w:beforeAutospacing="0" w:afterAutospacing="0" w:line="400" w:lineRule="exact"/>
        <w:ind w:left="0" w:leftChars="0" w:right="0" w:rightChars="0"/>
        <w:jc w:val="both"/>
        <w:textAlignment w:val="auto"/>
        <w:outlineLvl w:val="9"/>
        <w:rPr>
          <w:rFonts w:hint="eastAsia" w:ascii="宋体" w:hAnsi="宋体" w:cs="宋体"/>
          <w:color w:val="auto"/>
          <w:sz w:val="24"/>
          <w:szCs w:val="24"/>
          <w:highlight w:val="none"/>
        </w:rPr>
      </w:pPr>
      <w:r>
        <w:rPr>
          <w:rFonts w:hint="eastAsia" w:ascii="Wingdings" w:hAnsi="Wingdings"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sym w:font="Wingdings" w:char="00A8"/>
      </w:r>
      <w:r>
        <w:rPr>
          <w:rFonts w:hint="eastAsia" w:ascii="宋体" w:hAnsi="宋体" w:cs="宋体"/>
          <w:color w:val="auto"/>
          <w:kern w:val="0"/>
          <w:sz w:val="24"/>
          <w:szCs w:val="24"/>
          <w:highlight w:val="none"/>
        </w:rPr>
        <w:t>A</w:t>
      </w:r>
      <w:r>
        <w:rPr>
          <w:rFonts w:hint="eastAsia" w:ascii="宋体" w:hAnsi="宋体" w:cs="宋体"/>
          <w:color w:val="auto"/>
          <w:sz w:val="24"/>
          <w:szCs w:val="24"/>
          <w:highlight w:val="none"/>
          <w:lang w:eastAsia="zh-CN"/>
        </w:rPr>
        <w:t>可以</w:t>
      </w:r>
      <w:r>
        <w:rPr>
          <w:rFonts w:hint="eastAsia" w:ascii="宋体" w:hAnsi="宋体" w:cs="宋体"/>
          <w:color w:val="auto"/>
          <w:sz w:val="24"/>
          <w:szCs w:val="24"/>
          <w:highlight w:val="none"/>
        </w:rPr>
        <w:t>将非主体、非关键性的</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工作分包。</w:t>
      </w:r>
    </w:p>
    <w:p w14:paraId="7806398C">
      <w:pPr>
        <w:keepNext w:val="0"/>
        <w:keepLines w:val="0"/>
        <w:pageBreakBefore w:val="0"/>
        <w:widowControl w:val="0"/>
        <w:kinsoku/>
        <w:wordWrap w:val="0"/>
        <w:overflowPunct/>
        <w:topLinePunct/>
        <w:autoSpaceDE/>
        <w:autoSpaceDN/>
        <w:bidi w:val="0"/>
        <w:adjustRightInd/>
        <w:spacing w:beforeAutospacing="0" w:afterAutospacing="0" w:line="400" w:lineRule="exact"/>
        <w:ind w:left="0" w:leftChars="0" w:right="0" w:right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Wingdings" w:hAnsi="Wingdings" w:eastAsia="MS Mincho" w:cs="MS Mincho"/>
          <w:color w:val="auto"/>
          <w:kern w:val="0"/>
          <w:sz w:val="24"/>
          <w:szCs w:val="24"/>
          <w:highlight w:val="none"/>
          <w:lang w:val="en-US" w:eastAsia="zh-CN" w:bidi="ar-SA"/>
        </w:rPr>
        <w:t>þ</w:t>
      </w:r>
      <w:r>
        <w:rPr>
          <w:rFonts w:hint="eastAsia" w:ascii="宋体" w:hAnsi="宋体" w:cs="宋体"/>
          <w:color w:val="auto"/>
          <w:kern w:val="0"/>
          <w:sz w:val="24"/>
          <w:szCs w:val="24"/>
          <w:highlight w:val="none"/>
        </w:rPr>
        <w:t>B</w:t>
      </w:r>
      <w:r>
        <w:rPr>
          <w:rFonts w:hint="eastAsia" w:ascii="宋体" w:hAnsi="宋体" w:cs="宋体"/>
          <w:color w:val="auto"/>
          <w:sz w:val="24"/>
          <w:szCs w:val="24"/>
          <w:highlight w:val="none"/>
        </w:rPr>
        <w:t>不</w:t>
      </w:r>
      <w:r>
        <w:rPr>
          <w:rFonts w:hint="eastAsia" w:ascii="宋体" w:hAnsi="宋体" w:cs="宋体"/>
          <w:color w:val="auto"/>
          <w:sz w:val="24"/>
          <w:szCs w:val="24"/>
          <w:highlight w:val="none"/>
          <w:lang w:eastAsia="zh-CN"/>
        </w:rPr>
        <w:t>可以</w:t>
      </w:r>
      <w:r>
        <w:rPr>
          <w:rFonts w:hint="eastAsia" w:ascii="宋体" w:hAnsi="宋体" w:cs="宋体"/>
          <w:color w:val="auto"/>
          <w:sz w:val="24"/>
          <w:szCs w:val="24"/>
          <w:highlight w:val="none"/>
        </w:rPr>
        <w:t>分包。</w:t>
      </w:r>
    </w:p>
    <w:p w14:paraId="5AC075AB">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23" w:name="_Toc26405"/>
      <w:r>
        <w:rPr>
          <w:rFonts w:hint="eastAsia" w:ascii="宋体" w:hAnsi="宋体" w:eastAsia="宋体" w:cs="宋体"/>
          <w:b/>
          <w:color w:val="auto"/>
          <w:sz w:val="24"/>
          <w:szCs w:val="24"/>
          <w:highlight w:val="none"/>
        </w:rPr>
        <w:t>（八）是否允许采购进口产品</w:t>
      </w:r>
      <w:bookmarkEnd w:id="23"/>
    </w:p>
    <w:p w14:paraId="118D8952">
      <w:pPr>
        <w:keepNext w:val="0"/>
        <w:keepLines w:val="0"/>
        <w:pageBreakBefore w:val="0"/>
        <w:widowControl w:val="0"/>
        <w:kinsoku/>
        <w:wordWrap w:val="0"/>
        <w:overflowPunct/>
        <w:topLinePunct/>
        <w:autoSpaceDE/>
        <w:autoSpaceDN/>
        <w:bidi w:val="0"/>
        <w:adjustRightInd/>
        <w:snapToGrid/>
        <w:spacing w:beforeAutospacing="0" w:afterAutospacing="0" w:line="400" w:lineRule="exact"/>
        <w:ind w:left="0" w:leftChars="0" w:right="0" w:rightChars="0" w:firstLine="480" w:firstLineChars="200"/>
        <w:jc w:val="both"/>
        <w:textAlignment w:val="auto"/>
        <w:outlineLvl w:val="9"/>
        <w:rPr>
          <w:rFonts w:hint="eastAsia" w:ascii="宋体" w:hAnsi="宋体" w:cs="宋体"/>
          <w:color w:val="auto"/>
          <w:sz w:val="24"/>
          <w:szCs w:val="24"/>
          <w:highlight w:val="none"/>
          <w:lang w:val="en-US" w:eastAsia="zh-CN"/>
        </w:rPr>
      </w:pPr>
      <w:r>
        <w:rPr>
          <w:rFonts w:hint="eastAsia" w:ascii="Wingdings" w:hAnsi="Wingdings" w:eastAsia="MS Mincho" w:cs="MS Mincho"/>
          <w:color w:val="auto"/>
          <w:kern w:val="0"/>
          <w:sz w:val="24"/>
          <w:szCs w:val="24"/>
          <w:highlight w:val="none"/>
          <w:lang w:val="en-US" w:eastAsia="zh-CN" w:bidi="ar-SA"/>
        </w:rPr>
        <w:t>þ</w:t>
      </w:r>
      <w:r>
        <w:rPr>
          <w:rFonts w:hint="eastAsia" w:ascii="宋体" w:hAnsi="宋体" w:cs="宋体"/>
          <w:color w:val="auto"/>
          <w:sz w:val="24"/>
          <w:szCs w:val="24"/>
          <w:highlight w:val="none"/>
          <w:lang w:val="en-US" w:eastAsia="zh-CN"/>
        </w:rPr>
        <w:t>本项目不允许采购进口产品。</w:t>
      </w:r>
    </w:p>
    <w:p w14:paraId="5C201498">
      <w:pPr>
        <w:keepNext w:val="0"/>
        <w:keepLines w:val="0"/>
        <w:pageBreakBefore w:val="0"/>
        <w:widowControl w:val="0"/>
        <w:kinsoku/>
        <w:wordWrap w:val="0"/>
        <w:overflowPunct/>
        <w:topLinePunct/>
        <w:autoSpaceDE/>
        <w:autoSpaceDN/>
        <w:bidi w:val="0"/>
        <w:adjustRightInd/>
        <w:snapToGrid/>
        <w:spacing w:beforeAutospacing="0" w:afterAutospacing="0" w:line="400" w:lineRule="exact"/>
        <w:ind w:left="0" w:leftChars="0" w:right="0" w:rightChars="0" w:firstLine="480" w:firstLineChars="200"/>
        <w:jc w:val="both"/>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cs="宋体"/>
          <w:color w:val="auto"/>
          <w:sz w:val="24"/>
          <w:szCs w:val="24"/>
          <w:highlight w:val="none"/>
          <w:lang w:val="en-US" w:eastAsia="zh-CN"/>
        </w:rPr>
        <w:sym w:font="Wingdings" w:char="00A8"/>
      </w:r>
      <w:r>
        <w:rPr>
          <w:rFonts w:hint="eastAsia" w:ascii="宋体" w:hAnsi="宋体" w:cs="宋体"/>
          <w:color w:val="auto"/>
          <w:sz w:val="24"/>
          <w:szCs w:val="24"/>
          <w:highlight w:val="none"/>
          <w:lang w:val="en-US" w:eastAsia="zh-CN"/>
        </w:rPr>
        <w:t>可以就</w:t>
      </w:r>
      <w:r>
        <w:rPr>
          <w:rFonts w:hint="eastAsia" w:ascii="宋体" w:hAnsi="宋体" w:cs="宋体"/>
          <w:color w:val="auto"/>
          <w:sz w:val="24"/>
          <w:szCs w:val="24"/>
          <w:highlight w:val="none"/>
          <w:u w:val="single"/>
          <w:lang w:val="en-US" w:eastAsia="zh-CN"/>
        </w:rPr>
        <w:t xml:space="preserve">  （货物名称）  </w:t>
      </w:r>
      <w:r>
        <w:rPr>
          <w:rFonts w:hint="eastAsia" w:ascii="宋体" w:hAnsi="宋体" w:cs="宋体"/>
          <w:color w:val="auto"/>
          <w:sz w:val="24"/>
          <w:szCs w:val="24"/>
          <w:highlight w:val="none"/>
          <w:lang w:val="en-US" w:eastAsia="zh-CN"/>
        </w:rPr>
        <w:t>采购进口产品。优先采购向我国企业转让技术、与我国企业签订消化吸收再创新方案的供应商的进口产品。</w:t>
      </w:r>
    </w:p>
    <w:p w14:paraId="6E88D224">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bookmarkStart w:id="24" w:name="_Toc9215"/>
      <w:r>
        <w:rPr>
          <w:rFonts w:hint="eastAsia" w:ascii="宋体" w:hAnsi="宋体" w:eastAsia="宋体" w:cs="宋体"/>
          <w:b/>
          <w:color w:val="auto"/>
          <w:sz w:val="24"/>
          <w:szCs w:val="24"/>
          <w:highlight w:val="none"/>
        </w:rPr>
        <w:t>▲（九）特别说明：</w:t>
      </w:r>
      <w:bookmarkEnd w:id="24"/>
    </w:p>
    <w:p w14:paraId="30ECBBA6">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1.采用最低评标价法的采购项目，提供相同品牌产品的不同投标人参加同一合同项下投标的，以其中通过资格审查、符合性审查且报价最低的参加评标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报价相同的，由采购人或者采购人委托评标委员会按照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规定的方式确定一个参加评标的投标人，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未规定的采取随机抽取方式确定，其他投标无效。</w:t>
      </w:r>
    </w:p>
    <w:p w14:paraId="75DFDCE1">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规定的方式确定一个投标人获得中标人推荐资格，</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未规定的采取随机抽取方式确定，其他同品牌投标人不作为中标候选人。</w:t>
      </w:r>
    </w:p>
    <w:p w14:paraId="671D9A73">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非单一产品采购项目，采购人应当根据采购项目技术构成、产品价格比重等合理确定核心产品，并在</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中载明。多家投标人提供的核心产品品牌相同的，按前两款规定处理。</w:t>
      </w:r>
    </w:p>
    <w:p w14:paraId="378589FC">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2.投标人投标所使用的资格、信誉、荣誉、业绩与企业认证必须为本投标人所拥有。</w:t>
      </w:r>
    </w:p>
    <w:p w14:paraId="05DE0FAC">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3.投标人应仔细阅读</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的所有内容，按照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的要求提交投标文件，并对所提供的全部资料的真实性承担法律责任。</w:t>
      </w:r>
    </w:p>
    <w:p w14:paraId="34E373E1">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4.投标人在投标活动中提供任何虚假材料,其投标无效，并报监管部门查处；中标后发现的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中标人须依照《中华人民共和国消费者权益保护法》第49条之规定双倍赔偿采购人，且民事赔偿并不免除违法投标人的行政与刑事责任。</w:t>
      </w:r>
    </w:p>
    <w:p w14:paraId="5CF2AD04">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25" w:name="_Toc27519"/>
      <w:r>
        <w:rPr>
          <w:rFonts w:hint="eastAsia" w:ascii="宋体" w:hAnsi="宋体" w:eastAsia="宋体" w:cs="宋体"/>
          <w:b/>
          <w:color w:val="auto"/>
          <w:sz w:val="24"/>
          <w:szCs w:val="24"/>
          <w:highlight w:val="none"/>
        </w:rPr>
        <w:t>（十）质疑和投诉</w:t>
      </w:r>
      <w:bookmarkEnd w:id="25"/>
    </w:p>
    <w:p w14:paraId="13E978E6">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1.质疑和投诉应当满足《政府采购质疑和投诉办法》（中华人民共和国财政部令第94号）、《浙江省财政厅关于印发浙江省</w:t>
      </w:r>
      <w:r>
        <w:rPr>
          <w:rFonts w:hint="eastAsia" w:ascii="宋体" w:hAnsi="宋体" w:eastAsia="宋体" w:cs="宋体"/>
          <w:color w:val="auto"/>
          <w:sz w:val="24"/>
          <w:szCs w:val="24"/>
          <w:highlight w:val="none"/>
          <w:lang w:val="en-US" w:eastAsia="zh-CN"/>
        </w:rPr>
        <w:t>政府采购询问和质疑实施办法</w:t>
      </w:r>
      <w:r>
        <w:rPr>
          <w:rFonts w:hint="eastAsia" w:ascii="宋体" w:hAnsi="宋体" w:eastAsia="宋体" w:cs="宋体"/>
          <w:color w:val="auto"/>
          <w:sz w:val="24"/>
          <w:szCs w:val="24"/>
          <w:highlight w:val="none"/>
        </w:rPr>
        <w:t>的通知》（浙财采监〔20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号）要求。</w:t>
      </w:r>
    </w:p>
    <w:p w14:paraId="1F48B5A6">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color w:val="auto"/>
          <w:sz w:val="24"/>
          <w:szCs w:val="24"/>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应当自知道或者应当知道其合法权益受到损害之日起七个工作日内提出质疑。对采购公告信息（供应商资格条件）提出质疑的，质疑期限自采购公告发布之日起计算。对采购文件提出质疑的，供应商可在获取采购文件之日或者采购文件公告期限届满之日（公告期限届满后获取采购文件的，以公告期限届满之日为准）起七个工作日内发起,且应当在投标（响应）截止时间之前提出；对采购过程提出质疑的，投标（响应）供应商可在投标（响应）截止时间后，采购结果公告发布时间起7个工作日内发起；对采购结果提出质疑的，投标（响应）供应商可在采购结果公告期限届满之日起七个工作日内发起。</w:t>
      </w:r>
    </w:p>
    <w:p w14:paraId="444C4F4F">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B5B4867">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5B7B7F0">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质疑、投诉采用书面形式，质疑书、投诉书均应明确阐述</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、招标过程或中标结果中使自己合法权益受到损害的实质性内容，提供相关事实、依据和证据及其来源或线索，便于有关单位调查、答复和处理。</w:t>
      </w:r>
    </w:p>
    <w:p w14:paraId="6C6A7838">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.供应商须在法定质疑期内一次性提出针对同一采购程序环节的质疑。</w:t>
      </w:r>
    </w:p>
    <w:p w14:paraId="1B183E10">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.供应商认为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在质疑答复程序中启用的调查和复评等程序，在该程序操作过程未明显违反法律禁止性规定时，不得提出疑义。</w:t>
      </w:r>
    </w:p>
    <w:p w14:paraId="4A8351FB">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.质疑函须采用财政部发布的政府采购供应商质疑函范本（参考样式可从浙江政府采购网下载专区下载），否则采购代理机构有权要求质疑供应商改正后重新提出。</w:t>
      </w:r>
    </w:p>
    <w:p w14:paraId="2B0A8B1A">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也可通过邮寄方式寄递政府采购投诉材料，邮寄地址为涉及政府采购项目采购人预算级次相应的财政部门。政府采购投诉材料中须写明邮箱地址、传真号码，财政部门审查受理、处理决定等相关文书可通过电子邮件、传真等形式送达，供应商明确表示需要邮寄的除外。</w:t>
      </w:r>
    </w:p>
    <w:p w14:paraId="746BEF9C">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.在线或者邮寄政府采购投诉材料当日下班时间点后收到的视为下一个工作日收到。</w:t>
      </w:r>
    </w:p>
    <w:p w14:paraId="3DD519A9">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采购人或者采购</w:t>
      </w:r>
      <w:r>
        <w:rPr>
          <w:rFonts w:hint="eastAsia" w:ascii="宋体" w:hAnsi="宋体" w:eastAsia="宋体" w:cs="宋体"/>
          <w:color w:val="auto"/>
          <w:sz w:val="24"/>
          <w:szCs w:val="24"/>
          <w:highlight w:val="none"/>
          <w:lang w:eastAsia="zh-CN"/>
        </w:rPr>
        <w:t>代理</w:t>
      </w:r>
      <w:r>
        <w:rPr>
          <w:rFonts w:hint="eastAsia" w:ascii="宋体" w:hAnsi="宋体" w:eastAsia="宋体" w:cs="宋体"/>
          <w:color w:val="auto"/>
          <w:sz w:val="24"/>
          <w:szCs w:val="24"/>
          <w:highlight w:val="none"/>
        </w:rPr>
        <w:t>机构在质疑回复后，在浙江政府采购网的“</w:t>
      </w:r>
      <w:r>
        <w:rPr>
          <w:rFonts w:hint="eastAsia" w:ascii="宋体" w:hAnsi="宋体" w:eastAsia="宋体" w:cs="宋体"/>
          <w:color w:val="auto"/>
          <w:sz w:val="24"/>
          <w:szCs w:val="24"/>
          <w:highlight w:val="none"/>
          <w:lang w:eastAsia="zh-CN"/>
        </w:rPr>
        <w:t>质疑回复公告</w:t>
      </w:r>
      <w:r>
        <w:rPr>
          <w:rFonts w:hint="eastAsia" w:ascii="宋体" w:hAnsi="宋体" w:eastAsia="宋体" w:cs="宋体"/>
          <w:color w:val="auto"/>
          <w:sz w:val="24"/>
          <w:szCs w:val="24"/>
          <w:highlight w:val="none"/>
        </w:rPr>
        <w:t>”栏目公开质疑答复，答复内容应当完整。质疑函作为附件上传。</w:t>
      </w:r>
    </w:p>
    <w:p w14:paraId="09D9791D">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color w:val="auto"/>
          <w:sz w:val="24"/>
          <w:szCs w:val="24"/>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询问或者质疑事项可能影响采购结果的，采购人应当暂停签订合同，已经签订合同的，应当中止履行合同。</w:t>
      </w:r>
    </w:p>
    <w:p w14:paraId="5E38565C">
      <w:pPr>
        <w:keepNext w:val="0"/>
        <w:keepLines w:val="0"/>
        <w:pageBreakBefore w:val="0"/>
        <w:widowControl w:val="0"/>
        <w:kinsoku/>
        <w:wordWrap w:val="0"/>
        <w:overflowPunct/>
        <w:topLinePunct/>
        <w:autoSpaceDE/>
        <w:autoSpaceDN/>
        <w:bidi w:val="0"/>
        <w:snapToGrid w:val="0"/>
        <w:spacing w:beforeAutospacing="0" w:afterAutospacing="0" w:line="400" w:lineRule="exact"/>
        <w:ind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eastAsia="zh-CN"/>
        </w:rPr>
        <w:t>采购文件</w:t>
      </w:r>
    </w:p>
    <w:p w14:paraId="1C58E238">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26" w:name="_Toc29193"/>
      <w:r>
        <w:rPr>
          <w:rFonts w:hint="eastAsia" w:ascii="宋体" w:hAnsi="宋体" w:eastAsia="宋体" w:cs="宋体"/>
          <w:b/>
          <w:color w:val="auto"/>
          <w:sz w:val="24"/>
          <w:szCs w:val="24"/>
          <w:highlight w:val="none"/>
        </w:rPr>
        <w:t>（一）</w:t>
      </w:r>
      <w:r>
        <w:rPr>
          <w:rFonts w:hint="eastAsia" w:hAnsi="宋体" w:eastAsia="宋体" w:cs="宋体"/>
          <w:b/>
          <w:color w:val="auto"/>
          <w:sz w:val="24"/>
          <w:szCs w:val="24"/>
          <w:highlight w:val="none"/>
          <w:lang w:eastAsia="zh-CN"/>
        </w:rPr>
        <w:t>采购文件</w:t>
      </w:r>
      <w:r>
        <w:rPr>
          <w:rFonts w:hint="eastAsia" w:ascii="宋体" w:hAnsi="宋体" w:eastAsia="宋体" w:cs="宋体"/>
          <w:b/>
          <w:color w:val="auto"/>
          <w:sz w:val="24"/>
          <w:szCs w:val="24"/>
          <w:highlight w:val="none"/>
        </w:rPr>
        <w:t>的构成。本</w:t>
      </w:r>
      <w:r>
        <w:rPr>
          <w:rFonts w:hint="eastAsia" w:hAnsi="宋体" w:eastAsia="宋体" w:cs="宋体"/>
          <w:b/>
          <w:color w:val="auto"/>
          <w:sz w:val="24"/>
          <w:szCs w:val="24"/>
          <w:highlight w:val="none"/>
          <w:lang w:eastAsia="zh-CN"/>
        </w:rPr>
        <w:t>采购文件</w:t>
      </w:r>
      <w:r>
        <w:rPr>
          <w:rFonts w:hint="eastAsia" w:ascii="宋体" w:hAnsi="宋体" w:eastAsia="宋体" w:cs="宋体"/>
          <w:b/>
          <w:color w:val="auto"/>
          <w:sz w:val="24"/>
          <w:szCs w:val="24"/>
          <w:highlight w:val="none"/>
        </w:rPr>
        <w:t>由以下部份组成：</w:t>
      </w:r>
      <w:bookmarkEnd w:id="26"/>
    </w:p>
    <w:p w14:paraId="40E7D215">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14:paraId="05ACFD8A">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2.招标需求</w:t>
      </w:r>
    </w:p>
    <w:p w14:paraId="6BFFF70D">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3.投标人须知</w:t>
      </w:r>
    </w:p>
    <w:p w14:paraId="0BECBCB4">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4.评标办法及标准</w:t>
      </w:r>
    </w:p>
    <w:p w14:paraId="34317277">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5.合同主要条款</w:t>
      </w:r>
    </w:p>
    <w:p w14:paraId="618BC5D4">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03CE09DD">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的澄清、答复、修改、补充的内容</w:t>
      </w:r>
    </w:p>
    <w:p w14:paraId="73E5348C">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27" w:name="_Toc440"/>
      <w:r>
        <w:rPr>
          <w:rFonts w:hint="eastAsia" w:ascii="宋体" w:hAnsi="宋体" w:eastAsia="宋体" w:cs="宋体"/>
          <w:b/>
          <w:color w:val="auto"/>
          <w:sz w:val="24"/>
          <w:szCs w:val="24"/>
          <w:highlight w:val="none"/>
        </w:rPr>
        <w:t>（二）投标人的风险</w:t>
      </w:r>
      <w:bookmarkEnd w:id="27"/>
    </w:p>
    <w:p w14:paraId="5D7433D9">
      <w:pPr>
        <w:pStyle w:val="23"/>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投标人没有按照</w:t>
      </w:r>
      <w:r>
        <w:rPr>
          <w:rFonts w:hint="eastAsia" w:asci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要求提供全部资料，或者投标人没有对</w:t>
      </w:r>
      <w:r>
        <w:rPr>
          <w:rFonts w:hint="eastAsia" w:asci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在各方面作出实质性响应是投标人的风险，并可能导致其投标为无效标。</w:t>
      </w:r>
    </w:p>
    <w:p w14:paraId="0A0A5CFB">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28" w:name="_Toc31093"/>
      <w:r>
        <w:rPr>
          <w:rFonts w:hint="eastAsia" w:ascii="宋体" w:hAnsi="宋体" w:eastAsia="宋体" w:cs="宋体"/>
          <w:b/>
          <w:color w:val="auto"/>
          <w:sz w:val="24"/>
          <w:szCs w:val="24"/>
          <w:highlight w:val="none"/>
        </w:rPr>
        <w:t>（三）</w:t>
      </w:r>
      <w:r>
        <w:rPr>
          <w:rFonts w:hint="eastAsia" w:hAnsi="宋体" w:eastAsia="宋体" w:cs="宋体"/>
          <w:b/>
          <w:color w:val="auto"/>
          <w:sz w:val="24"/>
          <w:szCs w:val="24"/>
          <w:highlight w:val="none"/>
          <w:lang w:eastAsia="zh-CN"/>
        </w:rPr>
        <w:t>采购文件</w:t>
      </w:r>
      <w:r>
        <w:rPr>
          <w:rFonts w:hint="eastAsia" w:ascii="宋体" w:hAnsi="宋体" w:eastAsia="宋体" w:cs="宋体"/>
          <w:b/>
          <w:color w:val="auto"/>
          <w:sz w:val="24"/>
          <w:szCs w:val="24"/>
          <w:highlight w:val="none"/>
        </w:rPr>
        <w:t>的澄清与修改</w:t>
      </w:r>
      <w:bookmarkEnd w:id="28"/>
      <w:r>
        <w:rPr>
          <w:rFonts w:hint="eastAsia" w:ascii="宋体" w:hAnsi="宋体" w:eastAsia="宋体" w:cs="宋体"/>
          <w:b/>
          <w:color w:val="auto"/>
          <w:sz w:val="24"/>
          <w:szCs w:val="24"/>
          <w:highlight w:val="none"/>
        </w:rPr>
        <w:t xml:space="preserve"> </w:t>
      </w:r>
    </w:p>
    <w:p w14:paraId="2AAE43DC">
      <w:pPr>
        <w:pStyle w:val="23"/>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1.投标人应认真阅读本</w:t>
      </w:r>
      <w:r>
        <w:rPr>
          <w:rFonts w:hint="eastAsia" w:asci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，发现其中有误或有不合理要求的，投标人必须在知道或者应当知道之日起七个工作日内以书面形式向招标人一次性提出。采购代理机构对已发出的</w:t>
      </w:r>
      <w:r>
        <w:rPr>
          <w:rFonts w:hint="eastAsia" w:asci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进行必要澄清、答复、修改或补充的，应当在</w:t>
      </w:r>
      <w:r>
        <w:rPr>
          <w:rFonts w:hint="eastAsia" w:asci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要求提交投标文件截止时间十五日前，在浙江政府采购网(https://zfcg.czt.zj.gov.cn/)上发布更正公告，请投标人在投标截止前及时关注。</w:t>
      </w:r>
      <w:r>
        <w:rPr>
          <w:rFonts w:hint="eastAsia" w:asci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的要澄清、答复、修改或补充，一经在上述媒体发布，即视所有投标人都已经收到相关文件。</w:t>
      </w:r>
    </w:p>
    <w:p w14:paraId="3118BCDD">
      <w:pPr>
        <w:pStyle w:val="23"/>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2.采购代理机构以公告形式答复投标人要求澄清的问题，但不包含问题来源；除上述媒体发布的答复以外的其他澄清方式及澄清内容均无效。</w:t>
      </w:r>
    </w:p>
    <w:p w14:paraId="526057B3">
      <w:pPr>
        <w:pStyle w:val="23"/>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澄清、答复、修改、补充的内容为</w:t>
      </w:r>
      <w:r>
        <w:rPr>
          <w:rFonts w:hint="eastAsia" w:asci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的组成部分。当</w:t>
      </w:r>
      <w:r>
        <w:rPr>
          <w:rFonts w:hint="eastAsia" w:asci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与</w:t>
      </w:r>
      <w:r>
        <w:rPr>
          <w:rFonts w:hint="eastAsia" w:asci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的答复、澄清、修改、补充通知就同一内容的表述不一致时，以最后发出的文件为准。</w:t>
      </w:r>
    </w:p>
    <w:p w14:paraId="27908FE4">
      <w:pPr>
        <w:pStyle w:val="23"/>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的澄清、答复、修改或补充都应该通过本代理机构以法定形式发布，采购人非通过本机构，不得擅自澄清、答复、修改或补充</w:t>
      </w:r>
      <w:r>
        <w:rPr>
          <w:rFonts w:hint="eastAsia" w:asci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w:t>
      </w:r>
    </w:p>
    <w:p w14:paraId="79B9EAE3">
      <w:pPr>
        <w:keepNext w:val="0"/>
        <w:keepLines w:val="0"/>
        <w:pageBreakBefore w:val="0"/>
        <w:widowControl w:val="0"/>
        <w:kinsoku/>
        <w:wordWrap w:val="0"/>
        <w:overflowPunct/>
        <w:topLinePunct/>
        <w:autoSpaceDE/>
        <w:autoSpaceDN/>
        <w:bidi w:val="0"/>
        <w:snapToGrid w:val="0"/>
        <w:spacing w:beforeAutospacing="0" w:afterAutospacing="0" w:line="400" w:lineRule="exact"/>
        <w:ind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三、投标文件的编制</w:t>
      </w:r>
    </w:p>
    <w:p w14:paraId="370F8A15">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29" w:name="_Toc11215"/>
      <w:r>
        <w:rPr>
          <w:rFonts w:hint="eastAsia" w:ascii="宋体" w:hAnsi="宋体" w:eastAsia="宋体" w:cs="宋体"/>
          <w:b/>
          <w:color w:val="auto"/>
          <w:sz w:val="24"/>
          <w:szCs w:val="24"/>
          <w:highlight w:val="none"/>
        </w:rPr>
        <w:t>(一)总体要求</w:t>
      </w:r>
      <w:bookmarkEnd w:id="29"/>
    </w:p>
    <w:p w14:paraId="1AFECF2C">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1.投标人应仔细阅读</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的所有内容，按本文件的要求提供投标文件，并保证所提供的全部资料的真实性，以使其投标文件对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作出实质性响应，否则，投标文件可能视为无效投标文件。</w:t>
      </w:r>
    </w:p>
    <w:p w14:paraId="1AA744A6">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2.投标文件及投标人与采购有关的来往通知，函件和文件均应使用中文。</w:t>
      </w:r>
    </w:p>
    <w:p w14:paraId="2B643583">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3.投标文件的形式：投标文件为电子加密投标文件，按“政府采购项目电子交易管理操作指南-供应商”及本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要求制作、加密并递交。</w:t>
      </w:r>
    </w:p>
    <w:p w14:paraId="0A536FDE">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30" w:name="_Toc24130"/>
      <w:r>
        <w:rPr>
          <w:rFonts w:hint="eastAsia" w:ascii="宋体" w:hAnsi="宋体" w:eastAsia="宋体" w:cs="宋体"/>
          <w:b/>
          <w:color w:val="auto"/>
          <w:sz w:val="24"/>
          <w:szCs w:val="24"/>
          <w:highlight w:val="none"/>
        </w:rPr>
        <w:t>（二）投标文件的组成</w:t>
      </w:r>
      <w:bookmarkEnd w:id="30"/>
    </w:p>
    <w:p w14:paraId="40826E48">
      <w:pPr>
        <w:pStyle w:val="17"/>
        <w:keepNext w:val="0"/>
        <w:keepLines w:val="0"/>
        <w:pageBreakBefore w:val="0"/>
        <w:widowControl w:val="0"/>
        <w:shd w:val="clear" w:color="auto" w:fill="auto"/>
        <w:kinsoku/>
        <w:wordWrap w:val="0"/>
        <w:overflowPunct/>
        <w:topLinePunct/>
        <w:autoSpaceDE/>
        <w:autoSpaceDN/>
        <w:bidi w:val="0"/>
        <w:snapToGrid w:val="0"/>
        <w:spacing w:before="0" w:beforeLines="0" w:beforeAutospacing="0" w:after="0" w:afterLines="0" w:afterAutospacing="0" w:line="400" w:lineRule="exact"/>
        <w:ind w:left="0" w:leftChars="0" w:right="0" w:rightChars="0" w:firstLine="482" w:firstLineChars="200"/>
        <w:textAlignment w:val="auto"/>
        <w:outlineLvl w:val="0"/>
        <w:rPr>
          <w:rFonts w:hint="eastAsia" w:ascii="宋体" w:hAnsi="宋体" w:eastAsia="宋体" w:cs="宋体"/>
          <w:b/>
          <w:color w:val="auto"/>
          <w:sz w:val="24"/>
          <w:szCs w:val="24"/>
          <w:highlight w:val="none"/>
        </w:rPr>
      </w:pPr>
      <w:bookmarkStart w:id="31" w:name="_Toc26583"/>
      <w:r>
        <w:rPr>
          <w:rFonts w:hint="eastAsia" w:ascii="宋体" w:hAnsi="宋体" w:eastAsia="宋体" w:cs="宋体"/>
          <w:b/>
          <w:color w:val="auto"/>
          <w:sz w:val="24"/>
          <w:szCs w:val="24"/>
          <w:highlight w:val="none"/>
        </w:rPr>
        <w:t>本项目所涉投标文件格式请详见第六章，未给出的格式请自拟。资格文件及商务技术文件中不得出现报价，否则投标文件将被视为无效。</w:t>
      </w:r>
      <w:r>
        <w:rPr>
          <w:rFonts w:hint="eastAsia" w:ascii="宋体" w:hAnsi="宋体" w:eastAsia="宋体" w:cs="宋体"/>
          <w:b/>
          <w:color w:val="auto"/>
          <w:sz w:val="24"/>
          <w:szCs w:val="24"/>
          <w:highlight w:val="none"/>
          <w:lang w:eastAsia="zh-CN"/>
        </w:rPr>
        <w:t>投标</w:t>
      </w:r>
      <w:r>
        <w:rPr>
          <w:rFonts w:hint="eastAsia" w:ascii="宋体" w:hAnsi="宋体" w:eastAsia="宋体" w:cs="宋体"/>
          <w:b/>
          <w:color w:val="auto"/>
          <w:sz w:val="24"/>
          <w:szCs w:val="24"/>
          <w:highlight w:val="none"/>
        </w:rPr>
        <w:t>文件中所须加盖公章部分均采用CA签章。</w:t>
      </w:r>
      <w:bookmarkEnd w:id="31"/>
    </w:p>
    <w:p w14:paraId="7D0A19A4">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投标文件由资格文件、商务技术文件、报价文件三部分组成。</w:t>
      </w:r>
    </w:p>
    <w:p w14:paraId="583F9AE8">
      <w:pPr>
        <w:pStyle w:val="17"/>
        <w:keepNext w:val="0"/>
        <w:keepLines w:val="0"/>
        <w:pageBreakBefore w:val="0"/>
        <w:widowControl w:val="0"/>
        <w:numPr>
          <w:ilvl w:val="0"/>
          <w:numId w:val="4"/>
        </w:numPr>
        <w:kinsoku/>
        <w:wordWrap w:val="0"/>
        <w:overflowPunct/>
        <w:topLinePunct/>
        <w:autoSpaceDE/>
        <w:autoSpaceDN/>
        <w:bidi w:val="0"/>
        <w:snapToGrid w:val="0"/>
        <w:spacing w:before="0" w:beforeLines="0" w:beforeAutospacing="0" w:after="0" w:afterLines="0" w:afterAutospacing="0" w:line="40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资格文件：</w:t>
      </w:r>
    </w:p>
    <w:p w14:paraId="1ADDFDCE">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right="0" w:rightChars="0"/>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（1）资格文件封面（格式见第六章）；</w:t>
      </w:r>
    </w:p>
    <w:p w14:paraId="4CB1579C">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right="0" w:rightChars="0" w:firstLine="480" w:firstLineChars="200"/>
        <w:textAlignment w:val="auto"/>
        <w:rPr>
          <w:rFonts w:hint="eastAsia"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满足《中华人民共和国政府采购法》第二十二条规定：</w:t>
      </w:r>
    </w:p>
    <w:p w14:paraId="1F2D91DB">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right="0" w:rightChars="0" w:firstLine="480" w:firstLineChars="200"/>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1）具有独立承担民事责任的能力；提供营业（经营）执照正本或副本扫描件（或复印件），加盖单位公章。</w:t>
      </w:r>
    </w:p>
    <w:p w14:paraId="71F76F26">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right="0" w:rightChars="0"/>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2）具有良好的商业信誉和健全的财务会计制度（提供承诺函或相关证明材料，格式自拟）。</w:t>
      </w:r>
    </w:p>
    <w:p w14:paraId="345C7E8A">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right="0" w:rightChars="0"/>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3）具有履行合同所必需的设备和专业技术能力（提供承诺函或相关证明材料，格式自拟）。</w:t>
      </w:r>
    </w:p>
    <w:p w14:paraId="144F4B3C">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right="0" w:rightChars="0"/>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4）有依法缴纳税收和社会保障资金的良好记录（提供承诺函或相关证明材料，格式自拟）。</w:t>
      </w:r>
    </w:p>
    <w:p w14:paraId="7D2CB31A">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right="0" w:rightChars="0"/>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5）参加政府采购活动前三年，在经营活动中没有重大违法记录（提供无重大违法记录声明函，格式见第六章）。</w:t>
      </w:r>
    </w:p>
    <w:p w14:paraId="684D4832">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right="0" w:rightChars="0"/>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6）法律、行政法规规定的其他条件。</w:t>
      </w:r>
    </w:p>
    <w:p w14:paraId="14881A26">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right="0" w:rightChars="0"/>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（3）未被“信用中国”（www.creditchina.gov.cn)、中国政府采购网（www.ccgp.gov.cn）列入失信被执行人、重大税收违法案件当事人名单、政府采购严重违法失信行为记录名单（提供承诺函或相关证明材料，格式自拟）</w:t>
      </w:r>
      <w:r>
        <w:rPr>
          <w:rFonts w:hint="eastAsia" w:hAnsi="宋体" w:eastAsia="宋体" w:cs="宋体"/>
          <w:color w:val="auto"/>
          <w:sz w:val="24"/>
          <w:szCs w:val="24"/>
          <w:highlight w:val="none"/>
          <w:lang w:eastAsia="zh-CN"/>
        </w:rPr>
        <w:t>。</w:t>
      </w:r>
    </w:p>
    <w:p w14:paraId="5AD4BFE2">
      <w:pPr>
        <w:keepNext w:val="0"/>
        <w:keepLines w:val="0"/>
        <w:pageBreakBefore w:val="0"/>
        <w:widowControl w:val="0"/>
        <w:kinsoku/>
        <w:wordWrap w:val="0"/>
        <w:overflowPunct/>
        <w:topLinePunct/>
        <w:autoSpaceDE/>
        <w:autoSpaceDN/>
        <w:bidi w:val="0"/>
        <w:snapToGrid w:val="0"/>
        <w:spacing w:beforeAutospacing="0" w:afterAutospacing="0" w:line="400" w:lineRule="exact"/>
        <w:ind w:firstLine="480" w:firstLineChars="200"/>
        <w:jc w:val="left"/>
        <w:textAlignment w:val="auto"/>
        <w:rPr>
          <w:rFonts w:hint="eastAsia"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资格声明、投标声明书、诚信承诺书、法定代表人资格证明书、法定代表人授权委托书（格</w:t>
      </w:r>
      <w:r>
        <w:rPr>
          <w:rFonts w:hint="eastAsia" w:ascii="宋体" w:hAnsi="宋体" w:eastAsia="宋体" w:cs="宋体"/>
          <w:color w:val="auto"/>
          <w:sz w:val="24"/>
          <w:szCs w:val="24"/>
          <w:highlight w:val="none"/>
        </w:rPr>
        <w:t>式见第六章</w:t>
      </w:r>
      <w:r>
        <w:rPr>
          <w:rFonts w:hint="eastAsia" w:ascii="宋体" w:hAnsi="宋体" w:eastAsia="宋体" w:cs="宋体"/>
          <w:color w:val="auto"/>
          <w:sz w:val="24"/>
          <w:szCs w:val="24"/>
          <w:highlight w:val="none"/>
          <w:lang w:eastAsia="zh-CN"/>
        </w:rPr>
        <w:t>）</w:t>
      </w:r>
      <w:r>
        <w:rPr>
          <w:rFonts w:hint="eastAsia" w:hAnsi="宋体" w:eastAsia="宋体" w:cs="宋体"/>
          <w:color w:val="auto"/>
          <w:sz w:val="24"/>
          <w:szCs w:val="24"/>
          <w:highlight w:val="none"/>
          <w:lang w:eastAsia="zh-CN"/>
        </w:rPr>
        <w:t>。</w:t>
      </w:r>
    </w:p>
    <w:p w14:paraId="7FBA0EE2">
      <w:pPr>
        <w:keepNext w:val="0"/>
        <w:keepLines w:val="0"/>
        <w:pageBreakBefore w:val="0"/>
        <w:widowControl w:val="0"/>
        <w:kinsoku/>
        <w:wordWrap w:val="0"/>
        <w:overflowPunct/>
        <w:topLinePunct/>
        <w:autoSpaceDE/>
        <w:autoSpaceDN/>
        <w:bidi w:val="0"/>
        <w:snapToGrid w:val="0"/>
        <w:spacing w:beforeAutospacing="0" w:afterAutospacing="0" w:line="400" w:lineRule="exact"/>
        <w:ind w:firstLine="480" w:firstLineChars="200"/>
        <w:jc w:val="left"/>
        <w:textAlignment w:val="auto"/>
        <w:rPr>
          <w:rFonts w:hint="eastAsia"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符合浙财采监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2013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24号《关于规范政府采购供应商资格设定及资格审查的通知》第六条规定（如涉及，提供承诺函或相关证明材料，格式自拟）</w:t>
      </w:r>
      <w:r>
        <w:rPr>
          <w:rFonts w:hint="eastAsia" w:hAnsi="宋体" w:eastAsia="宋体" w:cs="宋体"/>
          <w:color w:val="auto"/>
          <w:sz w:val="24"/>
          <w:szCs w:val="24"/>
          <w:highlight w:val="none"/>
          <w:lang w:eastAsia="zh-CN"/>
        </w:rPr>
        <w:t>。</w:t>
      </w:r>
      <w:bookmarkStart w:id="32" w:name="OLE_LINK26"/>
    </w:p>
    <w:p w14:paraId="73E416D5">
      <w:pPr>
        <w:keepNext w:val="0"/>
        <w:keepLines w:val="0"/>
        <w:pageBreakBefore w:val="0"/>
        <w:widowControl w:val="0"/>
        <w:kinsoku/>
        <w:bidi w:val="0"/>
        <w:snapToGrid w:val="0"/>
        <w:spacing w:line="400" w:lineRule="exact"/>
        <w:ind w:left="0" w:leftChars="0" w:firstLine="420" w:firstLineChars="175"/>
        <w:textAlignment w:val="auto"/>
        <w:rPr>
          <w:rFonts w:hint="eastAsia"/>
          <w:sz w:val="24"/>
          <w:szCs w:val="24"/>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u w:val="none"/>
          <w:lang w:eastAsia="zh-CN"/>
        </w:rPr>
        <w:t>投标人需要说明的其他内容。</w:t>
      </w:r>
    </w:p>
    <w:bookmarkEnd w:id="32"/>
    <w:p w14:paraId="0183372A">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2.商务技术文件</w:t>
      </w:r>
    </w:p>
    <w:p w14:paraId="2372D714">
      <w:pPr>
        <w:pStyle w:val="17"/>
        <w:keepNext w:val="0"/>
        <w:keepLines w:val="0"/>
        <w:pageBreakBefore w:val="0"/>
        <w:widowControl w:val="0"/>
        <w:kinsoku/>
        <w:wordWrap w:val="0"/>
        <w:overflowPunct w:val="0"/>
        <w:topLinePunct w:val="0"/>
        <w:autoSpaceDE w:val="0"/>
        <w:autoSpaceDN w:val="0"/>
        <w:bidi w:val="0"/>
        <w:snapToGrid w:val="0"/>
        <w:spacing w:before="0" w:beforeLines="0" w:after="0" w:afterLines="0" w:line="40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（1）商务技术文件封面（格式见第六章）；</w:t>
      </w:r>
    </w:p>
    <w:p w14:paraId="24392DC6">
      <w:pPr>
        <w:pStyle w:val="17"/>
        <w:keepNext w:val="0"/>
        <w:keepLines w:val="0"/>
        <w:pageBreakBefore w:val="0"/>
        <w:widowControl w:val="0"/>
        <w:kinsoku/>
        <w:wordWrap w:val="0"/>
        <w:overflowPunct w:val="0"/>
        <w:topLinePunct w:val="0"/>
        <w:autoSpaceDE w:val="0"/>
        <w:autoSpaceDN w:val="0"/>
        <w:bidi w:val="0"/>
        <w:snapToGrid w:val="0"/>
        <w:spacing w:before="0" w:beforeLines="0" w:after="0" w:afterLines="0" w:line="400" w:lineRule="exact"/>
        <w:ind w:right="0" w:rightChars="0"/>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val="en-US" w:eastAsia="zh-CN"/>
        </w:rPr>
        <w:t>投标人基本情况表（格式见第六章）；</w:t>
      </w:r>
    </w:p>
    <w:p w14:paraId="3FD4CDE4">
      <w:pPr>
        <w:pStyle w:val="17"/>
        <w:keepNext w:val="0"/>
        <w:keepLines w:val="0"/>
        <w:pageBreakBefore w:val="0"/>
        <w:widowControl w:val="0"/>
        <w:kinsoku/>
        <w:wordWrap w:val="0"/>
        <w:overflowPunct w:val="0"/>
        <w:topLinePunct w:val="0"/>
        <w:autoSpaceDE w:val="0"/>
        <w:autoSpaceDN w:val="0"/>
        <w:bidi w:val="0"/>
        <w:snapToGrid w:val="0"/>
        <w:spacing w:before="0" w:beforeLines="0" w:after="0" w:afterLines="0" w:line="40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w:t>
      </w:r>
      <w:r>
        <w:rPr>
          <w:rFonts w:hint="eastAsia"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val="en-US" w:eastAsia="zh-CN"/>
        </w:rPr>
        <w:t>具有相关行业的认证体系</w:t>
      </w:r>
      <w:r>
        <w:rPr>
          <w:rFonts w:hint="eastAsia" w:hAnsi="宋体" w:eastAsia="宋体" w:cs="宋体"/>
          <w:color w:val="auto"/>
          <w:kern w:val="0"/>
          <w:sz w:val="24"/>
          <w:szCs w:val="24"/>
          <w:highlight w:val="none"/>
          <w:lang w:val="en-US" w:eastAsia="zh-CN"/>
        </w:rPr>
        <w:t>的认证证书及</w:t>
      </w:r>
      <w:r>
        <w:rPr>
          <w:rFonts w:hint="eastAsia" w:ascii="宋体" w:hAnsi="宋体" w:eastAsia="宋体" w:cs="宋体"/>
          <w:color w:val="auto"/>
          <w:kern w:val="0"/>
          <w:sz w:val="24"/>
          <w:szCs w:val="24"/>
          <w:highlight w:val="none"/>
          <w:lang w:val="en-US" w:eastAsia="zh-CN"/>
        </w:rPr>
        <w:t>相关材料；</w:t>
      </w:r>
    </w:p>
    <w:p w14:paraId="5760F7FF">
      <w:pPr>
        <w:pStyle w:val="17"/>
        <w:keepNext w:val="0"/>
        <w:keepLines w:val="0"/>
        <w:pageBreakBefore w:val="0"/>
        <w:widowControl w:val="0"/>
        <w:kinsoku/>
        <w:wordWrap w:val="0"/>
        <w:overflowPunct w:val="0"/>
        <w:topLinePunct w:val="0"/>
        <w:autoSpaceDE w:val="0"/>
        <w:autoSpaceDN w:val="0"/>
        <w:bidi w:val="0"/>
        <w:snapToGrid w:val="0"/>
        <w:spacing w:before="0" w:beforeLines="0" w:after="0" w:afterLines="0" w:line="40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）同类</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业绩</w:t>
      </w:r>
      <w:r>
        <w:rPr>
          <w:rFonts w:hint="eastAsia" w:hAnsi="宋体" w:eastAsia="宋体" w:cs="宋体"/>
          <w:color w:val="auto"/>
          <w:sz w:val="24"/>
          <w:szCs w:val="24"/>
          <w:highlight w:val="none"/>
          <w:lang w:eastAsia="zh-CN"/>
        </w:rPr>
        <w:t>及相关材料</w:t>
      </w:r>
      <w:r>
        <w:rPr>
          <w:rFonts w:hint="eastAsia" w:ascii="宋体" w:hAnsi="宋体" w:eastAsia="宋体" w:cs="宋体"/>
          <w:color w:val="auto"/>
          <w:sz w:val="24"/>
          <w:szCs w:val="24"/>
          <w:highlight w:val="none"/>
          <w:lang w:val="en-US" w:eastAsia="zh-CN"/>
        </w:rPr>
        <w:t>：同类项目业绩情况一览表（格式见第六章）；</w:t>
      </w:r>
    </w:p>
    <w:p w14:paraId="18053E86">
      <w:pPr>
        <w:pStyle w:val="17"/>
        <w:keepNext w:val="0"/>
        <w:keepLines w:val="0"/>
        <w:pageBreakBefore w:val="0"/>
        <w:widowControl w:val="0"/>
        <w:kinsoku/>
        <w:wordWrap w:val="0"/>
        <w:overflowPunct w:val="0"/>
        <w:topLinePunct w:val="0"/>
        <w:autoSpaceDE w:val="0"/>
        <w:autoSpaceDN w:val="0"/>
        <w:bidi w:val="0"/>
        <w:snapToGrid w:val="0"/>
        <w:spacing w:before="0" w:beforeLines="0" w:after="0" w:afterLines="0" w:line="40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）商务响应表（格式见第六章）；</w:t>
      </w:r>
    </w:p>
    <w:p w14:paraId="37ECCB54">
      <w:pPr>
        <w:pStyle w:val="17"/>
        <w:keepNext w:val="0"/>
        <w:keepLines w:val="0"/>
        <w:pageBreakBefore w:val="0"/>
        <w:widowControl w:val="0"/>
        <w:kinsoku/>
        <w:wordWrap w:val="0"/>
        <w:overflowPunct w:val="0"/>
        <w:topLinePunct w:val="0"/>
        <w:autoSpaceDE w:val="0"/>
        <w:autoSpaceDN w:val="0"/>
        <w:bidi w:val="0"/>
        <w:snapToGrid w:val="0"/>
        <w:spacing w:before="0" w:beforeLines="0" w:after="0" w:afterLines="0" w:line="40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服务方案；</w:t>
      </w:r>
    </w:p>
    <w:p w14:paraId="493C2B21">
      <w:pPr>
        <w:pStyle w:val="17"/>
        <w:keepNext w:val="0"/>
        <w:keepLines w:val="0"/>
        <w:pageBreakBefore w:val="0"/>
        <w:widowControl w:val="0"/>
        <w:kinsoku/>
        <w:wordWrap w:val="0"/>
        <w:overflowPunct w:val="0"/>
        <w:topLinePunct w:val="0"/>
        <w:autoSpaceDE w:val="0"/>
        <w:autoSpaceDN w:val="0"/>
        <w:bidi w:val="0"/>
        <w:snapToGrid w:val="0"/>
        <w:spacing w:before="0" w:beforeLines="0" w:after="0" w:afterLines="0" w:line="400" w:lineRule="exact"/>
        <w:ind w:right="0" w:rightChars="0"/>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（7）</w:t>
      </w:r>
      <w:r>
        <w:rPr>
          <w:rFonts w:hint="eastAsia" w:ascii="宋体" w:hAnsi="宋体" w:eastAsia="宋体" w:cs="宋体"/>
          <w:color w:val="auto"/>
          <w:sz w:val="24"/>
          <w:szCs w:val="24"/>
          <w:highlight w:val="none"/>
          <w:lang w:val="en-US" w:eastAsia="zh-CN"/>
        </w:rPr>
        <w:t>人员配备情况（格式见第六章）</w:t>
      </w:r>
      <w:r>
        <w:rPr>
          <w:rFonts w:hint="eastAsia" w:hAnsi="宋体" w:eastAsia="宋体" w:cs="宋体"/>
          <w:color w:val="auto"/>
          <w:sz w:val="24"/>
          <w:szCs w:val="24"/>
          <w:highlight w:val="none"/>
          <w:lang w:val="en-US" w:eastAsia="zh-CN"/>
        </w:rPr>
        <w:t>；</w:t>
      </w:r>
    </w:p>
    <w:p w14:paraId="69176751">
      <w:pPr>
        <w:pStyle w:val="17"/>
        <w:keepNext w:val="0"/>
        <w:keepLines w:val="0"/>
        <w:pageBreakBefore w:val="0"/>
        <w:widowControl w:val="0"/>
        <w:kinsoku/>
        <w:wordWrap w:val="0"/>
        <w:overflowPunct w:val="0"/>
        <w:topLinePunct w:val="0"/>
        <w:autoSpaceDE w:val="0"/>
        <w:autoSpaceDN w:val="0"/>
        <w:bidi w:val="0"/>
        <w:snapToGrid w:val="0"/>
        <w:spacing w:before="0" w:beforeLines="0" w:after="0" w:afterLines="0" w:line="400" w:lineRule="exact"/>
        <w:ind w:right="0" w:rightChars="0"/>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）培训方案；</w:t>
      </w:r>
    </w:p>
    <w:p w14:paraId="18E14B95">
      <w:pPr>
        <w:pStyle w:val="17"/>
        <w:keepNext w:val="0"/>
        <w:keepLines w:val="0"/>
        <w:pageBreakBefore w:val="0"/>
        <w:widowControl w:val="0"/>
        <w:kinsoku/>
        <w:wordWrap w:val="0"/>
        <w:overflowPunct w:val="0"/>
        <w:topLinePunct w:val="0"/>
        <w:autoSpaceDE w:val="0"/>
        <w:autoSpaceDN w:val="0"/>
        <w:bidi w:val="0"/>
        <w:snapToGrid w:val="0"/>
        <w:spacing w:before="0" w:beforeLines="0" w:after="0" w:afterLines="0" w:line="400" w:lineRule="exact"/>
        <w:ind w:right="0" w:rightChars="0"/>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（9）</w:t>
      </w:r>
      <w:r>
        <w:rPr>
          <w:rFonts w:hint="eastAsia" w:ascii="宋体" w:hAnsi="宋体" w:eastAsia="宋体" w:cs="宋体"/>
          <w:color w:val="auto"/>
          <w:sz w:val="24"/>
          <w:szCs w:val="24"/>
          <w:highlight w:val="none"/>
        </w:rPr>
        <w:t>设备配备情况</w:t>
      </w:r>
      <w:r>
        <w:rPr>
          <w:rFonts w:hint="eastAsia" w:ascii="宋体" w:hAnsi="宋体" w:eastAsia="宋体" w:cs="宋体"/>
          <w:color w:val="auto"/>
          <w:sz w:val="24"/>
          <w:szCs w:val="24"/>
          <w:highlight w:val="none"/>
          <w:lang w:val="en-US" w:eastAsia="zh-CN"/>
        </w:rPr>
        <w:t>（格式见第六章）</w:t>
      </w:r>
      <w:r>
        <w:rPr>
          <w:rFonts w:hint="eastAsia" w:hAnsi="宋体" w:eastAsia="宋体" w:cs="宋体"/>
          <w:color w:val="auto"/>
          <w:sz w:val="24"/>
          <w:szCs w:val="24"/>
          <w:highlight w:val="none"/>
          <w:lang w:eastAsia="zh-CN"/>
        </w:rPr>
        <w:t>；</w:t>
      </w:r>
    </w:p>
    <w:p w14:paraId="7C9D38A4">
      <w:pPr>
        <w:pStyle w:val="17"/>
        <w:keepNext w:val="0"/>
        <w:keepLines w:val="0"/>
        <w:pageBreakBefore w:val="0"/>
        <w:widowControl w:val="0"/>
        <w:kinsoku/>
        <w:wordWrap w:val="0"/>
        <w:overflowPunct w:val="0"/>
        <w:topLinePunct w:val="0"/>
        <w:autoSpaceDE w:val="0"/>
        <w:autoSpaceDN w:val="0"/>
        <w:bidi w:val="0"/>
        <w:snapToGrid w:val="0"/>
        <w:spacing w:before="0" w:beforeLines="0" w:after="0" w:afterLines="0" w:line="400" w:lineRule="exact"/>
        <w:ind w:right="0" w:rightChars="0"/>
        <w:textAlignment w:val="auto"/>
        <w:rPr>
          <w:rFonts w:hint="eastAsia"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val="en-US" w:eastAsia="zh-CN"/>
        </w:rPr>
        <w:t xml:space="preserve">   </w:t>
      </w:r>
      <w:r>
        <w:rPr>
          <w:rFonts w:hint="eastAsia" w:ascii="宋体" w:hAnsi="宋体" w:eastAsia="宋体" w:cs="宋体"/>
          <w:bCs/>
          <w:color w:val="auto"/>
          <w:spacing w:val="-4"/>
          <w:sz w:val="24"/>
          <w:szCs w:val="24"/>
          <w:highlight w:val="none"/>
          <w:lang w:eastAsia="zh-CN"/>
        </w:rPr>
        <w:t>（</w:t>
      </w:r>
      <w:r>
        <w:rPr>
          <w:rFonts w:hint="eastAsia" w:hAnsi="宋体" w:eastAsia="宋体" w:cs="宋体"/>
          <w:bCs/>
          <w:color w:val="auto"/>
          <w:spacing w:val="-4"/>
          <w:sz w:val="24"/>
          <w:szCs w:val="24"/>
          <w:highlight w:val="none"/>
          <w:lang w:val="en-US" w:eastAsia="zh-CN"/>
        </w:rPr>
        <w:t>10</w:t>
      </w:r>
      <w:r>
        <w:rPr>
          <w:rFonts w:hint="eastAsia" w:ascii="宋体" w:hAnsi="宋体" w:eastAsia="宋体" w:cs="宋体"/>
          <w:bCs/>
          <w:color w:val="auto"/>
          <w:spacing w:val="-4"/>
          <w:sz w:val="24"/>
          <w:szCs w:val="24"/>
          <w:highlight w:val="none"/>
          <w:lang w:eastAsia="zh-CN"/>
        </w:rPr>
        <w:t>）售后服务方案</w:t>
      </w:r>
      <w:r>
        <w:rPr>
          <w:rFonts w:hint="eastAsia" w:hAnsi="宋体" w:eastAsia="宋体" w:cs="宋体"/>
          <w:bCs/>
          <w:color w:val="auto"/>
          <w:spacing w:val="-4"/>
          <w:sz w:val="24"/>
          <w:szCs w:val="24"/>
          <w:highlight w:val="none"/>
          <w:lang w:eastAsia="zh-CN"/>
        </w:rPr>
        <w:t>；</w:t>
      </w:r>
    </w:p>
    <w:p w14:paraId="555E57A6">
      <w:pPr>
        <w:pStyle w:val="17"/>
        <w:keepNext w:val="0"/>
        <w:keepLines w:val="0"/>
        <w:pageBreakBefore w:val="0"/>
        <w:widowControl w:val="0"/>
        <w:kinsoku/>
        <w:wordWrap w:val="0"/>
        <w:overflowPunct w:val="0"/>
        <w:autoSpaceDE w:val="0"/>
        <w:autoSpaceDN w:val="0"/>
        <w:bidi w:val="0"/>
        <w:snapToGrid w:val="0"/>
        <w:spacing w:before="0" w:beforeLines="0" w:after="0" w:afterLines="0" w:line="400" w:lineRule="exact"/>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 xml:space="preserve">   </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11</w:t>
      </w:r>
      <w:r>
        <w:rPr>
          <w:rFonts w:hint="eastAsia" w:hAnsi="宋体" w:eastAsia="宋体" w:cs="宋体"/>
          <w:color w:val="auto"/>
          <w:sz w:val="24"/>
          <w:szCs w:val="24"/>
          <w:highlight w:val="none"/>
          <w:lang w:eastAsia="zh-CN"/>
        </w:rPr>
        <w:t>）其他合理化建议（如有）；</w:t>
      </w:r>
    </w:p>
    <w:p w14:paraId="0FD174A2">
      <w:pPr>
        <w:pStyle w:val="17"/>
        <w:keepNext w:val="0"/>
        <w:keepLines w:val="0"/>
        <w:pageBreakBefore w:val="0"/>
        <w:widowControl w:val="0"/>
        <w:kinsoku/>
        <w:wordWrap w:val="0"/>
        <w:overflowPunct w:val="0"/>
        <w:topLinePunct w:val="0"/>
        <w:autoSpaceDE w:val="0"/>
        <w:autoSpaceDN w:val="0"/>
        <w:bidi w:val="0"/>
        <w:snapToGrid w:val="0"/>
        <w:spacing w:before="0" w:beforeLines="0" w:after="0" w:afterLines="0" w:line="400" w:lineRule="exact"/>
        <w:ind w:right="0" w:rightChars="0"/>
        <w:textAlignment w:val="auto"/>
        <w:rPr>
          <w:rFonts w:hint="eastAsia" w:ascii="宋体" w:hAnsi="宋体" w:eastAsia="宋体" w:cs="宋体"/>
          <w:b/>
          <w:bCs/>
          <w:color w:val="auto"/>
          <w:sz w:val="24"/>
          <w:szCs w:val="24"/>
          <w:highlight w:val="none"/>
        </w:rPr>
      </w:pPr>
      <w:r>
        <w:rPr>
          <w:rFonts w:hint="eastAsia" w:hAnsi="宋体" w:eastAsia="宋体" w:cs="宋体"/>
          <w:color w:val="auto"/>
          <w:sz w:val="24"/>
          <w:szCs w:val="24"/>
          <w:highlight w:val="none"/>
          <w:lang w:val="en-US" w:eastAsia="zh-CN"/>
        </w:rPr>
        <w:t xml:space="preserve">   </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12</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投标人需要说明的其他内容（未尽事宜可按采购需求及评分细则部分制作）</w:t>
      </w:r>
      <w:r>
        <w:rPr>
          <w:rFonts w:hint="eastAsia" w:ascii="宋体" w:hAnsi="宋体" w:eastAsia="宋体" w:cs="宋体"/>
          <w:b w:val="0"/>
          <w:bCs w:val="0"/>
          <w:color w:val="auto"/>
          <w:sz w:val="24"/>
          <w:szCs w:val="24"/>
          <w:highlight w:val="none"/>
        </w:rPr>
        <w:t>。</w:t>
      </w:r>
    </w:p>
    <w:p w14:paraId="3F296E6B">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right="0" w:rightChars="0"/>
        <w:textAlignment w:val="auto"/>
        <w:rPr>
          <w:rFonts w:hint="eastAsia" w:ascii="宋体" w:hAnsi="宋体" w:eastAsia="宋体" w:cs="宋体"/>
          <w:b/>
          <w:bCs/>
          <w:color w:val="auto"/>
          <w:sz w:val="24"/>
          <w:szCs w:val="24"/>
          <w:highlight w:val="none"/>
        </w:rPr>
      </w:pPr>
      <w:r>
        <w:rPr>
          <w:rFonts w:hint="eastAsia"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3.报价文件：</w:t>
      </w:r>
    </w:p>
    <w:p w14:paraId="1EDB9E28">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right="0" w:rightChars="0"/>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报价文件封面（格式见第六章）；</w:t>
      </w:r>
    </w:p>
    <w:p w14:paraId="5D9D1E90">
      <w:pPr>
        <w:pStyle w:val="17"/>
        <w:keepNext w:val="0"/>
        <w:keepLines w:val="0"/>
        <w:pageBreakBefore w:val="0"/>
        <w:widowControl w:val="0"/>
        <w:kinsoku/>
        <w:wordWrap w:val="0"/>
        <w:overflowPunct/>
        <w:topLinePunct/>
        <w:autoSpaceDE/>
        <w:autoSpaceDN/>
        <w:bidi w:val="0"/>
        <w:adjustRightInd/>
        <w:snapToGrid w:val="0"/>
        <w:spacing w:before="0" w:beforeLines="0" w:beforeAutospacing="0" w:after="0" w:afterLines="0" w:afterAutospacing="0" w:line="400" w:lineRule="exact"/>
        <w:ind w:right="0" w:rightChars="0"/>
        <w:jc w:val="both"/>
        <w:textAlignment w:val="auto"/>
        <w:outlineLvl w:val="9"/>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 xml:space="preserve">   </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2</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投标函（格式见第六章）</w:t>
      </w:r>
      <w:r>
        <w:rPr>
          <w:rFonts w:hint="eastAsia" w:hAnsi="宋体" w:eastAsia="宋体" w:cs="宋体"/>
          <w:color w:val="auto"/>
          <w:sz w:val="24"/>
          <w:szCs w:val="24"/>
          <w:highlight w:val="none"/>
          <w:lang w:eastAsia="zh-CN"/>
        </w:rPr>
        <w:t>；</w:t>
      </w:r>
    </w:p>
    <w:p w14:paraId="08A3070C">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right="0" w:rightChars="0"/>
        <w:textAlignment w:val="auto"/>
        <w:outlineLvl w:val="9"/>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）开标一览表（格式见第六章）</w:t>
      </w:r>
      <w:r>
        <w:rPr>
          <w:rFonts w:hint="eastAsia" w:ascii="宋体" w:hAnsi="宋体" w:eastAsia="宋体" w:cs="宋体"/>
          <w:color w:val="auto"/>
          <w:sz w:val="24"/>
          <w:szCs w:val="24"/>
          <w:highlight w:val="none"/>
          <w:lang w:eastAsia="zh-CN"/>
        </w:rPr>
        <w:t>；</w:t>
      </w:r>
    </w:p>
    <w:p w14:paraId="72D826C5">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right="0" w:rightChars="0"/>
        <w:textAlignment w:val="auto"/>
        <w:outlineLvl w:val="9"/>
        <w:rPr>
          <w:rFonts w:hint="eastAsia"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（4）</w:t>
      </w:r>
      <w:r>
        <w:rPr>
          <w:rFonts w:hint="eastAsia" w:ascii="宋体" w:hAnsi="宋体" w:eastAsia="宋体" w:cs="宋体"/>
          <w:color w:val="auto"/>
          <w:kern w:val="2"/>
          <w:sz w:val="24"/>
          <w:szCs w:val="24"/>
          <w:highlight w:val="none"/>
          <w:lang w:val="en-US" w:eastAsia="zh-CN" w:bidi="ar-SA"/>
        </w:rPr>
        <w:t>中小企业声明函（或监狱和戒毒企业或残疾人福利性单位声明函）（格式见第六章）</w:t>
      </w:r>
      <w:r>
        <w:rPr>
          <w:rFonts w:hint="eastAsia" w:ascii="宋体" w:hAnsi="宋体" w:eastAsia="宋体" w:cs="宋体"/>
          <w:color w:val="auto"/>
          <w:sz w:val="24"/>
          <w:szCs w:val="24"/>
          <w:highlight w:val="none"/>
        </w:rPr>
        <w:t>；</w:t>
      </w:r>
    </w:p>
    <w:p w14:paraId="540FF9A3">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right="0" w:rightChars="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w:t>
      </w:r>
      <w:r>
        <w:rPr>
          <w:rFonts w:hint="eastAsia"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投标人需要说明的其他内容</w:t>
      </w:r>
      <w:r>
        <w:rPr>
          <w:rFonts w:hint="eastAsia" w:ascii="宋体" w:hAnsi="宋体" w:eastAsia="宋体" w:cs="宋体"/>
          <w:color w:val="auto"/>
          <w:sz w:val="24"/>
          <w:szCs w:val="24"/>
          <w:highlight w:val="none"/>
          <w:lang w:eastAsia="zh-CN"/>
        </w:rPr>
        <w:t>。</w:t>
      </w:r>
    </w:p>
    <w:p w14:paraId="10C151C1">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4.投标文件内容填写说明 </w:t>
      </w:r>
    </w:p>
    <w:p w14:paraId="787D9117">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（1）投标人应在认真阅读</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所有内容的基础上，按照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的要求编制完整的投标文件。投标文件应按照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中规定的统一格式填写：</w:t>
      </w:r>
      <w:r>
        <w:rPr>
          <w:rFonts w:hint="eastAsia" w:ascii="宋体" w:hAnsi="宋体" w:eastAsia="宋体" w:cs="宋体"/>
          <w:bCs/>
          <w:color w:val="auto"/>
          <w:sz w:val="24"/>
          <w:szCs w:val="24"/>
          <w:highlight w:val="none"/>
        </w:rPr>
        <w:t>电子投标文件按政采云平台供应商项目采购-电子招投标操作指南（网址：https://service.zcygov.cn/#/knowledges/CW1EtGwBFdiHxlNd6I3m/6IMVAG0BFdiHxlNdQ8Na?keyword）及本</w:t>
      </w: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要求制作、加密。</w:t>
      </w:r>
    </w:p>
    <w:p w14:paraId="46CFD42B">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对投标文件格式有要求的应按格式逐项填写内容，不准有空项；无相应内容可填的项应填写“无”、“未测试”、“没有相应指标”等明确的回答文字。</w:t>
      </w:r>
    </w:p>
    <w:p w14:paraId="479B229B">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（3）投标人必须保证投标文件所提供的全部资料真实可靠，并接受招标人对其中任何资料进一步审查的要求。</w:t>
      </w:r>
    </w:p>
    <w:p w14:paraId="2CDB0722">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（4）《开标一览表》要求按格式填写、统一规范，不得自行增减内容。</w:t>
      </w:r>
    </w:p>
    <w:p w14:paraId="157D4B99">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（5）投标文件须对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中的内容做出实质性的和完整的响应，否则其投标将被拒绝。如果投标文件填报的内容资料不详，或没有提供</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中所要求的全部资料及数据，将会导致投标被拒绝。</w:t>
      </w:r>
    </w:p>
    <w:p w14:paraId="119263D1">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投标人已明知采购期间或之后企业将发生兼并改制，或提供的产品将停产、淘汰，或必须有偿使用指定的第三方中间件和插件的，及其他应当告知采购人可能影响采购项目实施或损害采购人利益的信息，必须在投标文件中予以特别说明，否则，招标人可以拒绝其投标文件。</w:t>
      </w:r>
    </w:p>
    <w:p w14:paraId="6179ADC0">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（7）投标响应文件不得涂改和增删，如有错漏必须修改。</w:t>
      </w:r>
    </w:p>
    <w:p w14:paraId="751FAA91">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 xml:space="preserve">    （8）由于字迹模糊或表达不清引起的后果由供应商负责。</w:t>
      </w:r>
    </w:p>
    <w:p w14:paraId="3504C2DE">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33" w:name="_Toc12286"/>
      <w:r>
        <w:rPr>
          <w:rFonts w:hint="eastAsia" w:ascii="宋体" w:hAnsi="宋体" w:eastAsia="宋体" w:cs="宋体"/>
          <w:b/>
          <w:color w:val="auto"/>
          <w:sz w:val="24"/>
          <w:szCs w:val="24"/>
          <w:highlight w:val="none"/>
        </w:rPr>
        <w:t>（三）投标文件的语言及计量</w:t>
      </w:r>
      <w:bookmarkEnd w:id="33"/>
    </w:p>
    <w:p w14:paraId="23E8DE65">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投标文件以及投标方与招标方就有关投标事宜的所有来往函电，均应以中文汉语书写。除签名、盖章、专用名称等特殊情形外，以中文汉语以外的文字表述的投标文件视同未提供。</w:t>
      </w:r>
    </w:p>
    <w:p w14:paraId="6B96B1F9">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投标计量单位，</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已有明确规定的，使用</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规定的计量单位；</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没有规定的，应采用中华人民共和国法定计量单位（货币单位：人民币元），否则视同未响应。</w:t>
      </w:r>
    </w:p>
    <w:p w14:paraId="0634E2D0">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34" w:name="_Toc4551"/>
      <w:r>
        <w:rPr>
          <w:rFonts w:hint="eastAsia" w:ascii="宋体" w:hAnsi="宋体" w:eastAsia="宋体" w:cs="宋体"/>
          <w:b/>
          <w:color w:val="auto"/>
          <w:sz w:val="24"/>
          <w:szCs w:val="24"/>
          <w:highlight w:val="none"/>
        </w:rPr>
        <w:t>（四）投标报价</w:t>
      </w:r>
      <w:bookmarkEnd w:id="34"/>
    </w:p>
    <w:p w14:paraId="726B8D49">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1.投标报价应按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中相关附表格式填写。</w:t>
      </w:r>
    </w:p>
    <w:p w14:paraId="4B07C836">
      <w:pPr>
        <w:keepNext w:val="0"/>
        <w:keepLines w:val="0"/>
        <w:pageBreakBefore w:val="0"/>
        <w:widowControl w:val="0"/>
        <w:kinsoku/>
        <w:wordWrap w:val="0"/>
        <w:overflowPunct/>
        <w:topLinePunct/>
        <w:autoSpaceDE/>
        <w:autoSpaceDN/>
        <w:bidi w:val="0"/>
        <w:snapToGrid w:val="0"/>
        <w:spacing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▲2.本项目为交钥匙工程，投标报价是履行合同的最终价格，应包括完成本招标项下全部工作所需的一切费用，包括但不限于</w:t>
      </w:r>
      <w:r>
        <w:rPr>
          <w:rFonts w:hint="eastAsia" w:ascii="宋体" w:hAnsi="宋体" w:eastAsia="宋体" w:cs="宋体"/>
          <w:color w:val="auto"/>
          <w:sz w:val="24"/>
          <w:szCs w:val="24"/>
          <w:highlight w:val="none"/>
        </w:rPr>
        <w:t>应包括</w:t>
      </w:r>
      <w:r>
        <w:rPr>
          <w:rFonts w:hint="eastAsia" w:ascii="宋体" w:hAnsi="宋体" w:eastAsia="宋体" w:cs="宋体"/>
          <w:color w:val="auto"/>
          <w:sz w:val="24"/>
          <w:szCs w:val="24"/>
          <w:highlight w:val="none"/>
          <w:lang w:eastAsia="zh-CN"/>
        </w:rPr>
        <w:t>有关本项目实施所需的人员工资及保险、设备、办公用材、交通、差旅、利润、管理费、税金、培训、技术指导、服务、其他费用等完成招标内容及要求所提供的服务过程中涉及的一切费用（含税费）</w:t>
      </w:r>
      <w:r>
        <w:rPr>
          <w:rFonts w:hint="eastAsia" w:ascii="宋体" w:hAnsi="宋体" w:eastAsia="宋体" w:cs="宋体"/>
          <w:color w:val="auto"/>
          <w:sz w:val="24"/>
          <w:szCs w:val="24"/>
          <w:highlight w:val="none"/>
        </w:rPr>
        <w:t>。</w:t>
      </w:r>
    </w:p>
    <w:p w14:paraId="600D08B9">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▲3.投标文件只允许有一个报价，有选择的或有条件的报价将不予接受。</w:t>
      </w:r>
    </w:p>
    <w:p w14:paraId="64CFDCF8">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35" w:name="_Toc17118"/>
      <w:r>
        <w:rPr>
          <w:rFonts w:hint="eastAsia" w:ascii="宋体" w:hAnsi="宋体" w:eastAsia="宋体" w:cs="宋体"/>
          <w:b/>
          <w:color w:val="auto"/>
          <w:sz w:val="24"/>
          <w:szCs w:val="24"/>
          <w:highlight w:val="none"/>
        </w:rPr>
        <w:t>（五）投标文件的有效期</w:t>
      </w:r>
      <w:bookmarkEnd w:id="35"/>
    </w:p>
    <w:p w14:paraId="136CBFA1">
      <w:pPr>
        <w:pStyle w:val="7"/>
        <w:keepNext w:val="0"/>
        <w:keepLines w:val="0"/>
        <w:pageBreakBefore w:val="0"/>
        <w:widowControl w:val="0"/>
        <w:numPr>
          <w:ilvl w:val="0"/>
          <w:numId w:val="0"/>
        </w:numPr>
        <w:tabs>
          <w:tab w:val="left" w:pos="454"/>
          <w:tab w:val="left" w:pos="720"/>
          <w:tab w:val="clear" w:pos="360"/>
        </w:tabs>
        <w:kinsoku/>
        <w:wordWrap w:val="0"/>
        <w:overflowPunct/>
        <w:topLinePunct/>
        <w:autoSpaceDE/>
        <w:autoSpaceDN/>
        <w:bidi w:val="0"/>
        <w:snapToGrid w:val="0"/>
        <w:spacing w:beforeAutospacing="0" w:afterAutospacing="0" w:line="40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▲1.自投标截止日起</w:t>
      </w:r>
      <w:r>
        <w:rPr>
          <w:rFonts w:hint="eastAsia" w:ascii="宋体" w:hAnsi="宋体" w:eastAsia="宋体" w:cs="宋体"/>
          <w:color w:val="auto"/>
          <w:sz w:val="24"/>
          <w:szCs w:val="24"/>
          <w:highlight w:val="none"/>
          <w:u w:val="single"/>
        </w:rPr>
        <w:t xml:space="preserve"> 90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日历</w:t>
      </w:r>
      <w:r>
        <w:rPr>
          <w:rFonts w:hint="eastAsia" w:ascii="宋体" w:hAnsi="宋体" w:eastAsia="宋体" w:cs="宋体"/>
          <w:color w:val="auto"/>
          <w:sz w:val="24"/>
          <w:szCs w:val="24"/>
          <w:highlight w:val="none"/>
        </w:rPr>
        <w:t>天投标文件应保持有效。有效期不足的投标文件将被拒绝。</w:t>
      </w:r>
    </w:p>
    <w:p w14:paraId="52FE9F4E">
      <w:pPr>
        <w:pStyle w:val="7"/>
        <w:keepNext w:val="0"/>
        <w:keepLines w:val="0"/>
        <w:pageBreakBefore w:val="0"/>
        <w:widowControl w:val="0"/>
        <w:numPr>
          <w:ilvl w:val="0"/>
          <w:numId w:val="0"/>
        </w:numPr>
        <w:tabs>
          <w:tab w:val="left" w:pos="454"/>
          <w:tab w:val="left" w:pos="720"/>
          <w:tab w:val="clear" w:pos="360"/>
        </w:tabs>
        <w:kinsoku/>
        <w:wordWrap w:val="0"/>
        <w:overflowPunct/>
        <w:topLinePunct/>
        <w:autoSpaceDE/>
        <w:autoSpaceDN/>
        <w:bidi w:val="0"/>
        <w:snapToGrid w:val="0"/>
        <w:spacing w:beforeAutospacing="0" w:afterAutospacing="0" w:line="40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在特殊情况下，招标人可与投标人协商延长投标书的有效期，这种要求和答复均以书面形式进行。</w:t>
      </w:r>
    </w:p>
    <w:p w14:paraId="35787B64">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outlineLvl w:val="0"/>
        <w:rPr>
          <w:rFonts w:hint="eastAsia" w:ascii="宋体" w:hAnsi="宋体" w:eastAsia="宋体" w:cs="宋体"/>
          <w:color w:val="auto"/>
          <w:sz w:val="24"/>
          <w:szCs w:val="24"/>
          <w:highlight w:val="none"/>
        </w:rPr>
      </w:pPr>
      <w:bookmarkStart w:id="36" w:name="_Toc23733"/>
      <w:r>
        <w:rPr>
          <w:rFonts w:hint="eastAsia" w:ascii="宋体" w:hAnsi="宋体" w:eastAsia="宋体" w:cs="宋体"/>
          <w:color w:val="auto"/>
          <w:sz w:val="24"/>
          <w:szCs w:val="24"/>
          <w:highlight w:val="none"/>
        </w:rPr>
        <w:t>3.中标人的投标文件自开标之日起至合同履行完毕止均应保持有效。</w:t>
      </w:r>
      <w:bookmarkEnd w:id="36"/>
    </w:p>
    <w:p w14:paraId="5E0AD6DD">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37" w:name="_Toc13963"/>
      <w:r>
        <w:rPr>
          <w:rFonts w:hint="eastAsia" w:ascii="宋体" w:hAnsi="宋体" w:eastAsia="宋体" w:cs="宋体"/>
          <w:b/>
          <w:color w:val="auto"/>
          <w:sz w:val="24"/>
          <w:szCs w:val="24"/>
          <w:highlight w:val="none"/>
        </w:rPr>
        <w:t>（六）投标保证金：免</w:t>
      </w:r>
      <w:bookmarkEnd w:id="37"/>
    </w:p>
    <w:p w14:paraId="5C75DCD8">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38" w:name="_Toc359856802"/>
      <w:bookmarkStart w:id="39" w:name="_Toc26340"/>
      <w:r>
        <w:rPr>
          <w:rFonts w:hint="eastAsia" w:ascii="宋体" w:hAnsi="宋体" w:eastAsia="宋体" w:cs="宋体"/>
          <w:b/>
          <w:color w:val="auto"/>
          <w:sz w:val="24"/>
          <w:szCs w:val="24"/>
          <w:highlight w:val="none"/>
        </w:rPr>
        <w:t>（七）投标文件的签署及规定</w:t>
      </w:r>
      <w:bookmarkEnd w:id="38"/>
      <w:bookmarkEnd w:id="39"/>
    </w:p>
    <w:p w14:paraId="46B01CB7">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电子投标文件按政采云平台供应商项目采购-电子招投标操作指南（网址：</w:t>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"https://help.zcy.gov.cn/web/site_2/2018/12-28/2573.html）及本招标文件规定的格式和顺序编制电子投标文件并进行关联定位。"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https://service.zcygov.cn/#/knowledges/CW1EtGwBFdiHxlNd6I3m/6IMVAG0BFdiHxlNdQ8Na?keyword</w:t>
      </w:r>
      <w:r>
        <w:rPr>
          <w:rStyle w:val="32"/>
          <w:rFonts w:hint="eastAsia" w:ascii="宋体" w:hAnsi="宋体" w:eastAsia="宋体" w:cs="宋体"/>
          <w:bCs/>
          <w:color w:val="auto"/>
          <w:sz w:val="24"/>
          <w:szCs w:val="24"/>
          <w:highlight w:val="none"/>
        </w:rPr>
        <w:t>）及本</w:t>
      </w:r>
      <w:r>
        <w:rPr>
          <w:rStyle w:val="32"/>
          <w:rFonts w:hint="eastAsia" w:ascii="宋体" w:hAnsi="宋体" w:eastAsia="宋体" w:cs="宋体"/>
          <w:bCs/>
          <w:color w:val="auto"/>
          <w:sz w:val="24"/>
          <w:szCs w:val="24"/>
          <w:highlight w:val="none"/>
          <w:lang w:eastAsia="zh-CN"/>
        </w:rPr>
        <w:t>采购文件</w:t>
      </w:r>
      <w:r>
        <w:rPr>
          <w:rStyle w:val="32"/>
          <w:rFonts w:hint="eastAsia" w:ascii="宋体" w:hAnsi="宋体" w:eastAsia="宋体" w:cs="宋体"/>
          <w:bCs/>
          <w:color w:val="auto"/>
          <w:sz w:val="24"/>
          <w:szCs w:val="24"/>
          <w:highlight w:val="none"/>
        </w:rPr>
        <w:t>规定的格式和顺序编制电子投标文件并进行关联定位。</w:t>
      </w:r>
      <w:r>
        <w:rPr>
          <w:rFonts w:hint="eastAsia" w:ascii="宋体" w:hAnsi="宋体" w:eastAsia="宋体" w:cs="宋体"/>
          <w:bCs/>
          <w:color w:val="auto"/>
          <w:sz w:val="24"/>
          <w:szCs w:val="24"/>
          <w:highlight w:val="none"/>
        </w:rPr>
        <w:fldChar w:fldCharType="end"/>
      </w:r>
    </w:p>
    <w:p w14:paraId="7715FAFC">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40" w:name="_Toc16505"/>
      <w:bookmarkStart w:id="41" w:name="_Toc359856803"/>
      <w:bookmarkStart w:id="42" w:name="_Toc356371437"/>
      <w:r>
        <w:rPr>
          <w:rFonts w:hint="eastAsia" w:ascii="宋体" w:hAnsi="宋体" w:eastAsia="宋体" w:cs="宋体"/>
          <w:b/>
          <w:color w:val="auto"/>
          <w:sz w:val="24"/>
          <w:szCs w:val="24"/>
          <w:highlight w:val="none"/>
        </w:rPr>
        <w:t>（八）投标文件的递交</w:t>
      </w:r>
      <w:bookmarkEnd w:id="40"/>
      <w:bookmarkEnd w:id="41"/>
      <w:bookmarkEnd w:id="42"/>
    </w:p>
    <w:p w14:paraId="096F2494">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1.递交投标文件截止期</w:t>
      </w:r>
    </w:p>
    <w:p w14:paraId="6211C65F">
      <w:pPr>
        <w:keepNext w:val="0"/>
        <w:keepLines w:val="0"/>
        <w:pageBreakBefore w:val="0"/>
        <w:widowControl w:val="0"/>
        <w:kinsoku/>
        <w:wordWrap w:val="0"/>
        <w:overflowPunct/>
        <w:topLinePunct/>
        <w:autoSpaceDE/>
        <w:autoSpaceDN/>
        <w:bidi w:val="0"/>
        <w:adjustRightInd w:val="0"/>
        <w:snapToGrid w:val="0"/>
        <w:spacing w:beforeAutospacing="0" w:afterAutospacing="0" w:line="4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送达的投标、响应文件，将被拒收。</w:t>
      </w:r>
    </w:p>
    <w:p w14:paraId="6A336D9C">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2.投标文件的修改和撤销</w:t>
      </w:r>
    </w:p>
    <w:p w14:paraId="00A823F3">
      <w:pPr>
        <w:keepNext w:val="0"/>
        <w:keepLines w:val="0"/>
        <w:pageBreakBefore w:val="0"/>
        <w:widowControl w:val="0"/>
        <w:kinsoku/>
        <w:wordWrap w:val="0"/>
        <w:overflowPunct/>
        <w:topLinePunct/>
        <w:autoSpaceDE/>
        <w:autoSpaceDN/>
        <w:bidi w:val="0"/>
        <w:adjustRightInd w:val="0"/>
        <w:snapToGrid w:val="0"/>
        <w:spacing w:beforeAutospacing="0" w:afterAutospacing="0" w:line="4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（1）投标人在递交投标文件后，可以修改或撤回其投标文件：递交投标文件截止时间之前补充或者修改电子投标文件的，应当先行撤回原文件，补充、修改后重新传输递交。</w:t>
      </w:r>
    </w:p>
    <w:p w14:paraId="2C00A0BC">
      <w:pPr>
        <w:keepNext w:val="0"/>
        <w:keepLines w:val="0"/>
        <w:pageBreakBefore w:val="0"/>
        <w:widowControl w:val="0"/>
        <w:kinsoku/>
        <w:wordWrap w:val="0"/>
        <w:overflowPunct/>
        <w:topLinePunct/>
        <w:autoSpaceDE/>
        <w:autoSpaceDN/>
        <w:bidi w:val="0"/>
        <w:adjustRightInd w:val="0"/>
        <w:snapToGrid w:val="0"/>
        <w:spacing w:beforeAutospacing="0" w:afterAutospacing="0" w:line="4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（2）投标人修改后的投标文件应按原来的规定编制、密封、标记和递交。</w:t>
      </w:r>
    </w:p>
    <w:p w14:paraId="2178BD72">
      <w:pPr>
        <w:keepNext w:val="0"/>
        <w:keepLines w:val="0"/>
        <w:pageBreakBefore w:val="0"/>
        <w:widowControl w:val="0"/>
        <w:kinsoku/>
        <w:wordWrap w:val="0"/>
        <w:overflowPunct/>
        <w:topLinePunct/>
        <w:autoSpaceDE/>
        <w:autoSpaceDN/>
        <w:bidi w:val="0"/>
        <w:adjustRightInd w:val="0"/>
        <w:snapToGrid w:val="0"/>
        <w:spacing w:beforeAutospacing="0" w:afterAutospacing="0" w:line="4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（3）在递交投标文件截止期之后，投标人不得对其投标文件做任何修改。</w:t>
      </w:r>
    </w:p>
    <w:p w14:paraId="6C522BCC">
      <w:pPr>
        <w:keepNext w:val="0"/>
        <w:keepLines w:val="0"/>
        <w:pageBreakBefore w:val="0"/>
        <w:widowControl w:val="0"/>
        <w:kinsoku/>
        <w:wordWrap w:val="0"/>
        <w:overflowPunct/>
        <w:topLinePunct/>
        <w:autoSpaceDE/>
        <w:autoSpaceDN/>
        <w:bidi w:val="0"/>
        <w:adjustRightInd w:val="0"/>
        <w:snapToGrid w:val="0"/>
        <w:spacing w:beforeAutospacing="0" w:afterAutospacing="0" w:line="4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（4）递交投标文件截止期后，投标人不得撤回其投标文件。</w:t>
      </w:r>
    </w:p>
    <w:p w14:paraId="6ADEFCE3">
      <w:pPr>
        <w:keepNext w:val="0"/>
        <w:keepLines w:val="0"/>
        <w:pageBreakBefore w:val="0"/>
        <w:widowControl w:val="0"/>
        <w:kinsoku/>
        <w:wordWrap w:val="0"/>
        <w:overflowPunct/>
        <w:topLinePunct/>
        <w:autoSpaceDE/>
        <w:autoSpaceDN/>
        <w:bidi w:val="0"/>
        <w:adjustRightInd w:val="0"/>
        <w:snapToGrid w:val="0"/>
        <w:spacing w:beforeAutospacing="0" w:afterAutospacing="0" w:line="4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（5）实质上没有响应本文件要求的投标文件将被拒绝。投标人不得通过修正或撤销不合要求的偏离或保留从而使其投标文件成为实质上响应的文件。</w:t>
      </w:r>
    </w:p>
    <w:p w14:paraId="7A6BEDB2">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outlineLvl w:val="0"/>
        <w:rPr>
          <w:rFonts w:hint="eastAsia" w:ascii="宋体" w:hAnsi="宋体" w:eastAsia="宋体" w:cs="宋体"/>
          <w:b/>
          <w:color w:val="auto"/>
          <w:sz w:val="24"/>
          <w:szCs w:val="24"/>
          <w:highlight w:val="none"/>
        </w:rPr>
      </w:pPr>
      <w:bookmarkStart w:id="43" w:name="_Toc18256"/>
      <w:r>
        <w:rPr>
          <w:rFonts w:hint="eastAsia" w:ascii="宋体" w:hAnsi="宋体" w:eastAsia="宋体" w:cs="宋体"/>
          <w:b/>
          <w:color w:val="auto"/>
          <w:sz w:val="24"/>
          <w:szCs w:val="24"/>
          <w:highlight w:val="none"/>
        </w:rPr>
        <w:t>（九）投标无效的情形</w:t>
      </w:r>
      <w:bookmarkEnd w:id="43"/>
    </w:p>
    <w:p w14:paraId="5E2F18A5">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根据《政府采购货物和服务招标投标管理办法》有下列情形之一的，视为投标人串通投标，其投标无效：</w:t>
      </w:r>
    </w:p>
    <w:p w14:paraId="15326770">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(一)不同投标人的投标文件由同一单位或者个人编制；</w:t>
      </w:r>
    </w:p>
    <w:p w14:paraId="59F4E9A7">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(二)不同投标人委托同一单位或者个人办理投标事宜；</w:t>
      </w:r>
    </w:p>
    <w:p w14:paraId="67C36682">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(三)不同投标人的投标文件载明的项目管理成员或者联系人员为同一人；</w:t>
      </w:r>
    </w:p>
    <w:p w14:paraId="236BEF73">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(四)不同投标人的投标文件异常一致或者投标报价呈规律性差异；</w:t>
      </w:r>
    </w:p>
    <w:p w14:paraId="43915B8C">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(五)不同投标人的投标文件相互混装；</w:t>
      </w:r>
    </w:p>
    <w:p w14:paraId="7AC0D37B">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(六)不同投标人的投标保证金从同一单位或者个人的账户转出。</w:t>
      </w:r>
    </w:p>
    <w:p w14:paraId="166F3706">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实质上没有响应</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要求的，应认定其投标无效。投标人修改、补正投标文件后，不影响评标委员会对其投标文件所作的评价和评分结果。</w:t>
      </w:r>
    </w:p>
    <w:p w14:paraId="76A4EED7">
      <w:pPr>
        <w:keepNext w:val="0"/>
        <w:keepLines w:val="0"/>
        <w:pageBreakBefore w:val="0"/>
        <w:widowControl w:val="0"/>
        <w:numPr>
          <w:ilvl w:val="0"/>
          <w:numId w:val="5"/>
        </w:numPr>
        <w:kinsoku/>
        <w:wordWrap w:val="0"/>
        <w:overflowPunct/>
        <w:topLinePunct/>
        <w:autoSpaceDE/>
        <w:autoSpaceDN/>
        <w:bidi w:val="0"/>
        <w:snapToGrid w:val="0"/>
        <w:spacing w:line="400" w:lineRule="exact"/>
        <w:ind w:left="0" w:leftChars="0" w:right="0" w:rightChars="0" w:firstLine="466"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sz w:val="24"/>
          <w:szCs w:val="24"/>
          <w:highlight w:val="none"/>
        </w:rPr>
        <w:t>电</w:t>
      </w:r>
      <w:r>
        <w:rPr>
          <w:rFonts w:hint="eastAsia" w:ascii="宋体" w:hAnsi="宋体" w:eastAsia="宋体" w:cs="宋体"/>
          <w:b/>
          <w:bCs/>
          <w:color w:val="auto"/>
          <w:sz w:val="24"/>
          <w:szCs w:val="24"/>
          <w:highlight w:val="none"/>
        </w:rPr>
        <w:t xml:space="preserve">子加密投标文件解密失败的；   </w:t>
      </w:r>
    </w:p>
    <w:p w14:paraId="67B356B9">
      <w:pPr>
        <w:keepNext w:val="0"/>
        <w:keepLines w:val="0"/>
        <w:pageBreakBefore w:val="0"/>
        <w:widowControl w:val="0"/>
        <w:numPr>
          <w:ilvl w:val="0"/>
          <w:numId w:val="5"/>
        </w:numPr>
        <w:kinsoku/>
        <w:wordWrap w:val="0"/>
        <w:overflowPunct/>
        <w:topLinePunct/>
        <w:autoSpaceDE/>
        <w:autoSpaceDN/>
        <w:bidi w:val="0"/>
        <w:snapToGrid w:val="0"/>
        <w:spacing w:line="400" w:lineRule="exact"/>
        <w:ind w:left="0" w:leftChars="0" w:right="0" w:rightChars="0" w:firstLine="466"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sz w:val="24"/>
          <w:szCs w:val="24"/>
          <w:highlight w:val="none"/>
        </w:rPr>
        <w:t>电</w:t>
      </w:r>
      <w:r>
        <w:rPr>
          <w:rFonts w:hint="eastAsia" w:ascii="宋体" w:hAnsi="宋体" w:eastAsia="宋体" w:cs="宋体"/>
          <w:b/>
          <w:bCs/>
          <w:color w:val="auto"/>
          <w:sz w:val="24"/>
          <w:szCs w:val="24"/>
          <w:highlight w:val="none"/>
        </w:rPr>
        <w:t>子加密投标文件未按要求提供电子签章的；</w:t>
      </w:r>
    </w:p>
    <w:p w14:paraId="51AABE0E">
      <w:pPr>
        <w:keepNext w:val="0"/>
        <w:keepLines w:val="0"/>
        <w:pageBreakBefore w:val="0"/>
        <w:widowControl w:val="0"/>
        <w:numPr>
          <w:ilvl w:val="0"/>
          <w:numId w:val="5"/>
        </w:numPr>
        <w:kinsoku/>
        <w:wordWrap w:val="0"/>
        <w:overflowPunct/>
        <w:topLinePunct/>
        <w:autoSpaceDE/>
        <w:autoSpaceDN/>
        <w:bidi w:val="0"/>
        <w:snapToGrid w:val="0"/>
        <w:spacing w:line="40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参与同一个采购包（标</w:t>
      </w:r>
      <w:r>
        <w:rPr>
          <w:rFonts w:hint="eastAsia" w:ascii="宋体" w:hAnsi="宋体" w:eastAsia="宋体" w:cs="宋体"/>
          <w:b/>
          <w:bCs/>
          <w:color w:val="auto"/>
          <w:sz w:val="24"/>
          <w:szCs w:val="24"/>
          <w:highlight w:val="none"/>
          <w:lang w:eastAsia="zh-CN"/>
        </w:rPr>
        <w:t>项</w:t>
      </w:r>
      <w:r>
        <w:rPr>
          <w:rFonts w:hint="eastAsia" w:ascii="宋体" w:hAnsi="宋体" w:eastAsia="宋体" w:cs="宋体"/>
          <w:b/>
          <w:bCs/>
          <w:color w:val="auto"/>
          <w:sz w:val="24"/>
          <w:szCs w:val="24"/>
          <w:highlight w:val="none"/>
        </w:rPr>
        <w:t>）的供应商存在下列情形之一且无法合理解释的，其投标（响应）文件无效：</w:t>
      </w:r>
    </w:p>
    <w:p w14:paraId="5F5D9A76">
      <w:pPr>
        <w:keepNext w:val="0"/>
        <w:keepLines w:val="0"/>
        <w:pageBreakBefore w:val="0"/>
        <w:widowControl w:val="0"/>
        <w:numPr>
          <w:ilvl w:val="0"/>
          <w:numId w:val="0"/>
        </w:numPr>
        <w:kinsoku/>
        <w:wordWrap w:val="0"/>
        <w:overflowPunct/>
        <w:topLinePunct/>
        <w:autoSpaceDE/>
        <w:autoSpaceDN/>
        <w:bidi w:val="0"/>
        <w:adjustRightInd/>
        <w:snapToGrid w:val="0"/>
        <w:spacing w:line="40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不同供应商的电子投标（响应）文件上传计算机的网卡MAC地址或硬盘序列号等硬件信息相同的；</w:t>
      </w:r>
    </w:p>
    <w:p w14:paraId="54BAECBE">
      <w:pPr>
        <w:keepNext w:val="0"/>
        <w:keepLines w:val="0"/>
        <w:pageBreakBefore w:val="0"/>
        <w:widowControl w:val="0"/>
        <w:numPr>
          <w:ilvl w:val="0"/>
          <w:numId w:val="0"/>
        </w:numPr>
        <w:kinsoku/>
        <w:wordWrap w:val="0"/>
        <w:overflowPunct/>
        <w:topLinePunct/>
        <w:autoSpaceDE/>
        <w:autoSpaceDN/>
        <w:bidi w:val="0"/>
        <w:adjustRightInd/>
        <w:snapToGrid w:val="0"/>
        <w:spacing w:line="40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）上传的电子投标（响应）文件若出现使用本项目其他投标（响应）供应商的数字证书加密的，或者加盖本项目其他投标（响应）供应商的电子印章的；</w:t>
      </w:r>
    </w:p>
    <w:p w14:paraId="3EAA4754">
      <w:pPr>
        <w:keepNext w:val="0"/>
        <w:keepLines w:val="0"/>
        <w:pageBreakBefore w:val="0"/>
        <w:widowControl w:val="0"/>
        <w:numPr>
          <w:ilvl w:val="0"/>
          <w:numId w:val="0"/>
        </w:numPr>
        <w:kinsoku/>
        <w:wordWrap w:val="0"/>
        <w:overflowPunct/>
        <w:topLinePunct/>
        <w:autoSpaceDE/>
        <w:autoSpaceDN/>
        <w:bidi w:val="0"/>
        <w:adjustRightInd/>
        <w:snapToGrid w:val="0"/>
        <w:spacing w:line="40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）不同供应商的投标（响应）文件的内容存在3处（含）以上错误一致的；</w:t>
      </w:r>
    </w:p>
    <w:p w14:paraId="653D22DD">
      <w:pPr>
        <w:keepNext w:val="0"/>
        <w:keepLines w:val="0"/>
        <w:pageBreakBefore w:val="0"/>
        <w:widowControl w:val="0"/>
        <w:numPr>
          <w:ilvl w:val="0"/>
          <w:numId w:val="0"/>
        </w:numPr>
        <w:kinsoku/>
        <w:wordWrap w:val="0"/>
        <w:overflowPunct/>
        <w:topLinePunct/>
        <w:autoSpaceDE/>
        <w:autoSpaceDN/>
        <w:bidi w:val="0"/>
        <w:adjustRightInd/>
        <w:snapToGrid w:val="0"/>
        <w:spacing w:line="40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）不同供应商联系人为同一人或不同联系人的联系电话一致的。</w:t>
      </w:r>
    </w:p>
    <w:p w14:paraId="58FFB7DB">
      <w:pPr>
        <w:keepNext w:val="0"/>
        <w:keepLines w:val="0"/>
        <w:pageBreakBefore w:val="0"/>
        <w:widowControl w:val="0"/>
        <w:numPr>
          <w:ilvl w:val="0"/>
          <w:numId w:val="5"/>
        </w:numPr>
        <w:kinsoku/>
        <w:wordWrap w:val="0"/>
        <w:overflowPunct/>
        <w:topLinePunct/>
        <w:autoSpaceDE/>
        <w:autoSpaceDN/>
        <w:bidi w:val="0"/>
        <w:snapToGrid w:val="0"/>
        <w:spacing w:line="40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在</w:t>
      </w:r>
      <w:r>
        <w:rPr>
          <w:rFonts w:hint="eastAsia" w:ascii="宋体" w:hAnsi="宋体" w:eastAsia="宋体" w:cs="宋体"/>
          <w:b/>
          <w:bCs/>
          <w:color w:val="auto"/>
          <w:sz w:val="24"/>
          <w:szCs w:val="24"/>
          <w:highlight w:val="none"/>
        </w:rPr>
        <w:t>资格符合性进行审查，如发现下列情形之一的，响应文件将被视为无效：</w:t>
      </w:r>
    </w:p>
    <w:p w14:paraId="5F706F04">
      <w:pPr>
        <w:keepNext w:val="0"/>
        <w:keepLines w:val="0"/>
        <w:pageBreakBefore w:val="0"/>
        <w:widowControl w:val="0"/>
        <w:kinsoku/>
        <w:wordWrap w:val="0"/>
        <w:overflowPunct/>
        <w:topLinePunct/>
        <w:autoSpaceDE/>
        <w:autoSpaceDN/>
        <w:bidi w:val="0"/>
        <w:snapToGrid w:val="0"/>
        <w:spacing w:line="4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）在资格文件中出现报价的；</w:t>
      </w:r>
    </w:p>
    <w:p w14:paraId="3114C7F3">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）缺少资格文件编制所列内容之一的；</w:t>
      </w:r>
    </w:p>
    <w:p w14:paraId="1E074686">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）供应商提供的有关资料被确认是不真实的；</w:t>
      </w:r>
    </w:p>
    <w:p w14:paraId="3C05DCE3">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）资格文件未按采购文件规定进行签字或盖章的；</w:t>
      </w:r>
    </w:p>
    <w:p w14:paraId="36AC1546">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）按照 “信用中国”网站（www.creditchina.gov.cn）、中国政府采购网（www.ccgp.gov.cn）两个网站信用信息记录查询，供应商有列入失信被执行人、重大税收违法案件当事人名单、政府采购严重违法失信行为记录名单情况的；</w:t>
      </w:r>
    </w:p>
    <w:p w14:paraId="4F3F7498">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）没有通过资格审查的。</w:t>
      </w:r>
    </w:p>
    <w:p w14:paraId="20948380">
      <w:pPr>
        <w:keepNext w:val="0"/>
        <w:keepLines w:val="0"/>
        <w:pageBreakBefore w:val="0"/>
        <w:widowControl w:val="0"/>
        <w:kinsoku/>
        <w:wordWrap w:val="0"/>
        <w:overflowPunct/>
        <w:topLinePunct/>
        <w:autoSpaceDE/>
        <w:autoSpaceDN/>
        <w:bidi w:val="0"/>
        <w:adjustRightInd/>
        <w:snapToGrid w:val="0"/>
        <w:spacing w:line="400" w:lineRule="exact"/>
        <w:ind w:firstLine="472" w:firstLineChars="196"/>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.在符合性审查和商务</w:t>
      </w:r>
      <w:r>
        <w:rPr>
          <w:rFonts w:hint="eastAsia" w:ascii="宋体" w:hAnsi="宋体" w:eastAsia="宋体" w:cs="宋体"/>
          <w:b/>
          <w:bCs/>
          <w:color w:val="auto"/>
          <w:sz w:val="24"/>
          <w:szCs w:val="24"/>
          <w:highlight w:val="none"/>
          <w:lang w:eastAsia="zh-CN"/>
        </w:rPr>
        <w:t>资信技术</w:t>
      </w:r>
      <w:r>
        <w:rPr>
          <w:rFonts w:hint="eastAsia" w:ascii="宋体" w:hAnsi="宋体" w:eastAsia="宋体" w:cs="宋体"/>
          <w:b/>
          <w:bCs/>
          <w:color w:val="auto"/>
          <w:sz w:val="24"/>
          <w:szCs w:val="24"/>
          <w:highlight w:val="none"/>
        </w:rPr>
        <w:t>评审时，如发现下列情形之一的，响应文件将被视为无效：</w:t>
      </w:r>
    </w:p>
    <w:p w14:paraId="1A4CB79F">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（1）在商务技术文件中出现报价；</w:t>
      </w:r>
    </w:p>
    <w:p w14:paraId="25DC08C5">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）未提供法定代表人授权委托书、投标函或者填写项目不齐全的；</w:t>
      </w:r>
    </w:p>
    <w:p w14:paraId="4F98241E">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）响应文件格式不规范、项目不齐全或者内容虚假的；</w:t>
      </w:r>
    </w:p>
    <w:p w14:paraId="5AE52147">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）响应文件的实质性内容未使用中文表述、意思表述不明确、前后矛盾或者使用计量单位不符合征集文件要求的（经评审委员会认定并允许其当场更正的笔误除外）；</w:t>
      </w:r>
    </w:p>
    <w:p w14:paraId="7A821013">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）响应有效期、服务承诺等商务条款不能满足采购文件要求的；</w:t>
      </w:r>
    </w:p>
    <w:p w14:paraId="7CB060ED">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）未实质性响应采购文件要求或者响应文件有采购人不能接受的附加条件的；</w:t>
      </w:r>
    </w:p>
    <w:p w14:paraId="5DF24EE5">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）不符合本采购文件中的实质性要求条款；</w:t>
      </w:r>
      <w:r>
        <w:rPr>
          <w:rFonts w:hint="eastAsia" w:ascii="宋体" w:hAnsi="宋体" w:eastAsia="宋体" w:cs="宋体"/>
          <w:color w:val="auto"/>
          <w:sz w:val="24"/>
          <w:szCs w:val="24"/>
          <w:highlight w:val="none"/>
          <w:lang w:val="en-US" w:eastAsia="zh-CN"/>
        </w:rPr>
        <w:t xml:space="preserve">  </w:t>
      </w:r>
    </w:p>
    <w:p w14:paraId="64CCA6B2">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）未提供或未如实提供投标货物的技术参数，或者投标文件标明的响应或偏离与事实不符或虚假投标的；</w:t>
      </w:r>
    </w:p>
    <w:p w14:paraId="71182A83">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）明显不符合招标文件要求的规格型号、质量标准，或者与招标文件中标“▲”的技术指标、主要功能项目发生实质性偏离的；</w:t>
      </w:r>
    </w:p>
    <w:p w14:paraId="09FFA05D">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）投标技术方案不明确，存在一个或一个以上备选（替代）投标方案的。</w:t>
      </w:r>
    </w:p>
    <w:p w14:paraId="3AB02926">
      <w:pPr>
        <w:pStyle w:val="13"/>
        <w:keepNext w:val="0"/>
        <w:keepLines w:val="0"/>
        <w:pageBreakBefore w:val="0"/>
        <w:widowControl w:val="0"/>
        <w:kinsoku/>
        <w:wordWrap w:val="0"/>
        <w:overflowPunct/>
        <w:topLinePunct/>
        <w:autoSpaceDE/>
        <w:autoSpaceDN/>
        <w:bidi w:val="0"/>
        <w:adjustRightInd/>
        <w:snapToGrid w:val="0"/>
        <w:spacing w:line="400" w:lineRule="exact"/>
        <w:ind w:firstLine="457" w:firstLineChars="196"/>
        <w:textAlignment w:val="auto"/>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.在报价评审时，如发现下列情形之一的，响应文件将被视为无效：</w:t>
      </w:r>
    </w:p>
    <w:p w14:paraId="3180459F">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）报价文件未按采购文件要求进行签字或盖章的；</w:t>
      </w:r>
    </w:p>
    <w:p w14:paraId="0343D5AB">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）未采用人民币报价或者未按照采购文件标明的币种报价的；</w:t>
      </w:r>
    </w:p>
    <w:p w14:paraId="17F9DB03">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）投标文件出现不是唯一的、有选择性投标报价的；</w:t>
      </w:r>
    </w:p>
    <w:p w14:paraId="2FA77E3F">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）未按要求提供《</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lang w:eastAsia="zh-CN"/>
        </w:rPr>
        <w:t>一览表》、</w:t>
      </w:r>
      <w:r>
        <w:rPr>
          <w:rFonts w:hint="eastAsia" w:ascii="宋体" w:hAnsi="宋体" w:eastAsia="宋体" w:cs="宋体"/>
          <w:color w:val="auto"/>
          <w:sz w:val="24"/>
          <w:szCs w:val="24"/>
          <w:highlight w:val="none"/>
          <w:lang w:val="en-US" w:eastAsia="zh-CN"/>
        </w:rPr>
        <w:t>《投标报价明细表》</w:t>
      </w:r>
      <w:r>
        <w:rPr>
          <w:rFonts w:hint="eastAsia" w:ascii="宋体" w:hAnsi="宋体" w:eastAsia="宋体" w:cs="宋体"/>
          <w:color w:val="auto"/>
          <w:sz w:val="24"/>
          <w:szCs w:val="24"/>
          <w:highlight w:val="none"/>
          <w:lang w:eastAsia="zh-CN"/>
        </w:rPr>
        <w:t>；</w:t>
      </w:r>
    </w:p>
    <w:p w14:paraId="664F1EF6">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）供应商报价超过文件中规定的预算金额或者最高限价的；</w:t>
      </w:r>
    </w:p>
    <w:p w14:paraId="7EB84E27">
      <w:pPr>
        <w:keepNext w:val="0"/>
        <w:keepLines w:val="0"/>
        <w:pageBreakBefore w:val="0"/>
        <w:widowControl w:val="0"/>
        <w:kinsoku/>
        <w:wordWrap w:val="0"/>
        <w:overflowPunct/>
        <w:topLinePunct/>
        <w:autoSpaceDE/>
        <w:autoSpaceDN/>
        <w:bidi w:val="0"/>
        <w:adjustRightInd/>
        <w:snapToGrid w:val="0"/>
        <w:spacing w:line="400" w:lineRule="exact"/>
        <w:ind w:right="0" w:rightChars="0" w:firstLine="482"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（6）异常低价审查：政府采购评审中出现下列情形之一的，评审委员会应当启动异常低价投标（响应）审查程序：</w:t>
      </w:r>
    </w:p>
    <w:p w14:paraId="11FE2CEE">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570D95C6">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098815F9">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3）投标（响应）报价低于采购项目最高限价45%的，即投标（响应）报价&lt;采购项目最高限价×45%；</w:t>
      </w:r>
    </w:p>
    <w:p w14:paraId="32853C7B">
      <w:pPr>
        <w:keepNext w:val="0"/>
        <w:keepLines w:val="0"/>
        <w:pageBreakBefore w:val="0"/>
        <w:widowControl w:val="0"/>
        <w:kinsoku/>
        <w:wordWrap w:val="0"/>
        <w:overflowPunct/>
        <w:topLinePunct/>
        <w:autoSpaceDE/>
        <w:autoSpaceDN/>
        <w:bidi w:val="0"/>
        <w:adjustRightInd/>
        <w:snapToGrid w:val="0"/>
        <w:spacing w:line="400" w:lineRule="exact"/>
        <w:ind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6C367E35">
      <w:pPr>
        <w:keepNext w:val="0"/>
        <w:keepLines w:val="0"/>
        <w:pageBreakBefore w:val="0"/>
        <w:widowControl w:val="0"/>
        <w:kinsoku/>
        <w:wordWrap/>
        <w:topLinePunct w:val="0"/>
        <w:bidi w:val="0"/>
        <w:snapToGrid/>
        <w:spacing w:line="40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3AA4871">
      <w:pPr>
        <w:pStyle w:val="13"/>
        <w:keepNext w:val="0"/>
        <w:keepLines w:val="0"/>
        <w:pageBreakBefore w:val="0"/>
        <w:widowControl w:val="0"/>
        <w:kinsoku/>
        <w:wordWrap w:val="0"/>
        <w:overflowPunct/>
        <w:topLinePunct/>
        <w:autoSpaceDE/>
        <w:autoSpaceDN/>
        <w:bidi w:val="0"/>
        <w:snapToGrid w:val="0"/>
        <w:spacing w:line="400" w:lineRule="exact"/>
        <w:ind w:left="0" w:leftChars="0" w:right="0" w:rightChars="0" w:firstLine="232" w:firstLineChars="100"/>
        <w:textAlignment w:val="auto"/>
        <w:rPr>
          <w:rFonts w:hint="eastAsia" w:ascii="宋体" w:hAnsi="宋体" w:eastAsia="宋体" w:cs="宋体"/>
          <w:b/>
          <w:color w:val="auto"/>
          <w:sz w:val="24"/>
          <w:szCs w:val="24"/>
          <w:highlight w:val="none"/>
          <w:lang w:val="en-US" w:eastAsia="zh-CN"/>
        </w:rPr>
      </w:pPr>
      <w:r>
        <w:rPr>
          <w:rFonts w:hint="eastAsia" w:hAnsi="宋体" w:cs="宋体"/>
          <w:color w:val="auto"/>
          <w:sz w:val="24"/>
          <w:szCs w:val="24"/>
          <w:highlight w:val="none"/>
          <w:lang w:val="en-US" w:eastAsia="zh-CN"/>
        </w:rPr>
        <w:t xml:space="preserve"> </w:t>
      </w:r>
      <w:r>
        <w:rPr>
          <w:rFonts w:hint="eastAsia" w:hAnsi="宋体" w:cs="宋体"/>
          <w:b/>
          <w:bCs/>
          <w:color w:val="auto"/>
          <w:sz w:val="24"/>
          <w:szCs w:val="24"/>
          <w:highlight w:val="none"/>
          <w:lang w:val="en-US" w:eastAsia="zh-CN"/>
        </w:rPr>
        <w:t xml:space="preserve"> 7</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lang w:val="en-US" w:eastAsia="zh-CN"/>
        </w:rPr>
        <w:t>供应商有违法、违规行为影响本次采购公平、公正的；</w:t>
      </w:r>
    </w:p>
    <w:p w14:paraId="49C57CDB">
      <w:pPr>
        <w:pStyle w:val="13"/>
        <w:keepNext w:val="0"/>
        <w:keepLines w:val="0"/>
        <w:pageBreakBefore w:val="0"/>
        <w:widowControl w:val="0"/>
        <w:kinsoku/>
        <w:wordWrap w:val="0"/>
        <w:overflowPunct/>
        <w:topLinePunct/>
        <w:autoSpaceDE/>
        <w:autoSpaceDN/>
        <w:bidi w:val="0"/>
        <w:snapToGrid w:val="0"/>
        <w:spacing w:line="400" w:lineRule="exact"/>
        <w:ind w:left="0" w:leftChars="0" w:right="0" w:rightChars="0" w:firstLine="233" w:firstLineChars="100"/>
        <w:textAlignment w:val="auto"/>
        <w:rPr>
          <w:rFonts w:hint="eastAsia" w:ascii="宋体" w:hAnsi="宋体" w:eastAsia="宋体" w:cs="宋体"/>
          <w:b/>
          <w:color w:val="auto"/>
          <w:sz w:val="24"/>
          <w:szCs w:val="24"/>
          <w:highlight w:val="none"/>
        </w:rPr>
      </w:pPr>
      <w:r>
        <w:rPr>
          <w:rFonts w:hint="eastAsia" w:hAnsi="宋体" w:eastAsia="宋体" w:cs="宋体"/>
          <w:b/>
          <w:color w:val="auto"/>
          <w:sz w:val="24"/>
          <w:szCs w:val="24"/>
          <w:highlight w:val="none"/>
          <w:lang w:val="en-US" w:eastAsia="zh-CN"/>
        </w:rPr>
        <w:t xml:space="preserve">  </w:t>
      </w:r>
      <w:r>
        <w:rPr>
          <w:rFonts w:hint="eastAsia" w:hAnsi="宋体" w:cs="宋体"/>
          <w:b/>
          <w:color w:val="auto"/>
          <w:sz w:val="24"/>
          <w:szCs w:val="24"/>
          <w:highlight w:val="none"/>
          <w:lang w:val="en-US" w:eastAsia="zh-CN"/>
        </w:rPr>
        <w:t>8</w:t>
      </w:r>
      <w:r>
        <w:rPr>
          <w:rFonts w:hint="eastAsia"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eastAsia="zh-CN"/>
        </w:rPr>
        <w:t>供应商的投标文件有串通投标情形之一的；</w:t>
      </w:r>
    </w:p>
    <w:p w14:paraId="735FF19F">
      <w:pPr>
        <w:pStyle w:val="13"/>
        <w:keepNext w:val="0"/>
        <w:keepLines w:val="0"/>
        <w:pageBreakBefore w:val="0"/>
        <w:widowControl w:val="0"/>
        <w:kinsoku/>
        <w:wordWrap w:val="0"/>
        <w:overflowPunct/>
        <w:topLinePunct/>
        <w:autoSpaceDE/>
        <w:autoSpaceDN/>
        <w:bidi w:val="0"/>
        <w:snapToGrid w:val="0"/>
        <w:spacing w:line="400" w:lineRule="exact"/>
        <w:ind w:left="0" w:leftChars="0" w:right="0" w:rightChars="0" w:firstLine="232" w:firstLineChars="100"/>
        <w:textAlignment w:val="auto"/>
        <w:rPr>
          <w:rFonts w:hint="eastAsia" w:ascii="宋体" w:hAnsi="宋体" w:eastAsia="宋体" w:cs="宋体"/>
          <w:b/>
          <w:color w:val="auto"/>
          <w:sz w:val="24"/>
          <w:szCs w:val="24"/>
          <w:highlight w:val="none"/>
        </w:rPr>
      </w:pPr>
      <w:r>
        <w:rPr>
          <w:rFonts w:hint="eastAsia" w:hAnsi="宋体" w:cs="宋体"/>
          <w:color w:val="auto"/>
          <w:sz w:val="24"/>
          <w:szCs w:val="24"/>
          <w:highlight w:val="none"/>
          <w:lang w:val="en-US" w:eastAsia="zh-CN"/>
        </w:rPr>
        <w:t xml:space="preserve">  </w:t>
      </w:r>
      <w:r>
        <w:rPr>
          <w:rFonts w:hint="eastAsia" w:hAnsi="宋体" w:cs="宋体"/>
          <w:b/>
          <w:color w:val="auto"/>
          <w:sz w:val="24"/>
          <w:szCs w:val="24"/>
          <w:highlight w:val="none"/>
          <w:lang w:val="en-US" w:eastAsia="zh-CN"/>
        </w:rPr>
        <w:t>9</w:t>
      </w:r>
      <w:r>
        <w:rPr>
          <w:rFonts w:hint="eastAsia" w:ascii="宋体" w:hAnsi="宋体" w:eastAsia="宋体" w:cs="宋体"/>
          <w:b/>
          <w:color w:val="auto"/>
          <w:sz w:val="24"/>
          <w:szCs w:val="24"/>
          <w:highlight w:val="none"/>
        </w:rPr>
        <w:t>.被拒绝的投标文件为无效；</w:t>
      </w:r>
    </w:p>
    <w:p w14:paraId="4D74057E">
      <w:pPr>
        <w:pStyle w:val="13"/>
        <w:keepNext w:val="0"/>
        <w:keepLines w:val="0"/>
        <w:pageBreakBefore w:val="0"/>
        <w:widowControl w:val="0"/>
        <w:kinsoku/>
        <w:wordWrap w:val="0"/>
        <w:overflowPunct/>
        <w:topLinePunct/>
        <w:autoSpaceDE/>
        <w:autoSpaceDN/>
        <w:bidi w:val="0"/>
        <w:snapToGrid w:val="0"/>
        <w:spacing w:line="400" w:lineRule="exact"/>
        <w:ind w:left="0" w:leftChars="0" w:right="0" w:rightChars="0" w:firstLine="466" w:firstLineChars="200"/>
        <w:textAlignment w:val="auto"/>
        <w:rPr>
          <w:rFonts w:hint="eastAsia" w:ascii="宋体" w:hAnsi="宋体" w:eastAsia="宋体" w:cs="宋体"/>
          <w:b/>
          <w:color w:val="auto"/>
          <w:sz w:val="24"/>
          <w:szCs w:val="24"/>
          <w:highlight w:val="none"/>
        </w:rPr>
      </w:pPr>
      <w:r>
        <w:rPr>
          <w:rFonts w:hint="eastAsia" w:hAnsi="宋体" w:cs="宋体"/>
          <w:b/>
          <w:color w:val="auto"/>
          <w:sz w:val="24"/>
          <w:szCs w:val="24"/>
          <w:highlight w:val="none"/>
          <w:lang w:val="en-US" w:eastAsia="zh-CN"/>
        </w:rPr>
        <w:t>10</w:t>
      </w:r>
      <w:r>
        <w:rPr>
          <w:rFonts w:hint="eastAsia" w:ascii="宋体" w:hAnsi="宋体" w:eastAsia="宋体" w:cs="宋体"/>
          <w:b/>
          <w:color w:val="auto"/>
          <w:sz w:val="24"/>
          <w:szCs w:val="24"/>
          <w:highlight w:val="none"/>
        </w:rPr>
        <w:t>.存在带“▲”条款的负偏离的；</w:t>
      </w:r>
    </w:p>
    <w:p w14:paraId="6D01F57F">
      <w:pPr>
        <w:pStyle w:val="13"/>
        <w:keepNext w:val="0"/>
        <w:keepLines w:val="0"/>
        <w:pageBreakBefore w:val="0"/>
        <w:widowControl w:val="0"/>
        <w:kinsoku/>
        <w:wordWrap w:val="0"/>
        <w:overflowPunct/>
        <w:topLinePunct/>
        <w:autoSpaceDE/>
        <w:autoSpaceDN/>
        <w:bidi w:val="0"/>
        <w:snapToGrid w:val="0"/>
        <w:spacing w:line="400" w:lineRule="exact"/>
        <w:ind w:left="0" w:leftChars="0" w:right="0" w:rightChars="0" w:firstLine="466" w:firstLineChars="200"/>
        <w:textAlignment w:val="auto"/>
        <w:rPr>
          <w:rFonts w:hint="eastAsia" w:ascii="宋体" w:hAnsi="宋体" w:eastAsia="宋体" w:cs="宋体"/>
          <w:b/>
          <w:bCs/>
          <w:color w:val="auto"/>
          <w:sz w:val="24"/>
          <w:szCs w:val="24"/>
          <w:highlight w:val="none"/>
        </w:rPr>
      </w:pPr>
      <w:r>
        <w:rPr>
          <w:rFonts w:hint="eastAsia" w:hAnsi="宋体" w:eastAsia="宋体" w:cs="宋体"/>
          <w:b/>
          <w:bCs/>
          <w:color w:val="auto"/>
          <w:sz w:val="24"/>
          <w:szCs w:val="24"/>
          <w:highlight w:val="none"/>
          <w:lang w:val="en-US" w:eastAsia="zh-CN"/>
        </w:rPr>
        <w:t>1</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.本</w:t>
      </w:r>
      <w:r>
        <w:rPr>
          <w:rFonts w:hint="eastAsia"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文件其他部分已规定为无效标的情形；</w:t>
      </w:r>
    </w:p>
    <w:p w14:paraId="13F0EA90">
      <w:pPr>
        <w:pStyle w:val="13"/>
        <w:keepNext w:val="0"/>
        <w:keepLines w:val="0"/>
        <w:pageBreakBefore w:val="0"/>
        <w:widowControl w:val="0"/>
        <w:kinsoku/>
        <w:wordWrap w:val="0"/>
        <w:overflowPunct/>
        <w:topLinePunct/>
        <w:autoSpaceDE/>
        <w:autoSpaceDN/>
        <w:bidi w:val="0"/>
        <w:snapToGrid w:val="0"/>
        <w:spacing w:line="400" w:lineRule="exact"/>
        <w:ind w:left="0" w:leftChars="0" w:right="0" w:rightChars="0" w:firstLine="466" w:firstLineChars="200"/>
        <w:textAlignment w:val="auto"/>
        <w:rPr>
          <w:rFonts w:hint="eastAsia" w:hAnsi="宋体" w:cs="宋体"/>
          <w:b/>
          <w:bCs/>
          <w:color w:val="auto"/>
          <w:sz w:val="24"/>
          <w:szCs w:val="24"/>
          <w:highlight w:val="none"/>
          <w:lang w:eastAsia="zh-CN"/>
        </w:rPr>
      </w:pPr>
      <w:r>
        <w:rPr>
          <w:rFonts w:hint="eastAsia" w:hAnsi="宋体" w:eastAsia="宋体" w:cs="宋体"/>
          <w:b/>
          <w:bCs/>
          <w:color w:val="auto"/>
          <w:sz w:val="24"/>
          <w:szCs w:val="24"/>
          <w:highlight w:val="none"/>
          <w:lang w:val="en-US" w:eastAsia="zh-CN"/>
        </w:rPr>
        <w:t>1</w:t>
      </w:r>
      <w:r>
        <w:rPr>
          <w:rFonts w:hint="eastAsia"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.评标专家认定的其他必须按无效标处理的</w:t>
      </w:r>
      <w:r>
        <w:rPr>
          <w:rFonts w:hint="eastAsia" w:hAnsi="宋体" w:cs="宋体"/>
          <w:b/>
          <w:bCs/>
          <w:color w:val="auto"/>
          <w:sz w:val="24"/>
          <w:szCs w:val="24"/>
          <w:highlight w:val="none"/>
          <w:lang w:eastAsia="zh-CN"/>
        </w:rPr>
        <w:t>；</w:t>
      </w:r>
    </w:p>
    <w:p w14:paraId="19A105D0">
      <w:pPr>
        <w:pStyle w:val="13"/>
        <w:keepNext w:val="0"/>
        <w:keepLines w:val="0"/>
        <w:pageBreakBefore w:val="0"/>
        <w:widowControl w:val="0"/>
        <w:kinsoku/>
        <w:wordWrap w:val="0"/>
        <w:overflowPunct/>
        <w:topLinePunct/>
        <w:autoSpaceDE/>
        <w:autoSpaceDN/>
        <w:bidi w:val="0"/>
        <w:snapToGrid w:val="0"/>
        <w:spacing w:line="400" w:lineRule="exact"/>
        <w:ind w:left="0" w:leftChars="0" w:right="0" w:rightChars="0" w:firstLine="466" w:firstLineChars="200"/>
        <w:textAlignment w:val="auto"/>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13.</w:t>
      </w:r>
      <w:r>
        <w:rPr>
          <w:rFonts w:hint="eastAsia" w:hAnsi="宋体" w:cs="宋体"/>
          <w:b/>
          <w:bCs/>
          <w:color w:val="auto"/>
          <w:sz w:val="24"/>
          <w:szCs w:val="24"/>
          <w:highlight w:val="none"/>
          <w:lang w:eastAsia="zh-CN"/>
        </w:rPr>
        <w:t>法律、法规、规章及省级以上规范性文件规定的其他无效情形</w:t>
      </w:r>
      <w:r>
        <w:rPr>
          <w:rFonts w:hint="eastAsia" w:ascii="宋体" w:hAnsi="宋体" w:eastAsia="宋体" w:cs="宋体"/>
          <w:b/>
          <w:bCs/>
          <w:color w:val="auto"/>
          <w:sz w:val="24"/>
          <w:szCs w:val="24"/>
          <w:highlight w:val="none"/>
        </w:rPr>
        <w:t>。</w:t>
      </w:r>
    </w:p>
    <w:p w14:paraId="0594011F">
      <w:pPr>
        <w:pStyle w:val="13"/>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（十）</w:t>
      </w:r>
      <w:r>
        <w:rPr>
          <w:rFonts w:hint="eastAsia" w:ascii="宋体" w:hAnsi="宋体" w:eastAsia="宋体" w:cs="宋体"/>
          <w:b/>
          <w:bCs/>
          <w:color w:val="auto"/>
          <w:sz w:val="24"/>
          <w:szCs w:val="24"/>
          <w:highlight w:val="none"/>
        </w:rPr>
        <w:t>出现以下情形，导致电子交易平台无法正常运行，或者无法保证电子交易的公平、公正和安全时，中止电子交易活动：</w:t>
      </w:r>
    </w:p>
    <w:p w14:paraId="74DA4411">
      <w:pPr>
        <w:pStyle w:val="13"/>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1.电子交易平台发生</w:t>
      </w:r>
      <w:r>
        <w:rPr>
          <w:rFonts w:hint="eastAsia" w:ascii="宋体" w:hAnsi="宋体" w:eastAsia="宋体" w:cs="宋体"/>
          <w:color w:val="auto"/>
          <w:sz w:val="24"/>
          <w:szCs w:val="24"/>
          <w:highlight w:val="none"/>
        </w:rPr>
        <w:t>故障而无法登录访问的；</w:t>
      </w:r>
    </w:p>
    <w:p w14:paraId="03D2110B">
      <w:pPr>
        <w:pStyle w:val="13"/>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2.电子交易平台应用或数据库出现错误，不能进行正常操作的；</w:t>
      </w:r>
    </w:p>
    <w:p w14:paraId="76DF10BA">
      <w:pPr>
        <w:pStyle w:val="13"/>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3.电子交易平台发现严重安全漏洞，有潜在泄密危险的；</w:t>
      </w:r>
    </w:p>
    <w:p w14:paraId="3274744D">
      <w:pPr>
        <w:pStyle w:val="13"/>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4.病毒发作导致不能进行正常操作的；</w:t>
      </w:r>
    </w:p>
    <w:p w14:paraId="4D1DA9C7">
      <w:pPr>
        <w:pStyle w:val="13"/>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5.其他无法保证电子交易的公平、公正和安全的情况。</w:t>
      </w:r>
    </w:p>
    <w:p w14:paraId="6234B51E">
      <w:pPr>
        <w:pStyle w:val="13"/>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64" w:firstLineChars="200"/>
        <w:textAlignment w:val="auto"/>
        <w:rPr>
          <w:rFonts w:hint="eastAsia"/>
          <w:color w:val="auto"/>
          <w:sz w:val="24"/>
          <w:szCs w:val="24"/>
        </w:rPr>
      </w:pPr>
      <w:r>
        <w:rPr>
          <w:rFonts w:hint="eastAsia" w:ascii="宋体" w:hAnsi="宋体" w:eastAsia="宋体" w:cs="宋体"/>
          <w:color w:val="auto"/>
          <w:sz w:val="24"/>
          <w:szCs w:val="24"/>
          <w:highlight w:val="none"/>
        </w:rPr>
        <w:t>出现前款规定情形，不影响采购公平、公正性的，采购代理机构可以待上述情形消除后继续组织电子交易活动，也可以决定某些环节以纸质形式进行；影响或可能影响采购公平、公正性的，重新采购。</w:t>
      </w:r>
    </w:p>
    <w:p w14:paraId="73A52CD7">
      <w:pPr>
        <w:keepNext w:val="0"/>
        <w:keepLines w:val="0"/>
        <w:pageBreakBefore w:val="0"/>
        <w:widowControl w:val="0"/>
        <w:kinsoku/>
        <w:wordWrap w:val="0"/>
        <w:overflowPunct/>
        <w:topLinePunct/>
        <w:autoSpaceDE/>
        <w:autoSpaceDN/>
        <w:bidi w:val="0"/>
        <w:snapToGrid w:val="0"/>
        <w:spacing w:beforeAutospacing="0" w:afterAutospacing="0" w:line="400" w:lineRule="exact"/>
        <w:ind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四、开标</w:t>
      </w:r>
    </w:p>
    <w:p w14:paraId="1F886336">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（一）开标准备</w:t>
      </w:r>
    </w:p>
    <w:p w14:paraId="3C668637">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采购组织机构原则上采用电子评标，按照</w:t>
      </w:r>
      <w:r>
        <w:rPr>
          <w:rFonts w:hint="eastAsia" w:ascii="宋体" w:hAnsi="宋体" w:eastAsia="宋体" w:cs="宋体"/>
          <w:b/>
          <w:color w:val="auto"/>
          <w:sz w:val="24"/>
          <w:szCs w:val="24"/>
          <w:highlight w:val="none"/>
          <w:lang w:eastAsia="zh-CN"/>
        </w:rPr>
        <w:t>采购</w:t>
      </w:r>
      <w:r>
        <w:rPr>
          <w:rFonts w:hint="eastAsia" w:ascii="宋体" w:hAnsi="宋体" w:eastAsia="宋体" w:cs="宋体"/>
          <w:b/>
          <w:color w:val="auto"/>
          <w:sz w:val="24"/>
          <w:szCs w:val="24"/>
          <w:highlight w:val="none"/>
        </w:rPr>
        <w:t>文件规定的时间通过“政府采购云平台”组织开标、开启投标文件，所有供应商可以派授权代表参加或准时在线参加。</w:t>
      </w:r>
      <w:r>
        <w:rPr>
          <w:rFonts w:hint="eastAsia" w:ascii="宋体" w:hAnsi="宋体" w:eastAsia="宋体" w:cs="宋体"/>
          <w:b/>
          <w:color w:val="auto"/>
          <w:kern w:val="0"/>
          <w:sz w:val="24"/>
          <w:szCs w:val="24"/>
          <w:highlight w:val="none"/>
        </w:rPr>
        <w:t>供应商如不参加开标会议的，视同认可开标结果，事后不得对采购相关人员、招标过程和招标结果提出异议，同时供应商因未在线参加开标而导致投标文件无法按时解密等一切后果由供应商自己承担。</w:t>
      </w:r>
    </w:p>
    <w:p w14:paraId="557EBB50">
      <w:pPr>
        <w:keepNext w:val="0"/>
        <w:keepLines w:val="0"/>
        <w:pageBreakBefore w:val="0"/>
        <w:widowControl w:val="0"/>
        <w:kinsoku/>
        <w:wordWrap w:val="0"/>
        <w:overflowPunct/>
        <w:topLinePunct/>
        <w:autoSpaceDE/>
        <w:autoSpaceDN/>
        <w:bidi w:val="0"/>
        <w:snapToGrid w:val="0"/>
        <w:spacing w:beforeAutospacing="0" w:afterAutospacing="0" w:line="400" w:lineRule="exact"/>
        <w:ind w:firstLine="482" w:firstLineChars="200"/>
        <w:jc w:val="left"/>
        <w:textAlignment w:val="auto"/>
        <w:rPr>
          <w:rFonts w:hint="eastAsia"/>
          <w:color w:val="auto"/>
          <w:sz w:val="24"/>
          <w:szCs w:val="24"/>
        </w:rPr>
      </w:pPr>
      <w:r>
        <w:rPr>
          <w:rFonts w:hint="eastAsia" w:ascii="宋体" w:hAnsi="宋体" w:eastAsia="宋体" w:cs="宋体"/>
          <w:b/>
          <w:color w:val="auto"/>
          <w:kern w:val="0"/>
          <w:sz w:val="24"/>
          <w:szCs w:val="24"/>
          <w:highlight w:val="none"/>
        </w:rPr>
        <w:t>投标人不足3家的，不得开标。</w:t>
      </w:r>
    </w:p>
    <w:p w14:paraId="1496509B">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(二) 采购人或者</w:t>
      </w:r>
      <w:r>
        <w:rPr>
          <w:rFonts w:hint="eastAsia" w:hAnsi="宋体" w:eastAsia="宋体" w:cs="宋体"/>
          <w:b/>
          <w:color w:val="auto"/>
          <w:sz w:val="24"/>
          <w:szCs w:val="24"/>
          <w:highlight w:val="none"/>
          <w:lang w:eastAsia="zh-CN"/>
        </w:rPr>
        <w:t>采购代理机构</w:t>
      </w:r>
      <w:r>
        <w:rPr>
          <w:rFonts w:hint="eastAsia" w:ascii="宋体" w:hAnsi="宋体" w:eastAsia="宋体" w:cs="宋体"/>
          <w:b/>
          <w:color w:val="auto"/>
          <w:sz w:val="24"/>
          <w:szCs w:val="24"/>
          <w:highlight w:val="none"/>
        </w:rPr>
        <w:t>职责</w:t>
      </w:r>
    </w:p>
    <w:p w14:paraId="1249B658">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负责组织评标工作，并履行下列职责：</w:t>
      </w:r>
    </w:p>
    <w:p w14:paraId="00E558F4">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1.核对评审专家身份和采购人代表授权函，对评审专家在政府采购活动中的职责履行情况予以记录，并及时将有关违法违规行为向财政部门报告；</w:t>
      </w:r>
    </w:p>
    <w:p w14:paraId="29C42DDC">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2.宣布评标纪律；</w:t>
      </w:r>
    </w:p>
    <w:p w14:paraId="14D00511">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3.公布投标人名单，告知评审专家应当回避的情形；</w:t>
      </w:r>
    </w:p>
    <w:p w14:paraId="6DA00065">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4.组织评标委员会推选评标组长，采购人代表不得担任组长；</w:t>
      </w:r>
    </w:p>
    <w:p w14:paraId="06CFB2C1">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5.在评标期间采取必要的通讯管理措施，保证评标活动不受外界干扰；</w:t>
      </w:r>
    </w:p>
    <w:p w14:paraId="36247ED7">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6.根据评标委员会的要求介绍政府采购相关政策法规、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w:t>
      </w:r>
    </w:p>
    <w:p w14:paraId="058D40AD">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7.维护评标秩序，监督评标委员会依照</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文件规定的评标程序、方法和标准进行独立评审，及时制止和纠正采购人代表、评审专家的倾向性言论或者违法违规行为；</w:t>
      </w:r>
    </w:p>
    <w:p w14:paraId="53DC3793">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8.核对评标结果，有本办法第六十四条规定情形的，要求评标委员会复核或者书面说明理由，评标委员会拒绝的，应予记录并向本级财政部门报告；</w:t>
      </w:r>
    </w:p>
    <w:p w14:paraId="0064CDD3">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9.评审工作完成后，按照规定向评审专家支付劳务报酬和异地评审差旅费，不得向评审专家以外的其他人员支付评审劳务报酬；</w:t>
      </w:r>
    </w:p>
    <w:p w14:paraId="456ABE89">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10.处理与评标有关的其他事项。</w:t>
      </w:r>
    </w:p>
    <w:p w14:paraId="0BE8AC31">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（三）开标程序</w:t>
      </w:r>
    </w:p>
    <w:p w14:paraId="04A405AF">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本项目原则上采用政采云电子招投标开标及评审程序，但有下情形之一的，按以下情况处理：</w:t>
      </w:r>
    </w:p>
    <w:p w14:paraId="4576058C">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1.开标会由采购代理机构主持，主持人宣布开标会议开始；</w:t>
      </w:r>
    </w:p>
    <w:p w14:paraId="1B276BD2">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2.主持人介绍参加开标会的人员名单； </w:t>
      </w:r>
    </w:p>
    <w:p w14:paraId="69BF81CB">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3.主持人宣布评标期间的有关事项；告知应当回避的情形,提请有关人员回避；</w:t>
      </w:r>
    </w:p>
    <w:p w14:paraId="0FDB476B">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4.电子投标文件开标</w:t>
      </w:r>
      <w:r>
        <w:rPr>
          <w:rFonts w:hint="eastAsia" w:ascii="宋体" w:hAnsi="宋体" w:eastAsia="宋体" w:cs="宋体"/>
          <w:color w:val="auto"/>
          <w:sz w:val="24"/>
          <w:szCs w:val="24"/>
          <w:highlight w:val="none"/>
          <w:lang w:eastAsia="zh-CN"/>
        </w:rPr>
        <w:t>：</w:t>
      </w:r>
    </w:p>
    <w:p w14:paraId="4F530AC2">
      <w:pPr>
        <w:keepNext w:val="0"/>
        <w:keepLines w:val="0"/>
        <w:pageBreakBefore w:val="0"/>
        <w:widowControl w:val="0"/>
        <w:kinsoku/>
        <w:wordWrap w:val="0"/>
        <w:overflowPunct/>
        <w:topLinePunct/>
        <w:autoSpaceDE/>
        <w:autoSpaceDN/>
        <w:bidi w:val="0"/>
        <w:snapToGrid w:val="0"/>
        <w:spacing w:beforeAutospacing="0" w:afterAutospacing="0" w:line="40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（1）投标截止时间后，投标人登录政采云平台，用“项目采购-开标评标”功能对电子投标文件进行在线解密。在线解密电子投标文件时间为开标时间起半个小时</w:t>
      </w:r>
      <w:r>
        <w:rPr>
          <w:rFonts w:hint="eastAsia" w:ascii="宋体" w:hAnsi="宋体" w:eastAsia="宋体" w:cs="宋体"/>
          <w:color w:val="auto"/>
          <w:sz w:val="24"/>
          <w:szCs w:val="24"/>
          <w:highlight w:val="none"/>
          <w:lang w:eastAsia="zh-CN"/>
        </w:rPr>
        <w:t>内</w:t>
      </w:r>
      <w:r>
        <w:rPr>
          <w:rFonts w:hint="eastAsia" w:ascii="宋体" w:hAnsi="宋体" w:eastAsia="宋体" w:cs="宋体"/>
          <w:color w:val="auto"/>
          <w:sz w:val="24"/>
          <w:szCs w:val="24"/>
          <w:highlight w:val="none"/>
        </w:rPr>
        <w:t>。</w:t>
      </w:r>
    </w:p>
    <w:p w14:paraId="0C64E6A5">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（2）由采购人代表对资格审查文件进行评审，评标委员会对商务技术文件进行评审。</w:t>
      </w:r>
    </w:p>
    <w:p w14:paraId="3921648A">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（3）在</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系统上公开资格审查和商务技术评审结果；</w:t>
      </w:r>
    </w:p>
    <w:p w14:paraId="2587ECB8">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（4）在</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系统上公开报价开标情况；</w:t>
      </w:r>
    </w:p>
    <w:p w14:paraId="063E0BB6">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（5）评标委员会对报价情况进行评审；</w:t>
      </w:r>
    </w:p>
    <w:p w14:paraId="365123C8">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（6）在</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系统上公布评审结果。</w:t>
      </w:r>
    </w:p>
    <w:p w14:paraId="0466E2D4">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特别说明：政采云公司如对电子化开标及评审程序有调整的，按调整后的程序操作。</w:t>
      </w:r>
    </w:p>
    <w:p w14:paraId="1D251E36">
      <w:pPr>
        <w:pStyle w:val="17"/>
        <w:keepNext w:val="0"/>
        <w:keepLines w:val="0"/>
        <w:pageBreakBefore w:val="0"/>
        <w:widowControl w:val="0"/>
        <w:kinsoku/>
        <w:wordWrap w:val="0"/>
        <w:overflowPunct/>
        <w:topLinePunct/>
        <w:autoSpaceDE/>
        <w:autoSpaceDN/>
        <w:bidi w:val="0"/>
        <w:adjustRightInd/>
        <w:snapToGrid w:val="0"/>
        <w:spacing w:before="0" w:beforeLines="0" w:beforeAutospacing="0" w:after="0" w:afterLines="0" w:afterAutospacing="0" w:line="400" w:lineRule="exact"/>
        <w:ind w:left="0" w:leftChars="0" w:right="0" w:rightChars="0" w:firstLine="0" w:firstLineChars="0"/>
        <w:jc w:val="center"/>
        <w:textAlignment w:val="auto"/>
        <w:outlineLvl w:val="0"/>
        <w:rPr>
          <w:rFonts w:hint="eastAsia" w:ascii="宋体" w:hAnsi="宋体" w:eastAsia="宋体" w:cs="宋体"/>
          <w:b/>
          <w:color w:val="auto"/>
          <w:sz w:val="24"/>
          <w:szCs w:val="24"/>
          <w:highlight w:val="none"/>
        </w:rPr>
      </w:pPr>
      <w:bookmarkStart w:id="44" w:name="_Toc15800"/>
      <w:r>
        <w:rPr>
          <w:rFonts w:hint="eastAsia" w:ascii="宋体" w:hAnsi="宋体" w:eastAsia="宋体" w:cs="宋体"/>
          <w:b/>
          <w:color w:val="auto"/>
          <w:sz w:val="24"/>
          <w:szCs w:val="24"/>
          <w:highlight w:val="none"/>
        </w:rPr>
        <w:t>五、评标</w:t>
      </w:r>
      <w:bookmarkEnd w:id="44"/>
    </w:p>
    <w:p w14:paraId="277E5D6E">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bCs/>
          <w:color w:val="auto"/>
          <w:kern w:val="2"/>
          <w:sz w:val="24"/>
          <w:szCs w:val="24"/>
          <w:highlight w:val="none"/>
          <w:lang w:val="en-US" w:eastAsia="zh-CN" w:bidi="ar-SA"/>
        </w:rPr>
        <w:t>组建评标委员会</w:t>
      </w:r>
    </w:p>
    <w:p w14:paraId="6C18E739">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本项目评标委员会由采购人代表和有关技术、经济等方面的专家组成，成员人数为</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以上单数。其中，技术、经济等方面的专家不得少于成员总数的三分之二。</w:t>
      </w:r>
    </w:p>
    <w:p w14:paraId="369E385C">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评标委员会负责具体评标事务，并独立履行下列职责：</w:t>
      </w:r>
    </w:p>
    <w:p w14:paraId="793B2E7A">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1.审查、评价投标文件是否符合</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文件的商务、技术等实质性要求；</w:t>
      </w:r>
    </w:p>
    <w:p w14:paraId="0CC6D377">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2.要求投标人对投标文件有关事项作出澄清或者说明；</w:t>
      </w:r>
    </w:p>
    <w:p w14:paraId="4AF365D9">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3.对投标文件进行比较和评价；</w:t>
      </w:r>
    </w:p>
    <w:p w14:paraId="6C76CB0C">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4.确定中标候选人名单，以及根据采购人委托直接确定中标人；</w:t>
      </w:r>
    </w:p>
    <w:p w14:paraId="03CD408F">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或者有关部门报告评标中发现的违法行为。</w:t>
      </w:r>
    </w:p>
    <w:p w14:paraId="531D403E">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除采购人代表、评标现场组织人员外，采购人的其他工作人员以及与评标工作无关的人员不得进入评标现场。</w:t>
      </w:r>
    </w:p>
    <w:p w14:paraId="2F5F039E">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color w:val="auto"/>
          <w:sz w:val="24"/>
          <w:szCs w:val="24"/>
          <w:highlight w:val="none"/>
        </w:rPr>
        <w:t>（二）</w:t>
      </w:r>
      <w:r>
        <w:rPr>
          <w:rFonts w:hint="eastAsia" w:ascii="宋体" w:hAnsi="宋体" w:eastAsia="宋体" w:cs="宋体"/>
          <w:b/>
          <w:bCs/>
          <w:color w:val="auto"/>
          <w:kern w:val="2"/>
          <w:sz w:val="24"/>
          <w:szCs w:val="24"/>
          <w:highlight w:val="none"/>
          <w:lang w:val="en-US" w:eastAsia="zh-CN" w:bidi="ar-SA"/>
        </w:rPr>
        <w:t>评标的方式</w:t>
      </w:r>
    </w:p>
    <w:p w14:paraId="6F1318D6">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lang w:val="en-US" w:eastAsia="zh-CN" w:bidi="ar-SA"/>
        </w:rPr>
        <w:t>本项目采用不公开方式评标，评标的依据为</w:t>
      </w:r>
      <w:r>
        <w:rPr>
          <w:rFonts w:hint="eastAsia" w:hAnsi="宋体" w:eastAsia="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文件和投标文件</w:t>
      </w:r>
      <w:r>
        <w:rPr>
          <w:rFonts w:hint="eastAsia" w:ascii="宋体" w:hAnsi="宋体" w:eastAsia="宋体" w:cs="宋体"/>
          <w:color w:val="auto"/>
          <w:sz w:val="24"/>
          <w:szCs w:val="24"/>
          <w:highlight w:val="none"/>
        </w:rPr>
        <w:t>。</w:t>
      </w:r>
    </w:p>
    <w:p w14:paraId="3F642705">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（三）评标程序</w:t>
      </w:r>
    </w:p>
    <w:p w14:paraId="21565B71">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采购人可以在评标前说明项目背景和采购需求，说明内容不得含有歧视性、倾向性意见，不得超出</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文件所述范围。说明应当提交书面材料，并随采购文件一并存档。</w:t>
      </w:r>
    </w:p>
    <w:p w14:paraId="62380597">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2.实质审查与比较</w:t>
      </w:r>
    </w:p>
    <w:p w14:paraId="6E73E25B">
      <w:pPr>
        <w:keepNext w:val="0"/>
        <w:keepLines w:val="0"/>
        <w:pageBreakBefore w:val="0"/>
        <w:widowControl w:val="0"/>
        <w:numPr>
          <w:ilvl w:val="0"/>
          <w:numId w:val="0"/>
        </w:numPr>
        <w:kinsoku/>
        <w:wordWrap w:val="0"/>
        <w:overflowPunct/>
        <w:topLinePunct/>
        <w:autoSpaceDE/>
        <w:autoSpaceDN/>
        <w:bidi w:val="0"/>
        <w:snapToGrid w:val="0"/>
        <w:spacing w:beforeAutospacing="0" w:afterAutospacing="0" w:line="40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（1）评标委员会审查投标文件的实质性内容是否符合</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文件的实质性要求。</w:t>
      </w:r>
    </w:p>
    <w:p w14:paraId="3AA71378">
      <w:pPr>
        <w:keepNext w:val="0"/>
        <w:keepLines w:val="0"/>
        <w:pageBreakBefore w:val="0"/>
        <w:widowControl w:val="0"/>
        <w:kinsoku/>
        <w:wordWrap w:val="0"/>
        <w:overflowPunct/>
        <w:topLinePunct/>
        <w:autoSpaceDE/>
        <w:autoSpaceDN/>
        <w:bidi w:val="0"/>
        <w:snapToGrid w:val="0"/>
        <w:spacing w:beforeAutospacing="0" w:afterAutospacing="0" w:line="40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（2）评标委员会将根据投标人的投标文件进行审查、核对,如有疑问,将对投标人进行询标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投标人要向评标委员会澄清有关问题,并最终以书面形式进行答复。</w:t>
      </w:r>
    </w:p>
    <w:p w14:paraId="7FB63DE8">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投标人代表未到场、未在线或者拒绝澄清或者澄清的内容改变了投标文件的实质性内容的，评标委员会有权对该投标文件作出不利于投标人的评判。</w:t>
      </w:r>
    </w:p>
    <w:p w14:paraId="1204418C">
      <w:pPr>
        <w:keepNext w:val="0"/>
        <w:keepLines w:val="0"/>
        <w:pageBreakBefore w:val="0"/>
        <w:widowControl w:val="0"/>
        <w:kinsoku/>
        <w:wordWrap w:val="0"/>
        <w:overflowPunct/>
        <w:topLinePunct/>
        <w:autoSpaceDE/>
        <w:autoSpaceDN/>
        <w:bidi w:val="0"/>
        <w:snapToGrid w:val="0"/>
        <w:spacing w:beforeAutospacing="0" w:afterAutospacing="0" w:line="40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（3）评标委员会完成评标后,</w:t>
      </w:r>
      <w:r>
        <w:rPr>
          <w:rFonts w:hint="eastAsia" w:ascii="宋体" w:hAnsi="宋体" w:eastAsia="宋体" w:cs="宋体"/>
          <w:color w:val="auto"/>
          <w:sz w:val="24"/>
          <w:szCs w:val="24"/>
          <w:highlight w:val="none"/>
          <w:lang w:eastAsia="zh-CN"/>
        </w:rPr>
        <w:t>政采云系统</w:t>
      </w:r>
      <w:r>
        <w:rPr>
          <w:rFonts w:hint="eastAsia" w:ascii="宋体" w:hAnsi="宋体" w:eastAsia="宋体" w:cs="宋体"/>
          <w:color w:val="auto"/>
          <w:sz w:val="24"/>
          <w:szCs w:val="24"/>
          <w:highlight w:val="none"/>
        </w:rPr>
        <w:t>计算</w:t>
      </w:r>
      <w:r>
        <w:rPr>
          <w:rFonts w:hint="eastAsia" w:ascii="宋体" w:hAnsi="宋体" w:eastAsia="宋体" w:cs="宋体"/>
          <w:color w:val="auto"/>
          <w:sz w:val="24"/>
          <w:szCs w:val="24"/>
          <w:highlight w:val="none"/>
          <w:lang w:eastAsia="zh-CN"/>
        </w:rPr>
        <w:t>汇总</w:t>
      </w:r>
      <w:r>
        <w:rPr>
          <w:rFonts w:hint="eastAsia" w:ascii="宋体" w:hAnsi="宋体" w:eastAsia="宋体" w:cs="宋体"/>
          <w:color w:val="auto"/>
          <w:sz w:val="24"/>
          <w:szCs w:val="24"/>
          <w:highlight w:val="none"/>
        </w:rPr>
        <w:t>本项目最终得分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评标委员会按评标原则推荐中标候选人。</w:t>
      </w:r>
    </w:p>
    <w:p w14:paraId="0D2DCA70">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（四）澄清问题的形式</w:t>
      </w:r>
    </w:p>
    <w:p w14:paraId="73F47ADE">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对投标文件中含义不明确、同类问题表述不一致或者有明显文字和计算错误的内容，评标委员会可要求供应商作出必要的澄清、说明或者纠正。</w:t>
      </w:r>
    </w:p>
    <w:p w14:paraId="6D32C688">
      <w:pPr>
        <w:keepNext w:val="0"/>
        <w:keepLines w:val="0"/>
        <w:pageBreakBefore w:val="0"/>
        <w:widowControl w:val="0"/>
        <w:kinsoku/>
        <w:wordWrap w:val="0"/>
        <w:overflowPunct/>
        <w:topLinePunct/>
        <w:autoSpaceDE/>
        <w:autoSpaceDN/>
        <w:bidi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1.评标委员会可以在“政采云”平台在线询标或其他有效形式要求供应商对同一份投标文件含义不明确或同类问题表述不一致的内容（</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其它地方有规定处理方法的除外）作必要的澄清或说明。供应商应采用在线回复或其他有效形式在询标规定时间内进行澄清或说明，但不得超出投标文件的范围或改变投标文件的实质性内容。凡属于评标委员会在评标中发现的计算错误并进行核实的修改不在此列。</w:t>
      </w:r>
    </w:p>
    <w:p w14:paraId="18FE925C">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2.如果供应商代表拒绝或未按评标委员会要求在“政采云”平台作出在线回复且无其他有效回复方式的，评标委员会可以对其作出无效标处理。</w:t>
      </w:r>
    </w:p>
    <w:p w14:paraId="6445D167">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bCs/>
          <w:color w:val="auto"/>
          <w:kern w:val="2"/>
          <w:sz w:val="24"/>
          <w:szCs w:val="24"/>
          <w:highlight w:val="none"/>
          <w:lang w:val="en-US" w:eastAsia="zh-CN" w:bidi="ar-SA"/>
        </w:rPr>
        <w:t>错误修正</w:t>
      </w:r>
    </w:p>
    <w:p w14:paraId="3DEF33B2">
      <w:pPr>
        <w:keepNext w:val="0"/>
        <w:keepLines w:val="0"/>
        <w:pageBreakBefore w:val="0"/>
        <w:widowControl w:val="0"/>
        <w:kinsoku/>
        <w:wordWrap w:val="0"/>
        <w:overflowPunct/>
        <w:topLinePunct/>
        <w:autoSpaceDE/>
        <w:autoSpaceDN/>
        <w:bidi w:val="0"/>
        <w:snapToGrid w:val="0"/>
        <w:spacing w:beforeAutospacing="0" w:afterAutospacing="0" w:line="40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1.电子投标流程中，客户端填写的内容与以pdf格式上传文件中的内容不一致的，应以Pdf格式上传文件为准。</w:t>
      </w:r>
    </w:p>
    <w:p w14:paraId="7004E38F">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投标文件报价出现前后不一致的，除</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文件另有规定外按照下列规定修正：</w:t>
      </w:r>
    </w:p>
    <w:p w14:paraId="01C4D8FB">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投标文件中开标一览表（报价表）内容与投标文件中相应内容不一致的，以开标一览表（报价表）为准；</w:t>
      </w:r>
    </w:p>
    <w:p w14:paraId="13DAC978">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大写金额和小写金额不一致的，以大写金额为准；</w:t>
      </w:r>
    </w:p>
    <w:p w14:paraId="6699B7D5">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单价金额小数点或者百分比有明显错位的，以开标一览表的总价为准，并修改单价；</w:t>
      </w:r>
    </w:p>
    <w:p w14:paraId="4DB8AA6A">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总价金额与按单价汇总金额不一致的，以单价金额计算结果为准</w:t>
      </w:r>
      <w:r>
        <w:rPr>
          <w:rFonts w:hint="eastAsia" w:ascii="宋体" w:hAnsi="宋体" w:eastAsia="宋体" w:cs="宋体"/>
          <w:color w:val="auto"/>
          <w:sz w:val="24"/>
          <w:szCs w:val="24"/>
          <w:highlight w:val="none"/>
          <w:lang w:eastAsia="zh-CN"/>
        </w:rPr>
        <w:t>。</w:t>
      </w:r>
    </w:p>
    <w:p w14:paraId="4C36B0E1">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同时出现两种以上不一致的，按照前款规定的顺序修正。修正后的报价按照《政府采购货物与服务招标投标管理办法（第87号令）》第五十一条第二款的规定经投标人确认后产生约束力，投标人不确认的，其投标无效。</w:t>
      </w:r>
    </w:p>
    <w:p w14:paraId="53133AF0">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r>
        <w:rPr>
          <w:rFonts w:hint="eastAsia" w:ascii="宋体" w:hAnsi="宋体" w:eastAsia="宋体" w:cs="宋体"/>
          <w:b/>
          <w:bCs/>
          <w:color w:val="auto"/>
          <w:kern w:val="2"/>
          <w:sz w:val="24"/>
          <w:szCs w:val="24"/>
          <w:highlight w:val="none"/>
          <w:lang w:val="en-US" w:eastAsia="zh-CN" w:bidi="ar-SA"/>
        </w:rPr>
        <w:t>评标原则和评标办法</w:t>
      </w:r>
    </w:p>
    <w:p w14:paraId="400C50E0">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1CD3BD2">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2.评标办法。本项目评标办法是</w:t>
      </w:r>
      <w:r>
        <w:rPr>
          <w:rFonts w:hint="eastAsia" w:ascii="宋体" w:hAnsi="宋体" w:eastAsia="宋体" w:cs="宋体"/>
          <w:color w:val="auto"/>
          <w:sz w:val="24"/>
          <w:szCs w:val="24"/>
          <w:highlight w:val="none"/>
          <w:u w:val="single"/>
        </w:rPr>
        <w:t xml:space="preserve"> 综合评分法 </w:t>
      </w:r>
      <w:r>
        <w:rPr>
          <w:rFonts w:hint="eastAsia" w:ascii="宋体" w:hAnsi="宋体" w:eastAsia="宋体" w:cs="宋体"/>
          <w:color w:val="auto"/>
          <w:sz w:val="24"/>
          <w:szCs w:val="24"/>
          <w:highlight w:val="none"/>
        </w:rPr>
        <w:t>，具体评标内容及评分标准等详见《第四章：评标办法及评分标准》。</w:t>
      </w:r>
    </w:p>
    <w:p w14:paraId="48B769FC">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w:t>
      </w:r>
      <w:r>
        <w:rPr>
          <w:rFonts w:hint="eastAsia" w:ascii="宋体" w:hAnsi="宋体" w:eastAsia="宋体" w:cs="宋体"/>
          <w:b/>
          <w:bCs/>
          <w:color w:val="auto"/>
          <w:kern w:val="2"/>
          <w:sz w:val="24"/>
          <w:szCs w:val="24"/>
          <w:highlight w:val="none"/>
          <w:lang w:val="en-US" w:eastAsia="zh-CN" w:bidi="ar-SA"/>
        </w:rPr>
        <w:t>评标过程的监控</w:t>
      </w:r>
    </w:p>
    <w:p w14:paraId="5CAF018B">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本项目评标过程实行全程录音、录像监控，且有</w:t>
      </w:r>
      <w:r>
        <w:rPr>
          <w:rFonts w:hint="eastAsia" w:ascii="宋体" w:hAnsi="宋体" w:eastAsia="宋体" w:cs="宋体"/>
          <w:color w:val="auto"/>
          <w:sz w:val="24"/>
          <w:szCs w:val="24"/>
          <w:highlight w:val="none"/>
          <w:u w:val="single"/>
        </w:rPr>
        <w:t xml:space="preserve"> 监督人员 </w:t>
      </w:r>
      <w:r>
        <w:rPr>
          <w:rFonts w:hint="eastAsia" w:ascii="宋体" w:hAnsi="宋体" w:eastAsia="宋体" w:cs="宋体"/>
          <w:color w:val="auto"/>
          <w:sz w:val="24"/>
          <w:szCs w:val="24"/>
          <w:highlight w:val="none"/>
        </w:rPr>
        <w:t>进行现场监督，投标人在评标过程中所进行的试图影响评标结果的不公正活动，可能导致其投标被拒绝。</w:t>
      </w:r>
    </w:p>
    <w:p w14:paraId="69C84E0A">
      <w:pPr>
        <w:pStyle w:val="17"/>
        <w:keepNext w:val="0"/>
        <w:keepLines w:val="0"/>
        <w:pageBreakBefore w:val="0"/>
        <w:widowControl w:val="0"/>
        <w:kinsoku/>
        <w:wordWrap w:val="0"/>
        <w:overflowPunct/>
        <w:topLinePunct/>
        <w:autoSpaceDE/>
        <w:autoSpaceDN/>
        <w:bidi w:val="0"/>
        <w:adjustRightInd/>
        <w:snapToGrid w:val="0"/>
        <w:spacing w:before="0" w:beforeLines="0" w:beforeAutospacing="0" w:after="0" w:afterLines="0" w:afterAutospacing="0" w:line="400" w:lineRule="exact"/>
        <w:ind w:left="0" w:leftChars="0" w:right="0" w:rightChars="0" w:firstLine="0" w:firstLineChars="0"/>
        <w:jc w:val="center"/>
        <w:textAlignment w:val="auto"/>
        <w:outlineLvl w:val="0"/>
        <w:rPr>
          <w:rFonts w:hint="eastAsia" w:ascii="宋体" w:hAnsi="宋体" w:eastAsia="宋体" w:cs="宋体"/>
          <w:b/>
          <w:color w:val="auto"/>
          <w:sz w:val="24"/>
          <w:szCs w:val="24"/>
          <w:highlight w:val="none"/>
        </w:rPr>
      </w:pPr>
      <w:bookmarkStart w:id="45" w:name="_Toc10403"/>
      <w:r>
        <w:rPr>
          <w:rFonts w:hint="eastAsia" w:ascii="宋体" w:hAnsi="宋体" w:eastAsia="宋体" w:cs="宋体"/>
          <w:b/>
          <w:color w:val="auto"/>
          <w:sz w:val="24"/>
          <w:szCs w:val="24"/>
          <w:highlight w:val="none"/>
        </w:rPr>
        <w:t>六、定标</w:t>
      </w:r>
      <w:bookmarkEnd w:id="45"/>
    </w:p>
    <w:p w14:paraId="7DA36F04">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1.采购代理机构在评标结束后2个工作日内将评标报告交采购人确认，同时在发布招标公告的网站上对评标结果进行公示。</w:t>
      </w:r>
    </w:p>
    <w:p w14:paraId="1ADA54D3">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对评标结果无异议的，采购人应当自收到评标报告之日起5个工作日内,在评标报告确定的中标候选人名单中按顺序确定中标人，或者采购人委托评标委员会在评标报告确定的中标候选人名单中按顺序确定中标人。采购人在收到评标报告5个工作日内未按评标报告推荐的中标候选人顺序确定中标人，又不能说明合法理由的，视同按评标报告推荐的顺序确定排名第一的中标候选人为中标人。</w:t>
      </w:r>
    </w:p>
    <w:p w14:paraId="087D87BE">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如有投标人对评标结果提出质疑的，采购人可在质疑处理完毕后确定中标人。</w:t>
      </w:r>
    </w:p>
    <w:p w14:paraId="2754577B">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color w:val="auto"/>
          <w:sz w:val="24"/>
          <w:szCs w:val="24"/>
        </w:rPr>
      </w:pPr>
      <w:r>
        <w:rPr>
          <w:rFonts w:hint="eastAsia" w:ascii="宋体" w:hAnsi="宋体" w:eastAsia="宋体" w:cs="宋体"/>
          <w:color w:val="auto"/>
          <w:sz w:val="24"/>
          <w:szCs w:val="24"/>
          <w:highlight w:val="none"/>
        </w:rPr>
        <w:t>3.采购人依法确定中标人后2个工作日内，采购代理机构以书面形式发出《中标通知书》,并同时在相关网站上发布中标公告。</w:t>
      </w:r>
    </w:p>
    <w:p w14:paraId="4FD81CB1">
      <w:pPr>
        <w:pStyle w:val="17"/>
        <w:keepNext w:val="0"/>
        <w:keepLines w:val="0"/>
        <w:pageBreakBefore w:val="0"/>
        <w:widowControl w:val="0"/>
        <w:kinsoku/>
        <w:wordWrap w:val="0"/>
        <w:overflowPunct/>
        <w:topLinePunct/>
        <w:autoSpaceDE/>
        <w:autoSpaceDN/>
        <w:bidi w:val="0"/>
        <w:adjustRightInd/>
        <w:snapToGrid w:val="0"/>
        <w:spacing w:before="0" w:beforeLines="0" w:beforeAutospacing="0" w:after="0" w:afterLines="0" w:afterAutospacing="0" w:line="400" w:lineRule="exact"/>
        <w:ind w:left="0" w:leftChars="0" w:right="0" w:rightChars="0" w:firstLine="0" w:firstLineChars="0"/>
        <w:jc w:val="center"/>
        <w:textAlignment w:val="auto"/>
        <w:outlineLvl w:val="0"/>
        <w:rPr>
          <w:rFonts w:hint="eastAsia" w:ascii="宋体" w:hAnsi="宋体" w:eastAsia="宋体" w:cs="宋体"/>
          <w:b/>
          <w:color w:val="auto"/>
          <w:sz w:val="24"/>
          <w:szCs w:val="24"/>
          <w:highlight w:val="none"/>
        </w:rPr>
      </w:pPr>
      <w:bookmarkStart w:id="46" w:name="_Toc28842"/>
      <w:r>
        <w:rPr>
          <w:rFonts w:hint="eastAsia" w:ascii="宋体" w:hAnsi="宋体" w:eastAsia="宋体" w:cs="宋体"/>
          <w:b/>
          <w:color w:val="auto"/>
          <w:sz w:val="24"/>
          <w:szCs w:val="24"/>
          <w:highlight w:val="none"/>
        </w:rPr>
        <w:t>七、合同授予</w:t>
      </w:r>
      <w:bookmarkEnd w:id="46"/>
    </w:p>
    <w:p w14:paraId="21BA2B9B">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1.采购人与中标人应当在《中标通知书》发出之日起30日内签订政府采购合同。同时，</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对合同内容进行审查，如发现与采购结果和投标承诺内容不一致的，将予以纠正。</w:t>
      </w:r>
    </w:p>
    <w:p w14:paraId="39E7BA8B">
      <w:pPr>
        <w:keepNext w:val="0"/>
        <w:keepLines w:val="0"/>
        <w:pageBreakBefore w:val="0"/>
        <w:widowControl w:val="0"/>
        <w:shd w:val="clear"/>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2.中标人拖延、拒签合同的,将被列入不良行为记录或黑名单，由此产生的一切不利后果由中标人自行承担。</w:t>
      </w:r>
    </w:p>
    <w:p w14:paraId="21EA907A">
      <w:pPr>
        <w:pStyle w:val="17"/>
        <w:keepNext w:val="0"/>
        <w:keepLines w:val="0"/>
        <w:pageBreakBefore w:val="0"/>
        <w:widowControl w:val="0"/>
        <w:kinsoku/>
        <w:wordWrap w:val="0"/>
        <w:overflowPunct/>
        <w:topLinePunct/>
        <w:autoSpaceDE/>
        <w:autoSpaceDN/>
        <w:bidi w:val="0"/>
        <w:adjustRightInd/>
        <w:snapToGrid w:val="0"/>
        <w:spacing w:before="0" w:beforeLines="0" w:beforeAutospacing="0" w:after="0" w:afterLines="0" w:afterAutospacing="0" w:line="400" w:lineRule="exact"/>
        <w:ind w:left="0" w:leftChars="0" w:right="0" w:rightChars="0" w:firstLine="0" w:firstLineChars="0"/>
        <w:jc w:val="center"/>
        <w:textAlignment w:val="auto"/>
        <w:outlineLvl w:val="0"/>
        <w:rPr>
          <w:rFonts w:hint="default" w:ascii="宋体" w:hAnsi="宋体" w:eastAsia="宋体" w:cs="宋体"/>
          <w:b/>
          <w:color w:val="auto"/>
          <w:sz w:val="24"/>
          <w:szCs w:val="24"/>
          <w:highlight w:val="none"/>
          <w:lang w:val="en-US" w:eastAsia="zh-CN"/>
        </w:rPr>
      </w:pPr>
      <w:bookmarkStart w:id="47" w:name="_Toc25775"/>
      <w:r>
        <w:rPr>
          <w:rFonts w:hint="default" w:ascii="宋体" w:hAnsi="宋体" w:eastAsia="宋体" w:cs="宋体"/>
          <w:b/>
          <w:color w:val="auto"/>
          <w:sz w:val="24"/>
          <w:szCs w:val="24"/>
          <w:highlight w:val="none"/>
          <w:lang w:val="en-US" w:eastAsia="zh-CN"/>
        </w:rPr>
        <w:t>八、招标代理费</w:t>
      </w:r>
      <w:bookmarkEnd w:id="47"/>
    </w:p>
    <w:p w14:paraId="4140EFD5">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1.中标人应在收取《中标通知书》时向采购代理机构交纳招标代理服务费</w:t>
      </w:r>
      <w:r>
        <w:rPr>
          <w:rFonts w:hint="eastAsia" w:ascii="宋体" w:hAnsi="宋体" w:eastAsia="宋体" w:cs="宋体"/>
          <w:color w:val="auto"/>
          <w:sz w:val="24"/>
          <w:szCs w:val="24"/>
          <w:highlight w:val="none"/>
          <w:lang w:val="en-US" w:eastAsia="zh-CN"/>
        </w:rPr>
        <w:t>25440</w:t>
      </w:r>
      <w:r>
        <w:rPr>
          <w:rFonts w:hint="default" w:ascii="宋体" w:hAnsi="宋体" w:eastAsia="宋体" w:cs="宋体"/>
          <w:color w:val="auto"/>
          <w:sz w:val="24"/>
          <w:szCs w:val="24"/>
          <w:highlight w:val="none"/>
        </w:rPr>
        <w:t>元。</w:t>
      </w:r>
    </w:p>
    <w:p w14:paraId="657FA77B">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rPr>
        <w:t>2.服务费支付时间：服务费必须在中标人领取《中标通知书》时一次性付清</w:t>
      </w:r>
      <w:r>
        <w:rPr>
          <w:rFonts w:hint="eastAsia" w:ascii="宋体" w:hAnsi="宋体" w:eastAsia="宋体" w:cs="宋体"/>
          <w:color w:val="auto"/>
          <w:sz w:val="24"/>
          <w:szCs w:val="24"/>
          <w:highlight w:val="none"/>
          <w:lang w:eastAsia="zh-CN"/>
        </w:rPr>
        <w:t>。</w:t>
      </w:r>
    </w:p>
    <w:p w14:paraId="3F3593B4">
      <w:pPr>
        <w:keepNext w:val="0"/>
        <w:keepLines w:val="0"/>
        <w:pageBreakBefore w:val="0"/>
        <w:widowControl w:val="0"/>
        <w:kinsoku/>
        <w:wordWrap w:val="0"/>
        <w:overflowPunct/>
        <w:topLinePunct/>
        <w:autoSpaceDE/>
        <w:autoSpaceDN/>
        <w:bidi w:val="0"/>
        <w:snapToGrid w:val="0"/>
        <w:spacing w:beforeAutospacing="0" w:afterAutospacing="0"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3.标代理服务费不在投标报价中单列。</w:t>
      </w:r>
    </w:p>
    <w:p w14:paraId="5E4A549D">
      <w:pPr>
        <w:keepNext w:val="0"/>
        <w:keepLines w:val="0"/>
        <w:pageBreakBefore w:val="0"/>
        <w:widowControl w:val="0"/>
        <w:kinsoku/>
        <w:wordWrap w:val="0"/>
        <w:overflowPunct w:val="0"/>
        <w:topLinePunct w:val="0"/>
        <w:autoSpaceDE w:val="0"/>
        <w:autoSpaceDN w:val="0"/>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b/>
          <w:bCs/>
          <w:color w:val="auto"/>
          <w:sz w:val="32"/>
          <w:szCs w:val="32"/>
          <w:highlight w:val="none"/>
        </w:rPr>
      </w:pPr>
    </w:p>
    <w:p w14:paraId="7690AFBD">
      <w:pPr>
        <w:pStyle w:val="2"/>
        <w:rPr>
          <w:rFonts w:hint="eastAsia" w:ascii="宋体" w:hAnsi="宋体" w:eastAsia="宋体" w:cs="宋体"/>
          <w:b/>
          <w:bCs/>
          <w:color w:val="auto"/>
          <w:sz w:val="32"/>
          <w:szCs w:val="32"/>
          <w:highlight w:val="none"/>
        </w:rPr>
      </w:pPr>
    </w:p>
    <w:p w14:paraId="5C7D0BD2">
      <w:pPr>
        <w:rPr>
          <w:rFonts w:hint="eastAsia" w:ascii="宋体" w:hAnsi="宋体" w:eastAsia="宋体" w:cs="宋体"/>
          <w:b/>
          <w:bCs/>
          <w:color w:val="auto"/>
          <w:sz w:val="32"/>
          <w:szCs w:val="32"/>
          <w:highlight w:val="none"/>
        </w:rPr>
      </w:pPr>
    </w:p>
    <w:p w14:paraId="4A0A3B61">
      <w:pPr>
        <w:pStyle w:val="2"/>
        <w:rPr>
          <w:rFonts w:hint="eastAsia" w:ascii="宋体" w:hAnsi="宋体" w:eastAsia="宋体" w:cs="宋体"/>
          <w:b/>
          <w:bCs/>
          <w:color w:val="auto"/>
          <w:sz w:val="32"/>
          <w:szCs w:val="32"/>
          <w:highlight w:val="none"/>
        </w:rPr>
      </w:pPr>
    </w:p>
    <w:p w14:paraId="0DB2F03B">
      <w:pPr>
        <w:rPr>
          <w:rFonts w:hint="eastAsia" w:ascii="宋体" w:hAnsi="宋体" w:eastAsia="宋体" w:cs="宋体"/>
          <w:b/>
          <w:bCs/>
          <w:color w:val="auto"/>
          <w:sz w:val="32"/>
          <w:szCs w:val="32"/>
          <w:highlight w:val="none"/>
        </w:rPr>
      </w:pPr>
    </w:p>
    <w:p w14:paraId="1FA4BD36">
      <w:pPr>
        <w:pStyle w:val="2"/>
        <w:rPr>
          <w:rFonts w:hint="eastAsia" w:ascii="宋体" w:hAnsi="宋体" w:eastAsia="宋体" w:cs="宋体"/>
          <w:b/>
          <w:bCs/>
          <w:color w:val="auto"/>
          <w:sz w:val="32"/>
          <w:szCs w:val="32"/>
          <w:highlight w:val="none"/>
        </w:rPr>
      </w:pPr>
    </w:p>
    <w:p w14:paraId="4936DF2B">
      <w:pPr>
        <w:rPr>
          <w:rFonts w:hint="eastAsia" w:ascii="宋体" w:hAnsi="宋体" w:eastAsia="宋体" w:cs="宋体"/>
          <w:b/>
          <w:bCs/>
          <w:color w:val="auto"/>
          <w:sz w:val="32"/>
          <w:szCs w:val="32"/>
          <w:highlight w:val="none"/>
        </w:rPr>
      </w:pPr>
    </w:p>
    <w:p w14:paraId="2C560F14">
      <w:pPr>
        <w:pStyle w:val="2"/>
        <w:rPr>
          <w:rFonts w:hint="eastAsia" w:ascii="宋体" w:hAnsi="宋体" w:eastAsia="宋体" w:cs="宋体"/>
          <w:b/>
          <w:bCs/>
          <w:color w:val="auto"/>
          <w:sz w:val="32"/>
          <w:szCs w:val="32"/>
          <w:highlight w:val="none"/>
        </w:rPr>
      </w:pPr>
    </w:p>
    <w:p w14:paraId="5EA5019D">
      <w:pPr>
        <w:rPr>
          <w:rFonts w:hint="eastAsia"/>
        </w:rPr>
      </w:pPr>
    </w:p>
    <w:p w14:paraId="109578C8">
      <w:pPr>
        <w:rPr>
          <w:rFonts w:hint="eastAsia"/>
        </w:rPr>
      </w:pPr>
    </w:p>
    <w:p w14:paraId="5A16BE4D">
      <w:pPr>
        <w:pStyle w:val="3"/>
        <w:keepNext/>
        <w:keepLines/>
        <w:pageBreakBefore w:val="0"/>
        <w:widowControl w:val="0"/>
        <w:numPr>
          <w:ilvl w:val="0"/>
          <w:numId w:val="3"/>
        </w:numPr>
        <w:kinsoku/>
        <w:wordWrap/>
        <w:overflowPunct/>
        <w:topLinePunct w:val="0"/>
        <w:autoSpaceDE/>
        <w:autoSpaceDN/>
        <w:bidi w:val="0"/>
        <w:adjustRightInd/>
        <w:snapToGrid/>
        <w:spacing w:before="0" w:after="0" w:line="400" w:lineRule="exact"/>
        <w:jc w:val="center"/>
        <w:textAlignment w:val="auto"/>
        <w:rPr>
          <w:rFonts w:hint="eastAsia"/>
          <w:sz w:val="30"/>
          <w:szCs w:val="30"/>
        </w:rPr>
      </w:pPr>
      <w:bookmarkStart w:id="48" w:name="_Toc12543"/>
      <w:r>
        <w:rPr>
          <w:rFonts w:hint="eastAsia"/>
          <w:sz w:val="30"/>
          <w:szCs w:val="30"/>
        </w:rPr>
        <w:t>评标办法及评分标准</w:t>
      </w:r>
      <w:bookmarkEnd w:id="48"/>
    </w:p>
    <w:p w14:paraId="229A340E">
      <w:pPr>
        <w:keepNext w:val="0"/>
        <w:keepLines w:val="0"/>
        <w:pageBreakBefore w:val="0"/>
        <w:widowControl w:val="0"/>
        <w:kinsoku/>
        <w:wordWrap w:val="0"/>
        <w:overflowPunct w:val="0"/>
        <w:topLinePunct w:val="0"/>
        <w:autoSpaceDE w:val="0"/>
        <w:autoSpaceDN w:val="0"/>
        <w:bidi w:val="0"/>
        <w:adjustRightInd/>
        <w:snapToGrid/>
        <w:spacing w:line="400" w:lineRule="exact"/>
        <w:ind w:left="0" w:leftChars="0" w:right="0" w:righ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为公正、公平、科学地选择中标人，根据《中华人民共和国政府采购法》等有关法律法规的规定，并结合本项目的实际，制定本办法。</w:t>
      </w:r>
    </w:p>
    <w:p w14:paraId="2A7E3A48">
      <w:pPr>
        <w:keepNext w:val="0"/>
        <w:keepLines w:val="0"/>
        <w:pageBreakBefore w:val="0"/>
        <w:widowControl w:val="0"/>
        <w:kinsoku/>
        <w:wordWrap w:val="0"/>
        <w:overflowPunct w:val="0"/>
        <w:topLinePunct w:val="0"/>
        <w:autoSpaceDE w:val="0"/>
        <w:autoSpaceDN w:val="0"/>
        <w:bidi w:val="0"/>
        <w:adjustRightInd/>
        <w:snapToGrid/>
        <w:spacing w:line="400" w:lineRule="exact"/>
        <w:ind w:left="0" w:leftChars="0" w:right="0" w:righ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本办法适用于</w:t>
      </w:r>
      <w:r>
        <w:rPr>
          <w:rFonts w:hint="eastAsia" w:ascii="宋体" w:hAnsi="宋体" w:eastAsia="宋体" w:cs="宋体"/>
          <w:color w:val="auto"/>
          <w:sz w:val="24"/>
          <w:szCs w:val="24"/>
          <w:highlight w:val="none"/>
          <w:u w:val="single"/>
        </w:rPr>
        <w:t>本项目</w:t>
      </w:r>
      <w:r>
        <w:rPr>
          <w:rFonts w:hint="eastAsia" w:ascii="宋体" w:hAnsi="宋体" w:eastAsia="宋体" w:cs="宋体"/>
          <w:color w:val="auto"/>
          <w:sz w:val="24"/>
          <w:szCs w:val="24"/>
          <w:highlight w:val="none"/>
        </w:rPr>
        <w:t>的评标。</w:t>
      </w:r>
    </w:p>
    <w:p w14:paraId="6CD44243">
      <w:pPr>
        <w:pStyle w:val="2"/>
        <w:keepNext w:val="0"/>
        <w:keepLines w:val="0"/>
        <w:pageBreakBefore w:val="0"/>
        <w:widowControl w:val="0"/>
        <w:kinsoku/>
        <w:wordWrap w:val="0"/>
        <w:overflowPunct w:val="0"/>
        <w:topLinePunct w:val="0"/>
        <w:autoSpaceDE w:val="0"/>
        <w:autoSpaceDN w:val="0"/>
        <w:bidi w:val="0"/>
        <w:adjustRightInd/>
        <w:snapToGrid/>
        <w:spacing w:before="0" w:after="0" w:line="400" w:lineRule="exact"/>
        <w:ind w:left="0" w:leftChars="0" w:right="0" w:rightChars="0" w:firstLine="0" w:firstLineChars="0"/>
        <w:jc w:val="left"/>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一、总则</w:t>
      </w:r>
    </w:p>
    <w:p w14:paraId="4FCA5EA9">
      <w:pPr>
        <w:keepNext w:val="0"/>
        <w:keepLines w:val="0"/>
        <w:pageBreakBefore w:val="0"/>
        <w:widowControl w:val="0"/>
        <w:kinsoku/>
        <w:wordWrap w:val="0"/>
        <w:overflowPunct w:val="0"/>
        <w:topLinePunct w:val="0"/>
        <w:autoSpaceDE w:val="0"/>
        <w:autoSpaceDN w:val="0"/>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本次评标采用综合评分法。总</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rPr>
        <w:t>分为100分，其中商务技术得分为</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分，报价</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rPr>
        <w:t>分为</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分。合格投标人的评标</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得分为各项目汇总得分，中标候选资格按评标</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得分由高到低顺序排列，</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得分相同的，按投标报价由低到高顺序排列；仍不能分出前后的，由评委抽签确定。评分过程中采用四舍五入法，并保留小数2位。</w:t>
      </w:r>
    </w:p>
    <w:p w14:paraId="6B295158">
      <w:pPr>
        <w:keepNext w:val="0"/>
        <w:keepLines w:val="0"/>
        <w:pageBreakBefore w:val="0"/>
        <w:widowControl w:val="0"/>
        <w:kinsoku/>
        <w:wordWrap w:val="0"/>
        <w:overflowPunct w:val="0"/>
        <w:topLinePunct w:val="0"/>
        <w:autoSpaceDE w:val="0"/>
        <w:autoSpaceDN w:val="0"/>
        <w:bidi w:val="0"/>
        <w:adjustRightInd/>
        <w:snapToGrid/>
        <w:spacing w:line="400" w:lineRule="exact"/>
        <w:ind w:left="0" w:leftChars="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本项目推荐中标候选人</w:t>
      </w: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名。</w:t>
      </w:r>
    </w:p>
    <w:p w14:paraId="5314BAFC">
      <w:pPr>
        <w:keepNext w:val="0"/>
        <w:keepLines w:val="0"/>
        <w:pageBreakBefore w:val="0"/>
        <w:widowControl w:val="0"/>
        <w:kinsoku/>
        <w:wordWrap w:val="0"/>
        <w:overflowPunct w:val="0"/>
        <w:topLinePunct w:val="0"/>
        <w:autoSpaceDE w:val="0"/>
        <w:autoSpaceDN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pacing w:val="0"/>
          <w:kern w:val="2"/>
          <w:sz w:val="24"/>
          <w:szCs w:val="24"/>
          <w:highlight w:val="none"/>
          <w:lang w:val="en-US" w:eastAsia="zh-CN" w:bidi="ar-SA"/>
        </w:rPr>
      </w:pPr>
      <w:r>
        <w:rPr>
          <w:rFonts w:hint="eastAsia" w:ascii="宋体" w:hAnsi="宋体" w:eastAsia="宋体" w:cs="宋体"/>
          <w:b/>
          <w:color w:val="auto"/>
          <w:spacing w:val="0"/>
          <w:kern w:val="2"/>
          <w:sz w:val="24"/>
          <w:szCs w:val="24"/>
          <w:highlight w:val="none"/>
          <w:lang w:val="en-US" w:eastAsia="zh-CN" w:bidi="ar-SA"/>
        </w:rPr>
        <w:t>投标人评标总得分=商务技术得分+报价得分</w:t>
      </w:r>
    </w:p>
    <w:p w14:paraId="52AB07BF">
      <w:pPr>
        <w:pStyle w:val="2"/>
        <w:keepNext w:val="0"/>
        <w:keepLines w:val="0"/>
        <w:pageBreakBefore w:val="0"/>
        <w:widowControl w:val="0"/>
        <w:kinsoku/>
        <w:wordWrap w:val="0"/>
        <w:overflowPunct w:val="0"/>
        <w:topLinePunct w:val="0"/>
        <w:autoSpaceDE w:val="0"/>
        <w:autoSpaceDN w:val="0"/>
        <w:bidi w:val="0"/>
        <w:adjustRightInd/>
        <w:snapToGrid/>
        <w:spacing w:before="0" w:after="0" w:line="400" w:lineRule="exact"/>
        <w:ind w:left="0" w:leftChars="0" w:right="0" w:rightChars="0" w:firstLine="0" w:firstLineChars="0"/>
        <w:jc w:val="left"/>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二、评标内容及标准</w:t>
      </w:r>
    </w:p>
    <w:p w14:paraId="3F67857A">
      <w:pPr>
        <w:pStyle w:val="13"/>
        <w:keepNext w:val="0"/>
        <w:keepLines w:val="0"/>
        <w:pageBreakBefore w:val="0"/>
        <w:widowControl w:val="0"/>
        <w:kinsoku/>
        <w:wordWrap w:val="0"/>
        <w:overflowPunct w:val="0"/>
        <w:topLinePunct w:val="0"/>
        <w:autoSpaceDE w:val="0"/>
        <w:autoSpaceDN w:val="0"/>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 xml:space="preserve">    （一）报价</w:t>
      </w:r>
      <w:r>
        <w:rPr>
          <w:rFonts w:hint="eastAsia" w:ascii="宋体" w:hAnsi="宋体" w:eastAsia="宋体" w:cs="宋体"/>
          <w:b/>
          <w:color w:val="auto"/>
          <w:spacing w:val="0"/>
          <w:sz w:val="24"/>
          <w:szCs w:val="24"/>
          <w:highlight w:val="none"/>
          <w:lang w:eastAsia="zh-CN"/>
        </w:rPr>
        <w:t>得</w:t>
      </w:r>
      <w:r>
        <w:rPr>
          <w:rFonts w:hint="eastAsia" w:ascii="宋体" w:hAnsi="宋体" w:eastAsia="宋体" w:cs="宋体"/>
          <w:b/>
          <w:color w:val="auto"/>
          <w:spacing w:val="0"/>
          <w:sz w:val="24"/>
          <w:szCs w:val="24"/>
          <w:highlight w:val="none"/>
        </w:rPr>
        <w:t>分（</w:t>
      </w:r>
      <w:r>
        <w:rPr>
          <w:rFonts w:hint="eastAsia" w:hAnsi="宋体" w:eastAsia="宋体" w:cs="宋体"/>
          <w:b/>
          <w:color w:val="auto"/>
          <w:spacing w:val="0"/>
          <w:sz w:val="24"/>
          <w:szCs w:val="24"/>
          <w:highlight w:val="none"/>
          <w:lang w:val="en-US" w:eastAsia="zh-CN"/>
        </w:rPr>
        <w:t>2</w:t>
      </w:r>
      <w:r>
        <w:rPr>
          <w:rFonts w:hint="eastAsia" w:ascii="宋体" w:hAnsi="宋体" w:eastAsia="宋体" w:cs="宋体"/>
          <w:b/>
          <w:color w:val="auto"/>
          <w:spacing w:val="0"/>
          <w:sz w:val="24"/>
          <w:szCs w:val="24"/>
          <w:highlight w:val="none"/>
          <w:lang w:val="en-US" w:eastAsia="zh-CN"/>
        </w:rPr>
        <w:t>0</w:t>
      </w:r>
      <w:r>
        <w:rPr>
          <w:rFonts w:hint="eastAsia" w:ascii="宋体" w:hAnsi="宋体" w:eastAsia="宋体" w:cs="宋体"/>
          <w:b/>
          <w:color w:val="auto"/>
          <w:spacing w:val="0"/>
          <w:sz w:val="24"/>
          <w:szCs w:val="24"/>
          <w:highlight w:val="none"/>
        </w:rPr>
        <w:t>分）</w:t>
      </w:r>
    </w:p>
    <w:p w14:paraId="5923211A">
      <w:pPr>
        <w:pStyle w:val="13"/>
        <w:keepNext w:val="0"/>
        <w:keepLines w:val="0"/>
        <w:pageBreakBefore w:val="0"/>
        <w:widowControl w:val="0"/>
        <w:kinsoku/>
        <w:wordWrap w:val="0"/>
        <w:overflowPunct w:val="0"/>
        <w:topLinePunct w:val="0"/>
        <w:autoSpaceDE w:val="0"/>
        <w:autoSpaceDN w:val="0"/>
        <w:bidi w:val="0"/>
        <w:adjustRightInd/>
        <w:snapToGrid/>
        <w:spacing w:line="400" w:lineRule="exact"/>
        <w:ind w:left="0" w:leftChars="0" w:right="0" w:rightChars="0" w:firstLine="464"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1.本项目价格采用固定不下浮的方式，保费</w:t>
      </w:r>
      <w:r>
        <w:rPr>
          <w:rFonts w:hint="eastAsia" w:hAnsi="宋体" w:eastAsia="宋体" w:cs="宋体"/>
          <w:bCs/>
          <w:color w:val="auto"/>
          <w:sz w:val="24"/>
          <w:szCs w:val="24"/>
          <w:highlight w:val="none"/>
          <w:lang w:val="en-US" w:eastAsia="zh-CN"/>
        </w:rPr>
        <w:t>310.49万元</w:t>
      </w:r>
      <w:r>
        <w:rPr>
          <w:rFonts w:hint="eastAsia" w:ascii="宋体" w:hAnsi="宋体" w:eastAsia="宋体" w:cs="宋体"/>
          <w:bCs/>
          <w:color w:val="auto"/>
          <w:sz w:val="24"/>
          <w:szCs w:val="24"/>
          <w:highlight w:val="none"/>
        </w:rPr>
        <w:t>整。投标单位承诺按此标准执行即得20分。</w:t>
      </w:r>
    </w:p>
    <w:p w14:paraId="6188980A">
      <w:pPr>
        <w:pStyle w:val="13"/>
        <w:keepNext w:val="0"/>
        <w:keepLines w:val="0"/>
        <w:pageBreakBefore w:val="0"/>
        <w:widowControl w:val="0"/>
        <w:kinsoku/>
        <w:wordWrap w:val="0"/>
        <w:overflowPunct w:val="0"/>
        <w:topLinePunct w:val="0"/>
        <w:autoSpaceDE w:val="0"/>
        <w:autoSpaceDN w:val="0"/>
        <w:bidi w:val="0"/>
        <w:adjustRightInd/>
        <w:snapToGrid/>
        <w:spacing w:line="400" w:lineRule="exact"/>
        <w:ind w:left="0" w:leftChars="0" w:firstLine="0"/>
        <w:textAlignment w:val="auto"/>
        <w:rPr>
          <w:rFonts w:hint="eastAsia" w:hAnsi="宋体" w:cs="宋体"/>
          <w:color w:val="auto"/>
          <w:spacing w:val="0"/>
          <w:sz w:val="24"/>
          <w:szCs w:val="24"/>
        </w:rPr>
      </w:pPr>
      <w:r>
        <w:rPr>
          <w:rFonts w:hint="eastAsia" w:hAnsi="宋体" w:cs="宋体"/>
          <w:b/>
          <w:bCs/>
          <w:color w:val="auto"/>
          <w:spacing w:val="0"/>
          <w:sz w:val="24"/>
          <w:szCs w:val="24"/>
          <w:lang w:val="en-US" w:eastAsia="zh-CN"/>
        </w:rPr>
        <w:t xml:space="preserve">    </w:t>
      </w:r>
      <w:r>
        <w:rPr>
          <w:rFonts w:hint="eastAsia" w:hAnsi="宋体" w:cs="宋体"/>
          <w:b/>
          <w:bCs/>
          <w:color w:val="auto"/>
          <w:spacing w:val="0"/>
          <w:sz w:val="24"/>
          <w:szCs w:val="24"/>
        </w:rPr>
        <w:t>特别说明：</w:t>
      </w:r>
    </w:p>
    <w:p w14:paraId="5926FB1B">
      <w:pPr>
        <w:pStyle w:val="13"/>
        <w:keepNext w:val="0"/>
        <w:keepLines w:val="0"/>
        <w:pageBreakBefore w:val="0"/>
        <w:widowControl w:val="0"/>
        <w:kinsoku/>
        <w:wordWrap w:val="0"/>
        <w:overflowPunct w:val="0"/>
        <w:topLinePunct w:val="0"/>
        <w:autoSpaceDE w:val="0"/>
        <w:autoSpaceDN w:val="0"/>
        <w:bidi w:val="0"/>
        <w:adjustRightInd/>
        <w:snapToGrid/>
        <w:spacing w:line="400" w:lineRule="exact"/>
        <w:ind w:left="0" w:leftChars="0" w:firstLine="0"/>
        <w:textAlignment w:val="auto"/>
        <w:rPr>
          <w:rFonts w:hint="eastAsia" w:hAnsi="宋体" w:cs="宋体"/>
          <w:color w:val="auto"/>
          <w:spacing w:val="0"/>
          <w:sz w:val="24"/>
          <w:szCs w:val="24"/>
        </w:rPr>
      </w:pPr>
      <w:r>
        <w:rPr>
          <w:rFonts w:hint="eastAsia" w:hAnsi="宋体" w:cs="宋体"/>
          <w:color w:val="auto"/>
          <w:spacing w:val="0"/>
          <w:sz w:val="24"/>
          <w:szCs w:val="24"/>
          <w:lang w:val="en-US" w:eastAsia="zh-CN"/>
        </w:rPr>
        <w:t xml:space="preserve">    </w:t>
      </w:r>
      <w:r>
        <w:rPr>
          <w:rFonts w:hint="eastAsia" w:hAnsi="宋体" w:cs="宋体"/>
          <w:color w:val="auto"/>
          <w:spacing w:val="0"/>
          <w:sz w:val="24"/>
          <w:szCs w:val="24"/>
        </w:rPr>
        <w:t>A、根据财库〔2020〕46号、财库〔2022〕19号、浙财采监〔2022〕8号文件的相关规定，在评审时对小型和微型企业的</w:t>
      </w:r>
      <w:r>
        <w:rPr>
          <w:rFonts w:hint="eastAsia" w:hAnsi="宋体" w:cs="宋体"/>
          <w:color w:val="auto"/>
          <w:spacing w:val="0"/>
          <w:sz w:val="24"/>
          <w:szCs w:val="24"/>
          <w:highlight w:val="none"/>
        </w:rPr>
        <w:t>投标报价给予</w:t>
      </w:r>
      <w:r>
        <w:rPr>
          <w:rFonts w:hint="eastAsia" w:hAnsi="宋体" w:cs="宋体"/>
          <w:color w:val="auto"/>
          <w:spacing w:val="0"/>
          <w:sz w:val="24"/>
          <w:szCs w:val="24"/>
          <w:highlight w:val="none"/>
          <w:lang w:val="en-US" w:eastAsia="zh-CN"/>
        </w:rPr>
        <w:t>1</w:t>
      </w:r>
      <w:r>
        <w:rPr>
          <w:rFonts w:hint="eastAsia" w:hAnsi="宋体" w:cs="宋体"/>
          <w:color w:val="auto"/>
          <w:spacing w:val="0"/>
          <w:sz w:val="24"/>
          <w:szCs w:val="24"/>
          <w:highlight w:val="none"/>
        </w:rPr>
        <w:t>0%的</w:t>
      </w:r>
      <w:r>
        <w:rPr>
          <w:rFonts w:hint="eastAsia" w:hAnsi="宋体" w:cs="宋体"/>
          <w:color w:val="auto"/>
          <w:spacing w:val="0"/>
          <w:sz w:val="24"/>
          <w:szCs w:val="24"/>
        </w:rPr>
        <w:t>扣除，取扣除后的价格作为最终投标报价（此最终投标报价仅作为报价分计算使用）。属于小微企业的，</w:t>
      </w:r>
      <w:r>
        <w:rPr>
          <w:rFonts w:hint="eastAsia" w:hAnsi="宋体" w:cs="宋体"/>
          <w:color w:val="auto"/>
          <w:spacing w:val="0"/>
          <w:sz w:val="24"/>
          <w:szCs w:val="24"/>
          <w:lang w:eastAsia="zh-CN"/>
        </w:rPr>
        <w:t>投标</w:t>
      </w:r>
      <w:r>
        <w:rPr>
          <w:rFonts w:hint="eastAsia" w:cs="宋体"/>
          <w:color w:val="auto"/>
          <w:sz w:val="24"/>
          <w:szCs w:val="24"/>
        </w:rPr>
        <w:t>响应</w:t>
      </w:r>
      <w:r>
        <w:rPr>
          <w:rFonts w:hint="eastAsia" w:hAnsi="宋体" w:cs="宋体"/>
          <w:color w:val="auto"/>
          <w:sz w:val="24"/>
          <w:szCs w:val="24"/>
        </w:rPr>
        <w:t>文件</w:t>
      </w:r>
      <w:r>
        <w:rPr>
          <w:rFonts w:hint="eastAsia" w:hAnsi="宋体" w:cs="宋体"/>
          <w:color w:val="auto"/>
          <w:spacing w:val="0"/>
          <w:sz w:val="24"/>
          <w:szCs w:val="24"/>
        </w:rPr>
        <w:t>中必须提供《中小企业声明函》</w:t>
      </w:r>
      <w:r>
        <w:rPr>
          <w:rFonts w:hint="eastAsia" w:hAnsi="宋体" w:cs="宋体"/>
          <w:color w:val="auto"/>
          <w:sz w:val="24"/>
          <w:szCs w:val="24"/>
        </w:rPr>
        <w:t>（格式见第六章）</w:t>
      </w:r>
      <w:r>
        <w:rPr>
          <w:rFonts w:hint="eastAsia" w:hAnsi="宋体" w:cs="宋体"/>
          <w:color w:val="auto"/>
          <w:spacing w:val="0"/>
          <w:sz w:val="24"/>
          <w:szCs w:val="24"/>
        </w:rPr>
        <w:t>；</w:t>
      </w:r>
    </w:p>
    <w:p w14:paraId="2B28E717">
      <w:pPr>
        <w:pStyle w:val="13"/>
        <w:keepNext w:val="0"/>
        <w:keepLines w:val="0"/>
        <w:pageBreakBefore w:val="0"/>
        <w:widowControl w:val="0"/>
        <w:kinsoku/>
        <w:wordWrap w:val="0"/>
        <w:overflowPunct w:val="0"/>
        <w:topLinePunct w:val="0"/>
        <w:autoSpaceDE w:val="0"/>
        <w:autoSpaceDN w:val="0"/>
        <w:bidi w:val="0"/>
        <w:adjustRightInd/>
        <w:snapToGrid/>
        <w:spacing w:line="400" w:lineRule="exact"/>
        <w:ind w:left="0" w:leftChars="0" w:firstLine="480"/>
        <w:textAlignment w:val="auto"/>
        <w:rPr>
          <w:rFonts w:hint="eastAsia" w:hAnsi="宋体" w:cs="宋体"/>
          <w:color w:val="auto"/>
          <w:spacing w:val="0"/>
          <w:sz w:val="24"/>
          <w:szCs w:val="24"/>
        </w:rPr>
      </w:pPr>
      <w:r>
        <w:rPr>
          <w:rFonts w:hint="eastAsia" w:hAnsi="宋体" w:cs="宋体"/>
          <w:color w:val="auto"/>
          <w:spacing w:val="0"/>
          <w:sz w:val="24"/>
          <w:szCs w:val="24"/>
        </w:rPr>
        <w:t>B、根据财库[2014]68号和财库[2017]141号的相关规定，在政府采购活动中，投标人属于监狱和戒毒企业或残疾人福利性单位，且</w:t>
      </w:r>
      <w:r>
        <w:rPr>
          <w:rFonts w:hint="eastAsia" w:hAnsi="宋体" w:cs="宋体"/>
          <w:color w:val="auto"/>
          <w:spacing w:val="0"/>
          <w:sz w:val="24"/>
          <w:szCs w:val="24"/>
          <w:lang w:eastAsia="zh-CN"/>
        </w:rPr>
        <w:t>投标</w:t>
      </w:r>
      <w:r>
        <w:rPr>
          <w:rFonts w:hint="eastAsia" w:cs="宋体"/>
          <w:color w:val="auto"/>
          <w:sz w:val="24"/>
          <w:szCs w:val="24"/>
        </w:rPr>
        <w:t>响应</w:t>
      </w:r>
      <w:r>
        <w:rPr>
          <w:rFonts w:hint="eastAsia" w:hAnsi="宋体" w:cs="宋体"/>
          <w:color w:val="auto"/>
          <w:sz w:val="24"/>
          <w:szCs w:val="24"/>
        </w:rPr>
        <w:t>文件</w:t>
      </w:r>
      <w:r>
        <w:rPr>
          <w:rFonts w:hint="eastAsia" w:hAnsi="宋体" w:cs="宋体"/>
          <w:color w:val="auto"/>
          <w:spacing w:val="0"/>
          <w:sz w:val="24"/>
          <w:szCs w:val="24"/>
        </w:rPr>
        <w:t>中提供相应证明材料的视同小型、微型企业，享受评审中价格扣除政策。</w:t>
      </w:r>
    </w:p>
    <w:p w14:paraId="0817BF3A">
      <w:pPr>
        <w:keepNext w:val="0"/>
        <w:keepLines w:val="0"/>
        <w:pageBreakBefore w:val="0"/>
        <w:widowControl w:val="0"/>
        <w:kinsoku/>
        <w:wordWrap w:val="0"/>
        <w:overflowPunct w:val="0"/>
        <w:topLinePunct w:val="0"/>
        <w:autoSpaceDE w:val="0"/>
        <w:autoSpaceDN w:val="0"/>
        <w:bidi w:val="0"/>
        <w:adjustRightInd/>
        <w:snapToGrid/>
        <w:spacing w:line="400" w:lineRule="exact"/>
        <w:ind w:left="0" w:leftChars="0"/>
        <w:textAlignment w:val="auto"/>
        <w:rPr>
          <w:rFonts w:hint="eastAsia" w:ascii="宋体" w:hAnsi="宋体" w:cs="宋体"/>
          <w:b/>
          <w:bCs/>
          <w:color w:val="auto"/>
          <w:sz w:val="24"/>
          <w:szCs w:val="24"/>
        </w:rPr>
      </w:pPr>
      <w:r>
        <w:rPr>
          <w:rFonts w:hint="eastAsia" w:ascii="宋体" w:hAnsi="宋体" w:cs="宋体"/>
          <w:b/>
          <w:bCs/>
          <w:color w:val="auto"/>
          <w:sz w:val="24"/>
          <w:szCs w:val="24"/>
        </w:rPr>
        <w:t xml:space="preserve">    注：未提供以上材料的，均不给予价格扣除。</w:t>
      </w:r>
    </w:p>
    <w:p w14:paraId="43B84069">
      <w:pPr>
        <w:pStyle w:val="13"/>
        <w:keepNext w:val="0"/>
        <w:keepLines w:val="0"/>
        <w:pageBreakBefore w:val="0"/>
        <w:widowControl w:val="0"/>
        <w:kinsoku/>
        <w:wordWrap w:val="0"/>
        <w:overflowPunct w:val="0"/>
        <w:topLinePunct w:val="0"/>
        <w:autoSpaceDE w:val="0"/>
        <w:autoSpaceDN w:val="0"/>
        <w:bidi w:val="0"/>
        <w:adjustRightInd/>
        <w:snapToGrid/>
        <w:spacing w:line="400" w:lineRule="exact"/>
        <w:ind w:left="0" w:leftChars="0" w:firstLine="464" w:firstLineChars="200"/>
        <w:textAlignment w:val="auto"/>
        <w:rPr>
          <w:rFonts w:hint="eastAsia"/>
          <w:color w:val="auto"/>
          <w:sz w:val="24"/>
          <w:szCs w:val="24"/>
        </w:rPr>
      </w:pPr>
      <w:r>
        <w:rPr>
          <w:rFonts w:hint="eastAsia" w:hAnsi="宋体" w:cs="宋体"/>
          <w:color w:val="auto"/>
          <w:sz w:val="24"/>
          <w:szCs w:val="24"/>
        </w:rPr>
        <w:t>2.供应商的报价超过采购人设定的最高限价，将作为无效响应处理。</w:t>
      </w:r>
    </w:p>
    <w:p w14:paraId="16FD0E2F">
      <w:pPr>
        <w:pStyle w:val="13"/>
        <w:keepNext w:val="0"/>
        <w:keepLines w:val="0"/>
        <w:pageBreakBefore w:val="0"/>
        <w:widowControl w:val="0"/>
        <w:kinsoku/>
        <w:wordWrap w:val="0"/>
        <w:overflowPunct w:val="0"/>
        <w:topLinePunct w:val="0"/>
        <w:autoSpaceDE w:val="0"/>
        <w:autoSpaceDN w:val="0"/>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 xml:space="preserve">   </w:t>
      </w:r>
      <w:r>
        <w:rPr>
          <w:rFonts w:hint="eastAsia" w:ascii="宋体" w:hAnsi="宋体" w:eastAsia="宋体" w:cs="宋体"/>
          <w:b/>
          <w:color w:val="auto"/>
          <w:spacing w:val="0"/>
          <w:sz w:val="24"/>
          <w:szCs w:val="24"/>
          <w:highlight w:val="none"/>
        </w:rPr>
        <w:t>（二）商务技术得分（</w:t>
      </w:r>
      <w:r>
        <w:rPr>
          <w:rFonts w:hint="eastAsia" w:hAnsi="宋体" w:eastAsia="宋体" w:cs="宋体"/>
          <w:b/>
          <w:color w:val="auto"/>
          <w:spacing w:val="0"/>
          <w:sz w:val="24"/>
          <w:szCs w:val="24"/>
          <w:highlight w:val="none"/>
          <w:lang w:val="en-US" w:eastAsia="zh-CN"/>
        </w:rPr>
        <w:t>8</w:t>
      </w:r>
      <w:r>
        <w:rPr>
          <w:rFonts w:hint="eastAsia" w:ascii="宋体" w:hAnsi="宋体" w:eastAsia="宋体" w:cs="宋体"/>
          <w:b/>
          <w:color w:val="auto"/>
          <w:spacing w:val="0"/>
          <w:sz w:val="24"/>
          <w:szCs w:val="24"/>
          <w:highlight w:val="none"/>
          <w:lang w:val="en-US" w:eastAsia="zh-CN"/>
        </w:rPr>
        <w:t>0</w:t>
      </w:r>
      <w:r>
        <w:rPr>
          <w:rFonts w:hint="eastAsia" w:ascii="宋体" w:hAnsi="宋体" w:eastAsia="宋体" w:cs="宋体"/>
          <w:b/>
          <w:color w:val="auto"/>
          <w:spacing w:val="0"/>
          <w:sz w:val="24"/>
          <w:szCs w:val="24"/>
          <w:highlight w:val="none"/>
        </w:rPr>
        <w:t>分）</w:t>
      </w:r>
    </w:p>
    <w:tbl>
      <w:tblPr>
        <w:tblStyle w:val="26"/>
        <w:tblW w:w="54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8754"/>
        <w:gridCol w:w="757"/>
      </w:tblGrid>
      <w:tr w14:paraId="41AD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69" w:type="pct"/>
            <w:noWrap/>
            <w:vAlign w:val="center"/>
          </w:tcPr>
          <w:p w14:paraId="55B87A35">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序号</w:t>
            </w:r>
          </w:p>
        </w:tc>
        <w:tc>
          <w:tcPr>
            <w:tcW w:w="4262" w:type="pct"/>
            <w:noWrap/>
            <w:vAlign w:val="center"/>
          </w:tcPr>
          <w:p w14:paraId="21352CD4">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评分内容</w:t>
            </w:r>
          </w:p>
        </w:tc>
        <w:tc>
          <w:tcPr>
            <w:tcW w:w="368" w:type="pct"/>
            <w:noWrap/>
            <w:vAlign w:val="center"/>
          </w:tcPr>
          <w:p w14:paraId="1005983C">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分值</w:t>
            </w:r>
          </w:p>
        </w:tc>
      </w:tr>
      <w:tr w14:paraId="4624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69" w:type="pct"/>
            <w:noWrap/>
            <w:vAlign w:val="center"/>
          </w:tcPr>
          <w:p w14:paraId="4A5357A6">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4262" w:type="pct"/>
            <w:noWrap/>
            <w:vAlign w:val="center"/>
          </w:tcPr>
          <w:p w14:paraId="7A5662C7">
            <w:pPr>
              <w:keepNext w:val="0"/>
              <w:keepLines w:val="0"/>
              <w:suppressLineNumbers w:val="0"/>
              <w:spacing w:before="0" w:beforeAutospacing="0" w:after="0" w:afterAutospacing="0" w:line="460" w:lineRule="exact"/>
              <w:ind w:left="0" w:right="0" w:firstLine="0" w:firstLineChars="0"/>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根据</w:t>
            </w:r>
            <w:r>
              <w:rPr>
                <w:rFonts w:hint="eastAsia" w:ascii="Times New Roman" w:hAnsi="Times New Roman" w:eastAsia="宋体" w:cs="Times New Roman"/>
                <w:sz w:val="24"/>
                <w:szCs w:val="24"/>
                <w:highlight w:val="none"/>
                <w:lang w:eastAsia="zh-CN"/>
              </w:rPr>
              <w:t>投标人</w:t>
            </w:r>
            <w:r>
              <w:rPr>
                <w:rFonts w:hint="default" w:ascii="Times New Roman" w:hAnsi="Times New Roman" w:eastAsia="宋体" w:cs="Times New Roman"/>
                <w:sz w:val="24"/>
                <w:szCs w:val="24"/>
                <w:highlight w:val="none"/>
              </w:rPr>
              <w:t>对本项目招标需求的总体理解</w:t>
            </w:r>
            <w:r>
              <w:rPr>
                <w:rFonts w:hint="eastAsia" w:ascii="Times New Roman" w:hAnsi="Times New Roman" w:eastAsia="宋体" w:cs="Times New Roman"/>
                <w:sz w:val="24"/>
                <w:szCs w:val="24"/>
                <w:highlight w:val="none"/>
                <w:lang w:eastAsia="zh-CN"/>
              </w:rPr>
              <w:t>进行打分</w:t>
            </w:r>
            <w:r>
              <w:rPr>
                <w:rFonts w:hint="default" w:ascii="Times New Roman" w:hAnsi="Times New Roman" w:eastAsia="宋体" w:cs="Times New Roman"/>
                <w:sz w:val="24"/>
                <w:szCs w:val="24"/>
                <w:highlight w:val="none"/>
              </w:rPr>
              <w:t>，提出服务定位、目标等服务理念，能够切合实际，充分考虑保险对象日常需求，对本次服务内容的目标有较深入的理解。（0分，</w:t>
            </w:r>
            <w:r>
              <w:rPr>
                <w:rFonts w:hint="eastAsia" w:ascii="Times New Roman" w:hAnsi="Times New Roman" w:eastAsia="宋体" w:cs="Times New Roman"/>
                <w:sz w:val="24"/>
                <w:szCs w:val="24"/>
                <w:highlight w:val="none"/>
                <w:lang w:val="en-US" w:eastAsia="zh-CN"/>
              </w:rPr>
              <w:t>0.5分，</w:t>
            </w:r>
            <w:r>
              <w:rPr>
                <w:rFonts w:hint="default" w:ascii="Times New Roman" w:hAnsi="Times New Roman" w:eastAsia="宋体" w:cs="Times New Roman"/>
                <w:sz w:val="24"/>
                <w:szCs w:val="24"/>
                <w:highlight w:val="none"/>
              </w:rPr>
              <w:t>1分，</w:t>
            </w:r>
            <w:r>
              <w:rPr>
                <w:rFonts w:hint="eastAsia" w:ascii="Times New Roman" w:hAnsi="Times New Roman" w:eastAsia="宋体" w:cs="Times New Roman"/>
                <w:sz w:val="24"/>
                <w:szCs w:val="24"/>
                <w:highlight w:val="none"/>
                <w:lang w:val="en-US" w:eastAsia="zh-CN"/>
              </w:rPr>
              <w:t>1.5分，</w:t>
            </w:r>
            <w:r>
              <w:rPr>
                <w:rFonts w:hint="default" w:ascii="Times New Roman" w:hAnsi="Times New Roman" w:eastAsia="宋体" w:cs="Times New Roman"/>
                <w:sz w:val="24"/>
                <w:szCs w:val="24"/>
                <w:highlight w:val="none"/>
              </w:rPr>
              <w:t>2分，</w:t>
            </w:r>
            <w:r>
              <w:rPr>
                <w:rFonts w:hint="eastAsia" w:ascii="Times New Roman" w:hAnsi="Times New Roman" w:eastAsia="宋体" w:cs="Times New Roman"/>
                <w:sz w:val="24"/>
                <w:szCs w:val="24"/>
                <w:highlight w:val="none"/>
                <w:lang w:val="en-US" w:eastAsia="zh-CN"/>
              </w:rPr>
              <w:t>2.5分，</w:t>
            </w:r>
            <w:r>
              <w:rPr>
                <w:rFonts w:hint="default" w:ascii="Times New Roman" w:hAnsi="Times New Roman" w:eastAsia="宋体" w:cs="Times New Roman"/>
                <w:sz w:val="24"/>
                <w:szCs w:val="24"/>
                <w:highlight w:val="none"/>
              </w:rPr>
              <w:t>3分，</w:t>
            </w:r>
            <w:r>
              <w:rPr>
                <w:rFonts w:hint="eastAsia" w:ascii="Times New Roman" w:hAnsi="Times New Roman" w:eastAsia="宋体" w:cs="Times New Roman"/>
                <w:sz w:val="24"/>
                <w:szCs w:val="24"/>
                <w:highlight w:val="none"/>
                <w:lang w:val="en-US" w:eastAsia="zh-CN"/>
              </w:rPr>
              <w:t>3.5分，</w:t>
            </w:r>
            <w:r>
              <w:rPr>
                <w:rFonts w:hint="default" w:ascii="Times New Roman" w:hAnsi="Times New Roman" w:eastAsia="宋体" w:cs="Times New Roman"/>
                <w:sz w:val="24"/>
                <w:szCs w:val="24"/>
                <w:highlight w:val="none"/>
              </w:rPr>
              <w:t>4分）</w:t>
            </w:r>
          </w:p>
        </w:tc>
        <w:tc>
          <w:tcPr>
            <w:tcW w:w="368" w:type="pct"/>
            <w:noWrap/>
            <w:vAlign w:val="center"/>
          </w:tcPr>
          <w:p w14:paraId="5F186693">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val="en-US" w:eastAsia="zh-CN"/>
              </w:rPr>
              <w:t>4</w:t>
            </w:r>
          </w:p>
        </w:tc>
      </w:tr>
      <w:tr w14:paraId="7C6B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69" w:type="pct"/>
            <w:noWrap/>
            <w:vAlign w:val="center"/>
          </w:tcPr>
          <w:p w14:paraId="6E21D239">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w:t>
            </w:r>
          </w:p>
        </w:tc>
        <w:tc>
          <w:tcPr>
            <w:tcW w:w="4262" w:type="pct"/>
            <w:noWrap/>
            <w:vAlign w:val="center"/>
          </w:tcPr>
          <w:p w14:paraId="228AD210">
            <w:pPr>
              <w:keepNext w:val="0"/>
              <w:keepLines w:val="0"/>
              <w:suppressLineNumbers w:val="0"/>
              <w:spacing w:before="0" w:beforeAutospacing="0" w:after="0" w:afterAutospacing="0" w:line="460" w:lineRule="exact"/>
              <w:ind w:left="0" w:right="0" w:firstLine="0" w:firstLineChars="0"/>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根据项目组织实施方案的科学性、合理性、规范性和可操作性</w:t>
            </w:r>
            <w:r>
              <w:rPr>
                <w:rFonts w:hint="eastAsia" w:ascii="Times New Roman" w:hAnsi="Times New Roman" w:eastAsia="宋体" w:cs="Times New Roman"/>
                <w:sz w:val="24"/>
                <w:szCs w:val="24"/>
                <w:highlight w:val="none"/>
                <w:lang w:eastAsia="zh-CN"/>
              </w:rPr>
              <w:t>进行打分</w:t>
            </w:r>
            <w:r>
              <w:rPr>
                <w:rFonts w:hint="default" w:ascii="Times New Roman" w:hAnsi="Times New Roman" w:eastAsia="宋体" w:cs="Times New Roman"/>
                <w:sz w:val="24"/>
                <w:szCs w:val="24"/>
                <w:highlight w:val="none"/>
              </w:rPr>
              <w:t>，包括保障方案介绍（0分，0.5分，1分，1.5分，2分，2.5分，3分）、管理和协调方法（0分，0.5分，1分，1.5分，2分，2.5分，3分）、关键步骤的思路和要点等（0分，0.5分，1分，1.5分，2分，2.5分，3分）。</w:t>
            </w:r>
          </w:p>
        </w:tc>
        <w:tc>
          <w:tcPr>
            <w:tcW w:w="368" w:type="pct"/>
            <w:noWrap/>
            <w:vAlign w:val="center"/>
          </w:tcPr>
          <w:p w14:paraId="42A9854E">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9</w:t>
            </w:r>
          </w:p>
        </w:tc>
      </w:tr>
      <w:tr w14:paraId="1304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69" w:type="pct"/>
            <w:noWrap/>
            <w:vAlign w:val="center"/>
          </w:tcPr>
          <w:p w14:paraId="5236EE56">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w:t>
            </w:r>
          </w:p>
        </w:tc>
        <w:tc>
          <w:tcPr>
            <w:tcW w:w="4262" w:type="pct"/>
            <w:noWrap/>
            <w:vAlign w:val="center"/>
          </w:tcPr>
          <w:p w14:paraId="2062382E">
            <w:pPr>
              <w:keepNext w:val="0"/>
              <w:keepLines w:val="0"/>
              <w:suppressLineNumbers w:val="0"/>
              <w:spacing w:before="0" w:beforeAutospacing="0" w:after="0" w:afterAutospacing="0" w:line="460" w:lineRule="exact"/>
              <w:ind w:left="0" w:right="0" w:firstLine="0" w:firstLineChars="0"/>
              <w:jc w:val="both"/>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简化投保手续，描述投保时所需资料，根据</w:t>
            </w:r>
            <w:r>
              <w:rPr>
                <w:rFonts w:hint="eastAsia" w:ascii="Times New Roman" w:hAnsi="Times New Roman" w:eastAsia="宋体" w:cs="Times New Roman"/>
                <w:sz w:val="24"/>
                <w:szCs w:val="24"/>
                <w:highlight w:val="none"/>
                <w:lang w:eastAsia="zh-CN"/>
              </w:rPr>
              <w:t>投标人</w:t>
            </w:r>
            <w:r>
              <w:rPr>
                <w:rFonts w:hint="default" w:ascii="Times New Roman" w:hAnsi="Times New Roman" w:eastAsia="宋体" w:cs="Times New Roman"/>
                <w:color w:val="000000"/>
                <w:sz w:val="24"/>
                <w:szCs w:val="24"/>
                <w:highlight w:val="none"/>
              </w:rPr>
              <w:t>手续的合理性、科学性</w:t>
            </w:r>
            <w:r>
              <w:rPr>
                <w:rFonts w:hint="eastAsia" w:ascii="Times New Roman" w:hAnsi="Times New Roman" w:eastAsia="宋体" w:cs="Times New Roman"/>
                <w:sz w:val="24"/>
                <w:szCs w:val="24"/>
                <w:highlight w:val="none"/>
                <w:lang w:eastAsia="zh-CN"/>
              </w:rPr>
              <w:t>进行打分</w:t>
            </w:r>
            <w:r>
              <w:rPr>
                <w:rFonts w:hint="default" w:ascii="Times New Roman" w:hAnsi="Times New Roman" w:eastAsia="宋体" w:cs="Times New Roman"/>
                <w:color w:val="000000"/>
                <w:sz w:val="24"/>
                <w:szCs w:val="24"/>
                <w:highlight w:val="none"/>
              </w:rPr>
              <w:t>。（</w:t>
            </w:r>
            <w:r>
              <w:rPr>
                <w:rFonts w:hint="default" w:ascii="Times New Roman" w:hAnsi="Times New Roman" w:eastAsia="宋体" w:cs="Times New Roman"/>
                <w:sz w:val="24"/>
                <w:szCs w:val="24"/>
                <w:highlight w:val="none"/>
              </w:rPr>
              <w:t>0分，0.5分，1分，1.5分，2分，2.5分，3分，3.5分，4分</w:t>
            </w:r>
            <w:r>
              <w:rPr>
                <w:rFonts w:hint="default" w:ascii="Times New Roman" w:hAnsi="Times New Roman" w:eastAsia="宋体" w:cs="Times New Roman"/>
                <w:color w:val="000000"/>
                <w:sz w:val="24"/>
                <w:szCs w:val="24"/>
                <w:highlight w:val="none"/>
              </w:rPr>
              <w:t>）</w:t>
            </w:r>
          </w:p>
        </w:tc>
        <w:tc>
          <w:tcPr>
            <w:tcW w:w="368" w:type="pct"/>
            <w:noWrap/>
            <w:vAlign w:val="center"/>
          </w:tcPr>
          <w:p w14:paraId="7311F581">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color w:val="FF0000"/>
                <w:sz w:val="24"/>
                <w:szCs w:val="24"/>
                <w:highlight w:val="none"/>
                <w:lang w:eastAsia="zh-CN"/>
              </w:rPr>
            </w:pPr>
            <w:r>
              <w:rPr>
                <w:rFonts w:hint="eastAsia" w:ascii="Times New Roman" w:hAnsi="Times New Roman" w:eastAsia="宋体" w:cs="Times New Roman"/>
                <w:color w:val="000000"/>
                <w:sz w:val="24"/>
                <w:szCs w:val="24"/>
                <w:highlight w:val="none"/>
                <w:lang w:val="en-US" w:eastAsia="zh-CN"/>
              </w:rPr>
              <w:t>4</w:t>
            </w:r>
          </w:p>
        </w:tc>
      </w:tr>
      <w:tr w14:paraId="19A3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69" w:type="pct"/>
            <w:noWrap/>
            <w:vAlign w:val="center"/>
          </w:tcPr>
          <w:p w14:paraId="2694F0E0">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w:t>
            </w:r>
          </w:p>
        </w:tc>
        <w:tc>
          <w:tcPr>
            <w:tcW w:w="4262" w:type="pct"/>
            <w:noWrap/>
            <w:vAlign w:val="center"/>
          </w:tcPr>
          <w:p w14:paraId="3AE98ACE">
            <w:pPr>
              <w:keepNext w:val="0"/>
              <w:keepLines w:val="0"/>
              <w:suppressLineNumbers w:val="0"/>
              <w:spacing w:before="0" w:beforeAutospacing="0" w:after="0" w:afterAutospacing="0" w:line="460" w:lineRule="exact"/>
              <w:ind w:left="0" w:right="0" w:firstLine="0" w:firstLineChars="0"/>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根据</w:t>
            </w:r>
            <w:r>
              <w:rPr>
                <w:rFonts w:hint="eastAsia" w:ascii="Times New Roman" w:hAnsi="Times New Roman" w:eastAsia="宋体" w:cs="Times New Roman"/>
                <w:sz w:val="24"/>
                <w:szCs w:val="24"/>
                <w:highlight w:val="none"/>
                <w:lang w:eastAsia="zh-CN"/>
              </w:rPr>
              <w:t>投标人</w:t>
            </w:r>
            <w:r>
              <w:rPr>
                <w:rFonts w:hint="default" w:ascii="Times New Roman" w:hAnsi="Times New Roman" w:eastAsia="宋体" w:cs="Times New Roman"/>
                <w:sz w:val="24"/>
                <w:szCs w:val="24"/>
                <w:highlight w:val="none"/>
              </w:rPr>
              <w:t>理赔服务的响应时间的速度、响应方案是否合理、科学</w:t>
            </w:r>
            <w:r>
              <w:rPr>
                <w:rFonts w:hint="eastAsia" w:ascii="Times New Roman" w:hAnsi="Times New Roman" w:eastAsia="宋体" w:cs="Times New Roman"/>
                <w:sz w:val="24"/>
                <w:szCs w:val="24"/>
                <w:highlight w:val="none"/>
                <w:lang w:eastAsia="zh-CN"/>
              </w:rPr>
              <w:t>进行打分</w:t>
            </w:r>
            <w:r>
              <w:rPr>
                <w:rFonts w:hint="default" w:ascii="Times New Roman" w:hAnsi="Times New Roman" w:eastAsia="宋体" w:cs="Times New Roman"/>
                <w:sz w:val="24"/>
                <w:szCs w:val="24"/>
                <w:highlight w:val="none"/>
              </w:rPr>
              <w:t>：响应速度（0分，0.5分，1分，1.5分，2分，2.5分，3分），定损评估（0分，0.5分，1分，1.5分，2分，2.5分，3分）。</w:t>
            </w:r>
          </w:p>
        </w:tc>
        <w:tc>
          <w:tcPr>
            <w:tcW w:w="368" w:type="pct"/>
            <w:noWrap/>
            <w:vAlign w:val="center"/>
          </w:tcPr>
          <w:p w14:paraId="2C7EDAFA">
            <w:pPr>
              <w:keepNext w:val="0"/>
              <w:keepLines w:val="0"/>
              <w:suppressLineNumbers w:val="0"/>
              <w:spacing w:before="0" w:beforeAutospacing="0" w:after="0" w:afterAutospacing="0" w:line="460" w:lineRule="exact"/>
              <w:ind w:left="0" w:right="0" w:firstLine="0" w:firstLineChars="0"/>
              <w:jc w:val="center"/>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6</w:t>
            </w:r>
          </w:p>
        </w:tc>
      </w:tr>
      <w:tr w14:paraId="6792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69" w:type="pct"/>
            <w:noWrap/>
            <w:vAlign w:val="center"/>
          </w:tcPr>
          <w:p w14:paraId="2E0C9F45">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5</w:t>
            </w:r>
          </w:p>
        </w:tc>
        <w:tc>
          <w:tcPr>
            <w:tcW w:w="4262" w:type="pct"/>
            <w:noWrap/>
            <w:vAlign w:val="center"/>
          </w:tcPr>
          <w:p w14:paraId="3546E9CB">
            <w:pPr>
              <w:keepNext w:val="0"/>
              <w:keepLines w:val="0"/>
              <w:suppressLineNumbers w:val="0"/>
              <w:spacing w:before="0" w:beforeAutospacing="0" w:after="0" w:afterAutospacing="0" w:line="460" w:lineRule="exact"/>
              <w:ind w:left="0" w:right="0" w:firstLine="0" w:firstLineChars="0"/>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根据</w:t>
            </w:r>
            <w:r>
              <w:rPr>
                <w:rFonts w:hint="eastAsia" w:ascii="Times New Roman" w:hAnsi="Times New Roman" w:eastAsia="宋体" w:cs="Times New Roman"/>
                <w:sz w:val="24"/>
                <w:szCs w:val="24"/>
                <w:highlight w:val="none"/>
                <w:lang w:eastAsia="zh-CN"/>
              </w:rPr>
              <w:t>投标人</w:t>
            </w:r>
            <w:r>
              <w:rPr>
                <w:rFonts w:hint="default" w:ascii="Times New Roman" w:hAnsi="Times New Roman" w:eastAsia="宋体" w:cs="Times New Roman"/>
                <w:sz w:val="24"/>
                <w:szCs w:val="24"/>
                <w:highlight w:val="none"/>
              </w:rPr>
              <w:t>的理赔流程是否合理、简便、科学进行</w:t>
            </w:r>
            <w:r>
              <w:rPr>
                <w:rFonts w:hint="eastAsia" w:ascii="Times New Roman" w:hAnsi="Times New Roman" w:eastAsia="宋体" w:cs="Times New Roman"/>
                <w:sz w:val="24"/>
                <w:szCs w:val="24"/>
                <w:highlight w:val="none"/>
                <w:lang w:eastAsia="zh-CN"/>
              </w:rPr>
              <w:t>进行打分</w:t>
            </w:r>
            <w:r>
              <w:rPr>
                <w:rFonts w:hint="default" w:ascii="Times New Roman" w:hAnsi="Times New Roman" w:eastAsia="宋体" w:cs="Times New Roman"/>
                <w:sz w:val="24"/>
                <w:szCs w:val="24"/>
                <w:highlight w:val="none"/>
              </w:rPr>
              <w:t>，包括报案流程（0分，0.5分，1分，1.5分，2分，2.5分，3分，3.5分，4分），查勘流程（0分，0.5分，1分，1.5分，2分，2.5分，3分，3.5分，4分，4.5分，5分），理赔流程（0分，0.5分，1分，1.5分，2分，2.5分，3分，3.5分，4分，4.5分，5分）。</w:t>
            </w:r>
          </w:p>
        </w:tc>
        <w:tc>
          <w:tcPr>
            <w:tcW w:w="368" w:type="pct"/>
            <w:noWrap/>
            <w:vAlign w:val="center"/>
          </w:tcPr>
          <w:p w14:paraId="7C83CE69">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14</w:t>
            </w:r>
          </w:p>
        </w:tc>
      </w:tr>
      <w:tr w14:paraId="0E91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369" w:type="pct"/>
            <w:noWrap/>
            <w:vAlign w:val="center"/>
          </w:tcPr>
          <w:p w14:paraId="7A16F3E8">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6</w:t>
            </w:r>
          </w:p>
        </w:tc>
        <w:tc>
          <w:tcPr>
            <w:tcW w:w="4262" w:type="pct"/>
            <w:noWrap/>
            <w:vAlign w:val="center"/>
          </w:tcPr>
          <w:p w14:paraId="5EAFDC50">
            <w:pPr>
              <w:keepNext w:val="0"/>
              <w:keepLines w:val="0"/>
              <w:suppressLineNumbers w:val="0"/>
              <w:spacing w:before="0" w:beforeAutospacing="0" w:after="0" w:afterAutospacing="0" w:line="460" w:lineRule="exact"/>
              <w:ind w:left="0" w:right="0" w:firstLine="0" w:firstLineChars="0"/>
              <w:jc w:val="both"/>
              <w:rPr>
                <w:rFonts w:hint="default"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（1）</w:t>
            </w:r>
            <w:r>
              <w:rPr>
                <w:rFonts w:hint="default" w:ascii="Times New Roman" w:hAnsi="Times New Roman" w:eastAsia="宋体" w:cs="Times New Roman"/>
                <w:color w:val="000000"/>
                <w:sz w:val="24"/>
                <w:szCs w:val="24"/>
                <w:highlight w:val="none"/>
              </w:rPr>
              <w:t>根据拟投入本项目保险服务团队综合实力、专业设置、分工等团队架构合理性、实用性等情况进行</w:t>
            </w:r>
            <w:r>
              <w:rPr>
                <w:rFonts w:hint="eastAsia" w:ascii="Times New Roman" w:hAnsi="Times New Roman" w:eastAsia="宋体" w:cs="Times New Roman"/>
                <w:sz w:val="24"/>
                <w:szCs w:val="24"/>
                <w:highlight w:val="none"/>
                <w:lang w:eastAsia="zh-CN"/>
              </w:rPr>
              <w:t>打分</w:t>
            </w:r>
            <w:r>
              <w:rPr>
                <w:rFonts w:hint="default" w:ascii="Times New Roman" w:hAnsi="Times New Roman" w:eastAsia="宋体" w:cs="Times New Roman"/>
                <w:color w:val="000000"/>
                <w:sz w:val="24"/>
                <w:szCs w:val="24"/>
                <w:highlight w:val="none"/>
              </w:rPr>
              <w:t>。（</w:t>
            </w:r>
            <w:r>
              <w:rPr>
                <w:rFonts w:hint="default" w:ascii="Times New Roman" w:hAnsi="Times New Roman" w:eastAsia="宋体" w:cs="Times New Roman"/>
                <w:sz w:val="24"/>
                <w:szCs w:val="24"/>
                <w:highlight w:val="none"/>
              </w:rPr>
              <w:t>0分，0.5分，1分，1.5分，2分，2.5分，3分</w:t>
            </w:r>
            <w:r>
              <w:rPr>
                <w:rFonts w:hint="default" w:ascii="Times New Roman" w:hAnsi="Times New Roman" w:eastAsia="宋体" w:cs="Times New Roman"/>
                <w:color w:val="000000"/>
                <w:sz w:val="24"/>
                <w:szCs w:val="24"/>
                <w:highlight w:val="none"/>
              </w:rPr>
              <w:t>）</w:t>
            </w:r>
          </w:p>
          <w:p w14:paraId="5D97F408">
            <w:pPr>
              <w:keepNext w:val="0"/>
              <w:keepLines w:val="0"/>
              <w:suppressLineNumbers w:val="0"/>
              <w:spacing w:before="0" w:beforeAutospacing="0" w:after="0" w:afterAutospacing="0" w:line="460" w:lineRule="exact"/>
              <w:ind w:left="0" w:right="0" w:firstLine="0" w:firstLineChars="0"/>
              <w:jc w:val="both"/>
              <w:rPr>
                <w:rFonts w:hint="default"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（2）</w:t>
            </w:r>
            <w:r>
              <w:rPr>
                <w:rFonts w:hint="default" w:ascii="Times New Roman" w:hAnsi="Times New Roman" w:eastAsia="宋体" w:cs="Times New Roman"/>
                <w:color w:val="000000"/>
                <w:sz w:val="24"/>
                <w:szCs w:val="24"/>
                <w:highlight w:val="none"/>
              </w:rPr>
              <w:t>根据投入本项目服务团队成员中如具备高级</w:t>
            </w:r>
            <w:r>
              <w:rPr>
                <w:rFonts w:hint="eastAsia" w:ascii="Times New Roman" w:hAnsi="Times New Roman" w:eastAsia="宋体" w:cs="Times New Roman"/>
                <w:color w:val="000000"/>
                <w:sz w:val="24"/>
                <w:szCs w:val="24"/>
                <w:highlight w:val="none"/>
                <w:lang w:eastAsia="zh-CN"/>
              </w:rPr>
              <w:t>及以上</w:t>
            </w:r>
            <w:r>
              <w:rPr>
                <w:rFonts w:hint="default" w:ascii="Times New Roman" w:hAnsi="Times New Roman" w:eastAsia="宋体" w:cs="Times New Roman"/>
                <w:color w:val="000000"/>
                <w:sz w:val="24"/>
                <w:szCs w:val="24"/>
                <w:highlight w:val="none"/>
              </w:rPr>
              <w:t>职称人员</w:t>
            </w:r>
            <w:r>
              <w:rPr>
                <w:rFonts w:hint="eastAsia" w:ascii="Times New Roman" w:hAnsi="Times New Roman" w:eastAsia="宋体" w:cs="Times New Roman"/>
                <w:color w:val="000000"/>
                <w:sz w:val="24"/>
                <w:szCs w:val="24"/>
                <w:highlight w:val="none"/>
                <w:lang w:eastAsia="zh-CN"/>
              </w:rPr>
              <w:t>的</w:t>
            </w:r>
            <w:r>
              <w:rPr>
                <w:rFonts w:hint="default" w:ascii="Times New Roman" w:hAnsi="Times New Roman" w:eastAsia="宋体" w:cs="Times New Roman"/>
                <w:color w:val="000000"/>
                <w:sz w:val="24"/>
                <w:szCs w:val="24"/>
                <w:highlight w:val="none"/>
              </w:rPr>
              <w:t>可得1分；具备中级职称人员</w:t>
            </w:r>
            <w:r>
              <w:rPr>
                <w:rFonts w:hint="eastAsia" w:ascii="Times New Roman" w:hAnsi="Times New Roman" w:eastAsia="宋体" w:cs="Times New Roman"/>
                <w:color w:val="000000"/>
                <w:sz w:val="24"/>
                <w:szCs w:val="24"/>
                <w:highlight w:val="none"/>
                <w:lang w:val="en-US" w:eastAsia="zh-CN"/>
              </w:rPr>
              <w:t>2人以上，</w:t>
            </w:r>
            <w:r>
              <w:rPr>
                <w:rFonts w:hint="default" w:ascii="Times New Roman" w:hAnsi="Times New Roman" w:eastAsia="宋体" w:cs="Times New Roman"/>
                <w:color w:val="000000"/>
                <w:sz w:val="24"/>
                <w:szCs w:val="24"/>
                <w:highlight w:val="none"/>
              </w:rPr>
              <w:t>每</w:t>
            </w:r>
            <w:r>
              <w:rPr>
                <w:rFonts w:hint="eastAsia" w:ascii="Times New Roman" w:hAnsi="Times New Roman" w:eastAsia="宋体" w:cs="Times New Roman"/>
                <w:color w:val="000000"/>
                <w:sz w:val="24"/>
                <w:szCs w:val="24"/>
                <w:highlight w:val="none"/>
                <w:lang w:eastAsia="zh-CN"/>
              </w:rPr>
              <w:t>增加</w:t>
            </w:r>
            <w:r>
              <w:rPr>
                <w:rFonts w:hint="default" w:ascii="Times New Roman" w:hAnsi="Times New Roman" w:eastAsia="宋体" w:cs="Times New Roman"/>
                <w:color w:val="000000"/>
                <w:sz w:val="24"/>
                <w:szCs w:val="24"/>
                <w:highlight w:val="none"/>
              </w:rPr>
              <w:t>1人得</w:t>
            </w:r>
            <w:r>
              <w:rPr>
                <w:rFonts w:hint="eastAsia" w:ascii="Times New Roman" w:hAnsi="Times New Roman" w:eastAsia="宋体" w:cs="Times New Roman"/>
                <w:color w:val="000000"/>
                <w:sz w:val="24"/>
                <w:szCs w:val="24"/>
                <w:highlight w:val="none"/>
                <w:lang w:val="en-US" w:eastAsia="zh-CN"/>
              </w:rPr>
              <w:t>0.5</w:t>
            </w:r>
            <w:r>
              <w:rPr>
                <w:rFonts w:hint="default" w:ascii="Times New Roman" w:hAnsi="Times New Roman" w:eastAsia="宋体" w:cs="Times New Roman"/>
                <w:color w:val="000000"/>
                <w:sz w:val="24"/>
                <w:szCs w:val="24"/>
                <w:highlight w:val="none"/>
              </w:rPr>
              <w:t>分，最高</w:t>
            </w:r>
            <w:r>
              <w:rPr>
                <w:rFonts w:hint="eastAsia" w:ascii="Times New Roman" w:hAnsi="Times New Roman" w:eastAsia="宋体" w:cs="Times New Roman"/>
                <w:color w:val="000000"/>
                <w:sz w:val="24"/>
                <w:szCs w:val="24"/>
                <w:highlight w:val="none"/>
                <w:lang w:eastAsia="zh-CN"/>
              </w:rPr>
              <w:t>得</w:t>
            </w:r>
            <w:r>
              <w:rPr>
                <w:rFonts w:hint="eastAsia" w:ascii="Times New Roman" w:hAnsi="Times New Roman" w:eastAsia="宋体" w:cs="Times New Roman"/>
                <w:color w:val="000000"/>
                <w:sz w:val="24"/>
                <w:szCs w:val="24"/>
                <w:highlight w:val="none"/>
                <w:lang w:val="en-US" w:eastAsia="zh-CN"/>
              </w:rPr>
              <w:t>2</w:t>
            </w:r>
            <w:r>
              <w:rPr>
                <w:rFonts w:hint="default" w:ascii="Times New Roman" w:hAnsi="Times New Roman" w:eastAsia="宋体" w:cs="Times New Roman"/>
                <w:color w:val="000000"/>
                <w:sz w:val="24"/>
                <w:szCs w:val="24"/>
                <w:highlight w:val="none"/>
              </w:rPr>
              <w:t>分；具备本科及以上农业</w:t>
            </w:r>
            <w:r>
              <w:rPr>
                <w:rFonts w:hint="eastAsia" w:ascii="Times New Roman" w:hAnsi="Times New Roman" w:eastAsia="宋体" w:cs="Times New Roman"/>
                <w:color w:val="000000"/>
                <w:sz w:val="24"/>
                <w:szCs w:val="24"/>
                <w:highlight w:val="none"/>
                <w:lang w:eastAsia="zh-CN"/>
              </w:rPr>
              <w:t>工程或水利水电工程</w:t>
            </w:r>
            <w:r>
              <w:rPr>
                <w:rFonts w:hint="default" w:ascii="Times New Roman" w:hAnsi="Times New Roman" w:eastAsia="宋体" w:cs="Times New Roman"/>
                <w:color w:val="000000"/>
                <w:sz w:val="24"/>
                <w:szCs w:val="24"/>
                <w:highlight w:val="none"/>
              </w:rPr>
              <w:t>相关专业人员每有1人得</w:t>
            </w:r>
            <w:r>
              <w:rPr>
                <w:rFonts w:hint="eastAsia" w:ascii="Times New Roman" w:hAnsi="Times New Roman" w:eastAsia="宋体" w:cs="Times New Roman"/>
                <w:color w:val="000000"/>
                <w:sz w:val="24"/>
                <w:szCs w:val="24"/>
                <w:highlight w:val="none"/>
                <w:lang w:val="en-US" w:eastAsia="zh-CN"/>
              </w:rPr>
              <w:t>0.5</w:t>
            </w:r>
            <w:r>
              <w:rPr>
                <w:rFonts w:hint="default" w:ascii="Times New Roman" w:hAnsi="Times New Roman" w:eastAsia="宋体" w:cs="Times New Roman"/>
                <w:color w:val="000000"/>
                <w:sz w:val="24"/>
                <w:szCs w:val="24"/>
                <w:highlight w:val="none"/>
              </w:rPr>
              <w:t>分，最高</w:t>
            </w:r>
            <w:r>
              <w:rPr>
                <w:rFonts w:hint="eastAsia" w:ascii="Times New Roman" w:hAnsi="Times New Roman" w:eastAsia="宋体" w:cs="Times New Roman"/>
                <w:color w:val="000000"/>
                <w:sz w:val="24"/>
                <w:szCs w:val="24"/>
                <w:highlight w:val="none"/>
                <w:lang w:eastAsia="zh-CN"/>
              </w:rPr>
              <w:t>得</w:t>
            </w:r>
            <w:r>
              <w:rPr>
                <w:rFonts w:hint="eastAsia" w:ascii="Times New Roman" w:hAnsi="Times New Roman" w:eastAsia="宋体" w:cs="Times New Roman"/>
                <w:color w:val="000000"/>
                <w:sz w:val="24"/>
                <w:szCs w:val="24"/>
                <w:highlight w:val="none"/>
                <w:lang w:val="en-US" w:eastAsia="zh-CN"/>
              </w:rPr>
              <w:t>1</w:t>
            </w:r>
            <w:r>
              <w:rPr>
                <w:rFonts w:hint="default" w:ascii="Times New Roman" w:hAnsi="Times New Roman" w:eastAsia="宋体" w:cs="Times New Roman"/>
                <w:color w:val="000000"/>
                <w:sz w:val="24"/>
                <w:szCs w:val="24"/>
                <w:highlight w:val="none"/>
              </w:rPr>
              <w:t>分；（0-</w:t>
            </w:r>
            <w:r>
              <w:rPr>
                <w:rFonts w:hint="eastAsia" w:ascii="Times New Roman" w:hAnsi="Times New Roman" w:eastAsia="宋体" w:cs="Times New Roman"/>
                <w:color w:val="000000"/>
                <w:sz w:val="24"/>
                <w:szCs w:val="24"/>
                <w:highlight w:val="none"/>
                <w:lang w:val="en-US" w:eastAsia="zh-CN"/>
              </w:rPr>
              <w:t>4</w:t>
            </w:r>
            <w:r>
              <w:rPr>
                <w:rFonts w:hint="default" w:ascii="Times New Roman" w:hAnsi="Times New Roman" w:eastAsia="宋体" w:cs="Times New Roman"/>
                <w:color w:val="000000"/>
                <w:sz w:val="24"/>
                <w:szCs w:val="24"/>
                <w:highlight w:val="none"/>
              </w:rPr>
              <w:t>分）（提供相关证明材料及投标人近1个月的社保缴纳明细表，未提供或人员不属于投标人单位在职人员的不得分）</w:t>
            </w:r>
          </w:p>
          <w:p w14:paraId="2979AE59">
            <w:pPr>
              <w:keepNext w:val="0"/>
              <w:keepLines w:val="0"/>
              <w:suppressLineNumbers w:val="0"/>
              <w:spacing w:before="0" w:beforeAutospacing="0" w:after="0" w:afterAutospacing="0" w:line="460" w:lineRule="exact"/>
              <w:ind w:left="0" w:right="0" w:firstLine="0" w:firstLineChars="0"/>
              <w:jc w:val="both"/>
              <w:rPr>
                <w:rFonts w:hint="default" w:ascii="Times New Roman" w:hAnsi="Times New Roman" w:eastAsia="宋体" w:cs="Times New Roman"/>
                <w:bCs/>
                <w:color w:val="000000"/>
                <w:sz w:val="24"/>
                <w:szCs w:val="24"/>
                <w:highlight w:val="none"/>
              </w:rPr>
            </w:pP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3</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根据拟投入本项目服务团队实践经验、专业能力等</w:t>
            </w:r>
            <w:r>
              <w:rPr>
                <w:rFonts w:hint="eastAsia" w:ascii="Times New Roman" w:hAnsi="Times New Roman" w:eastAsia="宋体" w:cs="Times New Roman"/>
                <w:sz w:val="24"/>
                <w:szCs w:val="24"/>
                <w:highlight w:val="none"/>
                <w:lang w:eastAsia="zh-CN"/>
              </w:rPr>
              <w:t>进行打分</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w:t>
            </w:r>
            <w:r>
              <w:rPr>
                <w:rFonts w:hint="default" w:ascii="Times New Roman" w:hAnsi="Times New Roman" w:eastAsia="宋体" w:cs="Times New Roman"/>
                <w:sz w:val="24"/>
                <w:szCs w:val="24"/>
                <w:highlight w:val="none"/>
              </w:rPr>
              <w:t>0分，0.5分，1分，1.5分，2分，2.5分，3分</w:t>
            </w:r>
            <w:r>
              <w:rPr>
                <w:rFonts w:hint="default" w:ascii="Times New Roman" w:hAnsi="Times New Roman" w:eastAsia="宋体" w:cs="Times New Roman"/>
                <w:color w:val="000000"/>
                <w:sz w:val="24"/>
                <w:szCs w:val="24"/>
                <w:highlight w:val="none"/>
              </w:rPr>
              <w:t>）</w:t>
            </w:r>
          </w:p>
        </w:tc>
        <w:tc>
          <w:tcPr>
            <w:tcW w:w="368" w:type="pct"/>
            <w:noWrap/>
            <w:vAlign w:val="center"/>
          </w:tcPr>
          <w:p w14:paraId="3C226533">
            <w:pPr>
              <w:keepNext w:val="0"/>
              <w:keepLines w:val="0"/>
              <w:suppressLineNumbers w:val="0"/>
              <w:spacing w:before="0" w:beforeAutospacing="0" w:after="0" w:afterAutospacing="0" w:line="460" w:lineRule="exact"/>
              <w:ind w:left="0" w:right="0" w:firstLine="0" w:firstLineChars="0"/>
              <w:jc w:val="center"/>
              <w:rPr>
                <w:rFonts w:hint="eastAsia"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rPr>
              <w:t>1</w:t>
            </w:r>
            <w:r>
              <w:rPr>
                <w:rFonts w:hint="eastAsia" w:ascii="Times New Roman" w:hAnsi="Times New Roman" w:eastAsia="宋体" w:cs="Times New Roman"/>
                <w:color w:val="000000"/>
                <w:sz w:val="24"/>
                <w:szCs w:val="24"/>
                <w:highlight w:val="none"/>
                <w:lang w:val="en-US" w:eastAsia="zh-CN"/>
              </w:rPr>
              <w:t>0</w:t>
            </w:r>
          </w:p>
        </w:tc>
      </w:tr>
      <w:tr w14:paraId="3CF6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369" w:type="pct"/>
            <w:noWrap/>
            <w:vAlign w:val="center"/>
          </w:tcPr>
          <w:p w14:paraId="6F85E0D7">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7</w:t>
            </w:r>
          </w:p>
        </w:tc>
        <w:tc>
          <w:tcPr>
            <w:tcW w:w="4262" w:type="pct"/>
            <w:noWrap/>
            <w:vAlign w:val="center"/>
          </w:tcPr>
          <w:p w14:paraId="7E0F87D2">
            <w:pPr>
              <w:keepNext w:val="0"/>
              <w:keepLines w:val="0"/>
              <w:suppressLineNumbers w:val="0"/>
              <w:spacing w:before="0" w:beforeAutospacing="0" w:after="0" w:afterAutospacing="0" w:line="460" w:lineRule="exact"/>
              <w:ind w:left="34" w:right="0" w:firstLine="0" w:firstLineChars="0"/>
              <w:jc w:val="both"/>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提供针对本项目官网、APP、微信公众号、客服热线等方便相关人员办理投保理赔等事宜的信息公开渠道</w:t>
            </w:r>
            <w:r>
              <w:rPr>
                <w:rFonts w:hint="eastAsia" w:ascii="Times New Roman" w:hAnsi="Times New Roman" w:eastAsia="宋体" w:cs="Times New Roman"/>
                <w:sz w:val="24"/>
                <w:szCs w:val="24"/>
                <w:highlight w:val="none"/>
                <w:lang w:eastAsia="zh-CN"/>
              </w:rPr>
              <w:t>进行打分</w:t>
            </w:r>
            <w:r>
              <w:rPr>
                <w:rFonts w:hint="default" w:ascii="Times New Roman" w:hAnsi="Times New Roman" w:eastAsia="宋体" w:cs="Times New Roman"/>
                <w:color w:val="000000"/>
                <w:sz w:val="24"/>
                <w:szCs w:val="24"/>
                <w:highlight w:val="none"/>
              </w:rPr>
              <w:t>。（</w:t>
            </w:r>
            <w:r>
              <w:rPr>
                <w:rFonts w:hint="default" w:ascii="Times New Roman" w:hAnsi="Times New Roman" w:eastAsia="宋体" w:cs="Times New Roman"/>
                <w:sz w:val="24"/>
                <w:szCs w:val="24"/>
                <w:highlight w:val="none"/>
              </w:rPr>
              <w:t>0分，0.5分，1分，1.5分，2分，2.5分，3分，3.5分，4分</w:t>
            </w:r>
            <w:r>
              <w:rPr>
                <w:rFonts w:hint="default" w:ascii="Times New Roman" w:hAnsi="Times New Roman" w:eastAsia="宋体" w:cs="Times New Roman"/>
                <w:color w:val="000000"/>
                <w:sz w:val="24"/>
                <w:szCs w:val="24"/>
                <w:highlight w:val="none"/>
              </w:rPr>
              <w:t>）</w:t>
            </w:r>
          </w:p>
        </w:tc>
        <w:tc>
          <w:tcPr>
            <w:tcW w:w="368" w:type="pct"/>
            <w:noWrap/>
            <w:vAlign w:val="center"/>
          </w:tcPr>
          <w:p w14:paraId="34DA7CE6">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lang w:val="en-US" w:eastAsia="zh-CN"/>
              </w:rPr>
              <w:t>4</w:t>
            </w:r>
          </w:p>
        </w:tc>
      </w:tr>
      <w:tr w14:paraId="4556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69" w:type="pct"/>
            <w:noWrap/>
            <w:vAlign w:val="center"/>
          </w:tcPr>
          <w:p w14:paraId="514A4A4C">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8</w:t>
            </w:r>
          </w:p>
        </w:tc>
        <w:tc>
          <w:tcPr>
            <w:tcW w:w="4262" w:type="pct"/>
            <w:noWrap/>
            <w:vAlign w:val="center"/>
          </w:tcPr>
          <w:p w14:paraId="2A11151C">
            <w:pPr>
              <w:keepNext w:val="0"/>
              <w:keepLines w:val="0"/>
              <w:suppressLineNumbers w:val="0"/>
              <w:spacing w:before="0" w:beforeAutospacing="0" w:after="0" w:afterAutospacing="0" w:line="460" w:lineRule="exact"/>
              <w:ind w:left="0" w:right="0" w:firstLine="0" w:firstLineChars="0"/>
              <w:jc w:val="both"/>
              <w:rPr>
                <w:rFonts w:hint="default" w:ascii="Times New Roman" w:hAnsi="Times New Roman" w:eastAsia="宋体" w:cs="Times New Roman"/>
                <w:color w:val="000000"/>
                <w:sz w:val="24"/>
                <w:szCs w:val="24"/>
                <w:highlight w:val="none"/>
              </w:rPr>
            </w:pPr>
            <w:r>
              <w:rPr>
                <w:rFonts w:hint="eastAsia" w:ascii="Times New Roman" w:hAnsi="Times New Roman" w:eastAsia="宋体" w:cs="Times New Roman"/>
                <w:sz w:val="24"/>
                <w:szCs w:val="24"/>
                <w:highlight w:val="none"/>
                <w:lang w:eastAsia="zh-CN"/>
              </w:rPr>
              <w:t>投标人</w:t>
            </w:r>
            <w:r>
              <w:rPr>
                <w:rFonts w:hint="default" w:ascii="Times New Roman" w:hAnsi="Times New Roman" w:eastAsia="宋体" w:cs="Times New Roman"/>
                <w:color w:val="000000"/>
                <w:sz w:val="24"/>
                <w:szCs w:val="24"/>
                <w:highlight w:val="none"/>
              </w:rPr>
              <w:t>应对采购人提供合理的、覆盖面广的保险专业培训，确保采购人充分理解保险、理赔流程等</w:t>
            </w:r>
            <w:r>
              <w:rPr>
                <w:rFonts w:hint="eastAsia" w:ascii="Times New Roman" w:hAnsi="Times New Roman" w:eastAsia="宋体" w:cs="Times New Roman"/>
                <w:sz w:val="24"/>
                <w:szCs w:val="24"/>
                <w:highlight w:val="none"/>
                <w:lang w:eastAsia="zh-CN"/>
              </w:rPr>
              <w:t>进行打分</w:t>
            </w:r>
            <w:r>
              <w:rPr>
                <w:rFonts w:hint="default" w:ascii="Times New Roman" w:hAnsi="Times New Roman" w:eastAsia="宋体" w:cs="Times New Roman"/>
                <w:color w:val="000000"/>
                <w:sz w:val="24"/>
                <w:szCs w:val="24"/>
                <w:highlight w:val="none"/>
              </w:rPr>
              <w:t>。（</w:t>
            </w:r>
            <w:r>
              <w:rPr>
                <w:rFonts w:hint="default" w:ascii="Times New Roman" w:hAnsi="Times New Roman" w:eastAsia="宋体" w:cs="Times New Roman"/>
                <w:sz w:val="24"/>
                <w:szCs w:val="24"/>
                <w:highlight w:val="none"/>
              </w:rPr>
              <w:t>0分，0.5分，1分，1.5分，2分，2.5分，3分，3.5分，4分</w:t>
            </w:r>
            <w:r>
              <w:rPr>
                <w:rFonts w:hint="default" w:ascii="Times New Roman" w:hAnsi="Times New Roman" w:eastAsia="宋体" w:cs="Times New Roman"/>
                <w:color w:val="000000"/>
                <w:sz w:val="24"/>
                <w:szCs w:val="24"/>
                <w:highlight w:val="none"/>
              </w:rPr>
              <w:t>）</w:t>
            </w:r>
          </w:p>
        </w:tc>
        <w:tc>
          <w:tcPr>
            <w:tcW w:w="368" w:type="pct"/>
            <w:noWrap/>
            <w:vAlign w:val="center"/>
          </w:tcPr>
          <w:p w14:paraId="6C63A24B">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lang w:val="en-US" w:eastAsia="zh-CN"/>
              </w:rPr>
              <w:t>4</w:t>
            </w:r>
          </w:p>
        </w:tc>
      </w:tr>
      <w:tr w14:paraId="55E8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69" w:type="pct"/>
            <w:noWrap/>
            <w:vAlign w:val="center"/>
          </w:tcPr>
          <w:p w14:paraId="11BA74F1">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9</w:t>
            </w:r>
          </w:p>
        </w:tc>
        <w:tc>
          <w:tcPr>
            <w:tcW w:w="4262" w:type="pct"/>
            <w:noWrap/>
            <w:vAlign w:val="center"/>
          </w:tcPr>
          <w:p w14:paraId="39250789">
            <w:pPr>
              <w:keepNext w:val="0"/>
              <w:keepLines w:val="0"/>
              <w:suppressLineNumbers w:val="0"/>
              <w:spacing w:before="0" w:beforeAutospacing="0" w:after="0" w:afterAutospacing="0" w:line="460" w:lineRule="exact"/>
              <w:ind w:left="0" w:right="0" w:firstLine="0" w:firstLineChars="0"/>
              <w:jc w:val="both"/>
              <w:rPr>
                <w:rFonts w:hint="default" w:ascii="Times New Roman" w:hAnsi="Times New Roman" w:eastAsia="宋体" w:cs="Times New Roman"/>
                <w:color w:val="000000"/>
                <w:sz w:val="24"/>
                <w:szCs w:val="24"/>
                <w:highlight w:val="none"/>
              </w:rPr>
            </w:pPr>
            <w:r>
              <w:rPr>
                <w:rFonts w:hint="eastAsia" w:ascii="Times New Roman" w:hAnsi="Times New Roman" w:eastAsia="宋体" w:cs="Times New Roman"/>
                <w:sz w:val="24"/>
                <w:szCs w:val="24"/>
                <w:highlight w:val="none"/>
                <w:lang w:eastAsia="zh-CN"/>
              </w:rPr>
              <w:t>投标人</w:t>
            </w:r>
            <w:r>
              <w:rPr>
                <w:rFonts w:hint="default" w:ascii="Times New Roman" w:hAnsi="Times New Roman" w:eastAsia="宋体" w:cs="Times New Roman"/>
                <w:color w:val="000000"/>
                <w:sz w:val="24"/>
                <w:szCs w:val="24"/>
                <w:highlight w:val="none"/>
              </w:rPr>
              <w:t>有合适、合理、可行的宣传计划，使广大承保对象知道自己的权益、保险流程等</w:t>
            </w:r>
            <w:r>
              <w:rPr>
                <w:rFonts w:hint="eastAsia" w:ascii="Times New Roman" w:hAnsi="Times New Roman" w:eastAsia="宋体" w:cs="Times New Roman"/>
                <w:sz w:val="24"/>
                <w:szCs w:val="24"/>
                <w:highlight w:val="none"/>
                <w:lang w:eastAsia="zh-CN"/>
              </w:rPr>
              <w:t>进行打分</w:t>
            </w:r>
            <w:r>
              <w:rPr>
                <w:rFonts w:hint="default" w:ascii="Times New Roman" w:hAnsi="Times New Roman" w:eastAsia="宋体" w:cs="Times New Roman"/>
                <w:color w:val="000000"/>
                <w:sz w:val="24"/>
                <w:szCs w:val="24"/>
                <w:highlight w:val="none"/>
              </w:rPr>
              <w:t>。（</w:t>
            </w:r>
            <w:r>
              <w:rPr>
                <w:rFonts w:hint="default" w:ascii="Times New Roman" w:hAnsi="Times New Roman" w:eastAsia="宋体" w:cs="Times New Roman"/>
                <w:sz w:val="24"/>
                <w:szCs w:val="24"/>
                <w:highlight w:val="none"/>
              </w:rPr>
              <w:t>0分，0.5分，1分，1.5分，2分，2.5分，3分，3.5分，4分</w:t>
            </w:r>
            <w:r>
              <w:rPr>
                <w:rFonts w:hint="default" w:ascii="Times New Roman" w:hAnsi="Times New Roman" w:eastAsia="宋体" w:cs="Times New Roman"/>
                <w:color w:val="000000"/>
                <w:sz w:val="24"/>
                <w:szCs w:val="24"/>
                <w:highlight w:val="none"/>
              </w:rPr>
              <w:t>）</w:t>
            </w:r>
          </w:p>
        </w:tc>
        <w:tc>
          <w:tcPr>
            <w:tcW w:w="368" w:type="pct"/>
            <w:noWrap/>
            <w:vAlign w:val="center"/>
          </w:tcPr>
          <w:p w14:paraId="5C9EDF45">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lang w:val="en-US" w:eastAsia="zh-CN"/>
              </w:rPr>
              <w:t>4</w:t>
            </w:r>
          </w:p>
        </w:tc>
      </w:tr>
      <w:tr w14:paraId="692D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69" w:type="pct"/>
            <w:noWrap/>
            <w:vAlign w:val="center"/>
          </w:tcPr>
          <w:p w14:paraId="4AB9DED2">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10</w:t>
            </w:r>
          </w:p>
        </w:tc>
        <w:tc>
          <w:tcPr>
            <w:tcW w:w="4262" w:type="pct"/>
            <w:noWrap/>
            <w:vAlign w:val="center"/>
          </w:tcPr>
          <w:p w14:paraId="57A5F68E">
            <w:pPr>
              <w:keepNext w:val="0"/>
              <w:keepLines w:val="0"/>
              <w:suppressLineNumbers w:val="0"/>
              <w:spacing w:before="0" w:beforeAutospacing="0" w:after="0" w:afterAutospacing="0" w:line="460" w:lineRule="exact"/>
              <w:ind w:left="0" w:right="0" w:firstLine="0" w:firstLineChars="0"/>
              <w:jc w:val="both"/>
              <w:rPr>
                <w:rFonts w:hint="default" w:ascii="Times New Roman" w:hAnsi="Times New Roman" w:eastAsia="宋体" w:cs="Times New Roman"/>
                <w:color w:val="000000"/>
                <w:sz w:val="24"/>
                <w:szCs w:val="24"/>
                <w:highlight w:val="none"/>
              </w:rPr>
            </w:pPr>
            <w:r>
              <w:rPr>
                <w:rFonts w:hint="eastAsia" w:ascii="Times New Roman" w:hAnsi="Times New Roman" w:eastAsia="宋体" w:cs="Times New Roman"/>
                <w:sz w:val="24"/>
                <w:szCs w:val="24"/>
                <w:highlight w:val="none"/>
                <w:lang w:eastAsia="zh-CN"/>
              </w:rPr>
              <w:t>投标人</w:t>
            </w:r>
            <w:r>
              <w:rPr>
                <w:rFonts w:hint="default" w:ascii="Times New Roman" w:hAnsi="Times New Roman" w:eastAsia="宋体" w:cs="Times New Roman"/>
                <w:color w:val="000000"/>
                <w:sz w:val="24"/>
                <w:szCs w:val="24"/>
                <w:highlight w:val="none"/>
              </w:rPr>
              <w:t>针对项目推进和实施中可能会出现的问题和存在的困难，进行客观仔细地分析，并结合自身专业、经验，提出合理化建议（解决对策），</w:t>
            </w:r>
            <w:r>
              <w:rPr>
                <w:rFonts w:hint="eastAsia" w:ascii="Times New Roman" w:hAnsi="Times New Roman" w:eastAsia="宋体" w:cs="Times New Roman"/>
                <w:sz w:val="24"/>
                <w:szCs w:val="24"/>
                <w:highlight w:val="none"/>
                <w:lang w:eastAsia="zh-CN"/>
              </w:rPr>
              <w:t>进行打分</w:t>
            </w:r>
            <w:r>
              <w:rPr>
                <w:rFonts w:hint="default" w:ascii="Times New Roman" w:hAnsi="Times New Roman" w:eastAsia="宋体" w:cs="Times New Roman"/>
                <w:color w:val="000000"/>
                <w:sz w:val="24"/>
                <w:szCs w:val="24"/>
                <w:highlight w:val="none"/>
              </w:rPr>
              <w:t>。（</w:t>
            </w:r>
            <w:r>
              <w:rPr>
                <w:rFonts w:hint="default" w:ascii="Times New Roman" w:hAnsi="Times New Roman" w:eastAsia="宋体" w:cs="Times New Roman"/>
                <w:sz w:val="24"/>
                <w:szCs w:val="24"/>
                <w:highlight w:val="none"/>
              </w:rPr>
              <w:t>0分，0.5分，1分，1.5分，2分，2.5分，3分，3.5分，4分</w:t>
            </w:r>
            <w:r>
              <w:rPr>
                <w:rFonts w:hint="default" w:ascii="Times New Roman" w:hAnsi="Times New Roman" w:eastAsia="宋体" w:cs="Times New Roman"/>
                <w:color w:val="000000"/>
                <w:sz w:val="24"/>
                <w:szCs w:val="24"/>
                <w:highlight w:val="none"/>
              </w:rPr>
              <w:t>）</w:t>
            </w:r>
          </w:p>
        </w:tc>
        <w:tc>
          <w:tcPr>
            <w:tcW w:w="368" w:type="pct"/>
            <w:noWrap/>
            <w:vAlign w:val="center"/>
          </w:tcPr>
          <w:p w14:paraId="14F07E61">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lang w:val="en-US" w:eastAsia="zh-CN"/>
              </w:rPr>
              <w:t>4</w:t>
            </w:r>
          </w:p>
        </w:tc>
      </w:tr>
      <w:tr w14:paraId="3114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369" w:type="pct"/>
            <w:noWrap/>
            <w:vAlign w:val="center"/>
          </w:tcPr>
          <w:p w14:paraId="003547FE">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11</w:t>
            </w:r>
          </w:p>
        </w:tc>
        <w:tc>
          <w:tcPr>
            <w:tcW w:w="4262" w:type="pct"/>
            <w:noWrap/>
            <w:vAlign w:val="center"/>
          </w:tcPr>
          <w:p w14:paraId="17177DE5">
            <w:pPr>
              <w:keepNext w:val="0"/>
              <w:keepLines w:val="0"/>
              <w:widowControl/>
              <w:suppressLineNumbers w:val="0"/>
              <w:spacing w:before="0" w:beforeAutospacing="0" w:after="0" w:afterAutospacing="0" w:line="460" w:lineRule="exact"/>
              <w:ind w:left="0" w:right="0" w:firstLine="0" w:firstLineChars="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根据</w:t>
            </w:r>
            <w:r>
              <w:rPr>
                <w:rFonts w:hint="eastAsia" w:ascii="Times New Roman" w:hAnsi="Times New Roman" w:eastAsia="宋体" w:cs="Times New Roman"/>
                <w:sz w:val="24"/>
                <w:szCs w:val="24"/>
                <w:highlight w:val="none"/>
                <w:lang w:eastAsia="zh-CN"/>
              </w:rPr>
              <w:t>投标人</w:t>
            </w:r>
            <w:r>
              <w:rPr>
                <w:rFonts w:hint="default" w:ascii="Times New Roman" w:hAnsi="Times New Roman" w:eastAsia="宋体" w:cs="Times New Roman"/>
                <w:color w:val="000000"/>
                <w:sz w:val="24"/>
                <w:szCs w:val="24"/>
                <w:highlight w:val="none"/>
              </w:rPr>
              <w:t>制定为解决在各种特殊情况下的突发事件应急服务响应方案</w:t>
            </w:r>
            <w:r>
              <w:rPr>
                <w:rFonts w:hint="eastAsia" w:ascii="Times New Roman" w:hAnsi="Times New Roman" w:eastAsia="宋体" w:cs="Times New Roman"/>
                <w:sz w:val="24"/>
                <w:szCs w:val="24"/>
                <w:highlight w:val="none"/>
                <w:lang w:eastAsia="zh-CN"/>
              </w:rPr>
              <w:t>进行打分</w:t>
            </w:r>
            <w:r>
              <w:rPr>
                <w:rFonts w:hint="default" w:ascii="Times New Roman" w:hAnsi="Times New Roman" w:eastAsia="宋体" w:cs="Times New Roman"/>
                <w:color w:val="000000"/>
                <w:sz w:val="24"/>
                <w:szCs w:val="24"/>
                <w:highlight w:val="none"/>
              </w:rPr>
              <w:t>。（</w:t>
            </w:r>
            <w:r>
              <w:rPr>
                <w:rFonts w:hint="default" w:ascii="Times New Roman" w:hAnsi="Times New Roman" w:eastAsia="宋体" w:cs="Times New Roman"/>
                <w:sz w:val="24"/>
                <w:szCs w:val="24"/>
                <w:highlight w:val="none"/>
              </w:rPr>
              <w:t>0分，0.5分，1分，1.5分，2分，2.5分，3分，3.5分，4分，4.5分，5分</w:t>
            </w:r>
            <w:r>
              <w:rPr>
                <w:rFonts w:hint="default" w:ascii="Times New Roman" w:hAnsi="Times New Roman" w:eastAsia="宋体" w:cs="Times New Roman"/>
                <w:color w:val="000000"/>
                <w:sz w:val="24"/>
                <w:szCs w:val="24"/>
                <w:highlight w:val="none"/>
              </w:rPr>
              <w:t>）</w:t>
            </w:r>
          </w:p>
        </w:tc>
        <w:tc>
          <w:tcPr>
            <w:tcW w:w="368" w:type="pct"/>
            <w:noWrap/>
            <w:vAlign w:val="center"/>
          </w:tcPr>
          <w:p w14:paraId="7B456A85">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val="en-US" w:eastAsia="zh-CN"/>
              </w:rPr>
              <w:t>5</w:t>
            </w:r>
          </w:p>
        </w:tc>
      </w:tr>
      <w:tr w14:paraId="68B7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9" w:type="pct"/>
            <w:noWrap/>
            <w:vAlign w:val="center"/>
          </w:tcPr>
          <w:p w14:paraId="757DB705">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12</w:t>
            </w:r>
          </w:p>
        </w:tc>
        <w:tc>
          <w:tcPr>
            <w:tcW w:w="4262" w:type="pct"/>
            <w:noWrap/>
            <w:vAlign w:val="center"/>
          </w:tcPr>
          <w:p w14:paraId="72E337CB">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由</w:t>
            </w:r>
            <w:r>
              <w:rPr>
                <w:rFonts w:hint="eastAsia" w:ascii="Times New Roman" w:hAnsi="Times New Roman" w:eastAsia="宋体" w:cs="Times New Roman"/>
                <w:kern w:val="2"/>
                <w:sz w:val="24"/>
                <w:szCs w:val="24"/>
                <w:highlight w:val="none"/>
                <w:lang w:val="en-US" w:eastAsia="zh-CN" w:bidi="ar-SA"/>
              </w:rPr>
              <w:t>投标人</w:t>
            </w:r>
            <w:r>
              <w:rPr>
                <w:rFonts w:hint="default" w:ascii="Times New Roman" w:hAnsi="Times New Roman" w:eastAsia="宋体" w:cs="Times New Roman"/>
                <w:kern w:val="2"/>
                <w:sz w:val="24"/>
                <w:szCs w:val="24"/>
                <w:highlight w:val="none"/>
                <w:lang w:val="en-US" w:eastAsia="zh-CN" w:bidi="ar-SA"/>
              </w:rPr>
              <w:t>制定相应本地化服务承诺，根据投标</w:t>
            </w:r>
            <w:r>
              <w:rPr>
                <w:rFonts w:hint="eastAsia" w:ascii="Times New Roman" w:hAnsi="Times New Roman" w:eastAsia="宋体" w:cs="Times New Roman"/>
                <w:kern w:val="2"/>
                <w:sz w:val="24"/>
                <w:szCs w:val="24"/>
                <w:highlight w:val="none"/>
                <w:lang w:val="en-US" w:eastAsia="zh-CN" w:bidi="ar-SA"/>
              </w:rPr>
              <w:t>单位</w:t>
            </w:r>
            <w:r>
              <w:rPr>
                <w:rFonts w:hint="default" w:ascii="Times New Roman" w:hAnsi="Times New Roman" w:eastAsia="宋体" w:cs="Times New Roman"/>
                <w:kern w:val="2"/>
                <w:sz w:val="24"/>
                <w:szCs w:val="24"/>
                <w:highlight w:val="none"/>
                <w:lang w:val="en-US" w:eastAsia="zh-CN" w:bidi="ar-SA"/>
              </w:rPr>
              <w:t>是否具有较强的本地化服务能力</w:t>
            </w:r>
            <w:r>
              <w:rPr>
                <w:rFonts w:hint="eastAsia" w:ascii="Times New Roman" w:hAnsi="Times New Roman" w:eastAsia="宋体" w:cs="Times New Roman"/>
                <w:sz w:val="24"/>
                <w:szCs w:val="24"/>
                <w:highlight w:val="none"/>
                <w:lang w:eastAsia="zh-CN"/>
              </w:rPr>
              <w:t>进行打分</w:t>
            </w:r>
            <w:r>
              <w:rPr>
                <w:rFonts w:hint="default" w:ascii="Times New Roman" w:hAnsi="Times New Roman" w:eastAsia="宋体" w:cs="Times New Roman"/>
                <w:kern w:val="2"/>
                <w:sz w:val="24"/>
                <w:szCs w:val="24"/>
                <w:highlight w:val="none"/>
                <w:lang w:val="en-US" w:eastAsia="zh-CN" w:bidi="ar-SA"/>
              </w:rPr>
              <w:t>。（</w:t>
            </w:r>
            <w:r>
              <w:rPr>
                <w:rFonts w:hint="default" w:ascii="Times New Roman" w:hAnsi="Times New Roman" w:eastAsia="宋体" w:cs="Times New Roman"/>
                <w:sz w:val="24"/>
                <w:szCs w:val="24"/>
                <w:highlight w:val="none"/>
              </w:rPr>
              <w:t>0分，0.5分，1分，1.5分，2分，2.5分，3分，3.5分，4分，4.5分，5分</w:t>
            </w:r>
            <w:r>
              <w:rPr>
                <w:rFonts w:hint="default" w:ascii="Times New Roman" w:hAnsi="Times New Roman" w:eastAsia="宋体" w:cs="Times New Roman"/>
                <w:kern w:val="2"/>
                <w:sz w:val="24"/>
                <w:szCs w:val="24"/>
                <w:highlight w:val="none"/>
                <w:lang w:val="en-US" w:eastAsia="zh-CN" w:bidi="ar-SA"/>
              </w:rPr>
              <w:t>）（需提供有效证明材料）</w:t>
            </w:r>
          </w:p>
        </w:tc>
        <w:tc>
          <w:tcPr>
            <w:tcW w:w="368" w:type="pct"/>
            <w:noWrap/>
            <w:vAlign w:val="center"/>
          </w:tcPr>
          <w:p w14:paraId="11E0660D">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5</w:t>
            </w:r>
          </w:p>
        </w:tc>
      </w:tr>
      <w:tr w14:paraId="03B8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69" w:type="pct"/>
            <w:noWrap/>
            <w:vAlign w:val="center"/>
          </w:tcPr>
          <w:p w14:paraId="6E09B1D9">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13</w:t>
            </w:r>
          </w:p>
        </w:tc>
        <w:tc>
          <w:tcPr>
            <w:tcW w:w="4262" w:type="pct"/>
            <w:noWrap/>
            <w:vAlign w:val="center"/>
          </w:tcPr>
          <w:p w14:paraId="04F8BDCF">
            <w:pPr>
              <w:keepNext w:val="0"/>
              <w:keepLines w:val="0"/>
              <w:suppressLineNumbers w:val="0"/>
              <w:spacing w:before="0" w:beforeAutospacing="0" w:after="0" w:afterAutospacing="0" w:line="460" w:lineRule="exact"/>
              <w:ind w:left="0" w:right="0" w:firstLine="0" w:firstLineChars="0"/>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在</w:t>
            </w:r>
            <w:r>
              <w:rPr>
                <w:rFonts w:hint="eastAsia" w:ascii="Times New Roman" w:hAnsi="Times New Roman" w:eastAsia="宋体" w:cs="Times New Roman"/>
                <w:sz w:val="24"/>
                <w:szCs w:val="24"/>
                <w:highlight w:val="none"/>
                <w:lang w:eastAsia="zh-CN"/>
              </w:rPr>
              <w:t>服务范围</w:t>
            </w:r>
            <w:r>
              <w:rPr>
                <w:rFonts w:hint="default" w:ascii="Times New Roman" w:hAnsi="Times New Roman" w:eastAsia="宋体" w:cs="Times New Roman"/>
                <w:sz w:val="24"/>
                <w:szCs w:val="24"/>
                <w:highlight w:val="none"/>
              </w:rPr>
              <w:t>内配备高标农田保险工作车辆至少1辆（含1辆）以上，根据投标单位配置车辆数量排名第一的得3分，第二名2分，第三名得1分，第四名以后及未配备不得分。（需提供行驶证）</w:t>
            </w:r>
          </w:p>
        </w:tc>
        <w:tc>
          <w:tcPr>
            <w:tcW w:w="368" w:type="pct"/>
            <w:noWrap/>
            <w:vAlign w:val="center"/>
          </w:tcPr>
          <w:p w14:paraId="559657EF">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w:t>
            </w:r>
          </w:p>
        </w:tc>
      </w:tr>
      <w:tr w14:paraId="2E66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369" w:type="pct"/>
            <w:noWrap/>
            <w:vAlign w:val="center"/>
          </w:tcPr>
          <w:p w14:paraId="4A1E8DE0">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14</w:t>
            </w:r>
          </w:p>
        </w:tc>
        <w:tc>
          <w:tcPr>
            <w:tcW w:w="4262" w:type="pct"/>
            <w:noWrap/>
            <w:vAlign w:val="center"/>
          </w:tcPr>
          <w:p w14:paraId="777A219B">
            <w:pPr>
              <w:keepNext w:val="0"/>
              <w:keepLines w:val="0"/>
              <w:suppressLineNumbers w:val="0"/>
              <w:spacing w:before="0" w:beforeAutospacing="0" w:after="0" w:afterAutospacing="0" w:line="460" w:lineRule="exact"/>
              <w:ind w:left="0" w:right="0" w:firstLine="0" w:firstLineChars="0"/>
              <w:jc w:val="both"/>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投标人</w:t>
            </w:r>
            <w:r>
              <w:rPr>
                <w:rFonts w:hint="default" w:ascii="Times New Roman" w:hAnsi="Times New Roman" w:eastAsia="宋体" w:cs="Times New Roman"/>
                <w:sz w:val="24"/>
                <w:szCs w:val="24"/>
                <w:highlight w:val="none"/>
              </w:rPr>
              <w:t>偿付能力（0-</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分）</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根据</w:t>
            </w:r>
            <w:r>
              <w:rPr>
                <w:rFonts w:hint="eastAsia" w:ascii="Times New Roman" w:hAnsi="Times New Roman" w:eastAsia="宋体" w:cs="Times New Roman"/>
                <w:sz w:val="24"/>
                <w:szCs w:val="24"/>
                <w:highlight w:val="none"/>
                <w:lang w:eastAsia="zh-CN"/>
              </w:rPr>
              <w:t>投标人</w:t>
            </w:r>
            <w:r>
              <w:rPr>
                <w:rFonts w:hint="default" w:ascii="Times New Roman" w:hAnsi="Times New Roman" w:eastAsia="宋体" w:cs="Times New Roman"/>
                <w:sz w:val="24"/>
                <w:szCs w:val="24"/>
                <w:highlight w:val="none"/>
              </w:rPr>
              <w:t>提供的最近一个季度核心偿付能力充足率在200%以上的得</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分，在180-200%的得</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分，在150-180%的得1分，120%及以下或不提供证明材料不得分。（提供中国保险行业协会官网公示的相关材料，未提供不得分。）</w:t>
            </w:r>
          </w:p>
        </w:tc>
        <w:tc>
          <w:tcPr>
            <w:tcW w:w="368" w:type="pct"/>
            <w:noWrap/>
            <w:vAlign w:val="center"/>
          </w:tcPr>
          <w:p w14:paraId="0D8B72F3">
            <w:pPr>
              <w:keepNext w:val="0"/>
              <w:keepLines w:val="0"/>
              <w:suppressLineNumbers w:val="0"/>
              <w:spacing w:before="0" w:beforeAutospacing="0" w:after="0" w:afterAutospacing="0" w:line="460" w:lineRule="exact"/>
              <w:ind w:left="0" w:right="0" w:firstLine="0" w:firstLineChars="0"/>
              <w:jc w:val="center"/>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val="en-US" w:eastAsia="zh-CN"/>
              </w:rPr>
              <w:t>4</w:t>
            </w:r>
          </w:p>
        </w:tc>
      </w:tr>
    </w:tbl>
    <w:p w14:paraId="54ACAA07">
      <w:pPr>
        <w:pStyle w:val="13"/>
        <w:keepNext w:val="0"/>
        <w:keepLines w:val="0"/>
        <w:pageBreakBefore w:val="0"/>
        <w:widowControl w:val="0"/>
        <w:shd w:val="clear"/>
        <w:kinsoku/>
        <w:wordWrap w:val="0"/>
        <w:overflowPunct/>
        <w:topLinePunct/>
        <w:autoSpaceDE/>
        <w:autoSpaceDN/>
        <w:bidi w:val="0"/>
        <w:spacing w:beforeAutospacing="0" w:afterAutospacing="0" w:line="240" w:lineRule="auto"/>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注：以上所涉及</w:t>
      </w:r>
      <w:r>
        <w:rPr>
          <w:rFonts w:hint="eastAsia" w:ascii="宋体" w:hAnsi="宋体" w:eastAsia="宋体" w:cs="宋体"/>
          <w:b/>
          <w:bCs/>
          <w:color w:val="auto"/>
          <w:sz w:val="24"/>
          <w:szCs w:val="24"/>
          <w:highlight w:val="none"/>
          <w:lang w:val="en-US" w:eastAsia="zh-CN"/>
        </w:rPr>
        <w:t>内容</w:t>
      </w:r>
      <w:r>
        <w:rPr>
          <w:rFonts w:hint="eastAsia" w:ascii="宋体" w:hAnsi="宋体" w:eastAsia="宋体" w:cs="宋体"/>
          <w:b/>
          <w:bCs/>
          <w:color w:val="auto"/>
          <w:sz w:val="24"/>
          <w:szCs w:val="24"/>
          <w:highlight w:val="none"/>
        </w:rPr>
        <w:t>，若附件格式未提供，请自行</w:t>
      </w:r>
      <w:r>
        <w:rPr>
          <w:rFonts w:hint="eastAsia" w:ascii="宋体" w:hAnsi="宋体" w:eastAsia="宋体" w:cs="宋体"/>
          <w:b/>
          <w:bCs/>
          <w:color w:val="auto"/>
          <w:sz w:val="24"/>
          <w:szCs w:val="24"/>
          <w:highlight w:val="none"/>
          <w:lang w:val="en-US" w:eastAsia="zh-CN"/>
        </w:rPr>
        <w:t>提供</w:t>
      </w:r>
      <w:r>
        <w:rPr>
          <w:rFonts w:hint="eastAsia" w:ascii="宋体" w:hAnsi="宋体" w:eastAsia="宋体" w:cs="宋体"/>
          <w:b/>
          <w:bCs/>
          <w:color w:val="auto"/>
          <w:sz w:val="24"/>
          <w:szCs w:val="24"/>
          <w:highlight w:val="none"/>
        </w:rPr>
        <w:t>。</w:t>
      </w:r>
    </w:p>
    <w:p w14:paraId="480C2397">
      <w:pPr>
        <w:pStyle w:val="14"/>
        <w:rPr>
          <w:rFonts w:hint="eastAsia" w:ascii="宋体" w:hAnsi="宋体" w:eastAsia="宋体" w:cs="宋体"/>
          <w:b/>
          <w:bCs/>
          <w:color w:val="auto"/>
          <w:sz w:val="24"/>
          <w:szCs w:val="24"/>
          <w:highlight w:val="none"/>
        </w:rPr>
      </w:pPr>
    </w:p>
    <w:p w14:paraId="0B1CAE18">
      <w:pPr>
        <w:pStyle w:val="14"/>
        <w:rPr>
          <w:rFonts w:hint="eastAsia" w:ascii="宋体" w:hAnsi="宋体" w:eastAsia="宋体" w:cs="宋体"/>
          <w:b/>
          <w:bCs/>
          <w:color w:val="auto"/>
          <w:sz w:val="24"/>
          <w:szCs w:val="24"/>
          <w:highlight w:val="none"/>
        </w:rPr>
      </w:pPr>
    </w:p>
    <w:p w14:paraId="4CE0AACF">
      <w:pPr>
        <w:pStyle w:val="14"/>
        <w:rPr>
          <w:rFonts w:hint="eastAsia" w:ascii="宋体" w:hAnsi="宋体" w:eastAsia="宋体" w:cs="宋体"/>
          <w:b/>
          <w:bCs/>
          <w:color w:val="auto"/>
          <w:sz w:val="24"/>
          <w:szCs w:val="24"/>
          <w:highlight w:val="none"/>
        </w:rPr>
      </w:pPr>
    </w:p>
    <w:p w14:paraId="1A39769B">
      <w:pPr>
        <w:pStyle w:val="14"/>
        <w:rPr>
          <w:rFonts w:hint="eastAsia" w:ascii="宋体" w:hAnsi="宋体" w:eastAsia="宋体" w:cs="宋体"/>
          <w:b/>
          <w:bCs/>
          <w:color w:val="auto"/>
          <w:sz w:val="24"/>
          <w:szCs w:val="24"/>
          <w:highlight w:val="none"/>
        </w:rPr>
      </w:pPr>
    </w:p>
    <w:p w14:paraId="060825B4">
      <w:pPr>
        <w:pStyle w:val="14"/>
        <w:rPr>
          <w:rFonts w:hint="eastAsia" w:ascii="宋体" w:hAnsi="宋体" w:eastAsia="宋体" w:cs="宋体"/>
          <w:b/>
          <w:bCs/>
          <w:color w:val="auto"/>
          <w:sz w:val="24"/>
          <w:szCs w:val="24"/>
          <w:highlight w:val="none"/>
        </w:rPr>
      </w:pPr>
    </w:p>
    <w:p w14:paraId="3FB12E74">
      <w:pPr>
        <w:pStyle w:val="14"/>
        <w:rPr>
          <w:rFonts w:hint="eastAsia" w:ascii="宋体" w:hAnsi="宋体" w:eastAsia="宋体" w:cs="宋体"/>
          <w:b/>
          <w:bCs/>
          <w:color w:val="auto"/>
          <w:sz w:val="24"/>
          <w:szCs w:val="24"/>
          <w:highlight w:val="none"/>
        </w:rPr>
      </w:pPr>
    </w:p>
    <w:p w14:paraId="0106E69B">
      <w:pPr>
        <w:pStyle w:val="14"/>
        <w:rPr>
          <w:rFonts w:hint="eastAsia" w:ascii="宋体" w:hAnsi="宋体" w:eastAsia="宋体" w:cs="宋体"/>
          <w:b/>
          <w:bCs/>
          <w:color w:val="auto"/>
          <w:sz w:val="24"/>
          <w:szCs w:val="24"/>
          <w:highlight w:val="none"/>
        </w:rPr>
      </w:pPr>
    </w:p>
    <w:p w14:paraId="2237CCB4">
      <w:pPr>
        <w:pStyle w:val="14"/>
        <w:rPr>
          <w:rFonts w:hint="eastAsia" w:ascii="宋体" w:hAnsi="宋体" w:eastAsia="宋体" w:cs="宋体"/>
          <w:b/>
          <w:bCs/>
          <w:color w:val="auto"/>
          <w:sz w:val="24"/>
          <w:szCs w:val="24"/>
          <w:highlight w:val="none"/>
        </w:rPr>
      </w:pPr>
    </w:p>
    <w:p w14:paraId="7CB37FAC">
      <w:pPr>
        <w:pStyle w:val="14"/>
        <w:rPr>
          <w:rFonts w:hint="eastAsia" w:ascii="宋体" w:hAnsi="宋体" w:eastAsia="宋体" w:cs="宋体"/>
          <w:b/>
          <w:bCs/>
          <w:color w:val="auto"/>
          <w:sz w:val="24"/>
          <w:szCs w:val="24"/>
          <w:highlight w:val="none"/>
        </w:rPr>
      </w:pPr>
    </w:p>
    <w:p w14:paraId="606163DB">
      <w:pPr>
        <w:pStyle w:val="14"/>
        <w:rPr>
          <w:rFonts w:hint="eastAsia" w:ascii="宋体" w:hAnsi="宋体" w:eastAsia="宋体" w:cs="宋体"/>
          <w:b/>
          <w:bCs/>
          <w:color w:val="auto"/>
          <w:sz w:val="24"/>
          <w:szCs w:val="24"/>
          <w:highlight w:val="none"/>
        </w:rPr>
      </w:pPr>
    </w:p>
    <w:p w14:paraId="103B8C43">
      <w:pPr>
        <w:pStyle w:val="14"/>
        <w:rPr>
          <w:rFonts w:hint="eastAsia" w:ascii="宋体" w:hAnsi="宋体" w:eastAsia="宋体" w:cs="宋体"/>
          <w:b/>
          <w:bCs/>
          <w:color w:val="auto"/>
          <w:sz w:val="24"/>
          <w:szCs w:val="24"/>
          <w:highlight w:val="none"/>
        </w:rPr>
      </w:pPr>
    </w:p>
    <w:p w14:paraId="41326A69">
      <w:pPr>
        <w:pStyle w:val="14"/>
        <w:rPr>
          <w:rFonts w:hint="eastAsia" w:ascii="宋体" w:hAnsi="宋体" w:eastAsia="宋体" w:cs="宋体"/>
          <w:b/>
          <w:bCs/>
          <w:color w:val="auto"/>
          <w:sz w:val="24"/>
          <w:szCs w:val="24"/>
          <w:highlight w:val="none"/>
        </w:rPr>
      </w:pPr>
    </w:p>
    <w:p w14:paraId="309555F7">
      <w:pPr>
        <w:pStyle w:val="14"/>
        <w:rPr>
          <w:rFonts w:hint="eastAsia" w:ascii="宋体" w:hAnsi="宋体" w:eastAsia="宋体" w:cs="宋体"/>
          <w:b/>
          <w:bCs/>
          <w:color w:val="auto"/>
          <w:sz w:val="24"/>
          <w:szCs w:val="24"/>
          <w:highlight w:val="none"/>
        </w:rPr>
      </w:pPr>
    </w:p>
    <w:p w14:paraId="5FBB84AE">
      <w:pPr>
        <w:pStyle w:val="14"/>
        <w:rPr>
          <w:rFonts w:hint="eastAsia" w:ascii="宋体" w:hAnsi="宋体" w:eastAsia="宋体" w:cs="宋体"/>
          <w:b/>
          <w:bCs/>
          <w:color w:val="auto"/>
          <w:sz w:val="24"/>
          <w:szCs w:val="24"/>
          <w:highlight w:val="none"/>
        </w:rPr>
      </w:pPr>
    </w:p>
    <w:p w14:paraId="2AAA72E4">
      <w:pPr>
        <w:pStyle w:val="14"/>
        <w:rPr>
          <w:rFonts w:hint="eastAsia" w:ascii="宋体" w:hAnsi="宋体" w:eastAsia="宋体" w:cs="宋体"/>
          <w:b/>
          <w:bCs/>
          <w:color w:val="auto"/>
          <w:sz w:val="24"/>
          <w:szCs w:val="24"/>
          <w:highlight w:val="none"/>
        </w:rPr>
      </w:pPr>
    </w:p>
    <w:p w14:paraId="5B3F79A3">
      <w:pPr>
        <w:pStyle w:val="14"/>
        <w:rPr>
          <w:rFonts w:hint="eastAsia" w:ascii="宋体" w:hAnsi="宋体" w:eastAsia="宋体" w:cs="宋体"/>
          <w:b/>
          <w:bCs/>
          <w:color w:val="auto"/>
          <w:sz w:val="24"/>
          <w:szCs w:val="24"/>
          <w:highlight w:val="none"/>
        </w:rPr>
      </w:pPr>
    </w:p>
    <w:p w14:paraId="71714463">
      <w:pPr>
        <w:pStyle w:val="14"/>
        <w:rPr>
          <w:rFonts w:hint="eastAsia" w:ascii="宋体" w:hAnsi="宋体" w:eastAsia="宋体" w:cs="宋体"/>
          <w:b/>
          <w:bCs/>
          <w:color w:val="auto"/>
          <w:sz w:val="24"/>
          <w:szCs w:val="24"/>
          <w:highlight w:val="none"/>
        </w:rPr>
      </w:pPr>
    </w:p>
    <w:p w14:paraId="2F7AC117">
      <w:pPr>
        <w:pStyle w:val="14"/>
        <w:rPr>
          <w:rFonts w:hint="eastAsia" w:ascii="宋体" w:hAnsi="宋体" w:eastAsia="宋体" w:cs="宋体"/>
          <w:b/>
          <w:bCs/>
          <w:color w:val="auto"/>
          <w:sz w:val="24"/>
          <w:szCs w:val="24"/>
          <w:highlight w:val="none"/>
        </w:rPr>
      </w:pPr>
    </w:p>
    <w:p w14:paraId="1F1D8EA1">
      <w:pPr>
        <w:pStyle w:val="14"/>
        <w:rPr>
          <w:rFonts w:hint="eastAsia" w:ascii="宋体" w:hAnsi="宋体" w:eastAsia="宋体" w:cs="宋体"/>
          <w:b/>
          <w:bCs/>
          <w:color w:val="auto"/>
          <w:sz w:val="24"/>
          <w:szCs w:val="24"/>
          <w:highlight w:val="none"/>
        </w:rPr>
      </w:pPr>
    </w:p>
    <w:p w14:paraId="6F759DF1">
      <w:pPr>
        <w:pStyle w:val="14"/>
        <w:rPr>
          <w:rFonts w:hint="eastAsia" w:ascii="宋体" w:hAnsi="宋体" w:eastAsia="宋体" w:cs="宋体"/>
          <w:b/>
          <w:bCs/>
          <w:color w:val="auto"/>
          <w:sz w:val="24"/>
          <w:szCs w:val="24"/>
          <w:highlight w:val="none"/>
        </w:rPr>
      </w:pPr>
    </w:p>
    <w:p w14:paraId="003C9313">
      <w:pPr>
        <w:pStyle w:val="14"/>
        <w:rPr>
          <w:rFonts w:hint="eastAsia" w:ascii="宋体" w:hAnsi="宋体" w:eastAsia="宋体" w:cs="宋体"/>
          <w:b/>
          <w:bCs/>
          <w:color w:val="auto"/>
          <w:sz w:val="24"/>
          <w:szCs w:val="24"/>
          <w:highlight w:val="none"/>
        </w:rPr>
      </w:pPr>
    </w:p>
    <w:p w14:paraId="57FEF16A">
      <w:pPr>
        <w:pStyle w:val="14"/>
        <w:rPr>
          <w:rFonts w:hint="eastAsia" w:ascii="宋体" w:hAnsi="宋体" w:eastAsia="宋体" w:cs="宋体"/>
          <w:b/>
          <w:bCs/>
          <w:color w:val="auto"/>
          <w:sz w:val="24"/>
          <w:szCs w:val="24"/>
          <w:highlight w:val="none"/>
        </w:rPr>
      </w:pPr>
    </w:p>
    <w:p w14:paraId="18BA7F0D">
      <w:pPr>
        <w:pStyle w:val="14"/>
        <w:rPr>
          <w:rFonts w:hint="eastAsia" w:ascii="宋体" w:hAnsi="宋体" w:eastAsia="宋体" w:cs="宋体"/>
          <w:b/>
          <w:bCs/>
          <w:color w:val="auto"/>
          <w:sz w:val="24"/>
          <w:szCs w:val="24"/>
          <w:highlight w:val="none"/>
        </w:rPr>
      </w:pPr>
    </w:p>
    <w:p w14:paraId="0D04F83F">
      <w:pPr>
        <w:pStyle w:val="14"/>
        <w:rPr>
          <w:rFonts w:hint="eastAsia" w:ascii="宋体" w:hAnsi="宋体" w:eastAsia="宋体" w:cs="宋体"/>
          <w:b/>
          <w:bCs/>
          <w:color w:val="auto"/>
          <w:sz w:val="24"/>
          <w:szCs w:val="24"/>
          <w:highlight w:val="none"/>
        </w:rPr>
      </w:pPr>
    </w:p>
    <w:p w14:paraId="2A3AB809">
      <w:pPr>
        <w:pStyle w:val="14"/>
        <w:rPr>
          <w:rFonts w:hint="eastAsia" w:ascii="宋体" w:hAnsi="宋体" w:eastAsia="宋体" w:cs="宋体"/>
          <w:b/>
          <w:bCs/>
          <w:color w:val="auto"/>
          <w:sz w:val="24"/>
          <w:szCs w:val="24"/>
          <w:highlight w:val="none"/>
        </w:rPr>
      </w:pPr>
    </w:p>
    <w:p w14:paraId="0708721C">
      <w:pPr>
        <w:pStyle w:val="14"/>
        <w:rPr>
          <w:rFonts w:hint="eastAsia" w:ascii="宋体" w:hAnsi="宋体" w:eastAsia="宋体" w:cs="宋体"/>
          <w:b/>
          <w:bCs/>
          <w:color w:val="auto"/>
          <w:sz w:val="24"/>
          <w:szCs w:val="24"/>
          <w:highlight w:val="none"/>
        </w:rPr>
      </w:pPr>
    </w:p>
    <w:p w14:paraId="07BCDBB1">
      <w:pPr>
        <w:pStyle w:val="3"/>
        <w:keepNext/>
        <w:keepLines/>
        <w:pageBreakBefore w:val="0"/>
        <w:widowControl w:val="0"/>
        <w:numPr>
          <w:ilvl w:val="0"/>
          <w:numId w:val="3"/>
        </w:numPr>
        <w:kinsoku/>
        <w:wordWrap/>
        <w:overflowPunct/>
        <w:topLinePunct w:val="0"/>
        <w:autoSpaceDE/>
        <w:autoSpaceDN/>
        <w:bidi w:val="0"/>
        <w:adjustRightInd/>
        <w:snapToGrid/>
        <w:spacing w:before="0" w:after="0" w:line="400" w:lineRule="exact"/>
        <w:jc w:val="center"/>
        <w:textAlignment w:val="auto"/>
        <w:rPr>
          <w:rFonts w:hint="eastAsia"/>
          <w:sz w:val="30"/>
          <w:szCs w:val="30"/>
        </w:rPr>
      </w:pPr>
      <w:bookmarkStart w:id="49" w:name="_Toc27878"/>
      <w:r>
        <w:rPr>
          <w:rFonts w:hint="eastAsia"/>
          <w:sz w:val="30"/>
          <w:szCs w:val="30"/>
        </w:rPr>
        <w:t>合同主要条款</w:t>
      </w:r>
      <w:bookmarkEnd w:id="49"/>
    </w:p>
    <w:p w14:paraId="70B75AB5">
      <w:pPr>
        <w:keepNext w:val="0"/>
        <w:keepLines w:val="0"/>
        <w:pageBreakBefore w:val="0"/>
        <w:widowControl w:val="0"/>
        <w:kinsoku/>
        <w:topLinePunct w:val="0"/>
        <w:bidi w:val="0"/>
        <w:adjustRightInd/>
        <w:spacing w:line="400" w:lineRule="exact"/>
        <w:ind w:left="0" w:leftChars="0" w:right="0" w:rightChars="0"/>
        <w:jc w:val="center"/>
        <w:textAlignment w:val="auto"/>
        <w:outlineLvl w:val="9"/>
        <w:rPr>
          <w:rFonts w:hint="eastAsia"/>
          <w:color w:val="auto"/>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8"/>
          <w:szCs w:val="36"/>
          <w:highlight w:val="none"/>
          <w:lang w:eastAsia="zh-CN"/>
        </w:rPr>
        <w:t>（</w:t>
      </w:r>
      <w:r>
        <w:rPr>
          <w:rFonts w:hint="eastAsia" w:ascii="宋体" w:hAnsi="宋体" w:eastAsia="宋体" w:cs="宋体"/>
          <w:color w:val="auto"/>
          <w:sz w:val="28"/>
          <w:szCs w:val="36"/>
          <w:highlight w:val="none"/>
        </w:rPr>
        <w:t>以正式合同为</w:t>
      </w:r>
      <w:r>
        <w:rPr>
          <w:rFonts w:hint="eastAsia" w:ascii="宋体" w:hAnsi="宋体" w:eastAsia="宋体" w:cs="宋体"/>
          <w:color w:val="auto"/>
          <w:sz w:val="28"/>
          <w:szCs w:val="36"/>
          <w:highlight w:val="none"/>
          <w:lang w:eastAsia="zh-CN"/>
        </w:rPr>
        <w:t>准）</w:t>
      </w:r>
    </w:p>
    <w:p w14:paraId="78FE1E0D">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22" w:firstLineChars="200"/>
        <w:jc w:val="center"/>
        <w:textAlignment w:val="auto"/>
        <w:rPr>
          <w:rFonts w:hint="default" w:ascii="Times New Roman" w:hAnsi="Times New Roman" w:eastAsia="宋体" w:cs="Times New Roman"/>
          <w:b/>
          <w:kern w:val="0"/>
          <w:sz w:val="21"/>
          <w:szCs w:val="21"/>
          <w:highlight w:val="none"/>
        </w:rPr>
      </w:pPr>
      <w:r>
        <w:rPr>
          <w:rFonts w:hint="default" w:ascii="Times New Roman" w:hAnsi="Times New Roman" w:eastAsia="宋体" w:cs="Times New Roman"/>
          <w:b/>
          <w:kern w:val="0"/>
          <w:sz w:val="21"/>
          <w:szCs w:val="21"/>
          <w:highlight w:val="none"/>
        </w:rPr>
        <w:t>一、通用必备条款部分</w:t>
      </w:r>
    </w:p>
    <w:p w14:paraId="28E5CF0A">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合同编号：</w:t>
      </w:r>
    </w:p>
    <w:p w14:paraId="56AF6CD5">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2"/>
          <w:sz w:val="24"/>
          <w:szCs w:val="24"/>
          <w:highlight w:val="none"/>
        </w:rPr>
      </w:pPr>
      <w:r>
        <w:rPr>
          <w:rFonts w:hint="default" w:ascii="Times New Roman" w:hAnsi="Times New Roman" w:eastAsia="宋体" w:cs="Times New Roman"/>
          <w:kern w:val="0"/>
          <w:sz w:val="24"/>
          <w:szCs w:val="24"/>
          <w:highlight w:val="none"/>
        </w:rPr>
        <w:t>政府采购计划（预算）确认号：</w:t>
      </w:r>
    </w:p>
    <w:p w14:paraId="14122112">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预算金额：</w:t>
      </w:r>
      <w:r>
        <w:rPr>
          <w:rFonts w:hint="eastAsia" w:ascii="Times New Roman" w:hAnsi="Times New Roman" w:eastAsia="宋体" w:cs="Times New Roman"/>
          <w:color w:val="auto"/>
          <w:kern w:val="0"/>
          <w:sz w:val="24"/>
          <w:szCs w:val="24"/>
          <w:highlight w:val="none"/>
          <w:u w:val="single"/>
          <w:lang w:val="en-US" w:eastAsia="zh-CN"/>
        </w:rPr>
        <w:t>3104900</w:t>
      </w:r>
      <w:r>
        <w:rPr>
          <w:rFonts w:hint="default" w:ascii="Times New Roman" w:hAnsi="Times New Roman" w:eastAsia="宋体" w:cs="Times New Roman"/>
          <w:kern w:val="0"/>
          <w:sz w:val="24"/>
          <w:szCs w:val="24"/>
          <w:highlight w:val="none"/>
          <w:u w:val="single"/>
          <w:lang w:val="en-US" w:eastAsia="zh-CN"/>
        </w:rPr>
        <w:t>元</w:t>
      </w:r>
    </w:p>
    <w:p w14:paraId="1AA2D387">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采购人（以下称甲方）：</w:t>
      </w:r>
      <w:r>
        <w:rPr>
          <w:rFonts w:hint="eastAsia" w:ascii="Times New Roman" w:hAnsi="Times New Roman" w:eastAsia="宋体" w:cs="Times New Roman"/>
          <w:kern w:val="0"/>
          <w:sz w:val="24"/>
          <w:szCs w:val="24"/>
          <w:highlight w:val="none"/>
          <w:u w:val="single"/>
          <w:lang w:eastAsia="zh-CN"/>
        </w:rPr>
        <w:t>海盐县农业农村局</w:t>
      </w:r>
    </w:p>
    <w:p w14:paraId="02B2EAB4">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供应商（以下称乙方）：</w:t>
      </w:r>
    </w:p>
    <w:p w14:paraId="05EC81A0">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采购代理机构：</w:t>
      </w:r>
      <w:r>
        <w:rPr>
          <w:rFonts w:hint="eastAsia" w:ascii="Times New Roman" w:hAnsi="Times New Roman" w:eastAsia="宋体" w:cs="Times New Roman"/>
          <w:kern w:val="0"/>
          <w:sz w:val="24"/>
          <w:szCs w:val="24"/>
          <w:highlight w:val="none"/>
          <w:u w:val="single"/>
          <w:lang w:eastAsia="zh-CN"/>
        </w:rPr>
        <w:t>浙江中望工程管理有限公司</w:t>
      </w:r>
    </w:p>
    <w:p w14:paraId="52BAA5AE">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采购方式：</w:t>
      </w:r>
      <w:r>
        <w:rPr>
          <w:rFonts w:hint="default" w:ascii="Times New Roman" w:hAnsi="Times New Roman" w:eastAsia="宋体" w:cs="Times New Roman"/>
          <w:kern w:val="0"/>
          <w:sz w:val="24"/>
          <w:szCs w:val="24"/>
          <w:highlight w:val="none"/>
          <w:u w:val="single"/>
        </w:rPr>
        <w:t>公开招标</w:t>
      </w:r>
    </w:p>
    <w:p w14:paraId="0D3C53A5">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根据《中华人民共和国政府采购法》、《</w:t>
      </w:r>
      <w:r>
        <w:rPr>
          <w:rFonts w:hint="default" w:ascii="Times New Roman" w:hAnsi="Times New Roman" w:eastAsia="宋体" w:cs="Times New Roman"/>
          <w:kern w:val="0"/>
          <w:sz w:val="24"/>
          <w:szCs w:val="24"/>
          <w:highlight w:val="none"/>
          <w:lang w:eastAsia="zh-CN"/>
        </w:rPr>
        <w:t>中华人民共和国民法典</w:t>
      </w:r>
      <w:r>
        <w:rPr>
          <w:rFonts w:hint="default" w:ascii="Times New Roman" w:hAnsi="Times New Roman" w:eastAsia="宋体" w:cs="Times New Roman"/>
          <w:kern w:val="0"/>
          <w:sz w:val="24"/>
          <w:szCs w:val="24"/>
          <w:highlight w:val="none"/>
        </w:rPr>
        <w:t>》等法律法规的规定，甲乙双方按照</w:t>
      </w:r>
      <w:r>
        <w:rPr>
          <w:rFonts w:hint="eastAsia" w:ascii="Times New Roman" w:hAnsi="Times New Roman" w:eastAsia="宋体" w:cs="Times New Roman"/>
          <w:kern w:val="2"/>
          <w:sz w:val="24"/>
          <w:szCs w:val="24"/>
          <w:highlight w:val="none"/>
          <w:u w:val="single"/>
          <w:lang w:eastAsia="zh-CN"/>
        </w:rPr>
        <w:t>2026年海盐县高标准农田管护保险项目</w:t>
      </w:r>
      <w:r>
        <w:rPr>
          <w:rFonts w:hint="default" w:ascii="Times New Roman" w:hAnsi="Times New Roman" w:eastAsia="宋体" w:cs="Times New Roman"/>
          <w:kern w:val="0"/>
          <w:sz w:val="24"/>
          <w:szCs w:val="24"/>
          <w:highlight w:val="none"/>
        </w:rPr>
        <w:t>采购结果签订本合同。</w:t>
      </w:r>
    </w:p>
    <w:p w14:paraId="25FD5979">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2" w:firstLineChars="200"/>
        <w:jc w:val="left"/>
        <w:textAlignment w:val="auto"/>
        <w:rPr>
          <w:rFonts w:hint="default" w:ascii="Times New Roman" w:hAnsi="Times New Roman" w:eastAsia="宋体" w:cs="Times New Roman"/>
          <w:b/>
          <w:kern w:val="0"/>
          <w:sz w:val="24"/>
          <w:szCs w:val="24"/>
          <w:highlight w:val="none"/>
        </w:rPr>
      </w:pPr>
      <w:r>
        <w:rPr>
          <w:rFonts w:hint="default" w:ascii="Times New Roman" w:hAnsi="Times New Roman" w:eastAsia="宋体" w:cs="Times New Roman"/>
          <w:b/>
          <w:kern w:val="0"/>
          <w:sz w:val="24"/>
          <w:szCs w:val="24"/>
          <w:highlight w:val="none"/>
        </w:rPr>
        <w:t>第一条 合同组成</w:t>
      </w:r>
    </w:p>
    <w:p w14:paraId="64FD505D">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本次政府采购活动的相关文件为本合同的组成部分，这些文件包括但不限于：</w:t>
      </w:r>
    </w:p>
    <w:p w14:paraId="7F292093">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（1）本合同文本；</w:t>
      </w:r>
    </w:p>
    <w:p w14:paraId="5792D22D">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（2）采购文件与采购响应文件；</w:t>
      </w:r>
    </w:p>
    <w:p w14:paraId="386EFBB0">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（3）中标或成交通知书；</w:t>
      </w:r>
    </w:p>
    <w:p w14:paraId="7424ACC6">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组成本合同的所有文件必须为书面形式。政府采购合同备案时，须提供以上（1）、（3）两项，如由社会中介机构代理，须提供代理协议，合同如有变更的，须提供变更协议。</w:t>
      </w:r>
    </w:p>
    <w:p w14:paraId="43976A81">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2" w:firstLineChars="200"/>
        <w:jc w:val="left"/>
        <w:textAlignment w:val="auto"/>
        <w:rPr>
          <w:rFonts w:hint="default" w:ascii="Times New Roman" w:hAnsi="Times New Roman" w:eastAsia="宋体" w:cs="Times New Roman"/>
          <w:b/>
          <w:kern w:val="0"/>
          <w:sz w:val="24"/>
          <w:szCs w:val="24"/>
          <w:highlight w:val="none"/>
        </w:rPr>
      </w:pPr>
      <w:r>
        <w:rPr>
          <w:rFonts w:hint="default" w:ascii="Times New Roman" w:hAnsi="Times New Roman" w:eastAsia="宋体" w:cs="Times New Roman"/>
          <w:b/>
          <w:kern w:val="0"/>
          <w:sz w:val="24"/>
          <w:szCs w:val="24"/>
          <w:highlight w:val="none"/>
        </w:rPr>
        <w:t>第二条 合同标的与相关属性</w:t>
      </w:r>
    </w:p>
    <w:p w14:paraId="6A5BE649">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CN"/>
        </w:rPr>
        <w:t>2.1</w:t>
      </w:r>
      <w:r>
        <w:rPr>
          <w:rFonts w:hint="default" w:ascii="Times New Roman" w:hAnsi="Times New Roman" w:eastAsia="宋体" w:cs="Times New Roman"/>
          <w:kern w:val="0"/>
          <w:sz w:val="24"/>
          <w:szCs w:val="24"/>
          <w:highlight w:val="none"/>
        </w:rPr>
        <w:t>本次采购的是</w:t>
      </w:r>
      <w:r>
        <w:rPr>
          <w:rFonts w:hint="eastAsia" w:ascii="Times New Roman" w:hAnsi="Times New Roman" w:eastAsia="宋体" w:cs="Times New Roman"/>
          <w:kern w:val="2"/>
          <w:sz w:val="24"/>
          <w:szCs w:val="24"/>
          <w:highlight w:val="none"/>
          <w:u w:val="single"/>
          <w:lang w:eastAsia="zh-CN"/>
        </w:rPr>
        <w:t>2026年海盐县高标准农田管护保险项目</w:t>
      </w:r>
      <w:r>
        <w:rPr>
          <w:rFonts w:hint="default" w:ascii="Times New Roman" w:hAnsi="Times New Roman" w:eastAsia="宋体" w:cs="Times New Roman"/>
          <w:kern w:val="0"/>
          <w:sz w:val="24"/>
          <w:szCs w:val="24"/>
          <w:highlight w:val="none"/>
        </w:rPr>
        <w:t>。</w:t>
      </w:r>
    </w:p>
    <w:p w14:paraId="6701F3DD">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w:t>
      </w: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lang w:val="en-US" w:eastAsia="zh-CN"/>
        </w:rPr>
        <w:t>2</w:t>
      </w:r>
      <w:r>
        <w:rPr>
          <w:rFonts w:hint="default" w:ascii="Times New Roman" w:hAnsi="Times New Roman" w:eastAsia="宋体" w:cs="Times New Roman"/>
          <w:kern w:val="0"/>
          <w:sz w:val="24"/>
          <w:szCs w:val="24"/>
          <w:highlight w:val="none"/>
        </w:rPr>
        <w:t>乙方是否属于中小微企业：□是□否</w:t>
      </w:r>
    </w:p>
    <w:p w14:paraId="5687A0C0">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2" w:firstLineChars="200"/>
        <w:jc w:val="left"/>
        <w:textAlignment w:val="auto"/>
        <w:rPr>
          <w:rFonts w:hint="default" w:ascii="Times New Roman" w:hAnsi="Times New Roman" w:eastAsia="宋体" w:cs="Times New Roman"/>
          <w:b/>
          <w:kern w:val="0"/>
          <w:sz w:val="24"/>
          <w:szCs w:val="24"/>
          <w:highlight w:val="none"/>
        </w:rPr>
      </w:pPr>
      <w:r>
        <w:rPr>
          <w:rFonts w:hint="default" w:ascii="Times New Roman" w:hAnsi="Times New Roman" w:eastAsia="宋体" w:cs="Times New Roman"/>
          <w:b/>
          <w:kern w:val="0"/>
          <w:sz w:val="24"/>
          <w:szCs w:val="24"/>
          <w:highlight w:val="none"/>
        </w:rPr>
        <w:t>第三条 合同价款</w:t>
      </w:r>
    </w:p>
    <w:p w14:paraId="3F112ABD">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CN"/>
        </w:rPr>
        <w:t>3.1</w:t>
      </w:r>
      <w:r>
        <w:rPr>
          <w:rFonts w:hint="default" w:ascii="Times New Roman" w:hAnsi="Times New Roman" w:eastAsia="宋体" w:cs="Times New Roman"/>
          <w:kern w:val="0"/>
          <w:sz w:val="24"/>
          <w:szCs w:val="24"/>
          <w:highlight w:val="none"/>
        </w:rPr>
        <w:t>本合同项暂定总价款为（大写）</w:t>
      </w:r>
      <w:r>
        <w:rPr>
          <w:rFonts w:hint="default" w:ascii="Times New Roman" w:hAnsi="Times New Roman" w:eastAsia="宋体" w:cs="Times New Roman"/>
          <w:kern w:val="0"/>
          <w:sz w:val="24"/>
          <w:szCs w:val="24"/>
          <w:highlight w:val="none"/>
          <w:u w:val="single"/>
        </w:rPr>
        <w:t xml:space="preserve">              </w:t>
      </w:r>
      <w:r>
        <w:rPr>
          <w:rFonts w:hint="default" w:ascii="Times New Roman" w:hAnsi="Times New Roman" w:eastAsia="宋体" w:cs="Times New Roman"/>
          <w:kern w:val="0"/>
          <w:sz w:val="24"/>
          <w:szCs w:val="24"/>
          <w:highlight w:val="none"/>
        </w:rPr>
        <w:t>人民币。</w:t>
      </w:r>
    </w:p>
    <w:p w14:paraId="1BB836B0">
      <w:pPr>
        <w:keepNext w:val="0"/>
        <w:keepLines w:val="0"/>
        <w:pageBreakBefore w:val="0"/>
        <w:widowControl w:val="0"/>
        <w:kinsoku/>
        <w:wordWrap/>
        <w:overflowPunct/>
        <w:topLinePunct w:val="0"/>
        <w:autoSpaceDN/>
        <w:bidi w:val="0"/>
        <w:spacing w:line="400" w:lineRule="exact"/>
        <w:ind w:left="0" w:leftChars="0" w:firstLine="480" w:firstLineChars="200"/>
        <w:jc w:val="both"/>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2"/>
          <w:sz w:val="24"/>
          <w:szCs w:val="24"/>
          <w:highlight w:val="none"/>
        </w:rPr>
        <w:t>注：</w:t>
      </w:r>
      <w:r>
        <w:rPr>
          <w:rFonts w:hint="default" w:ascii="Times New Roman" w:hAnsi="Times New Roman" w:eastAsia="宋体" w:cs="Times New Roman"/>
          <w:kern w:val="0"/>
          <w:sz w:val="24"/>
          <w:szCs w:val="24"/>
          <w:highlight w:val="none"/>
        </w:rPr>
        <w:t>包括为有</w:t>
      </w:r>
      <w:r>
        <w:rPr>
          <w:rFonts w:hint="eastAsia" w:ascii="Times New Roman" w:hAnsi="Times New Roman" w:eastAsia="宋体" w:cs="Times New Roman"/>
          <w:kern w:val="0"/>
          <w:sz w:val="24"/>
          <w:szCs w:val="24"/>
          <w:highlight w:val="none"/>
          <w:lang w:eastAsia="zh-CN"/>
        </w:rPr>
        <w:t>关本项目实施所需的人员工资及保险、设备、办公用材、交通、差旅、利润、管理费、税金、培训、技术指导、服务、其他费用等完成招标内容及要求所提供的服务过程中涉及的一切费用（含税费）</w:t>
      </w:r>
      <w:r>
        <w:rPr>
          <w:rFonts w:hint="default" w:ascii="Times New Roman" w:hAnsi="Times New Roman" w:eastAsia="宋体" w:cs="Times New Roman"/>
          <w:kern w:val="0"/>
          <w:sz w:val="24"/>
          <w:szCs w:val="24"/>
          <w:highlight w:val="none"/>
        </w:rPr>
        <w:t>。</w:t>
      </w:r>
    </w:p>
    <w:p w14:paraId="7D085D71">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CN"/>
        </w:rPr>
        <w:t>3.2</w:t>
      </w:r>
      <w:r>
        <w:rPr>
          <w:rFonts w:hint="default" w:ascii="Times New Roman" w:hAnsi="Times New Roman" w:eastAsia="宋体" w:cs="Times New Roman"/>
          <w:kern w:val="0"/>
          <w:sz w:val="24"/>
          <w:szCs w:val="24"/>
          <w:highlight w:val="none"/>
        </w:rPr>
        <w:t>本合同付款方式为以下第</w:t>
      </w:r>
      <w:r>
        <w:rPr>
          <w:rFonts w:hint="default" w:ascii="Times New Roman" w:hAnsi="Times New Roman" w:eastAsia="宋体" w:cs="Times New Roman"/>
          <w:kern w:val="0"/>
          <w:sz w:val="24"/>
          <w:szCs w:val="24"/>
          <w:highlight w:val="none"/>
          <w:u w:val="single"/>
        </w:rPr>
        <w:t>（</w:t>
      </w:r>
      <w:r>
        <w:rPr>
          <w:rFonts w:hint="eastAsia" w:ascii="Times New Roman" w:hAnsi="Times New Roman" w:eastAsia="宋体" w:cs="Times New Roman"/>
          <w:kern w:val="0"/>
          <w:sz w:val="24"/>
          <w:szCs w:val="24"/>
          <w:highlight w:val="none"/>
          <w:u w:val="single"/>
          <w:lang w:val="en-US" w:eastAsia="zh-CN"/>
        </w:rPr>
        <w:t>3</w:t>
      </w:r>
      <w:r>
        <w:rPr>
          <w:rFonts w:hint="default" w:ascii="Times New Roman" w:hAnsi="Times New Roman" w:eastAsia="宋体" w:cs="Times New Roman"/>
          <w:kern w:val="0"/>
          <w:sz w:val="24"/>
          <w:szCs w:val="24"/>
          <w:highlight w:val="none"/>
          <w:u w:val="single"/>
        </w:rPr>
        <w:t>）</w:t>
      </w:r>
      <w:r>
        <w:rPr>
          <w:rFonts w:hint="default" w:ascii="Times New Roman" w:hAnsi="Times New Roman" w:eastAsia="宋体" w:cs="Times New Roman"/>
          <w:kern w:val="0"/>
          <w:sz w:val="24"/>
          <w:szCs w:val="24"/>
          <w:highlight w:val="none"/>
        </w:rPr>
        <w:t>项：</w:t>
      </w:r>
    </w:p>
    <w:p w14:paraId="6FA827E4">
      <w:pPr>
        <w:keepNext w:val="0"/>
        <w:keepLines w:val="0"/>
        <w:pageBreakBefore w:val="0"/>
        <w:widowControl w:val="0"/>
        <w:kinsoku/>
        <w:wordWrap/>
        <w:overflowPunct/>
        <w:topLinePunct w:val="0"/>
        <w:autoSpaceDN/>
        <w:bidi w:val="0"/>
        <w:spacing w:line="400" w:lineRule="exact"/>
        <w:ind w:left="0" w:leftChars="0" w:firstLine="480" w:firstLineChars="200"/>
        <w:jc w:val="both"/>
        <w:textAlignment w:val="auto"/>
        <w:rPr>
          <w:rFonts w:hint="default" w:ascii="Times New Roman" w:hAnsi="Times New Roman" w:eastAsia="宋体" w:cs="Times New Roman"/>
          <w:kern w:val="2"/>
          <w:sz w:val="24"/>
          <w:szCs w:val="24"/>
          <w:highlight w:val="none"/>
          <w:u w:val="single"/>
        </w:rPr>
      </w:pPr>
      <w:r>
        <w:rPr>
          <w:rFonts w:hint="default" w:ascii="Times New Roman" w:hAnsi="Times New Roman" w:eastAsia="宋体" w:cs="Times New Roman"/>
          <w:kern w:val="0"/>
          <w:sz w:val="24"/>
          <w:szCs w:val="24"/>
          <w:highlight w:val="none"/>
        </w:rPr>
        <w:t>（1）本合同项下的采购资金系甲方自行支付，</w:t>
      </w:r>
      <w:r>
        <w:rPr>
          <w:rFonts w:hint="default" w:ascii="Times New Roman" w:hAnsi="Times New Roman" w:eastAsia="宋体" w:cs="Times New Roman"/>
          <w:kern w:val="0"/>
          <w:sz w:val="24"/>
          <w:szCs w:val="24"/>
          <w:highlight w:val="none"/>
          <w:u w:val="single"/>
        </w:rPr>
        <w:t xml:space="preserve">        /            ；</w:t>
      </w:r>
    </w:p>
    <w:p w14:paraId="7423102E">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（2）本合同项下的采购资金须财政直接支付，付款程序为</w:t>
      </w:r>
      <w:r>
        <w:rPr>
          <w:rFonts w:hint="default" w:ascii="Times New Roman" w:hAnsi="Times New Roman" w:eastAsia="宋体" w:cs="Times New Roman"/>
          <w:kern w:val="0"/>
          <w:sz w:val="24"/>
          <w:szCs w:val="24"/>
          <w:highlight w:val="none"/>
          <w:u w:val="single"/>
        </w:rPr>
        <w:t xml:space="preserve">        /            </w:t>
      </w:r>
      <w:r>
        <w:rPr>
          <w:rFonts w:hint="default" w:ascii="Times New Roman" w:hAnsi="Times New Roman" w:eastAsia="宋体" w:cs="Times New Roman"/>
          <w:kern w:val="0"/>
          <w:sz w:val="24"/>
          <w:szCs w:val="24"/>
          <w:highlight w:val="none"/>
        </w:rPr>
        <w:t>；</w:t>
      </w:r>
    </w:p>
    <w:p w14:paraId="1B4DE8A1">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（3）其他方式：</w:t>
      </w:r>
      <w:r>
        <w:rPr>
          <w:rFonts w:hint="eastAsia" w:ascii="Times New Roman" w:hAnsi="Times New Roman" w:eastAsia="宋体" w:cs="Times New Roman"/>
          <w:kern w:val="0"/>
          <w:sz w:val="24"/>
          <w:szCs w:val="24"/>
          <w:highlight w:val="none"/>
          <w:u w:val="single"/>
          <w:lang w:eastAsia="zh-CN"/>
        </w:rPr>
        <w:t>合同签订后，两个月内支付全部金额，具体费用由各个镇（街道）单独支付</w:t>
      </w:r>
      <w:r>
        <w:rPr>
          <w:rFonts w:hint="default" w:ascii="Times New Roman" w:hAnsi="Times New Roman" w:eastAsia="宋体" w:cs="Times New Roman"/>
          <w:kern w:val="0"/>
          <w:sz w:val="24"/>
          <w:szCs w:val="24"/>
          <w:highlight w:val="none"/>
          <w:u w:val="none"/>
          <w:lang w:eastAsia="zh-CN"/>
        </w:rPr>
        <w:t>。</w:t>
      </w:r>
    </w:p>
    <w:p w14:paraId="59DD190C">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3</w:t>
      </w: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lang w:val="en-US" w:eastAsia="zh-CN"/>
        </w:rPr>
        <w:t>3</w:t>
      </w:r>
      <w:r>
        <w:rPr>
          <w:rFonts w:hint="default" w:ascii="Times New Roman" w:hAnsi="Times New Roman" w:eastAsia="宋体" w:cs="Times New Roman"/>
          <w:kern w:val="0"/>
          <w:sz w:val="24"/>
          <w:szCs w:val="24"/>
          <w:highlight w:val="none"/>
        </w:rPr>
        <w:t>本合同项下的采购资金付款进度按招投标文件规定，未规定时按以下第</w:t>
      </w:r>
      <w:r>
        <w:rPr>
          <w:rFonts w:hint="default" w:ascii="Times New Roman" w:hAnsi="Times New Roman" w:eastAsia="宋体" w:cs="Times New Roman"/>
          <w:kern w:val="0"/>
          <w:sz w:val="24"/>
          <w:szCs w:val="24"/>
          <w:highlight w:val="none"/>
          <w:u w:val="single"/>
        </w:rPr>
        <w:t>（</w:t>
      </w:r>
      <w:r>
        <w:rPr>
          <w:rFonts w:hint="eastAsia" w:ascii="Times New Roman" w:hAnsi="Times New Roman" w:eastAsia="宋体" w:cs="Times New Roman"/>
          <w:kern w:val="0"/>
          <w:sz w:val="24"/>
          <w:szCs w:val="24"/>
          <w:highlight w:val="none"/>
          <w:u w:val="single"/>
          <w:lang w:val="en-US" w:eastAsia="zh-CN"/>
        </w:rPr>
        <w:t>1</w:t>
      </w:r>
      <w:r>
        <w:rPr>
          <w:rFonts w:hint="default" w:ascii="Times New Roman" w:hAnsi="Times New Roman" w:eastAsia="宋体" w:cs="Times New Roman"/>
          <w:kern w:val="0"/>
          <w:sz w:val="24"/>
          <w:szCs w:val="24"/>
          <w:highlight w:val="none"/>
          <w:u w:val="single"/>
        </w:rPr>
        <w:t>）</w:t>
      </w:r>
      <w:r>
        <w:rPr>
          <w:rFonts w:hint="default" w:ascii="Times New Roman" w:hAnsi="Times New Roman" w:eastAsia="宋体" w:cs="Times New Roman"/>
          <w:kern w:val="0"/>
          <w:sz w:val="24"/>
          <w:szCs w:val="24"/>
          <w:highlight w:val="none"/>
        </w:rPr>
        <w:t>项支付：</w:t>
      </w:r>
    </w:p>
    <w:p w14:paraId="7810ABDD">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（1）一次性付款：</w:t>
      </w:r>
      <w:r>
        <w:rPr>
          <w:rFonts w:hint="eastAsia" w:ascii="Times New Roman" w:hAnsi="Times New Roman" w:eastAsia="宋体" w:cs="Times New Roman"/>
          <w:kern w:val="2"/>
          <w:sz w:val="24"/>
          <w:szCs w:val="24"/>
          <w:highlight w:val="none"/>
          <w:u w:val="single"/>
          <w:lang w:eastAsia="zh-CN"/>
        </w:rPr>
        <w:t>合同签订后，两个月内支付全部金额，具体费用由各个镇（街道）单独支付</w:t>
      </w:r>
      <w:r>
        <w:rPr>
          <w:rFonts w:hint="default" w:ascii="Times New Roman" w:hAnsi="Times New Roman" w:eastAsia="宋体" w:cs="Times New Roman"/>
          <w:kern w:val="0"/>
          <w:sz w:val="24"/>
          <w:szCs w:val="24"/>
          <w:highlight w:val="none"/>
        </w:rPr>
        <w:t>；</w:t>
      </w:r>
    </w:p>
    <w:p w14:paraId="5025A311">
      <w:pPr>
        <w:keepNext w:val="0"/>
        <w:keepLines w:val="0"/>
        <w:pageBreakBefore w:val="0"/>
        <w:widowControl w:val="0"/>
        <w:kinsoku/>
        <w:wordWrap/>
        <w:overflowPunct/>
        <w:topLinePunct w:val="0"/>
        <w:autoSpaceDN/>
        <w:bidi w:val="0"/>
        <w:spacing w:line="400" w:lineRule="exact"/>
        <w:ind w:left="0" w:leftChars="0" w:firstLine="480" w:firstLineChars="200"/>
        <w:jc w:val="both"/>
        <w:textAlignment w:val="auto"/>
        <w:rPr>
          <w:rFonts w:hint="default" w:ascii="Times New Roman" w:hAnsi="Times New Roman" w:eastAsia="宋体" w:cs="Times New Roman"/>
          <w:kern w:val="2"/>
          <w:sz w:val="24"/>
          <w:szCs w:val="24"/>
          <w:highlight w:val="none"/>
        </w:rPr>
      </w:pPr>
      <w:r>
        <w:rPr>
          <w:rFonts w:hint="default" w:ascii="Times New Roman" w:hAnsi="Times New Roman" w:eastAsia="宋体" w:cs="Times New Roman"/>
          <w:kern w:val="0"/>
          <w:sz w:val="24"/>
          <w:szCs w:val="24"/>
          <w:highlight w:val="none"/>
        </w:rPr>
        <w:t>（2）</w:t>
      </w:r>
      <w:r>
        <w:rPr>
          <w:rFonts w:hint="default" w:ascii="Times New Roman" w:hAnsi="Times New Roman" w:eastAsia="宋体" w:cs="Times New Roman"/>
          <w:kern w:val="2"/>
          <w:sz w:val="24"/>
          <w:szCs w:val="24"/>
          <w:highlight w:val="none"/>
        </w:rPr>
        <w:t>本项目分期支付</w:t>
      </w:r>
      <w:r>
        <w:rPr>
          <w:rFonts w:hint="default" w:ascii="Times New Roman" w:hAnsi="Times New Roman" w:eastAsia="宋体" w:cs="Times New Roman"/>
          <w:kern w:val="2"/>
          <w:sz w:val="24"/>
          <w:szCs w:val="24"/>
          <w:highlight w:val="none"/>
          <w:lang w:eastAsia="zh-CN"/>
        </w:rPr>
        <w:t>，</w:t>
      </w:r>
      <w:r>
        <w:rPr>
          <w:rFonts w:hint="default" w:ascii="Times New Roman" w:hAnsi="Times New Roman" w:eastAsia="宋体" w:cs="Times New Roman"/>
          <w:kern w:val="0"/>
          <w:sz w:val="24"/>
          <w:szCs w:val="24"/>
          <w:highlight w:val="none"/>
          <w:u w:val="single"/>
        </w:rPr>
        <w:t xml:space="preserve">        /           </w:t>
      </w:r>
      <w:r>
        <w:rPr>
          <w:rFonts w:hint="default" w:ascii="Times New Roman" w:hAnsi="Times New Roman" w:eastAsia="宋体" w:cs="Times New Roman"/>
          <w:kern w:val="2"/>
          <w:sz w:val="24"/>
          <w:szCs w:val="24"/>
          <w:highlight w:val="none"/>
        </w:rPr>
        <w:t>。</w:t>
      </w:r>
    </w:p>
    <w:p w14:paraId="1B457181">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2" w:firstLineChars="200"/>
        <w:jc w:val="left"/>
        <w:textAlignment w:val="auto"/>
        <w:rPr>
          <w:rFonts w:hint="default" w:ascii="Times New Roman" w:hAnsi="Times New Roman" w:eastAsia="宋体" w:cs="Times New Roman"/>
          <w:b/>
          <w:kern w:val="0"/>
          <w:sz w:val="24"/>
          <w:szCs w:val="24"/>
          <w:highlight w:val="none"/>
        </w:rPr>
      </w:pPr>
      <w:r>
        <w:rPr>
          <w:rFonts w:hint="default" w:ascii="Times New Roman" w:hAnsi="Times New Roman" w:eastAsia="宋体" w:cs="Times New Roman"/>
          <w:b/>
          <w:kern w:val="0"/>
          <w:sz w:val="24"/>
          <w:szCs w:val="24"/>
          <w:highlight w:val="none"/>
        </w:rPr>
        <w:t>第四条 履约保证金</w:t>
      </w:r>
    </w:p>
    <w:p w14:paraId="101F8CCA">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b/>
          <w:kern w:val="0"/>
          <w:sz w:val="24"/>
          <w:szCs w:val="24"/>
          <w:highlight w:val="none"/>
        </w:rPr>
      </w:pPr>
      <w:r>
        <w:rPr>
          <w:rFonts w:hint="default" w:ascii="Times New Roman" w:hAnsi="Times New Roman" w:eastAsia="宋体" w:cs="Times New Roman"/>
          <w:kern w:val="0"/>
          <w:sz w:val="24"/>
          <w:szCs w:val="24"/>
          <w:highlight w:val="none"/>
          <w:lang w:val="en-US" w:eastAsia="zh-CN"/>
        </w:rPr>
        <w:t>4.1</w:t>
      </w:r>
      <w:r>
        <w:rPr>
          <w:rFonts w:hint="default" w:ascii="Times New Roman" w:hAnsi="Times New Roman" w:eastAsia="宋体" w:cs="Times New Roman"/>
          <w:kern w:val="0"/>
          <w:sz w:val="24"/>
          <w:szCs w:val="24"/>
          <w:highlight w:val="none"/>
        </w:rPr>
        <w:t>按以下第</w:t>
      </w:r>
      <w:r>
        <w:rPr>
          <w:rFonts w:hint="default" w:ascii="Times New Roman" w:hAnsi="Times New Roman" w:eastAsia="宋体" w:cs="Times New Roman"/>
          <w:kern w:val="0"/>
          <w:sz w:val="24"/>
          <w:szCs w:val="24"/>
          <w:highlight w:val="none"/>
          <w:u w:val="single"/>
        </w:rPr>
        <w:t>（</w:t>
      </w:r>
      <w:r>
        <w:rPr>
          <w:rFonts w:hint="default" w:ascii="Times New Roman" w:hAnsi="Times New Roman" w:eastAsia="宋体" w:cs="Times New Roman"/>
          <w:kern w:val="0"/>
          <w:sz w:val="24"/>
          <w:szCs w:val="24"/>
          <w:highlight w:val="none"/>
          <w:u w:val="single"/>
          <w:lang w:val="en-US" w:eastAsia="zh-CN"/>
        </w:rPr>
        <w:t>2</w:t>
      </w:r>
      <w:r>
        <w:rPr>
          <w:rFonts w:hint="default" w:ascii="Times New Roman" w:hAnsi="Times New Roman" w:eastAsia="宋体" w:cs="Times New Roman"/>
          <w:kern w:val="0"/>
          <w:sz w:val="24"/>
          <w:szCs w:val="24"/>
          <w:highlight w:val="none"/>
          <w:u w:val="single"/>
        </w:rPr>
        <w:t>）</w:t>
      </w:r>
      <w:r>
        <w:rPr>
          <w:rFonts w:hint="default" w:ascii="Times New Roman" w:hAnsi="Times New Roman" w:eastAsia="宋体" w:cs="Times New Roman"/>
          <w:kern w:val="0"/>
          <w:sz w:val="24"/>
          <w:szCs w:val="24"/>
          <w:highlight w:val="none"/>
        </w:rPr>
        <w:t>项处理：</w:t>
      </w:r>
    </w:p>
    <w:p w14:paraId="4937E68F">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lang w:val="en-US" w:eastAsia="zh-CN"/>
        </w:rPr>
        <w:t>1</w:t>
      </w: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rPr>
        <w:t>本项目设置履约保证金，乙方应于</w:t>
      </w:r>
      <w:r>
        <w:rPr>
          <w:rFonts w:hint="default" w:ascii="Times New Roman" w:hAnsi="Times New Roman" w:eastAsia="宋体" w:cs="Times New Roman"/>
          <w:kern w:val="0"/>
          <w:sz w:val="24"/>
          <w:szCs w:val="24"/>
          <w:highlight w:val="none"/>
          <w:u w:val="single"/>
        </w:rPr>
        <w:t xml:space="preserve">    /     </w:t>
      </w:r>
      <w:r>
        <w:rPr>
          <w:rFonts w:hint="default" w:ascii="Times New Roman" w:hAnsi="Times New Roman" w:eastAsia="宋体" w:cs="Times New Roman"/>
          <w:kern w:val="0"/>
          <w:sz w:val="24"/>
          <w:szCs w:val="24"/>
          <w:highlight w:val="none"/>
        </w:rPr>
        <w:t>（时间）前向甲方提交履约保证金</w:t>
      </w:r>
      <w:r>
        <w:rPr>
          <w:rFonts w:hint="default" w:ascii="Times New Roman" w:hAnsi="Times New Roman" w:eastAsia="宋体" w:cs="Times New Roman"/>
          <w:kern w:val="0"/>
          <w:sz w:val="24"/>
          <w:szCs w:val="24"/>
          <w:highlight w:val="none"/>
          <w:u w:val="single"/>
        </w:rPr>
        <w:t xml:space="preserve">    /     </w:t>
      </w:r>
      <w:r>
        <w:rPr>
          <w:rFonts w:hint="default" w:ascii="Times New Roman" w:hAnsi="Times New Roman" w:eastAsia="宋体" w:cs="Times New Roman"/>
          <w:kern w:val="0"/>
          <w:sz w:val="24"/>
          <w:szCs w:val="24"/>
          <w:highlight w:val="none"/>
        </w:rPr>
        <w:t>元。履约保证金在</w:t>
      </w:r>
      <w:r>
        <w:rPr>
          <w:rFonts w:hint="default" w:ascii="Times New Roman" w:hAnsi="Times New Roman" w:eastAsia="宋体" w:cs="Times New Roman"/>
          <w:kern w:val="0"/>
          <w:sz w:val="24"/>
          <w:szCs w:val="24"/>
          <w:highlight w:val="none"/>
          <w:u w:val="single"/>
        </w:rPr>
        <w:t xml:space="preserve">    /     </w:t>
      </w:r>
      <w:r>
        <w:rPr>
          <w:rFonts w:hint="default" w:ascii="Times New Roman" w:hAnsi="Times New Roman" w:eastAsia="宋体" w:cs="Times New Roman"/>
          <w:kern w:val="0"/>
          <w:sz w:val="24"/>
          <w:szCs w:val="24"/>
          <w:highlight w:val="none"/>
        </w:rPr>
        <w:t>（时间）退还乙方。</w:t>
      </w:r>
    </w:p>
    <w:p w14:paraId="2A973990">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b/>
          <w:kern w:val="0"/>
          <w:sz w:val="24"/>
          <w:szCs w:val="24"/>
          <w:highlight w:val="none"/>
          <w:lang w:eastAsia="zh-CN"/>
        </w:rPr>
      </w:pP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lang w:val="en-US" w:eastAsia="zh-CN"/>
        </w:rPr>
        <w:t>2</w:t>
      </w: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rPr>
        <w:t>本项目不设置履约保证金</w:t>
      </w:r>
      <w:r>
        <w:rPr>
          <w:rFonts w:hint="default" w:ascii="Times New Roman" w:hAnsi="Times New Roman" w:eastAsia="宋体" w:cs="Times New Roman"/>
          <w:kern w:val="0"/>
          <w:sz w:val="24"/>
          <w:szCs w:val="24"/>
          <w:highlight w:val="none"/>
          <w:lang w:eastAsia="zh-CN"/>
        </w:rPr>
        <w:t>。</w:t>
      </w:r>
    </w:p>
    <w:p w14:paraId="5F7120EC">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2" w:firstLineChars="200"/>
        <w:jc w:val="left"/>
        <w:textAlignment w:val="auto"/>
        <w:rPr>
          <w:rFonts w:hint="default" w:ascii="Times New Roman" w:hAnsi="Times New Roman" w:eastAsia="宋体" w:cs="Times New Roman"/>
          <w:b/>
          <w:kern w:val="0"/>
          <w:sz w:val="24"/>
          <w:szCs w:val="24"/>
          <w:highlight w:val="none"/>
        </w:rPr>
      </w:pPr>
      <w:r>
        <w:rPr>
          <w:rFonts w:hint="default" w:ascii="Times New Roman" w:hAnsi="Times New Roman" w:eastAsia="宋体" w:cs="Times New Roman"/>
          <w:b/>
          <w:kern w:val="0"/>
          <w:sz w:val="24"/>
          <w:szCs w:val="24"/>
          <w:highlight w:val="none"/>
        </w:rPr>
        <w:t>第五条 合同的变更和终止</w:t>
      </w:r>
    </w:p>
    <w:p w14:paraId="5FE150F3">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CN"/>
        </w:rPr>
        <w:t>5.1</w:t>
      </w:r>
      <w:r>
        <w:rPr>
          <w:rFonts w:hint="default" w:ascii="Times New Roman" w:hAnsi="Times New Roman" w:eastAsia="宋体" w:cs="Times New Roman"/>
          <w:kern w:val="0"/>
          <w:sz w:val="24"/>
          <w:szCs w:val="24"/>
          <w:highlight w:val="none"/>
        </w:rPr>
        <w:t>除《政府采购法》第49条、第50条第二款规定的情形外，本合同一经签订，甲乙双方不得擅自终止合同或对合同实质性条款进行变更。确有特殊情况的，须经同级财政部门备案同意。</w:t>
      </w:r>
    </w:p>
    <w:p w14:paraId="7149A162">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2" w:firstLineChars="200"/>
        <w:jc w:val="left"/>
        <w:textAlignment w:val="auto"/>
        <w:rPr>
          <w:rFonts w:hint="default" w:ascii="Times New Roman" w:hAnsi="Times New Roman" w:eastAsia="宋体" w:cs="Times New Roman"/>
          <w:b/>
          <w:kern w:val="0"/>
          <w:sz w:val="24"/>
          <w:szCs w:val="24"/>
          <w:highlight w:val="none"/>
        </w:rPr>
      </w:pPr>
      <w:r>
        <w:rPr>
          <w:rFonts w:hint="default" w:ascii="Times New Roman" w:hAnsi="Times New Roman" w:eastAsia="宋体" w:cs="Times New Roman"/>
          <w:b/>
          <w:kern w:val="0"/>
          <w:sz w:val="24"/>
          <w:szCs w:val="24"/>
          <w:highlight w:val="none"/>
        </w:rPr>
        <w:t>第六条 合同的转让与分包</w:t>
      </w:r>
    </w:p>
    <w:p w14:paraId="56830A4F">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CN"/>
        </w:rPr>
        <w:t>6.1</w:t>
      </w:r>
      <w:r>
        <w:rPr>
          <w:rFonts w:hint="default" w:ascii="Times New Roman" w:hAnsi="Times New Roman" w:eastAsia="宋体" w:cs="Times New Roman"/>
          <w:kern w:val="0"/>
          <w:sz w:val="24"/>
          <w:szCs w:val="24"/>
          <w:highlight w:val="none"/>
        </w:rPr>
        <w:t>合同的权利义务依法不得转让，乙方可以依法采取分包方式履行合同，即：依法可以将合同项下的部分非主体、非关键性工作分包给他人完成，接受分包的</w:t>
      </w:r>
      <w:r>
        <w:rPr>
          <w:rFonts w:hint="eastAsia" w:ascii="Times New Roman" w:hAnsi="Times New Roman" w:eastAsia="宋体" w:cs="Times New Roman"/>
          <w:kern w:val="0"/>
          <w:sz w:val="24"/>
          <w:szCs w:val="24"/>
          <w:highlight w:val="none"/>
          <w:lang w:eastAsia="zh-CN"/>
        </w:rPr>
        <w:t>单位</w:t>
      </w:r>
      <w:r>
        <w:rPr>
          <w:rFonts w:hint="default" w:ascii="Times New Roman" w:hAnsi="Times New Roman" w:eastAsia="宋体" w:cs="Times New Roman"/>
          <w:kern w:val="0"/>
          <w:sz w:val="24"/>
          <w:szCs w:val="24"/>
          <w:highlight w:val="none"/>
        </w:rPr>
        <w:t>应当具备相应的资格条件，并不得再次分包，且乙方应就分包项目向甲方负责，并与分包</w:t>
      </w:r>
      <w:r>
        <w:rPr>
          <w:rFonts w:hint="eastAsia" w:ascii="Times New Roman" w:hAnsi="Times New Roman" w:eastAsia="宋体" w:cs="Times New Roman"/>
          <w:kern w:val="0"/>
          <w:sz w:val="24"/>
          <w:szCs w:val="24"/>
          <w:highlight w:val="none"/>
          <w:lang w:eastAsia="zh-CN"/>
        </w:rPr>
        <w:t>单位</w:t>
      </w:r>
      <w:r>
        <w:rPr>
          <w:rFonts w:hint="default" w:ascii="Times New Roman" w:hAnsi="Times New Roman" w:eastAsia="宋体" w:cs="Times New Roman"/>
          <w:kern w:val="0"/>
          <w:sz w:val="24"/>
          <w:szCs w:val="24"/>
          <w:highlight w:val="none"/>
        </w:rPr>
        <w:t>就分包项目向甲方承担连带责任。</w:t>
      </w:r>
    </w:p>
    <w:p w14:paraId="26DE2863">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2" w:firstLineChars="200"/>
        <w:jc w:val="left"/>
        <w:textAlignment w:val="auto"/>
        <w:rPr>
          <w:rFonts w:hint="default" w:ascii="Times New Roman" w:hAnsi="Times New Roman" w:eastAsia="宋体" w:cs="Times New Roman"/>
          <w:b/>
          <w:kern w:val="0"/>
          <w:sz w:val="24"/>
          <w:szCs w:val="24"/>
          <w:highlight w:val="none"/>
        </w:rPr>
      </w:pPr>
      <w:r>
        <w:rPr>
          <w:rFonts w:hint="default" w:ascii="Times New Roman" w:hAnsi="Times New Roman" w:eastAsia="宋体" w:cs="Times New Roman"/>
          <w:b/>
          <w:kern w:val="0"/>
          <w:sz w:val="24"/>
          <w:szCs w:val="24"/>
          <w:highlight w:val="none"/>
        </w:rPr>
        <w:t>第七条 争议的解决</w:t>
      </w:r>
    </w:p>
    <w:p w14:paraId="04A2503B">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CN"/>
        </w:rPr>
        <w:t>7.1</w:t>
      </w:r>
      <w:r>
        <w:rPr>
          <w:rFonts w:hint="default" w:ascii="Times New Roman" w:hAnsi="Times New Roman" w:eastAsia="宋体" w:cs="Times New Roman"/>
          <w:kern w:val="0"/>
          <w:sz w:val="24"/>
          <w:szCs w:val="24"/>
          <w:highlight w:val="none"/>
        </w:rPr>
        <w:t>因履行本合同引起的或与本合同有关的争议，甲、乙双方应首先通过友好协商解决，如果协商不能解决争议，则采取以下第</w:t>
      </w:r>
      <w:r>
        <w:rPr>
          <w:rFonts w:hint="default" w:ascii="Times New Roman" w:hAnsi="Times New Roman" w:eastAsia="宋体" w:cs="Times New Roman"/>
          <w:kern w:val="0"/>
          <w:sz w:val="24"/>
          <w:szCs w:val="24"/>
          <w:highlight w:val="none"/>
          <w:u w:val="single"/>
        </w:rPr>
        <w:t>（1）</w:t>
      </w:r>
      <w:r>
        <w:rPr>
          <w:rFonts w:hint="default" w:ascii="Times New Roman" w:hAnsi="Times New Roman" w:eastAsia="宋体" w:cs="Times New Roman"/>
          <w:kern w:val="0"/>
          <w:sz w:val="24"/>
          <w:szCs w:val="24"/>
          <w:highlight w:val="none"/>
        </w:rPr>
        <w:t>种方式解决争议：</w:t>
      </w:r>
    </w:p>
    <w:p w14:paraId="62BB6317">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（1）向甲方所在地有管辖权的人民法院提起诉讼；</w:t>
      </w:r>
    </w:p>
    <w:p w14:paraId="4D9100F4">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（2）向</w:t>
      </w:r>
      <w:r>
        <w:rPr>
          <w:rFonts w:hint="default" w:ascii="Times New Roman" w:hAnsi="Times New Roman" w:eastAsia="宋体" w:cs="Times New Roman"/>
          <w:kern w:val="0"/>
          <w:sz w:val="24"/>
          <w:szCs w:val="24"/>
          <w:highlight w:val="none"/>
          <w:u w:val="single"/>
        </w:rPr>
        <w:t xml:space="preserve">    /    </w:t>
      </w:r>
      <w:r>
        <w:rPr>
          <w:rFonts w:hint="default" w:ascii="Times New Roman" w:hAnsi="Times New Roman" w:eastAsia="宋体" w:cs="Times New Roman"/>
          <w:kern w:val="0"/>
          <w:sz w:val="24"/>
          <w:szCs w:val="24"/>
          <w:highlight w:val="none"/>
        </w:rPr>
        <w:t>仲裁委员申请仲裁。</w:t>
      </w:r>
    </w:p>
    <w:p w14:paraId="3DAC5E33">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2" w:firstLineChars="200"/>
        <w:jc w:val="left"/>
        <w:textAlignment w:val="auto"/>
        <w:rPr>
          <w:rFonts w:hint="default" w:ascii="Times New Roman" w:hAnsi="Times New Roman" w:eastAsia="宋体" w:cs="Times New Roman"/>
          <w:b/>
          <w:kern w:val="0"/>
          <w:sz w:val="24"/>
          <w:szCs w:val="24"/>
          <w:highlight w:val="none"/>
        </w:rPr>
      </w:pPr>
      <w:r>
        <w:rPr>
          <w:rFonts w:hint="default" w:ascii="Times New Roman" w:hAnsi="Times New Roman" w:eastAsia="宋体" w:cs="Times New Roman"/>
          <w:b/>
          <w:kern w:val="0"/>
          <w:sz w:val="24"/>
          <w:szCs w:val="24"/>
          <w:highlight w:val="none"/>
        </w:rPr>
        <w:t>第八条 合同备案及其他</w:t>
      </w:r>
    </w:p>
    <w:p w14:paraId="0AD786DB">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8.1</w:t>
      </w:r>
      <w:r>
        <w:rPr>
          <w:rFonts w:hint="default" w:ascii="Times New Roman" w:hAnsi="Times New Roman" w:eastAsia="宋体" w:cs="Times New Roman"/>
          <w:kern w:val="0"/>
          <w:sz w:val="24"/>
          <w:szCs w:val="24"/>
          <w:highlight w:val="none"/>
        </w:rPr>
        <w:t>本合同一式</w:t>
      </w:r>
      <w:r>
        <w:rPr>
          <w:rFonts w:hint="default" w:ascii="Times New Roman" w:hAnsi="Times New Roman" w:eastAsia="宋体" w:cs="Times New Roman"/>
          <w:kern w:val="0"/>
          <w:sz w:val="24"/>
          <w:szCs w:val="24"/>
          <w:highlight w:val="none"/>
          <w:u w:val="single"/>
        </w:rPr>
        <w:t xml:space="preserve"> </w:t>
      </w:r>
      <w:r>
        <w:rPr>
          <w:rFonts w:hint="default" w:ascii="Times New Roman" w:hAnsi="Times New Roman" w:eastAsia="宋体" w:cs="Times New Roman"/>
          <w:kern w:val="0"/>
          <w:sz w:val="24"/>
          <w:szCs w:val="24"/>
          <w:highlight w:val="none"/>
          <w:u w:val="single"/>
          <w:lang w:eastAsia="zh-CN"/>
        </w:rPr>
        <w:t>伍</w:t>
      </w:r>
      <w:r>
        <w:rPr>
          <w:rFonts w:hint="default" w:ascii="Times New Roman" w:hAnsi="Times New Roman" w:eastAsia="宋体" w:cs="Times New Roman"/>
          <w:kern w:val="0"/>
          <w:sz w:val="24"/>
          <w:szCs w:val="24"/>
          <w:highlight w:val="none"/>
          <w:u w:val="single"/>
        </w:rPr>
        <w:t xml:space="preserve"> </w:t>
      </w:r>
      <w:r>
        <w:rPr>
          <w:rFonts w:hint="default" w:ascii="Times New Roman" w:hAnsi="Times New Roman" w:eastAsia="宋体" w:cs="Times New Roman"/>
          <w:kern w:val="0"/>
          <w:sz w:val="24"/>
          <w:szCs w:val="24"/>
          <w:highlight w:val="none"/>
        </w:rPr>
        <w:t>份，甲乙双方各执</w:t>
      </w:r>
      <w:r>
        <w:rPr>
          <w:rFonts w:hint="default" w:ascii="Times New Roman" w:hAnsi="Times New Roman" w:eastAsia="宋体" w:cs="Times New Roman"/>
          <w:kern w:val="0"/>
          <w:sz w:val="24"/>
          <w:szCs w:val="24"/>
          <w:highlight w:val="none"/>
          <w:u w:val="single"/>
        </w:rPr>
        <w:t xml:space="preserve"> 贰 </w:t>
      </w:r>
      <w:r>
        <w:rPr>
          <w:rFonts w:hint="default" w:ascii="Times New Roman" w:hAnsi="Times New Roman" w:eastAsia="宋体" w:cs="Times New Roman"/>
          <w:kern w:val="0"/>
          <w:sz w:val="24"/>
          <w:szCs w:val="24"/>
          <w:highlight w:val="none"/>
        </w:rPr>
        <w:t>份，</w:t>
      </w:r>
      <w:r>
        <w:rPr>
          <w:rFonts w:hint="default" w:ascii="Times New Roman" w:hAnsi="Times New Roman" w:eastAsia="宋体" w:cs="Times New Roman"/>
          <w:kern w:val="0"/>
          <w:sz w:val="24"/>
          <w:szCs w:val="24"/>
          <w:highlight w:val="none"/>
          <w:u w:val="single"/>
          <w:lang w:val="en-US" w:eastAsia="zh-CN"/>
        </w:rPr>
        <w:t xml:space="preserve"> </w:t>
      </w:r>
      <w:r>
        <w:rPr>
          <w:rFonts w:hint="default" w:ascii="Times New Roman" w:hAnsi="Times New Roman" w:eastAsia="宋体" w:cs="Times New Roman"/>
          <w:kern w:val="0"/>
          <w:sz w:val="24"/>
          <w:szCs w:val="24"/>
          <w:highlight w:val="none"/>
          <w:u w:val="single"/>
          <w:lang w:eastAsia="zh-CN"/>
        </w:rPr>
        <w:t>壹</w:t>
      </w:r>
      <w:r>
        <w:rPr>
          <w:rFonts w:hint="default" w:ascii="Times New Roman" w:hAnsi="Times New Roman" w:eastAsia="宋体" w:cs="Times New Roman"/>
          <w:kern w:val="0"/>
          <w:sz w:val="24"/>
          <w:szCs w:val="24"/>
          <w:highlight w:val="none"/>
          <w:u w:val="single"/>
          <w:lang w:val="en-US" w:eastAsia="zh-CN"/>
        </w:rPr>
        <w:t xml:space="preserve"> </w:t>
      </w:r>
      <w:r>
        <w:rPr>
          <w:rFonts w:hint="default" w:ascii="Times New Roman" w:hAnsi="Times New Roman" w:eastAsia="宋体" w:cs="Times New Roman"/>
          <w:kern w:val="0"/>
          <w:sz w:val="24"/>
          <w:szCs w:val="24"/>
          <w:highlight w:val="none"/>
        </w:rPr>
        <w:t>份送</w:t>
      </w:r>
      <w:r>
        <w:rPr>
          <w:rFonts w:hint="eastAsia" w:ascii="Times New Roman" w:hAnsi="Times New Roman" w:eastAsia="宋体" w:cs="Times New Roman"/>
          <w:kern w:val="0"/>
          <w:sz w:val="24"/>
          <w:szCs w:val="24"/>
          <w:highlight w:val="none"/>
          <w:lang w:eastAsia="zh-CN"/>
        </w:rPr>
        <w:t>浙江中望工程管理有限公司</w:t>
      </w:r>
      <w:r>
        <w:rPr>
          <w:rFonts w:hint="default" w:ascii="Times New Roman" w:hAnsi="Times New Roman" w:eastAsia="宋体" w:cs="Times New Roman"/>
          <w:kern w:val="0"/>
          <w:sz w:val="24"/>
          <w:szCs w:val="24"/>
          <w:highlight w:val="none"/>
        </w:rPr>
        <w:t>备案。</w:t>
      </w:r>
    </w:p>
    <w:p w14:paraId="700EC604">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pacing w:line="400" w:lineRule="exact"/>
        <w:ind w:left="0" w:leftChars="0" w:firstLine="482" w:firstLineChars="200"/>
        <w:jc w:val="center"/>
        <w:textAlignment w:val="auto"/>
        <w:rPr>
          <w:rFonts w:hint="default" w:ascii="Times New Roman" w:hAnsi="Times New Roman" w:eastAsia="宋体" w:cs="Times New Roman"/>
          <w:b/>
          <w:kern w:val="0"/>
          <w:sz w:val="24"/>
          <w:szCs w:val="24"/>
          <w:highlight w:val="none"/>
        </w:rPr>
      </w:pPr>
      <w:r>
        <w:rPr>
          <w:rFonts w:hint="default" w:ascii="Times New Roman" w:hAnsi="Times New Roman" w:eastAsia="宋体" w:cs="Times New Roman"/>
          <w:b/>
          <w:kern w:val="0"/>
          <w:sz w:val="24"/>
          <w:szCs w:val="24"/>
          <w:highlight w:val="none"/>
        </w:rPr>
        <w:t>二、特殊专用条款部分</w:t>
      </w:r>
    </w:p>
    <w:p w14:paraId="4FA3A16E">
      <w:pPr>
        <w:keepNext w:val="0"/>
        <w:keepLines w:val="0"/>
        <w:pageBreakBefore w:val="0"/>
        <w:widowControl w:val="0"/>
        <w:kinsoku/>
        <w:wordWrap/>
        <w:overflowPunct/>
        <w:topLinePunct w:val="0"/>
        <w:autoSpaceDN/>
        <w:bidi w:val="0"/>
        <w:snapToGrid w:val="0"/>
        <w:spacing w:line="400" w:lineRule="exact"/>
        <w:ind w:left="0" w:leftChars="0" w:firstLine="482" w:firstLineChars="200"/>
        <w:jc w:val="both"/>
        <w:textAlignment w:val="auto"/>
        <w:rPr>
          <w:rFonts w:hint="default" w:ascii="Times New Roman" w:hAnsi="Times New Roman" w:eastAsia="宋体" w:cs="Times New Roman"/>
          <w:b/>
          <w:kern w:val="2"/>
          <w:sz w:val="24"/>
          <w:szCs w:val="24"/>
          <w:highlight w:val="none"/>
          <w:lang w:val="en-US" w:eastAsia="zh-CN" w:bidi="ar-SA"/>
        </w:rPr>
      </w:pPr>
      <w:r>
        <w:rPr>
          <w:rFonts w:hint="default" w:ascii="Times New Roman" w:hAnsi="Times New Roman" w:eastAsia="宋体" w:cs="Times New Roman"/>
          <w:b/>
          <w:kern w:val="2"/>
          <w:sz w:val="24"/>
          <w:szCs w:val="24"/>
          <w:highlight w:val="none"/>
          <w:lang w:val="en-US" w:eastAsia="zh-CN" w:bidi="ar-SA"/>
        </w:rPr>
        <w:t>第一条 技术资料</w:t>
      </w:r>
    </w:p>
    <w:p w14:paraId="0044B188">
      <w:pPr>
        <w:keepNext w:val="0"/>
        <w:keepLines w:val="0"/>
        <w:pageBreakBefore w:val="0"/>
        <w:widowControl w:val="0"/>
        <w:kinsoku/>
        <w:wordWrap/>
        <w:overflowPunct/>
        <w:topLinePunct w:val="0"/>
        <w:autoSpaceDN/>
        <w:bidi w:val="0"/>
        <w:snapToGrid w:val="0"/>
        <w:spacing w:line="400" w:lineRule="exact"/>
        <w:ind w:left="0" w:leftChars="0"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1.1乙方应按招标文件规定的时间向甲方提供服务的有关资料。</w:t>
      </w:r>
    </w:p>
    <w:p w14:paraId="2F748F78">
      <w:pPr>
        <w:keepNext w:val="0"/>
        <w:keepLines w:val="0"/>
        <w:pageBreakBefore w:val="0"/>
        <w:widowControl w:val="0"/>
        <w:kinsoku/>
        <w:wordWrap/>
        <w:overflowPunct/>
        <w:topLinePunct w:val="0"/>
        <w:autoSpaceDN/>
        <w:bidi w:val="0"/>
        <w:snapToGrid w:val="0"/>
        <w:spacing w:line="400" w:lineRule="exact"/>
        <w:ind w:left="0" w:leftChars="0"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1.2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14:paraId="06CABC46">
      <w:pPr>
        <w:keepNext w:val="0"/>
        <w:keepLines w:val="0"/>
        <w:pageBreakBefore w:val="0"/>
        <w:widowControl w:val="0"/>
        <w:kinsoku/>
        <w:wordWrap/>
        <w:overflowPunct/>
        <w:topLinePunct w:val="0"/>
        <w:autoSpaceDN/>
        <w:bidi w:val="0"/>
        <w:snapToGrid w:val="0"/>
        <w:spacing w:line="400" w:lineRule="exact"/>
        <w:ind w:left="0" w:leftChars="0" w:firstLine="482" w:firstLineChars="200"/>
        <w:jc w:val="both"/>
        <w:textAlignment w:val="auto"/>
        <w:rPr>
          <w:rFonts w:hint="default" w:ascii="Times New Roman" w:hAnsi="Times New Roman" w:eastAsia="宋体" w:cs="Times New Roman"/>
          <w:b/>
          <w:kern w:val="2"/>
          <w:sz w:val="24"/>
          <w:szCs w:val="24"/>
          <w:highlight w:val="none"/>
          <w:lang w:val="en-US" w:eastAsia="zh-CN" w:bidi="ar-SA"/>
        </w:rPr>
      </w:pPr>
      <w:r>
        <w:rPr>
          <w:rFonts w:hint="default" w:ascii="Times New Roman" w:hAnsi="Times New Roman" w:eastAsia="宋体" w:cs="Times New Roman"/>
          <w:b/>
          <w:kern w:val="2"/>
          <w:sz w:val="24"/>
          <w:szCs w:val="24"/>
          <w:highlight w:val="none"/>
          <w:lang w:val="en-US" w:eastAsia="zh-CN" w:bidi="ar-SA"/>
        </w:rPr>
        <w:t>第二条 知识产权</w:t>
      </w:r>
    </w:p>
    <w:p w14:paraId="52811BF4">
      <w:pPr>
        <w:keepNext w:val="0"/>
        <w:keepLines w:val="0"/>
        <w:pageBreakBefore w:val="0"/>
        <w:widowControl w:val="0"/>
        <w:kinsoku/>
        <w:wordWrap/>
        <w:overflowPunct/>
        <w:topLinePunct w:val="0"/>
        <w:autoSpaceDN/>
        <w:bidi w:val="0"/>
        <w:snapToGrid w:val="0"/>
        <w:spacing w:line="400" w:lineRule="exact"/>
        <w:ind w:left="0" w:leftChars="0" w:firstLine="480" w:firstLineChars="200"/>
        <w:jc w:val="both"/>
        <w:textAlignment w:val="auto"/>
        <w:rPr>
          <w:rFonts w:hint="default" w:ascii="Times New Roman" w:hAnsi="Times New Roman" w:eastAsia="宋体" w:cs="Times New Roman"/>
          <w:bCs/>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2.1乙方应保证所提供的技术成果或其任何一部分均不会侵犯任何第三方的知识产权</w:t>
      </w:r>
      <w:r>
        <w:rPr>
          <w:rFonts w:hint="default" w:ascii="Times New Roman" w:hAnsi="Times New Roman" w:eastAsia="宋体" w:cs="Times New Roman"/>
          <w:bCs/>
          <w:kern w:val="2"/>
          <w:sz w:val="24"/>
          <w:szCs w:val="24"/>
          <w:highlight w:val="none"/>
          <w:lang w:val="en-US" w:eastAsia="zh-CN" w:bidi="ar-SA"/>
        </w:rPr>
        <w:t>。</w:t>
      </w:r>
    </w:p>
    <w:p w14:paraId="511BEC64">
      <w:pPr>
        <w:keepNext w:val="0"/>
        <w:keepLines w:val="0"/>
        <w:pageBreakBefore w:val="0"/>
        <w:widowControl w:val="0"/>
        <w:kinsoku/>
        <w:wordWrap/>
        <w:overflowPunct/>
        <w:topLinePunct w:val="0"/>
        <w:autoSpaceDN/>
        <w:bidi w:val="0"/>
        <w:snapToGrid w:val="0"/>
        <w:spacing w:line="400" w:lineRule="exact"/>
        <w:ind w:left="0" w:leftChars="0" w:firstLine="482" w:firstLineChars="200"/>
        <w:jc w:val="both"/>
        <w:textAlignment w:val="auto"/>
        <w:rPr>
          <w:rFonts w:hint="default" w:ascii="Times New Roman" w:hAnsi="Times New Roman" w:eastAsia="宋体" w:cs="Times New Roman"/>
          <w:kern w:val="2"/>
          <w:sz w:val="24"/>
          <w:szCs w:val="24"/>
          <w:highlight w:val="none"/>
          <w:u w:val="single"/>
          <w:lang w:val="en-US" w:eastAsia="zh-CN" w:bidi="ar-SA"/>
        </w:rPr>
      </w:pPr>
      <w:r>
        <w:rPr>
          <w:rFonts w:hint="default" w:ascii="Times New Roman" w:hAnsi="Times New Roman" w:eastAsia="宋体" w:cs="Times New Roman"/>
          <w:b/>
          <w:kern w:val="2"/>
          <w:sz w:val="24"/>
          <w:szCs w:val="24"/>
          <w:highlight w:val="none"/>
          <w:lang w:val="en-US" w:eastAsia="zh-CN" w:bidi="ar-SA"/>
        </w:rPr>
        <w:t>第三条 产权担保</w:t>
      </w:r>
    </w:p>
    <w:p w14:paraId="3A4DFC88">
      <w:pPr>
        <w:keepNext w:val="0"/>
        <w:keepLines w:val="0"/>
        <w:pageBreakBefore w:val="0"/>
        <w:widowControl w:val="0"/>
        <w:kinsoku/>
        <w:wordWrap/>
        <w:overflowPunct/>
        <w:topLinePunct w:val="0"/>
        <w:autoSpaceDN/>
        <w:bidi w:val="0"/>
        <w:snapToGrid w:val="0"/>
        <w:spacing w:line="400" w:lineRule="exact"/>
        <w:ind w:left="0" w:leftChars="0" w:firstLine="480" w:firstLineChars="200"/>
        <w:jc w:val="both"/>
        <w:textAlignment w:val="auto"/>
        <w:rPr>
          <w:rFonts w:hint="default" w:ascii="Times New Roman" w:hAnsi="Times New Roman" w:eastAsia="宋体" w:cs="Times New Roman"/>
          <w:kern w:val="2"/>
          <w:sz w:val="24"/>
          <w:szCs w:val="24"/>
          <w:highlight w:val="none"/>
          <w:u w:val="single"/>
          <w:lang w:val="en-US" w:eastAsia="zh-CN" w:bidi="ar-SA"/>
        </w:rPr>
      </w:pPr>
      <w:r>
        <w:rPr>
          <w:rFonts w:hint="default" w:ascii="Times New Roman" w:hAnsi="Times New Roman" w:eastAsia="宋体" w:cs="Times New Roman"/>
          <w:kern w:val="2"/>
          <w:sz w:val="24"/>
          <w:szCs w:val="24"/>
          <w:highlight w:val="none"/>
          <w:lang w:val="en-US" w:eastAsia="zh-CN" w:bidi="ar-SA"/>
        </w:rPr>
        <w:t>3.1乙方保证所交付的成果的所有权完全属于乙方且无任何抵押、查封等产权瑕疵。</w:t>
      </w:r>
    </w:p>
    <w:p w14:paraId="008B9C0A">
      <w:pPr>
        <w:keepNext w:val="0"/>
        <w:keepLines w:val="0"/>
        <w:pageBreakBefore w:val="0"/>
        <w:widowControl w:val="0"/>
        <w:kinsoku/>
        <w:wordWrap/>
        <w:overflowPunct/>
        <w:topLinePunct w:val="0"/>
        <w:autoSpaceDN/>
        <w:bidi w:val="0"/>
        <w:snapToGrid w:val="0"/>
        <w:spacing w:line="400" w:lineRule="exact"/>
        <w:ind w:left="0" w:leftChars="0" w:firstLine="482" w:firstLineChars="200"/>
        <w:jc w:val="both"/>
        <w:textAlignment w:val="auto"/>
        <w:rPr>
          <w:rFonts w:hint="default" w:ascii="Times New Roman" w:hAnsi="Times New Roman" w:eastAsia="宋体" w:cs="Times New Roman"/>
          <w:b/>
          <w:kern w:val="2"/>
          <w:sz w:val="24"/>
          <w:szCs w:val="24"/>
          <w:highlight w:val="none"/>
          <w:lang w:val="en-US" w:eastAsia="zh-CN" w:bidi="ar-SA"/>
        </w:rPr>
      </w:pPr>
      <w:r>
        <w:rPr>
          <w:rFonts w:hint="default" w:ascii="Times New Roman" w:hAnsi="Times New Roman" w:eastAsia="宋体" w:cs="Times New Roman"/>
          <w:b/>
          <w:kern w:val="2"/>
          <w:sz w:val="24"/>
          <w:szCs w:val="24"/>
          <w:highlight w:val="none"/>
          <w:lang w:val="en-US" w:eastAsia="zh-CN" w:bidi="ar-SA"/>
        </w:rPr>
        <w:t>第四条 服务期限、服务地点</w:t>
      </w:r>
    </w:p>
    <w:p w14:paraId="3CD38398">
      <w:pPr>
        <w:keepNext w:val="0"/>
        <w:keepLines w:val="0"/>
        <w:pageBreakBefore w:val="0"/>
        <w:widowControl w:val="0"/>
        <w:kinsoku/>
        <w:wordWrap/>
        <w:overflowPunct/>
        <w:topLinePunct w:val="0"/>
        <w:autoSpaceDN/>
        <w:bidi w:val="0"/>
        <w:spacing w:line="400" w:lineRule="exact"/>
        <w:ind w:left="0" w:leftChars="0" w:firstLine="480" w:firstLineChars="200"/>
        <w:jc w:val="both"/>
        <w:textAlignment w:val="auto"/>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lang w:val="en-US" w:eastAsia="zh-CN"/>
        </w:rPr>
        <w:t>4</w:t>
      </w:r>
      <w:r>
        <w:rPr>
          <w:rFonts w:hint="default" w:ascii="Times New Roman" w:hAnsi="Times New Roman" w:eastAsia="宋体" w:cs="Times New Roman"/>
          <w:kern w:val="0"/>
          <w:sz w:val="24"/>
          <w:szCs w:val="24"/>
          <w:highlight w:val="none"/>
        </w:rPr>
        <w:t>.1服务期：</w:t>
      </w:r>
      <w:r>
        <w:rPr>
          <w:rFonts w:hint="default" w:ascii="Times New Roman" w:hAnsi="Times New Roman" w:eastAsia="宋体" w:cs="Times New Roman"/>
          <w:kern w:val="0"/>
          <w:sz w:val="24"/>
          <w:szCs w:val="24"/>
          <w:highlight w:val="none"/>
          <w:lang w:val="en-US" w:eastAsia="zh-CN"/>
        </w:rPr>
        <w:t>合同签订之日起1年</w:t>
      </w:r>
      <w:r>
        <w:rPr>
          <w:rFonts w:hint="default" w:ascii="Times New Roman" w:hAnsi="Times New Roman" w:eastAsia="宋体" w:cs="Times New Roman"/>
          <w:kern w:val="0"/>
          <w:sz w:val="24"/>
          <w:szCs w:val="24"/>
          <w:highlight w:val="none"/>
          <w:lang w:eastAsia="zh-CN"/>
        </w:rPr>
        <w:t>。</w:t>
      </w:r>
    </w:p>
    <w:p w14:paraId="688CB251">
      <w:pPr>
        <w:keepNext w:val="0"/>
        <w:keepLines w:val="0"/>
        <w:pageBreakBefore w:val="0"/>
        <w:widowControl w:val="0"/>
        <w:kinsoku/>
        <w:wordWrap/>
        <w:overflowPunct/>
        <w:topLinePunct w:val="0"/>
        <w:autoSpaceDN/>
        <w:bidi w:val="0"/>
        <w:spacing w:line="400" w:lineRule="exact"/>
        <w:ind w:left="0" w:leftChars="0" w:firstLine="480" w:firstLineChars="200"/>
        <w:jc w:val="both"/>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CN"/>
        </w:rPr>
        <w:t>4</w:t>
      </w:r>
      <w:r>
        <w:rPr>
          <w:rFonts w:hint="default" w:ascii="Times New Roman" w:hAnsi="Times New Roman" w:eastAsia="宋体" w:cs="Times New Roman"/>
          <w:kern w:val="0"/>
          <w:sz w:val="24"/>
          <w:szCs w:val="24"/>
          <w:highlight w:val="none"/>
        </w:rPr>
        <w:t>.2服务地点：海盐</w:t>
      </w:r>
      <w:r>
        <w:rPr>
          <w:rFonts w:hint="default" w:ascii="Times New Roman" w:hAnsi="Times New Roman" w:eastAsia="宋体" w:cs="Times New Roman"/>
          <w:kern w:val="0"/>
          <w:sz w:val="24"/>
          <w:szCs w:val="24"/>
          <w:highlight w:val="none"/>
          <w:lang w:eastAsia="zh-CN"/>
        </w:rPr>
        <w:t>县</w:t>
      </w:r>
      <w:r>
        <w:rPr>
          <w:rFonts w:hint="default" w:ascii="Times New Roman" w:hAnsi="Times New Roman" w:eastAsia="宋体" w:cs="Times New Roman"/>
          <w:kern w:val="0"/>
          <w:sz w:val="24"/>
          <w:szCs w:val="24"/>
          <w:highlight w:val="none"/>
        </w:rPr>
        <w:t>。</w:t>
      </w:r>
    </w:p>
    <w:p w14:paraId="15716CB1">
      <w:pPr>
        <w:keepNext w:val="0"/>
        <w:keepLines w:val="0"/>
        <w:pageBreakBefore w:val="0"/>
        <w:widowControl w:val="0"/>
        <w:kinsoku/>
        <w:wordWrap/>
        <w:overflowPunct/>
        <w:topLinePunct w:val="0"/>
        <w:autoSpaceDN/>
        <w:bidi w:val="0"/>
        <w:snapToGrid w:val="0"/>
        <w:spacing w:line="400" w:lineRule="exact"/>
        <w:ind w:left="0" w:leftChars="0" w:firstLine="482" w:firstLineChars="200"/>
        <w:jc w:val="both"/>
        <w:textAlignment w:val="auto"/>
        <w:rPr>
          <w:rFonts w:hint="default" w:ascii="Times New Roman" w:hAnsi="Times New Roman" w:eastAsia="宋体" w:cs="Times New Roman"/>
          <w:bCs/>
          <w:kern w:val="2"/>
          <w:sz w:val="24"/>
          <w:szCs w:val="24"/>
          <w:highlight w:val="none"/>
          <w:lang w:val="en-US" w:eastAsia="zh-CN" w:bidi="ar-SA"/>
        </w:rPr>
      </w:pPr>
      <w:r>
        <w:rPr>
          <w:rFonts w:hint="default" w:ascii="Times New Roman" w:hAnsi="Times New Roman" w:eastAsia="宋体" w:cs="Times New Roman"/>
          <w:b/>
          <w:kern w:val="2"/>
          <w:sz w:val="24"/>
          <w:szCs w:val="24"/>
          <w:highlight w:val="none"/>
          <w:lang w:val="en-US" w:eastAsia="zh-CN" w:bidi="ar-SA"/>
        </w:rPr>
        <w:t xml:space="preserve">第五条  </w:t>
      </w:r>
      <w:r>
        <w:rPr>
          <w:rFonts w:hint="default" w:ascii="Times New Roman" w:hAnsi="Times New Roman" w:eastAsia="宋体" w:cs="Times New Roman"/>
          <w:kern w:val="2"/>
          <w:sz w:val="24"/>
          <w:szCs w:val="24"/>
          <w:highlight w:val="none"/>
          <w:lang w:val="en-US" w:eastAsia="zh-CN" w:bidi="ar-SA"/>
        </w:rPr>
        <w:t>乙方承</w:t>
      </w:r>
      <w:r>
        <w:rPr>
          <w:rFonts w:hint="default" w:ascii="Times New Roman" w:hAnsi="Times New Roman" w:eastAsia="宋体" w:cs="Times New Roman"/>
          <w:bCs/>
          <w:kern w:val="2"/>
          <w:sz w:val="24"/>
          <w:szCs w:val="24"/>
          <w:highlight w:val="none"/>
          <w:lang w:val="en-US" w:eastAsia="zh-CN" w:bidi="ar-SA"/>
        </w:rPr>
        <w:t>担完成本采购项目的一切费用(包括不可预见费用)和市场风险。</w:t>
      </w:r>
    </w:p>
    <w:p w14:paraId="3BC73FED">
      <w:pPr>
        <w:keepNext w:val="0"/>
        <w:keepLines w:val="0"/>
        <w:pageBreakBefore w:val="0"/>
        <w:widowControl w:val="0"/>
        <w:kinsoku/>
        <w:wordWrap/>
        <w:overflowPunct/>
        <w:topLinePunct w:val="0"/>
        <w:autoSpaceDE w:val="0"/>
        <w:autoSpaceDN/>
        <w:bidi w:val="0"/>
        <w:adjustRightInd w:val="0"/>
        <w:spacing w:line="400" w:lineRule="exact"/>
        <w:ind w:left="0" w:leftChars="0" w:firstLine="482" w:firstLineChars="200"/>
        <w:jc w:val="left"/>
        <w:textAlignment w:val="auto"/>
        <w:rPr>
          <w:rFonts w:hint="default" w:ascii="Times New Roman" w:hAnsi="Times New Roman" w:eastAsia="宋体" w:cs="Times New Roman"/>
          <w:b/>
          <w:kern w:val="2"/>
          <w:sz w:val="24"/>
          <w:szCs w:val="24"/>
          <w:highlight w:val="none"/>
        </w:rPr>
      </w:pPr>
      <w:r>
        <w:rPr>
          <w:rFonts w:hint="default" w:ascii="Times New Roman" w:hAnsi="Times New Roman" w:eastAsia="宋体" w:cs="Times New Roman"/>
          <w:b/>
          <w:kern w:val="2"/>
          <w:sz w:val="24"/>
          <w:szCs w:val="24"/>
          <w:highlight w:val="none"/>
        </w:rPr>
        <w:t>第</w:t>
      </w:r>
      <w:r>
        <w:rPr>
          <w:rFonts w:hint="eastAsia" w:ascii="Times New Roman" w:hAnsi="Times New Roman" w:eastAsia="宋体" w:cs="Times New Roman"/>
          <w:b/>
          <w:kern w:val="2"/>
          <w:sz w:val="24"/>
          <w:szCs w:val="24"/>
          <w:highlight w:val="none"/>
          <w:lang w:eastAsia="zh-CN"/>
        </w:rPr>
        <w:t>六</w:t>
      </w:r>
      <w:r>
        <w:rPr>
          <w:rFonts w:hint="default" w:ascii="Times New Roman" w:hAnsi="Times New Roman" w:eastAsia="宋体" w:cs="Times New Roman"/>
          <w:b/>
          <w:kern w:val="2"/>
          <w:sz w:val="24"/>
          <w:szCs w:val="24"/>
          <w:highlight w:val="none"/>
        </w:rPr>
        <w:t>条</w:t>
      </w:r>
      <w:r>
        <w:rPr>
          <w:rFonts w:hint="default" w:ascii="Times New Roman" w:hAnsi="Times New Roman" w:eastAsia="宋体" w:cs="Times New Roman"/>
          <w:b/>
          <w:kern w:val="2"/>
          <w:sz w:val="24"/>
          <w:szCs w:val="24"/>
          <w:highlight w:val="none"/>
          <w:lang w:val="en-US" w:eastAsia="zh-CN"/>
        </w:rPr>
        <w:t xml:space="preserve"> </w:t>
      </w:r>
      <w:r>
        <w:rPr>
          <w:rFonts w:hint="default" w:ascii="Times New Roman" w:hAnsi="Times New Roman" w:eastAsia="宋体" w:cs="Times New Roman"/>
          <w:b/>
          <w:kern w:val="2"/>
          <w:sz w:val="24"/>
          <w:szCs w:val="24"/>
          <w:highlight w:val="none"/>
        </w:rPr>
        <w:t>其他约定</w:t>
      </w:r>
    </w:p>
    <w:p w14:paraId="1878AB54">
      <w:pPr>
        <w:keepNext w:val="0"/>
        <w:keepLines w:val="0"/>
        <w:pageBreakBefore w:val="0"/>
        <w:widowControl w:val="0"/>
        <w:kinsoku/>
        <w:wordWrap/>
        <w:overflowPunct/>
        <w:topLinePunct w:val="0"/>
        <w:autoSpaceDN/>
        <w:bidi w:val="0"/>
        <w:spacing w:line="400" w:lineRule="exact"/>
        <w:ind w:left="0" w:leftChars="0" w:firstLine="480" w:firstLineChars="200"/>
        <w:jc w:val="both"/>
        <w:textAlignment w:val="auto"/>
        <w:rPr>
          <w:rFonts w:hint="default" w:ascii="Times New Roman" w:hAnsi="Times New Roman" w:eastAsia="宋体" w:cs="Times New Roman"/>
          <w:snapToGrid w:val="0"/>
          <w:kern w:val="0"/>
          <w:sz w:val="24"/>
          <w:szCs w:val="24"/>
          <w:highlight w:val="none"/>
        </w:rPr>
      </w:pPr>
      <w:r>
        <w:rPr>
          <w:rFonts w:hint="eastAsia" w:ascii="Times New Roman" w:hAnsi="Times New Roman" w:eastAsia="宋体" w:cs="Times New Roman"/>
          <w:snapToGrid w:val="0"/>
          <w:kern w:val="0"/>
          <w:sz w:val="24"/>
          <w:szCs w:val="24"/>
          <w:highlight w:val="none"/>
          <w:lang w:val="en-US" w:eastAsia="zh-CN"/>
        </w:rPr>
        <w:t>6</w:t>
      </w:r>
      <w:r>
        <w:rPr>
          <w:rFonts w:hint="default" w:ascii="Times New Roman" w:hAnsi="Times New Roman" w:eastAsia="宋体" w:cs="Times New Roman"/>
          <w:snapToGrid w:val="0"/>
          <w:kern w:val="0"/>
          <w:sz w:val="24"/>
          <w:szCs w:val="24"/>
          <w:highlight w:val="none"/>
        </w:rPr>
        <w:t>.1</w:t>
      </w:r>
      <w:r>
        <w:rPr>
          <w:rFonts w:hint="default" w:ascii="Times New Roman" w:hAnsi="Times New Roman" w:eastAsia="宋体" w:cs="Times New Roman"/>
          <w:snapToGrid w:val="0"/>
          <w:kern w:val="0"/>
          <w:sz w:val="24"/>
          <w:szCs w:val="24"/>
          <w:highlight w:val="none"/>
          <w:lang w:eastAsia="zh-CN"/>
        </w:rPr>
        <w:t>乙方</w:t>
      </w:r>
      <w:r>
        <w:rPr>
          <w:rFonts w:hint="default" w:ascii="Times New Roman" w:hAnsi="Times New Roman" w:eastAsia="宋体" w:cs="Times New Roman"/>
          <w:snapToGrid w:val="0"/>
          <w:kern w:val="0"/>
          <w:sz w:val="24"/>
          <w:szCs w:val="24"/>
          <w:highlight w:val="none"/>
        </w:rPr>
        <w:t>提供的服务必须是合法有效。</w:t>
      </w:r>
    </w:p>
    <w:p w14:paraId="3A9A1877">
      <w:pPr>
        <w:keepNext w:val="0"/>
        <w:keepLines w:val="0"/>
        <w:pageBreakBefore w:val="0"/>
        <w:widowControl w:val="0"/>
        <w:kinsoku/>
        <w:wordWrap/>
        <w:overflowPunct/>
        <w:topLinePunct w:val="0"/>
        <w:autoSpaceDN/>
        <w:bidi w:val="0"/>
        <w:spacing w:line="400" w:lineRule="exact"/>
        <w:ind w:left="0" w:leftChars="0" w:firstLine="480" w:firstLineChars="200"/>
        <w:jc w:val="both"/>
        <w:textAlignment w:val="auto"/>
        <w:rPr>
          <w:rFonts w:hint="default" w:ascii="Times New Roman" w:hAnsi="Times New Roman" w:eastAsia="宋体" w:cs="Times New Roman"/>
          <w:snapToGrid w:val="0"/>
          <w:kern w:val="0"/>
          <w:sz w:val="24"/>
          <w:szCs w:val="24"/>
          <w:highlight w:val="none"/>
        </w:rPr>
      </w:pPr>
      <w:r>
        <w:rPr>
          <w:rFonts w:hint="eastAsia" w:ascii="Times New Roman" w:hAnsi="Times New Roman" w:eastAsia="宋体" w:cs="Times New Roman"/>
          <w:snapToGrid w:val="0"/>
          <w:kern w:val="0"/>
          <w:sz w:val="24"/>
          <w:szCs w:val="24"/>
          <w:highlight w:val="none"/>
          <w:lang w:val="en-US" w:eastAsia="zh-CN"/>
        </w:rPr>
        <w:t>6</w:t>
      </w:r>
      <w:r>
        <w:rPr>
          <w:rFonts w:hint="default" w:ascii="Times New Roman" w:hAnsi="Times New Roman" w:eastAsia="宋体" w:cs="Times New Roman"/>
          <w:snapToGrid w:val="0"/>
          <w:kern w:val="0"/>
          <w:sz w:val="24"/>
          <w:szCs w:val="24"/>
          <w:highlight w:val="none"/>
        </w:rPr>
        <w:t>.2</w:t>
      </w:r>
      <w:r>
        <w:rPr>
          <w:rFonts w:hint="default" w:ascii="Times New Roman" w:hAnsi="Times New Roman" w:eastAsia="宋体" w:cs="Times New Roman"/>
          <w:snapToGrid w:val="0"/>
          <w:kern w:val="0"/>
          <w:sz w:val="24"/>
          <w:szCs w:val="24"/>
          <w:highlight w:val="none"/>
          <w:lang w:eastAsia="zh-CN"/>
        </w:rPr>
        <w:t>乙方</w:t>
      </w:r>
      <w:r>
        <w:rPr>
          <w:rFonts w:hint="default" w:ascii="Times New Roman" w:hAnsi="Times New Roman" w:eastAsia="宋体" w:cs="Times New Roman"/>
          <w:snapToGrid w:val="0"/>
          <w:kern w:val="0"/>
          <w:sz w:val="24"/>
          <w:szCs w:val="24"/>
          <w:highlight w:val="none"/>
        </w:rPr>
        <w:t>对于服务分评分标准中承诺的事项，以及在投标书中承诺的合作支持及优惠条件等内容，将列为合作的履约必要条款。</w:t>
      </w:r>
    </w:p>
    <w:p w14:paraId="079281DC">
      <w:pPr>
        <w:keepNext w:val="0"/>
        <w:keepLines w:val="0"/>
        <w:pageBreakBefore w:val="0"/>
        <w:widowControl w:val="0"/>
        <w:kinsoku/>
        <w:wordWrap/>
        <w:overflowPunct/>
        <w:topLinePunct w:val="0"/>
        <w:autoSpaceDN/>
        <w:bidi w:val="0"/>
        <w:spacing w:line="400" w:lineRule="exact"/>
        <w:ind w:left="0" w:leftChars="0" w:firstLine="480" w:firstLineChars="200"/>
        <w:jc w:val="both"/>
        <w:textAlignment w:val="auto"/>
        <w:rPr>
          <w:rFonts w:hint="default" w:ascii="Times New Roman" w:hAnsi="Times New Roman" w:eastAsia="宋体" w:cs="Times New Roman"/>
          <w:snapToGrid w:val="0"/>
          <w:kern w:val="0"/>
          <w:sz w:val="24"/>
          <w:szCs w:val="24"/>
          <w:highlight w:val="none"/>
        </w:rPr>
      </w:pPr>
      <w:r>
        <w:rPr>
          <w:rFonts w:hint="eastAsia" w:ascii="Times New Roman" w:hAnsi="Times New Roman" w:eastAsia="宋体" w:cs="Times New Roman"/>
          <w:snapToGrid w:val="0"/>
          <w:kern w:val="0"/>
          <w:sz w:val="24"/>
          <w:szCs w:val="24"/>
          <w:highlight w:val="none"/>
          <w:lang w:val="en-US" w:eastAsia="zh-CN"/>
        </w:rPr>
        <w:t>6</w:t>
      </w:r>
      <w:r>
        <w:rPr>
          <w:rFonts w:hint="default" w:ascii="Times New Roman" w:hAnsi="Times New Roman" w:eastAsia="宋体" w:cs="Times New Roman"/>
          <w:snapToGrid w:val="0"/>
          <w:kern w:val="0"/>
          <w:sz w:val="24"/>
          <w:szCs w:val="24"/>
          <w:highlight w:val="none"/>
        </w:rPr>
        <w:t>.3因</w:t>
      </w:r>
      <w:r>
        <w:rPr>
          <w:rFonts w:hint="default" w:ascii="Times New Roman" w:hAnsi="Times New Roman" w:eastAsia="宋体" w:cs="Times New Roman"/>
          <w:snapToGrid w:val="0"/>
          <w:kern w:val="0"/>
          <w:sz w:val="24"/>
          <w:szCs w:val="24"/>
          <w:highlight w:val="none"/>
          <w:lang w:eastAsia="zh-CN"/>
        </w:rPr>
        <w:t>乙方</w:t>
      </w:r>
      <w:r>
        <w:rPr>
          <w:rFonts w:hint="default" w:ascii="Times New Roman" w:hAnsi="Times New Roman" w:eastAsia="宋体" w:cs="Times New Roman"/>
          <w:snapToGrid w:val="0"/>
          <w:kern w:val="0"/>
          <w:sz w:val="24"/>
          <w:szCs w:val="24"/>
          <w:highlight w:val="none"/>
        </w:rPr>
        <w:t>提供的服务达不到约定的标准，中标人</w:t>
      </w:r>
      <w:r>
        <w:rPr>
          <w:rFonts w:hint="default" w:ascii="Times New Roman" w:hAnsi="Times New Roman" w:eastAsia="宋体" w:cs="Times New Roman"/>
          <w:snapToGrid w:val="0"/>
          <w:kern w:val="0"/>
          <w:sz w:val="24"/>
          <w:szCs w:val="24"/>
          <w:highlight w:val="none"/>
          <w:lang w:eastAsia="zh-CN"/>
        </w:rPr>
        <w:t>乙方</w:t>
      </w:r>
      <w:r>
        <w:rPr>
          <w:rFonts w:hint="default" w:ascii="Times New Roman" w:hAnsi="Times New Roman" w:eastAsia="宋体" w:cs="Times New Roman"/>
          <w:snapToGrid w:val="0"/>
          <w:kern w:val="0"/>
          <w:sz w:val="24"/>
          <w:szCs w:val="24"/>
          <w:highlight w:val="none"/>
        </w:rPr>
        <w:t>承担违约责任。</w:t>
      </w:r>
    </w:p>
    <w:p w14:paraId="5CEDEFD4">
      <w:pPr>
        <w:keepNext w:val="0"/>
        <w:keepLines w:val="0"/>
        <w:pageBreakBefore w:val="0"/>
        <w:widowControl w:val="0"/>
        <w:kinsoku/>
        <w:wordWrap/>
        <w:overflowPunct/>
        <w:topLinePunct w:val="0"/>
        <w:autoSpaceDE w:val="0"/>
        <w:autoSpaceDN/>
        <w:bidi w:val="0"/>
        <w:adjustRightInd w:val="0"/>
        <w:spacing w:line="400" w:lineRule="exact"/>
        <w:ind w:left="0" w:leftChars="0" w:firstLine="482" w:firstLineChars="200"/>
        <w:jc w:val="both"/>
        <w:textAlignment w:val="auto"/>
        <w:rPr>
          <w:rFonts w:hint="default" w:ascii="Times New Roman" w:hAnsi="Times New Roman" w:eastAsia="宋体" w:cs="Times New Roman"/>
          <w:b/>
          <w:kern w:val="2"/>
          <w:sz w:val="24"/>
          <w:szCs w:val="24"/>
          <w:highlight w:val="none"/>
        </w:rPr>
      </w:pPr>
      <w:r>
        <w:rPr>
          <w:rFonts w:hint="default" w:ascii="Times New Roman" w:hAnsi="Times New Roman" w:eastAsia="宋体" w:cs="Times New Roman"/>
          <w:b/>
          <w:kern w:val="2"/>
          <w:sz w:val="24"/>
          <w:szCs w:val="24"/>
          <w:highlight w:val="none"/>
        </w:rPr>
        <w:t>第</w:t>
      </w:r>
      <w:r>
        <w:rPr>
          <w:rFonts w:hint="eastAsia" w:ascii="Times New Roman" w:hAnsi="Times New Roman" w:eastAsia="宋体" w:cs="Times New Roman"/>
          <w:b/>
          <w:kern w:val="2"/>
          <w:sz w:val="24"/>
          <w:szCs w:val="24"/>
          <w:highlight w:val="none"/>
          <w:lang w:eastAsia="zh-CN"/>
        </w:rPr>
        <w:t>七</w:t>
      </w:r>
      <w:r>
        <w:rPr>
          <w:rFonts w:hint="default" w:ascii="Times New Roman" w:hAnsi="Times New Roman" w:eastAsia="宋体" w:cs="Times New Roman"/>
          <w:b/>
          <w:kern w:val="2"/>
          <w:sz w:val="24"/>
          <w:szCs w:val="24"/>
          <w:highlight w:val="none"/>
        </w:rPr>
        <w:t>条</w:t>
      </w:r>
      <w:r>
        <w:rPr>
          <w:rFonts w:hint="default" w:ascii="Times New Roman" w:hAnsi="Times New Roman" w:eastAsia="宋体" w:cs="Times New Roman"/>
          <w:b/>
          <w:kern w:val="2"/>
          <w:sz w:val="24"/>
          <w:szCs w:val="24"/>
          <w:highlight w:val="none"/>
          <w:lang w:val="en-US" w:eastAsia="zh-CN"/>
        </w:rPr>
        <w:t xml:space="preserve"> </w:t>
      </w:r>
      <w:r>
        <w:rPr>
          <w:rFonts w:hint="default" w:ascii="Times New Roman" w:hAnsi="Times New Roman" w:eastAsia="宋体" w:cs="Times New Roman"/>
          <w:b/>
          <w:kern w:val="2"/>
          <w:sz w:val="24"/>
          <w:szCs w:val="24"/>
          <w:highlight w:val="none"/>
        </w:rPr>
        <w:t>违约责任</w:t>
      </w:r>
    </w:p>
    <w:p w14:paraId="49A8DF80">
      <w:pPr>
        <w:keepNext w:val="0"/>
        <w:keepLines w:val="0"/>
        <w:pageBreakBefore w:val="0"/>
        <w:widowControl w:val="0"/>
        <w:kinsoku/>
        <w:wordWrap/>
        <w:overflowPunct/>
        <w:topLinePunct w:val="0"/>
        <w:autoSpaceDE w:val="0"/>
        <w:autoSpaceDN/>
        <w:bidi w:val="0"/>
        <w:adjustRightInd w:val="0"/>
        <w:spacing w:line="400" w:lineRule="exact"/>
        <w:ind w:left="0" w:leftChars="0" w:firstLine="480" w:firstLineChars="200"/>
        <w:jc w:val="left"/>
        <w:textAlignment w:val="auto"/>
        <w:rPr>
          <w:rFonts w:hint="default" w:ascii="Times New Roman" w:hAnsi="Times New Roman" w:eastAsia="宋体" w:cs="Times New Roman"/>
          <w:bCs/>
          <w:kern w:val="2"/>
          <w:sz w:val="24"/>
          <w:szCs w:val="24"/>
          <w:highlight w:val="none"/>
        </w:rPr>
      </w:pPr>
      <w:r>
        <w:rPr>
          <w:rFonts w:hint="eastAsia" w:ascii="Times New Roman" w:hAnsi="Times New Roman" w:eastAsia="宋体" w:cs="Times New Roman"/>
          <w:bCs/>
          <w:kern w:val="2"/>
          <w:sz w:val="24"/>
          <w:szCs w:val="24"/>
          <w:highlight w:val="none"/>
          <w:lang w:val="en-US" w:eastAsia="zh-CN"/>
        </w:rPr>
        <w:t>7</w:t>
      </w:r>
      <w:r>
        <w:rPr>
          <w:rFonts w:hint="default" w:ascii="Times New Roman" w:hAnsi="Times New Roman" w:eastAsia="宋体" w:cs="Times New Roman"/>
          <w:bCs/>
          <w:kern w:val="2"/>
          <w:sz w:val="24"/>
          <w:szCs w:val="24"/>
          <w:highlight w:val="none"/>
        </w:rPr>
        <w:t>.1由于乙方原因(除不可抗力外)不能按期交付合同标的</w:t>
      </w:r>
      <w:r>
        <w:rPr>
          <w:rFonts w:hint="default" w:ascii="Times New Roman" w:hAnsi="Times New Roman" w:eastAsia="宋体" w:cs="Times New Roman"/>
          <w:bCs/>
          <w:kern w:val="2"/>
          <w:sz w:val="24"/>
          <w:szCs w:val="24"/>
          <w:highlight w:val="none"/>
          <w:lang w:eastAsia="zh-CN"/>
        </w:rPr>
        <w:t>或提供服务</w:t>
      </w:r>
      <w:r>
        <w:rPr>
          <w:rFonts w:hint="default" w:ascii="Times New Roman" w:hAnsi="Times New Roman" w:eastAsia="宋体" w:cs="Times New Roman"/>
          <w:bCs/>
          <w:kern w:val="2"/>
          <w:sz w:val="24"/>
          <w:szCs w:val="24"/>
          <w:highlight w:val="none"/>
        </w:rPr>
        <w:t>，对超出交付期的每一天，乙方应按合同总价款的千分之三承担违约金。若超出交付期十天(含十天)以上的，甲方有权终止合同。</w:t>
      </w:r>
    </w:p>
    <w:p w14:paraId="6B72103C">
      <w:pPr>
        <w:keepNext w:val="0"/>
        <w:keepLines w:val="0"/>
        <w:pageBreakBefore w:val="0"/>
        <w:widowControl w:val="0"/>
        <w:kinsoku/>
        <w:wordWrap/>
        <w:overflowPunct/>
        <w:topLinePunct w:val="0"/>
        <w:autoSpaceDN/>
        <w:bidi w:val="0"/>
        <w:snapToGrid w:val="0"/>
        <w:spacing w:line="400" w:lineRule="exact"/>
        <w:ind w:left="0" w:leftChars="0" w:firstLine="480" w:firstLineChars="200"/>
        <w:jc w:val="both"/>
        <w:textAlignment w:val="auto"/>
        <w:rPr>
          <w:rFonts w:hint="default"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7</w:t>
      </w:r>
      <w:r>
        <w:rPr>
          <w:rFonts w:hint="default" w:ascii="Times New Roman" w:hAnsi="Times New Roman" w:eastAsia="宋体" w:cs="Times New Roman"/>
          <w:bCs/>
          <w:kern w:val="2"/>
          <w:sz w:val="24"/>
          <w:szCs w:val="24"/>
          <w:highlight w:val="none"/>
          <w:lang w:val="en-US" w:eastAsia="zh-CN" w:bidi="ar-SA"/>
        </w:rPr>
        <w:t>.2乙方按合同要求将成果送达甲方后，</w:t>
      </w:r>
      <w:r>
        <w:rPr>
          <w:rFonts w:hint="eastAsia" w:ascii="Times New Roman" w:hAnsi="Times New Roman" w:eastAsia="宋体" w:cs="Times New Roman"/>
          <w:bCs/>
          <w:kern w:val="2"/>
          <w:sz w:val="24"/>
          <w:szCs w:val="24"/>
          <w:highlight w:val="none"/>
          <w:lang w:val="en-US" w:eastAsia="zh-CN" w:bidi="ar-SA"/>
        </w:rPr>
        <w:t>由甲方</w:t>
      </w:r>
      <w:r>
        <w:rPr>
          <w:rFonts w:hint="default" w:ascii="Times New Roman" w:hAnsi="Times New Roman" w:eastAsia="宋体" w:cs="Times New Roman"/>
          <w:bCs/>
          <w:kern w:val="2"/>
          <w:sz w:val="24"/>
          <w:szCs w:val="24"/>
          <w:highlight w:val="none"/>
          <w:lang w:val="en-US" w:eastAsia="zh-CN" w:bidi="ar-SA"/>
        </w:rPr>
        <w:t>验收。如遇特殊情况甲方要求推迟供货或验收的，必须事先征得乙方的同意。</w:t>
      </w:r>
    </w:p>
    <w:p w14:paraId="5BA6918A">
      <w:pPr>
        <w:keepNext w:val="0"/>
        <w:keepLines w:val="0"/>
        <w:pageBreakBefore w:val="0"/>
        <w:widowControl w:val="0"/>
        <w:kinsoku/>
        <w:wordWrap/>
        <w:overflowPunct/>
        <w:topLinePunct w:val="0"/>
        <w:autoSpaceDN/>
        <w:bidi w:val="0"/>
        <w:snapToGrid w:val="0"/>
        <w:spacing w:line="400" w:lineRule="exact"/>
        <w:ind w:left="0" w:leftChars="0" w:firstLine="482" w:firstLineChars="200"/>
        <w:jc w:val="both"/>
        <w:textAlignment w:val="auto"/>
        <w:rPr>
          <w:rFonts w:hint="default" w:ascii="Times New Roman" w:hAnsi="Times New Roman" w:eastAsia="宋体" w:cs="Times New Roman"/>
          <w:b/>
          <w:kern w:val="2"/>
          <w:sz w:val="24"/>
          <w:szCs w:val="24"/>
          <w:highlight w:val="none"/>
          <w:lang w:val="en-US" w:eastAsia="zh-CN" w:bidi="ar-SA"/>
        </w:rPr>
      </w:pPr>
      <w:r>
        <w:rPr>
          <w:rFonts w:hint="default" w:ascii="Times New Roman" w:hAnsi="Times New Roman" w:eastAsia="宋体" w:cs="Times New Roman"/>
          <w:b/>
          <w:kern w:val="2"/>
          <w:sz w:val="24"/>
          <w:szCs w:val="24"/>
          <w:highlight w:val="none"/>
          <w:lang w:val="en-US" w:eastAsia="zh-CN" w:bidi="ar-SA"/>
        </w:rPr>
        <w:t>第</w:t>
      </w:r>
      <w:r>
        <w:rPr>
          <w:rFonts w:hint="eastAsia" w:ascii="Times New Roman" w:hAnsi="Times New Roman" w:eastAsia="宋体" w:cs="Times New Roman"/>
          <w:b/>
          <w:kern w:val="2"/>
          <w:sz w:val="24"/>
          <w:szCs w:val="24"/>
          <w:highlight w:val="none"/>
          <w:lang w:val="en-US" w:eastAsia="zh-CN" w:bidi="ar-SA"/>
        </w:rPr>
        <w:t>八</w:t>
      </w:r>
      <w:r>
        <w:rPr>
          <w:rFonts w:hint="default" w:ascii="Times New Roman" w:hAnsi="Times New Roman" w:eastAsia="宋体" w:cs="Times New Roman"/>
          <w:b/>
          <w:kern w:val="2"/>
          <w:sz w:val="24"/>
          <w:szCs w:val="24"/>
          <w:highlight w:val="none"/>
          <w:lang w:val="en-US" w:eastAsia="zh-CN" w:bidi="ar-SA"/>
        </w:rPr>
        <w:t>条 不可抗力事件处理</w:t>
      </w:r>
    </w:p>
    <w:p w14:paraId="381CA334">
      <w:pPr>
        <w:keepNext w:val="0"/>
        <w:keepLines w:val="0"/>
        <w:pageBreakBefore w:val="0"/>
        <w:widowControl w:val="0"/>
        <w:kinsoku/>
        <w:wordWrap/>
        <w:overflowPunct/>
        <w:topLinePunct w:val="0"/>
        <w:autoSpaceDN/>
        <w:bidi w:val="0"/>
        <w:snapToGrid w:val="0"/>
        <w:spacing w:line="400" w:lineRule="exact"/>
        <w:ind w:left="0" w:leftChars="0"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8</w:t>
      </w:r>
      <w:r>
        <w:rPr>
          <w:rFonts w:hint="default" w:ascii="Times New Roman" w:hAnsi="Times New Roman" w:eastAsia="宋体" w:cs="Times New Roman"/>
          <w:kern w:val="2"/>
          <w:sz w:val="24"/>
          <w:szCs w:val="24"/>
          <w:highlight w:val="none"/>
          <w:lang w:val="en-US" w:eastAsia="zh-CN" w:bidi="ar-SA"/>
        </w:rPr>
        <w:t>.1在合同有效期内，任何一方因不可抗力事件导致不能履行合同，则合同履行期可延长，其延长期与不可抗力影响期相同。</w:t>
      </w:r>
    </w:p>
    <w:p w14:paraId="3888F937">
      <w:pPr>
        <w:keepNext w:val="0"/>
        <w:keepLines w:val="0"/>
        <w:pageBreakBefore w:val="0"/>
        <w:widowControl w:val="0"/>
        <w:kinsoku/>
        <w:wordWrap/>
        <w:overflowPunct/>
        <w:topLinePunct w:val="0"/>
        <w:autoSpaceDN/>
        <w:bidi w:val="0"/>
        <w:snapToGrid w:val="0"/>
        <w:spacing w:line="400" w:lineRule="exact"/>
        <w:ind w:left="0" w:leftChars="0"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8</w:t>
      </w:r>
      <w:r>
        <w:rPr>
          <w:rFonts w:hint="default" w:ascii="Times New Roman" w:hAnsi="Times New Roman" w:eastAsia="宋体" w:cs="Times New Roman"/>
          <w:kern w:val="2"/>
          <w:sz w:val="24"/>
          <w:szCs w:val="24"/>
          <w:highlight w:val="none"/>
          <w:lang w:val="en-US" w:eastAsia="zh-CN" w:bidi="ar-SA"/>
        </w:rPr>
        <w:t>.2不可抗力事件发生后，应立即通知对方，并寄送有关权威机构出具的证明。</w:t>
      </w:r>
    </w:p>
    <w:p w14:paraId="00661E52">
      <w:pPr>
        <w:keepNext w:val="0"/>
        <w:keepLines w:val="0"/>
        <w:pageBreakBefore w:val="0"/>
        <w:widowControl w:val="0"/>
        <w:kinsoku/>
        <w:wordWrap/>
        <w:overflowPunct/>
        <w:topLinePunct w:val="0"/>
        <w:autoSpaceDN/>
        <w:bidi w:val="0"/>
        <w:snapToGrid w:val="0"/>
        <w:spacing w:line="400" w:lineRule="exact"/>
        <w:ind w:left="0" w:leftChars="0"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8</w:t>
      </w:r>
      <w:r>
        <w:rPr>
          <w:rFonts w:hint="default" w:ascii="Times New Roman" w:hAnsi="Times New Roman" w:eastAsia="宋体" w:cs="Times New Roman"/>
          <w:kern w:val="2"/>
          <w:sz w:val="24"/>
          <w:szCs w:val="24"/>
          <w:highlight w:val="none"/>
          <w:lang w:val="en-US" w:eastAsia="zh-CN" w:bidi="ar-SA"/>
        </w:rPr>
        <w:t>.3不可抗力事件延续120天以上，双方应通过友好协商，确定是否继续履行合同。</w:t>
      </w:r>
    </w:p>
    <w:p w14:paraId="548A4171">
      <w:pPr>
        <w:keepNext w:val="0"/>
        <w:keepLines w:val="0"/>
        <w:pageBreakBefore w:val="0"/>
        <w:widowControl w:val="0"/>
        <w:kinsoku/>
        <w:wordWrap/>
        <w:overflowPunct/>
        <w:topLinePunct w:val="0"/>
        <w:autoSpaceDN/>
        <w:bidi w:val="0"/>
        <w:snapToGrid w:val="0"/>
        <w:spacing w:line="400" w:lineRule="exact"/>
        <w:ind w:left="0" w:leftChars="0" w:firstLine="482" w:firstLineChars="200"/>
        <w:jc w:val="both"/>
        <w:textAlignment w:val="auto"/>
        <w:rPr>
          <w:rFonts w:hint="default" w:ascii="Times New Roman" w:hAnsi="Times New Roman" w:eastAsia="宋体" w:cs="Times New Roman"/>
          <w:b/>
          <w:kern w:val="2"/>
          <w:sz w:val="24"/>
          <w:szCs w:val="24"/>
          <w:highlight w:val="none"/>
          <w:lang w:val="en-US" w:eastAsia="zh-CN" w:bidi="ar-SA"/>
        </w:rPr>
      </w:pPr>
      <w:r>
        <w:rPr>
          <w:rFonts w:hint="default" w:ascii="Times New Roman" w:hAnsi="Times New Roman" w:eastAsia="宋体" w:cs="Times New Roman"/>
          <w:b/>
          <w:kern w:val="2"/>
          <w:sz w:val="24"/>
          <w:szCs w:val="24"/>
          <w:highlight w:val="none"/>
          <w:lang w:val="en-US" w:eastAsia="zh-CN" w:bidi="ar-SA"/>
        </w:rPr>
        <w:t>第</w:t>
      </w:r>
      <w:r>
        <w:rPr>
          <w:rFonts w:hint="eastAsia" w:ascii="Times New Roman" w:hAnsi="Times New Roman" w:eastAsia="宋体" w:cs="Times New Roman"/>
          <w:b/>
          <w:kern w:val="2"/>
          <w:sz w:val="24"/>
          <w:szCs w:val="24"/>
          <w:highlight w:val="none"/>
          <w:lang w:val="en-US" w:eastAsia="zh-CN" w:bidi="ar-SA"/>
        </w:rPr>
        <w:t>九</w:t>
      </w:r>
      <w:r>
        <w:rPr>
          <w:rFonts w:hint="default" w:ascii="Times New Roman" w:hAnsi="Times New Roman" w:eastAsia="宋体" w:cs="Times New Roman"/>
          <w:b/>
          <w:kern w:val="2"/>
          <w:sz w:val="24"/>
          <w:szCs w:val="24"/>
          <w:highlight w:val="none"/>
          <w:lang w:val="en-US" w:eastAsia="zh-CN" w:bidi="ar-SA"/>
        </w:rPr>
        <w:t>条 合同生效及其它</w:t>
      </w:r>
    </w:p>
    <w:p w14:paraId="3E3DF451">
      <w:pPr>
        <w:keepNext w:val="0"/>
        <w:keepLines w:val="0"/>
        <w:pageBreakBefore w:val="0"/>
        <w:widowControl w:val="0"/>
        <w:kinsoku/>
        <w:wordWrap/>
        <w:overflowPunct/>
        <w:topLinePunct w:val="0"/>
        <w:autoSpaceDN/>
        <w:bidi w:val="0"/>
        <w:snapToGrid w:val="0"/>
        <w:spacing w:line="400" w:lineRule="exact"/>
        <w:ind w:left="0" w:leftChars="0"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9</w:t>
      </w:r>
      <w:r>
        <w:rPr>
          <w:rFonts w:hint="default" w:ascii="Times New Roman" w:hAnsi="Times New Roman" w:eastAsia="宋体" w:cs="Times New Roman"/>
          <w:kern w:val="2"/>
          <w:sz w:val="24"/>
          <w:szCs w:val="24"/>
          <w:highlight w:val="none"/>
          <w:lang w:val="en-US" w:eastAsia="zh-CN" w:bidi="ar-SA"/>
        </w:rPr>
        <w:t>.1合同经双方法定代表人（负责人）或授权委托人签字</w:t>
      </w:r>
      <w:r>
        <w:rPr>
          <w:rFonts w:hint="eastAsia" w:ascii="Times New Roman" w:hAnsi="Times New Roman" w:eastAsia="宋体" w:cs="Times New Roman"/>
          <w:kern w:val="2"/>
          <w:sz w:val="24"/>
          <w:szCs w:val="24"/>
          <w:highlight w:val="none"/>
          <w:lang w:val="en-US" w:eastAsia="zh-CN" w:bidi="ar-SA"/>
        </w:rPr>
        <w:t>（或盖章）</w:t>
      </w:r>
      <w:r>
        <w:rPr>
          <w:rFonts w:hint="default" w:ascii="Times New Roman" w:hAnsi="Times New Roman" w:eastAsia="宋体" w:cs="Times New Roman"/>
          <w:kern w:val="2"/>
          <w:sz w:val="24"/>
          <w:szCs w:val="24"/>
          <w:highlight w:val="none"/>
          <w:lang w:val="en-US" w:eastAsia="zh-CN" w:bidi="ar-SA"/>
        </w:rPr>
        <w:t>并加盖单位公章后生效。</w:t>
      </w:r>
    </w:p>
    <w:p w14:paraId="73A76A1B">
      <w:pPr>
        <w:keepNext w:val="0"/>
        <w:keepLines w:val="0"/>
        <w:pageBreakBefore w:val="0"/>
        <w:widowControl w:val="0"/>
        <w:kinsoku/>
        <w:wordWrap/>
        <w:overflowPunct/>
        <w:topLinePunct w:val="0"/>
        <w:autoSpaceDN/>
        <w:bidi w:val="0"/>
        <w:snapToGrid w:val="0"/>
        <w:spacing w:line="400" w:lineRule="exact"/>
        <w:ind w:left="0" w:leftChars="0"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9</w:t>
      </w:r>
      <w:r>
        <w:rPr>
          <w:rFonts w:hint="default" w:ascii="Times New Roman" w:hAnsi="Times New Roman" w:eastAsia="宋体" w:cs="Times New Roman"/>
          <w:kern w:val="2"/>
          <w:sz w:val="24"/>
          <w:szCs w:val="24"/>
          <w:highlight w:val="none"/>
          <w:lang w:val="en-US" w:eastAsia="zh-CN" w:bidi="ar-SA"/>
        </w:rPr>
        <w:t>.2合同执行中涉及采购资金和采购内容修改或补充的，须经海盐县财政部门审批，并签书面补充协议报海盐县政府采购监督管理部门备案，方可作为主合同不可分割的一部分。</w:t>
      </w:r>
    </w:p>
    <w:p w14:paraId="66A73B0A">
      <w:pPr>
        <w:keepNext w:val="0"/>
        <w:keepLines w:val="0"/>
        <w:pageBreakBefore w:val="0"/>
        <w:widowControl w:val="0"/>
        <w:kinsoku/>
        <w:wordWrap/>
        <w:overflowPunct/>
        <w:topLinePunct w:val="0"/>
        <w:autoSpaceDN/>
        <w:bidi w:val="0"/>
        <w:snapToGrid w:val="0"/>
        <w:spacing w:line="400" w:lineRule="exact"/>
        <w:ind w:left="0" w:leftChars="0"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9</w:t>
      </w:r>
      <w:r>
        <w:rPr>
          <w:rFonts w:hint="default" w:ascii="Times New Roman" w:hAnsi="Times New Roman" w:eastAsia="宋体" w:cs="Times New Roman"/>
          <w:kern w:val="2"/>
          <w:sz w:val="24"/>
          <w:szCs w:val="24"/>
          <w:highlight w:val="none"/>
          <w:lang w:val="en-US" w:eastAsia="zh-CN" w:bidi="ar-SA"/>
        </w:rPr>
        <w:t>.3本合同未尽事宜，遵照《中国人民共和国民法典》有关条文执行。</w:t>
      </w:r>
    </w:p>
    <w:p w14:paraId="4EF005CF">
      <w:pPr>
        <w:keepNext w:val="0"/>
        <w:keepLines w:val="0"/>
        <w:pageBreakBefore w:val="0"/>
        <w:widowControl w:val="0"/>
        <w:kinsoku/>
        <w:wordWrap/>
        <w:overflowPunct/>
        <w:topLinePunct w:val="0"/>
        <w:autoSpaceDN/>
        <w:bidi w:val="0"/>
        <w:snapToGrid w:val="0"/>
        <w:spacing w:line="400" w:lineRule="exact"/>
        <w:ind w:left="0" w:leftChars="0"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p>
    <w:p w14:paraId="041183FB">
      <w:pPr>
        <w:keepNext w:val="0"/>
        <w:keepLines w:val="0"/>
        <w:pageBreakBefore w:val="0"/>
        <w:widowControl w:val="0"/>
        <w:kinsoku/>
        <w:wordWrap/>
        <w:overflowPunct/>
        <w:topLinePunct w:val="0"/>
        <w:autoSpaceDN/>
        <w:bidi w:val="0"/>
        <w:snapToGrid w:val="0"/>
        <w:spacing w:line="400" w:lineRule="exact"/>
        <w:ind w:left="0" w:leftChars="0"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甲方</w:t>
      </w:r>
      <w:r>
        <w:rPr>
          <w:rFonts w:hint="eastAsia" w:ascii="Times New Roman" w:hAnsi="Times New Roman" w:eastAsia="宋体" w:cs="Times New Roman"/>
          <w:kern w:val="2"/>
          <w:sz w:val="24"/>
          <w:szCs w:val="24"/>
          <w:highlight w:val="none"/>
          <w:lang w:val="en-US" w:eastAsia="zh-CN" w:bidi="ar-SA"/>
        </w:rPr>
        <w:t>（盖章）</w:t>
      </w:r>
      <w:r>
        <w:rPr>
          <w:rFonts w:hint="default" w:ascii="Times New Roman" w:hAnsi="Times New Roman" w:eastAsia="宋体" w:cs="Times New Roman"/>
          <w:kern w:val="2"/>
          <w:sz w:val="24"/>
          <w:szCs w:val="24"/>
          <w:highlight w:val="none"/>
          <w:lang w:val="en-US" w:eastAsia="zh-CN" w:bidi="ar-SA"/>
        </w:rPr>
        <w:t>：                        乙方</w:t>
      </w:r>
      <w:r>
        <w:rPr>
          <w:rFonts w:hint="eastAsia" w:ascii="Times New Roman" w:hAnsi="Times New Roman" w:eastAsia="宋体" w:cs="Times New Roman"/>
          <w:kern w:val="2"/>
          <w:sz w:val="24"/>
          <w:szCs w:val="24"/>
          <w:highlight w:val="none"/>
          <w:lang w:val="en-US" w:eastAsia="zh-CN" w:bidi="ar-SA"/>
        </w:rPr>
        <w:t>（盖章）</w:t>
      </w:r>
      <w:r>
        <w:rPr>
          <w:rFonts w:hint="default" w:ascii="Times New Roman" w:hAnsi="Times New Roman" w:eastAsia="宋体" w:cs="Times New Roman"/>
          <w:kern w:val="2"/>
          <w:sz w:val="24"/>
          <w:szCs w:val="24"/>
          <w:highlight w:val="none"/>
          <w:lang w:val="en-US" w:eastAsia="zh-CN" w:bidi="ar-SA"/>
        </w:rPr>
        <w:t>：</w:t>
      </w:r>
    </w:p>
    <w:p w14:paraId="1885C8BF">
      <w:pPr>
        <w:keepNext w:val="0"/>
        <w:keepLines w:val="0"/>
        <w:pageBreakBefore w:val="0"/>
        <w:widowControl w:val="0"/>
        <w:kinsoku/>
        <w:wordWrap/>
        <w:overflowPunct/>
        <w:topLinePunct w:val="0"/>
        <w:autoSpaceDN/>
        <w:bidi w:val="0"/>
        <w:snapToGrid w:val="0"/>
        <w:spacing w:line="400" w:lineRule="exact"/>
        <w:ind w:left="0" w:leftChars="0"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地址：                                地址：</w:t>
      </w:r>
    </w:p>
    <w:p w14:paraId="1723F8FC">
      <w:pPr>
        <w:keepNext w:val="0"/>
        <w:keepLines w:val="0"/>
        <w:pageBreakBefore w:val="0"/>
        <w:widowControl w:val="0"/>
        <w:kinsoku/>
        <w:wordWrap/>
        <w:overflowPunct/>
        <w:topLinePunct w:val="0"/>
        <w:autoSpaceDN/>
        <w:bidi w:val="0"/>
        <w:snapToGrid w:val="0"/>
        <w:spacing w:line="400" w:lineRule="exact"/>
        <w:ind w:left="0" w:leftChars="0"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法定代表人</w:t>
      </w:r>
      <w:r>
        <w:rPr>
          <w:rFonts w:hint="eastAsia" w:ascii="Times New Roman" w:hAnsi="Times New Roman" w:eastAsia="宋体" w:cs="Times New Roman"/>
          <w:kern w:val="2"/>
          <w:sz w:val="24"/>
          <w:szCs w:val="24"/>
          <w:highlight w:val="none"/>
          <w:lang w:val="en-US" w:eastAsia="zh-CN" w:bidi="ar-SA"/>
        </w:rPr>
        <w:t xml:space="preserve">                            </w:t>
      </w:r>
      <w:r>
        <w:rPr>
          <w:rFonts w:hint="default" w:ascii="Times New Roman" w:hAnsi="Times New Roman" w:eastAsia="宋体" w:cs="Times New Roman"/>
          <w:kern w:val="2"/>
          <w:sz w:val="24"/>
          <w:szCs w:val="24"/>
          <w:highlight w:val="none"/>
          <w:lang w:val="en-US" w:eastAsia="zh-CN" w:bidi="ar-SA"/>
        </w:rPr>
        <w:t>法定代表人（负责人）</w:t>
      </w:r>
    </w:p>
    <w:p w14:paraId="37FA84D4">
      <w:pPr>
        <w:keepNext w:val="0"/>
        <w:keepLines w:val="0"/>
        <w:pageBreakBefore w:val="0"/>
        <w:widowControl w:val="0"/>
        <w:kinsoku/>
        <w:wordWrap/>
        <w:overflowPunct/>
        <w:topLinePunct w:val="0"/>
        <w:autoSpaceDN/>
        <w:bidi w:val="0"/>
        <w:snapToGrid w:val="0"/>
        <w:spacing w:line="400" w:lineRule="exact"/>
        <w:ind w:left="0" w:leftChars="0"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或授权委托人（</w:t>
      </w:r>
      <w:r>
        <w:rPr>
          <w:rFonts w:hint="default" w:ascii="Times New Roman" w:hAnsi="Times New Roman" w:eastAsia="宋体" w:cs="Times New Roman"/>
          <w:kern w:val="2"/>
          <w:sz w:val="24"/>
          <w:szCs w:val="24"/>
          <w:highlight w:val="none"/>
          <w:lang w:val="en-US" w:eastAsia="zh-CN" w:bidi="ar-SA"/>
        </w:rPr>
        <w:t>签字</w:t>
      </w:r>
      <w:r>
        <w:rPr>
          <w:rFonts w:hint="eastAsia" w:ascii="Times New Roman" w:hAnsi="Times New Roman" w:eastAsia="宋体" w:cs="Times New Roman"/>
          <w:kern w:val="2"/>
          <w:sz w:val="24"/>
          <w:szCs w:val="24"/>
          <w:highlight w:val="none"/>
          <w:lang w:val="en-US" w:eastAsia="zh-CN" w:bidi="ar-SA"/>
        </w:rPr>
        <w:t>或盖章）</w:t>
      </w:r>
      <w:r>
        <w:rPr>
          <w:rFonts w:hint="default" w:ascii="Times New Roman" w:hAnsi="Times New Roman" w:eastAsia="宋体" w:cs="Times New Roman"/>
          <w:kern w:val="2"/>
          <w:sz w:val="24"/>
          <w:szCs w:val="24"/>
          <w:highlight w:val="none"/>
          <w:lang w:val="en-US" w:eastAsia="zh-CN" w:bidi="ar-SA"/>
        </w:rPr>
        <w:t xml:space="preserve">：          </w:t>
      </w:r>
      <w:r>
        <w:rPr>
          <w:rFonts w:hint="eastAsia" w:ascii="Times New Roman" w:hAnsi="Times New Roman" w:eastAsia="宋体" w:cs="Times New Roman"/>
          <w:kern w:val="2"/>
          <w:sz w:val="24"/>
          <w:szCs w:val="24"/>
          <w:highlight w:val="none"/>
          <w:lang w:val="en-US" w:eastAsia="zh-CN" w:bidi="ar-SA"/>
        </w:rPr>
        <w:t>或授权委托人（</w:t>
      </w:r>
      <w:r>
        <w:rPr>
          <w:rFonts w:hint="default" w:ascii="Times New Roman" w:hAnsi="Times New Roman" w:eastAsia="宋体" w:cs="Times New Roman"/>
          <w:kern w:val="2"/>
          <w:sz w:val="24"/>
          <w:szCs w:val="24"/>
          <w:highlight w:val="none"/>
          <w:lang w:val="en-US" w:eastAsia="zh-CN" w:bidi="ar-SA"/>
        </w:rPr>
        <w:t>签字</w:t>
      </w:r>
      <w:r>
        <w:rPr>
          <w:rFonts w:hint="eastAsia" w:ascii="Times New Roman" w:hAnsi="Times New Roman" w:eastAsia="宋体" w:cs="Times New Roman"/>
          <w:kern w:val="2"/>
          <w:sz w:val="24"/>
          <w:szCs w:val="24"/>
          <w:highlight w:val="none"/>
          <w:lang w:val="en-US" w:eastAsia="zh-CN" w:bidi="ar-SA"/>
        </w:rPr>
        <w:t>或盖章）</w:t>
      </w:r>
      <w:r>
        <w:rPr>
          <w:rFonts w:hint="default" w:ascii="Times New Roman" w:hAnsi="Times New Roman" w:eastAsia="宋体" w:cs="Times New Roman"/>
          <w:kern w:val="2"/>
          <w:sz w:val="24"/>
          <w:szCs w:val="24"/>
          <w:highlight w:val="none"/>
          <w:lang w:val="en-US" w:eastAsia="zh-CN" w:bidi="ar-SA"/>
        </w:rPr>
        <w:t xml:space="preserve">：                </w:t>
      </w:r>
    </w:p>
    <w:p w14:paraId="7B2C1A33">
      <w:pPr>
        <w:pStyle w:val="17"/>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default" w:ascii="Times New Roman" w:hAnsi="Times New Roman" w:eastAsia="宋体" w:cs="Times New Roman"/>
          <w:kern w:val="2"/>
          <w:sz w:val="24"/>
          <w:szCs w:val="24"/>
          <w:highlight w:val="none"/>
          <w:lang w:val="en-US" w:eastAsia="zh-CN" w:bidi="ar-SA"/>
        </w:rPr>
        <w:t>签订地点：                            签订日期：  年   月  日</w:t>
      </w:r>
      <w:r>
        <w:rPr>
          <w:rFonts w:hint="eastAsia" w:ascii="宋体" w:hAnsi="宋体" w:eastAsia="宋体" w:cs="宋体"/>
          <w:color w:val="auto"/>
          <w:sz w:val="24"/>
          <w:szCs w:val="24"/>
          <w:highlight w:val="none"/>
        </w:rPr>
        <w:t xml:space="preserve"> </w:t>
      </w:r>
    </w:p>
    <w:p w14:paraId="180185F8">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 xml:space="preserve"> 注：本合同作为示范文本，具体以成交供应商与采购人所签定正式合同为准。</w:t>
      </w:r>
    </w:p>
    <w:p w14:paraId="4D189609">
      <w:pPr>
        <w:pStyle w:val="3"/>
        <w:keepNext/>
        <w:keepLines/>
        <w:pageBreakBefore w:val="0"/>
        <w:widowControl w:val="0"/>
        <w:numPr>
          <w:ilvl w:val="0"/>
          <w:numId w:val="3"/>
        </w:numPr>
        <w:kinsoku/>
        <w:wordWrap/>
        <w:overflowPunct/>
        <w:topLinePunct w:val="0"/>
        <w:autoSpaceDE/>
        <w:autoSpaceDN/>
        <w:bidi w:val="0"/>
        <w:adjustRightInd/>
        <w:snapToGrid/>
        <w:spacing w:before="0" w:after="0" w:line="400" w:lineRule="exact"/>
        <w:jc w:val="center"/>
        <w:textAlignment w:val="auto"/>
        <w:rPr>
          <w:rFonts w:hint="eastAsia"/>
          <w:sz w:val="30"/>
          <w:szCs w:val="30"/>
        </w:rPr>
      </w:pPr>
      <w:bookmarkStart w:id="50" w:name="_Toc18652"/>
      <w:r>
        <w:rPr>
          <w:rFonts w:hint="eastAsia"/>
          <w:sz w:val="30"/>
          <w:szCs w:val="30"/>
        </w:rPr>
        <w:t>投标文件格式</w:t>
      </w:r>
      <w:bookmarkEnd w:id="50"/>
    </w:p>
    <w:p w14:paraId="5FE3F49E">
      <w:pPr>
        <w:keepNext w:val="0"/>
        <w:keepLines w:val="0"/>
        <w:pageBreakBefore w:val="0"/>
        <w:widowControl w:val="0"/>
        <w:numPr>
          <w:ilvl w:val="0"/>
          <w:numId w:val="0"/>
        </w:numPr>
        <w:shd w:val="clear"/>
        <w:kinsoku/>
        <w:wordWrap w:val="0"/>
        <w:overflowPunct/>
        <w:topLinePunct/>
        <w:autoSpaceDE/>
        <w:autoSpaceDN/>
        <w:bidi w:val="0"/>
        <w:adjustRightInd w:val="0"/>
        <w:snapToGrid w:val="0"/>
        <w:spacing w:beforeAutospacing="0" w:afterAutospacing="0" w:line="360" w:lineRule="auto"/>
        <w:jc w:val="both"/>
        <w:rPr>
          <w:rFonts w:hint="eastAsia" w:ascii="宋体" w:hAnsi="宋体" w:eastAsia="宋体" w:cs="宋体"/>
          <w:b/>
          <w:bCs/>
          <w:color w:val="auto"/>
          <w:sz w:val="32"/>
          <w:szCs w:val="32"/>
          <w:highlight w:val="none"/>
        </w:rPr>
      </w:pPr>
    </w:p>
    <w:p w14:paraId="34C6B1A7">
      <w:pPr>
        <w:keepNext w:val="0"/>
        <w:keepLines w:val="0"/>
        <w:pageBreakBefore w:val="0"/>
        <w:widowControl w:val="0"/>
        <w:shd w:val="clear"/>
        <w:kinsoku/>
        <w:wordWrap w:val="0"/>
        <w:overflowPunct/>
        <w:topLinePunct/>
        <w:autoSpaceDE/>
        <w:autoSpaceDN/>
        <w:bidi w:val="0"/>
        <w:snapToGrid w:val="0"/>
        <w:spacing w:beforeAutospacing="0" w:afterAutospacing="0"/>
        <w:ind w:firstLine="263" w:firstLineChars="82"/>
        <w:jc w:val="left"/>
        <w:outlineLvl w:val="1"/>
        <w:rPr>
          <w:rFonts w:hint="eastAsia" w:ascii="宋体" w:hAnsi="宋体" w:eastAsia="宋体" w:cs="宋体"/>
          <w:b/>
          <w:bCs/>
          <w:color w:val="auto"/>
          <w:sz w:val="32"/>
          <w:szCs w:val="32"/>
          <w:highlight w:val="none"/>
        </w:rPr>
      </w:pPr>
      <w:bookmarkStart w:id="51" w:name="OLE_LINK16"/>
      <w:bookmarkStart w:id="52" w:name="OLE_LINK15"/>
      <w:r>
        <w:rPr>
          <w:rFonts w:hint="eastAsia" w:ascii="宋体" w:hAnsi="宋体" w:eastAsia="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资格文件格式：</w:t>
      </w:r>
    </w:p>
    <w:p w14:paraId="63301682">
      <w:pPr>
        <w:keepNext w:val="0"/>
        <w:keepLines w:val="0"/>
        <w:pageBreakBefore w:val="0"/>
        <w:widowControl w:val="0"/>
        <w:kinsoku/>
        <w:wordWrap w:val="0"/>
        <w:overflowPunct/>
        <w:topLinePunct/>
        <w:autoSpaceDE/>
        <w:autoSpaceDN/>
        <w:bidi w:val="0"/>
        <w:snapToGrid w:val="0"/>
        <w:spacing w:beforeAutospacing="0" w:afterAutospacing="0" w:line="360" w:lineRule="auto"/>
        <w:ind w:firstLine="198" w:firstLineChars="82"/>
        <w:outlineLvl w:val="1"/>
        <w:rPr>
          <w:rFonts w:hint="eastAsia" w:ascii="宋体" w:hAnsi="宋体" w:eastAsia="宋体" w:cs="宋体"/>
          <w:b/>
          <w:bCs/>
          <w:color w:val="auto"/>
          <w:sz w:val="24"/>
          <w:highlight w:val="none"/>
        </w:rPr>
      </w:pPr>
    </w:p>
    <w:p w14:paraId="74FDB536">
      <w:pPr>
        <w:keepNext w:val="0"/>
        <w:keepLines w:val="0"/>
        <w:pageBreakBefore w:val="0"/>
        <w:widowControl w:val="0"/>
        <w:kinsoku/>
        <w:wordWrap w:val="0"/>
        <w:overflowPunct/>
        <w:topLinePunct/>
        <w:autoSpaceDE/>
        <w:autoSpaceDN/>
        <w:bidi w:val="0"/>
        <w:snapToGrid w:val="0"/>
        <w:spacing w:beforeAutospacing="0" w:afterAutospacing="0" w:line="360" w:lineRule="auto"/>
        <w:ind w:firstLine="198" w:firstLineChars="82"/>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 资格文件封面格式： </w:t>
      </w:r>
    </w:p>
    <w:p w14:paraId="59321D1A">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outlineLvl w:val="1"/>
        <w:rPr>
          <w:rFonts w:hint="eastAsia" w:ascii="宋体" w:hAnsi="宋体" w:eastAsia="宋体" w:cs="宋体"/>
          <w:b/>
          <w:bCs/>
          <w:color w:val="auto"/>
          <w:sz w:val="32"/>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 xml:space="preserve">   </w:t>
      </w:r>
    </w:p>
    <w:p w14:paraId="74A2706F">
      <w:pPr>
        <w:keepNext w:val="0"/>
        <w:keepLines w:val="0"/>
        <w:pageBreakBefore w:val="0"/>
        <w:widowControl w:val="0"/>
        <w:kinsoku/>
        <w:wordWrap w:val="0"/>
        <w:overflowPunct/>
        <w:topLinePunct/>
        <w:autoSpaceDE/>
        <w:autoSpaceDN/>
        <w:bidi w:val="0"/>
        <w:snapToGrid w:val="0"/>
        <w:spacing w:beforeAutospacing="0" w:afterAutospacing="0" w:line="360" w:lineRule="auto"/>
        <w:ind w:firstLine="643"/>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资格文件</w:t>
      </w:r>
    </w:p>
    <w:p w14:paraId="492F1094">
      <w:pPr>
        <w:keepNext w:val="0"/>
        <w:keepLines w:val="0"/>
        <w:pageBreakBefore w:val="0"/>
        <w:widowControl w:val="0"/>
        <w:kinsoku/>
        <w:wordWrap w:val="0"/>
        <w:overflowPunct/>
        <w:topLinePunct/>
        <w:autoSpaceDE/>
        <w:autoSpaceDN/>
        <w:bidi w:val="0"/>
        <w:snapToGrid w:val="0"/>
        <w:spacing w:beforeAutospacing="0" w:afterAutospacing="0" w:line="360" w:lineRule="auto"/>
        <w:ind w:firstLine="1200" w:firstLineChars="5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1807CA57">
      <w:pPr>
        <w:keepNext w:val="0"/>
        <w:keepLines w:val="0"/>
        <w:pageBreakBefore w:val="0"/>
        <w:widowControl w:val="0"/>
        <w:kinsoku/>
        <w:wordWrap w:val="0"/>
        <w:overflowPunct/>
        <w:topLinePunct/>
        <w:autoSpaceDE/>
        <w:autoSpaceDN/>
        <w:bidi w:val="0"/>
        <w:snapToGrid w:val="0"/>
        <w:spacing w:beforeAutospacing="0" w:afterAutospacing="0" w:line="360" w:lineRule="auto"/>
        <w:ind w:firstLine="1200" w:firstLineChars="5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6D626779">
      <w:pPr>
        <w:pStyle w:val="6"/>
        <w:keepNext w:val="0"/>
        <w:keepLines w:val="0"/>
        <w:pageBreakBefore w:val="0"/>
        <w:widowControl w:val="0"/>
        <w:kinsoku/>
        <w:wordWrap w:val="0"/>
        <w:overflowPunct/>
        <w:topLinePunct/>
        <w:autoSpaceDE/>
        <w:autoSpaceDN/>
        <w:bidi w:val="0"/>
        <w:snapToGrid w:val="0"/>
        <w:spacing w:beforeAutospacing="0" w:afterAutospacing="0" w:line="360" w:lineRule="auto"/>
        <w:ind w:firstLine="1200" w:firstLineChars="5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2CBADCA5">
      <w:pPr>
        <w:pStyle w:val="6"/>
        <w:keepNext w:val="0"/>
        <w:keepLines w:val="0"/>
        <w:pageBreakBefore w:val="0"/>
        <w:widowControl w:val="0"/>
        <w:kinsoku/>
        <w:wordWrap w:val="0"/>
        <w:overflowPunct/>
        <w:topLinePunct/>
        <w:autoSpaceDE/>
        <w:autoSpaceDN/>
        <w:bidi w:val="0"/>
        <w:snapToGrid w:val="0"/>
        <w:spacing w:beforeAutospacing="0" w:afterAutospacing="0" w:line="360" w:lineRule="auto"/>
        <w:ind w:firstLine="1200" w:firstLineChars="5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17DBEAF0">
      <w:pPr>
        <w:keepNext w:val="0"/>
        <w:keepLines w:val="0"/>
        <w:pageBreakBefore w:val="0"/>
        <w:widowControl w:val="0"/>
        <w:kinsoku/>
        <w:wordWrap w:val="0"/>
        <w:overflowPunct/>
        <w:topLinePunct/>
        <w:autoSpaceDE/>
        <w:autoSpaceDN/>
        <w:bidi w:val="0"/>
        <w:snapToGrid w:val="0"/>
        <w:spacing w:beforeAutospacing="0" w:afterAutospacing="0" w:line="360" w:lineRule="auto"/>
        <w:ind w:firstLine="4080" w:firstLineChars="1700"/>
        <w:rPr>
          <w:rFonts w:hint="eastAsia" w:ascii="宋体" w:hAnsi="宋体" w:eastAsia="宋体" w:cs="宋体"/>
          <w:color w:val="auto"/>
          <w:sz w:val="24"/>
          <w:highlight w:val="none"/>
        </w:rPr>
      </w:pPr>
    </w:p>
    <w:p w14:paraId="1582E49B">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025A236A">
      <w:pPr>
        <w:pStyle w:val="11"/>
        <w:keepNext w:val="0"/>
        <w:keepLines w:val="0"/>
        <w:pageBreakBefore w:val="0"/>
        <w:widowControl w:val="0"/>
        <w:kinsoku/>
        <w:wordWrap w:val="0"/>
        <w:overflowPunct/>
        <w:topLinePunct/>
        <w:autoSpaceDE/>
        <w:autoSpaceDN/>
        <w:bidi w:val="0"/>
        <w:spacing w:beforeAutospacing="0" w:after="0" w:afterAutospacing="0" w:line="360" w:lineRule="auto"/>
        <w:ind w:left="0" w:leftChars="0" w:firstLine="0" w:firstLineChars="0"/>
        <w:rPr>
          <w:rFonts w:hint="eastAsia" w:ascii="宋体" w:hAnsi="宋体" w:eastAsia="宋体" w:cs="宋体"/>
          <w:color w:val="auto"/>
          <w:sz w:val="24"/>
          <w:highlight w:val="none"/>
        </w:rPr>
      </w:pPr>
    </w:p>
    <w:p w14:paraId="49DDF9AF">
      <w:pPr>
        <w:pStyle w:val="11"/>
        <w:keepNext w:val="0"/>
        <w:keepLines w:val="0"/>
        <w:pageBreakBefore w:val="0"/>
        <w:widowControl w:val="0"/>
        <w:kinsoku/>
        <w:wordWrap w:val="0"/>
        <w:overflowPunct/>
        <w:topLinePunct/>
        <w:autoSpaceDE/>
        <w:autoSpaceDN/>
        <w:bidi w:val="0"/>
        <w:spacing w:beforeAutospacing="0" w:after="0" w:afterAutospacing="0" w:line="360" w:lineRule="auto"/>
        <w:ind w:left="0" w:leftChars="0" w:firstLine="0" w:firstLineChars="0"/>
        <w:rPr>
          <w:rFonts w:hint="eastAsia" w:ascii="宋体" w:hAnsi="宋体" w:eastAsia="宋体" w:cs="宋体"/>
          <w:color w:val="auto"/>
          <w:sz w:val="24"/>
          <w:highlight w:val="none"/>
        </w:rPr>
      </w:pPr>
    </w:p>
    <w:p w14:paraId="05C6F7BA">
      <w:pPr>
        <w:pStyle w:val="11"/>
        <w:keepNext w:val="0"/>
        <w:keepLines w:val="0"/>
        <w:pageBreakBefore w:val="0"/>
        <w:widowControl w:val="0"/>
        <w:kinsoku/>
        <w:wordWrap w:val="0"/>
        <w:overflowPunct/>
        <w:topLinePunct/>
        <w:autoSpaceDE/>
        <w:autoSpaceDN/>
        <w:bidi w:val="0"/>
        <w:spacing w:beforeAutospacing="0" w:after="0" w:afterAutospacing="0" w:line="360" w:lineRule="auto"/>
        <w:ind w:left="0" w:leftChars="0" w:firstLine="0" w:firstLineChars="0"/>
        <w:rPr>
          <w:rFonts w:hint="eastAsia" w:ascii="宋体" w:hAnsi="宋体" w:eastAsia="宋体" w:cs="宋体"/>
          <w:color w:val="auto"/>
          <w:sz w:val="24"/>
          <w:highlight w:val="none"/>
        </w:rPr>
      </w:pPr>
    </w:p>
    <w:p w14:paraId="50EF27CC">
      <w:pPr>
        <w:pStyle w:val="11"/>
        <w:keepNext w:val="0"/>
        <w:keepLines w:val="0"/>
        <w:pageBreakBefore w:val="0"/>
        <w:widowControl w:val="0"/>
        <w:kinsoku/>
        <w:wordWrap w:val="0"/>
        <w:overflowPunct/>
        <w:topLinePunct/>
        <w:autoSpaceDE/>
        <w:autoSpaceDN/>
        <w:bidi w:val="0"/>
        <w:spacing w:beforeAutospacing="0" w:after="0" w:afterAutospacing="0" w:line="360" w:lineRule="auto"/>
        <w:ind w:firstLine="0" w:firstLineChars="0"/>
        <w:rPr>
          <w:rFonts w:hint="eastAsia" w:ascii="宋体" w:hAnsi="宋体" w:eastAsia="宋体" w:cs="宋体"/>
          <w:color w:val="auto"/>
          <w:sz w:val="24"/>
          <w:highlight w:val="none"/>
        </w:rPr>
      </w:pPr>
    </w:p>
    <w:p w14:paraId="55C7BD06">
      <w:pPr>
        <w:keepNext w:val="0"/>
        <w:keepLines w:val="0"/>
        <w:pageBreakBefore w:val="0"/>
        <w:widowControl w:val="0"/>
        <w:kinsoku/>
        <w:wordWrap w:val="0"/>
        <w:overflowPunct/>
        <w:topLinePunct/>
        <w:autoSpaceDE/>
        <w:autoSpaceDN/>
        <w:bidi w:val="0"/>
        <w:snapToGrid w:val="0"/>
        <w:spacing w:beforeAutospacing="0" w:afterAutospacing="0"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2.资格文件目录</w:t>
      </w:r>
    </w:p>
    <w:p w14:paraId="5A51CF6C">
      <w:pPr>
        <w:keepNext w:val="0"/>
        <w:keepLines w:val="0"/>
        <w:pageBreakBefore w:val="0"/>
        <w:widowControl w:val="0"/>
        <w:kinsoku/>
        <w:wordWrap w:val="0"/>
        <w:overflowPunct/>
        <w:topLinePunct/>
        <w:autoSpaceDE/>
        <w:autoSpaceDN/>
        <w:bidi w:val="0"/>
        <w:snapToGrid w:val="0"/>
        <w:spacing w:beforeAutospacing="0" w:afterAutospacing="0"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（请按照“第三章投标人须知，三、投标文件的编制”的顺序，结合评标办法自行编制目录）</w:t>
      </w:r>
    </w:p>
    <w:p w14:paraId="4D1A20AD">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b/>
          <w:color w:val="auto"/>
          <w:sz w:val="24"/>
          <w:highlight w:val="none"/>
        </w:rPr>
        <w:t>例如：</w:t>
      </w:r>
    </w:p>
    <w:p w14:paraId="1ECB84B4">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360" w:lineRule="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（1）满足《中华人民共和国政府采购法》第二十二条规定————————（页码）</w:t>
      </w:r>
    </w:p>
    <w:p w14:paraId="2D339739">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360" w:lineRule="auto"/>
        <w:rPr>
          <w:rFonts w:hint="eastAsia" w:ascii="宋体" w:hAnsi="宋体" w:eastAsia="宋体" w:cs="宋体"/>
          <w:color w:val="auto"/>
          <w:kern w:val="0"/>
          <w:sz w:val="24"/>
          <w:szCs w:val="24"/>
          <w:highlight w:val="none"/>
          <w:lang w:val="en-US" w:eastAsia="zh-CN"/>
        </w:rPr>
      </w:pPr>
      <w:r>
        <w:rPr>
          <w:rFonts w:hint="eastAsia" w:hAnsi="宋体" w:eastAsia="宋体" w:cs="宋体"/>
          <w:color w:val="auto"/>
          <w:sz w:val="24"/>
          <w:szCs w:val="18"/>
          <w:highlight w:val="none"/>
          <w:lang w:eastAsia="zh-CN"/>
        </w:rPr>
        <w:t>（</w:t>
      </w:r>
      <w:r>
        <w:rPr>
          <w:rFonts w:hint="eastAsia" w:hAnsi="宋体" w:eastAsia="宋体" w:cs="宋体"/>
          <w:color w:val="auto"/>
          <w:sz w:val="24"/>
          <w:szCs w:val="18"/>
          <w:highlight w:val="none"/>
          <w:lang w:val="en-US" w:eastAsia="zh-CN"/>
        </w:rPr>
        <w:t>2</w:t>
      </w:r>
      <w:r>
        <w:rPr>
          <w:rFonts w:hint="eastAsia" w:hAnsi="宋体" w:eastAsia="宋体" w:cs="宋体"/>
          <w:color w:val="auto"/>
          <w:sz w:val="24"/>
          <w:szCs w:val="18"/>
          <w:highlight w:val="none"/>
          <w:lang w:eastAsia="zh-CN"/>
        </w:rPr>
        <w:t>）</w:t>
      </w:r>
      <w:r>
        <w:rPr>
          <w:rFonts w:hint="eastAsia" w:ascii="宋体" w:hAnsi="宋体" w:eastAsia="宋体" w:cs="宋体"/>
          <w:color w:val="auto"/>
          <w:kern w:val="0"/>
          <w:sz w:val="24"/>
          <w:szCs w:val="24"/>
          <w:highlight w:val="none"/>
          <w:lang w:val="en-US" w:eastAsia="zh-CN"/>
        </w:rPr>
        <w:t>无重大违法记录声明函</w:t>
      </w:r>
      <w:r>
        <w:rPr>
          <w:rFonts w:hint="eastAsia" w:ascii="宋体" w:hAnsi="宋体" w:eastAsia="宋体" w:cs="宋体"/>
          <w:color w:val="auto"/>
          <w:sz w:val="24"/>
          <w:szCs w:val="18"/>
          <w:highlight w:val="none"/>
        </w:rPr>
        <w:t>—————————————————————（页码）</w:t>
      </w:r>
    </w:p>
    <w:p w14:paraId="2E19D542">
      <w:pPr>
        <w:pStyle w:val="3"/>
        <w:keepNext w:val="0"/>
        <w:keepLines w:val="0"/>
        <w:pageBreakBefore w:val="0"/>
        <w:widowControl w:val="0"/>
        <w:shd w:val="clear"/>
        <w:kinsoku/>
        <w:wordWrap w:val="0"/>
        <w:overflowPunct/>
        <w:topLinePunct/>
        <w:autoSpaceDE/>
        <w:autoSpaceDN/>
        <w:bidi w:val="0"/>
        <w:spacing w:before="0" w:beforeAutospacing="0" w:after="0" w:afterAutospacing="0" w:line="240" w:lineRule="auto"/>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 xml:space="preserve">  </w:t>
      </w:r>
      <w:r>
        <w:rPr>
          <w:rFonts w:hint="eastAsia" w:hAnsi="宋体" w:eastAsia="宋体" w:cs="宋体"/>
          <w:b/>
          <w:bCs/>
          <w:color w:val="auto"/>
          <w:sz w:val="24"/>
          <w:szCs w:val="18"/>
          <w:highlight w:val="none"/>
          <w:lang w:val="en-US" w:eastAsia="zh-CN"/>
        </w:rPr>
        <w:t xml:space="preserve">    </w:t>
      </w:r>
      <w:r>
        <w:rPr>
          <w:rFonts w:hint="eastAsia" w:ascii="宋体" w:hAnsi="宋体" w:eastAsia="宋体" w:cs="宋体"/>
          <w:b/>
          <w:bCs/>
          <w:color w:val="auto"/>
          <w:sz w:val="24"/>
          <w:szCs w:val="18"/>
          <w:highlight w:val="none"/>
        </w:rPr>
        <w:t>………………</w:t>
      </w:r>
    </w:p>
    <w:p w14:paraId="7939D5F2">
      <w:pPr>
        <w:rPr>
          <w:rFonts w:hint="eastAsia" w:ascii="宋体" w:hAnsi="宋体" w:eastAsia="宋体" w:cs="宋体"/>
          <w:b/>
          <w:bCs/>
          <w:color w:val="auto"/>
          <w:sz w:val="24"/>
          <w:szCs w:val="18"/>
          <w:highlight w:val="none"/>
        </w:rPr>
      </w:pPr>
    </w:p>
    <w:p w14:paraId="398485B2">
      <w:pPr>
        <w:pStyle w:val="2"/>
        <w:rPr>
          <w:rFonts w:hint="eastAsia" w:ascii="宋体" w:hAnsi="宋体" w:eastAsia="宋体" w:cs="宋体"/>
          <w:b/>
          <w:bCs/>
          <w:color w:val="auto"/>
          <w:sz w:val="24"/>
          <w:szCs w:val="18"/>
          <w:highlight w:val="none"/>
        </w:rPr>
      </w:pPr>
    </w:p>
    <w:p w14:paraId="47A0A9FF">
      <w:pPr>
        <w:rPr>
          <w:rFonts w:hint="eastAsia" w:ascii="宋体" w:hAnsi="宋体" w:eastAsia="宋体" w:cs="宋体"/>
          <w:b/>
          <w:bCs/>
          <w:color w:val="auto"/>
          <w:sz w:val="24"/>
          <w:szCs w:val="18"/>
          <w:highlight w:val="none"/>
        </w:rPr>
      </w:pPr>
    </w:p>
    <w:p w14:paraId="205256E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rPr>
          <w:rFonts w:hint="eastAsia" w:ascii="宋体" w:hAnsi="宋体" w:eastAsia="宋体" w:cs="宋体"/>
          <w:b/>
          <w:color w:val="auto"/>
          <w:sz w:val="24"/>
          <w:highlight w:val="none"/>
          <w:lang w:val="en-US" w:eastAsia="zh-CN"/>
        </w:rPr>
      </w:pPr>
    </w:p>
    <w:p w14:paraId="4398BFF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rPr>
          <w:rFonts w:hint="eastAsia" w:ascii="宋体" w:hAnsi="宋体" w:eastAsia="宋体" w:cs="宋体"/>
          <w:b/>
          <w:color w:val="auto"/>
          <w:sz w:val="24"/>
          <w:highlight w:val="none"/>
          <w:lang w:val="en-US" w:eastAsia="zh-CN"/>
        </w:rPr>
      </w:pPr>
    </w:p>
    <w:p w14:paraId="3312D10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rPr>
          <w:rFonts w:hint="eastAsia" w:ascii="宋体" w:hAnsi="宋体" w:eastAsia="宋体" w:cs="宋体"/>
          <w:b/>
          <w:color w:val="auto"/>
          <w:sz w:val="32"/>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资格声明</w:t>
      </w:r>
      <w:r>
        <w:rPr>
          <w:rFonts w:hint="eastAsia" w:ascii="宋体" w:hAnsi="宋体" w:eastAsia="宋体" w:cs="宋体"/>
          <w:b/>
          <w:bCs/>
          <w:color w:val="auto"/>
          <w:sz w:val="24"/>
          <w:highlight w:val="none"/>
          <w:lang w:eastAsia="zh-CN"/>
        </w:rPr>
        <w:t>格式</w:t>
      </w:r>
      <w:r>
        <w:rPr>
          <w:rFonts w:hint="eastAsia" w:ascii="宋体" w:hAnsi="宋体" w:eastAsia="宋体" w:cs="宋体"/>
          <w:b/>
          <w:bCs/>
          <w:color w:val="auto"/>
          <w:sz w:val="24"/>
          <w:highlight w:val="none"/>
        </w:rPr>
        <w:t>：</w:t>
      </w:r>
    </w:p>
    <w:p w14:paraId="3708D506">
      <w:pPr>
        <w:keepNext w:val="0"/>
        <w:keepLines w:val="0"/>
        <w:pageBreakBefore w:val="0"/>
        <w:widowControl w:val="0"/>
        <w:kinsoku/>
        <w:wordWrap w:val="0"/>
        <w:overflowPunct/>
        <w:topLinePunct/>
        <w:autoSpaceDE/>
        <w:autoSpaceDN/>
        <w:bidi w:val="0"/>
        <w:spacing w:beforeAutospacing="0" w:afterAutospacing="0" w:line="4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资格声明</w:t>
      </w:r>
    </w:p>
    <w:p w14:paraId="4351B830">
      <w:pPr>
        <w:keepNext w:val="0"/>
        <w:keepLines w:val="0"/>
        <w:pageBreakBefore w:val="0"/>
        <w:widowControl w:val="0"/>
        <w:kinsoku/>
        <w:wordWrap w:val="0"/>
        <w:overflowPunct/>
        <w:topLinePunct/>
        <w:autoSpaceDE/>
        <w:autoSpaceDN/>
        <w:bidi w:val="0"/>
        <w:spacing w:beforeAutospacing="0" w:afterAutospacing="0" w:line="400" w:lineRule="exact"/>
        <w:jc w:val="center"/>
        <w:rPr>
          <w:rFonts w:hint="eastAsia" w:ascii="宋体" w:hAnsi="宋体" w:eastAsia="宋体" w:cs="宋体"/>
          <w:b/>
          <w:color w:val="auto"/>
          <w:sz w:val="32"/>
          <w:highlight w:val="none"/>
        </w:rPr>
      </w:pPr>
    </w:p>
    <w:tbl>
      <w:tblPr>
        <w:tblStyle w:val="26"/>
        <w:tblpPr w:leftFromText="180" w:rightFromText="180" w:vertAnchor="text" w:horzAnchor="page" w:tblpX="1510" w:tblpY="393"/>
        <w:tblOverlap w:val="never"/>
        <w:tblW w:w="8960" w:type="dxa"/>
        <w:tblInd w:w="0" w:type="dxa"/>
        <w:tblLayout w:type="fixed"/>
        <w:tblCellMar>
          <w:top w:w="0" w:type="dxa"/>
          <w:left w:w="0" w:type="dxa"/>
          <w:bottom w:w="0" w:type="dxa"/>
          <w:right w:w="0" w:type="dxa"/>
        </w:tblCellMar>
      </w:tblPr>
      <w:tblGrid>
        <w:gridCol w:w="8960"/>
      </w:tblGrid>
      <w:tr w14:paraId="4AF67E01">
        <w:tblPrEx>
          <w:tblCellMar>
            <w:top w:w="0" w:type="dxa"/>
            <w:left w:w="0" w:type="dxa"/>
            <w:bottom w:w="0" w:type="dxa"/>
            <w:right w:w="0" w:type="dxa"/>
          </w:tblCellMar>
        </w:tblPrEx>
        <w:trPr>
          <w:trHeight w:val="623" w:hRule="atLeast"/>
        </w:trPr>
        <w:tc>
          <w:tcPr>
            <w:tcW w:w="8960" w:type="dxa"/>
            <w:vAlign w:val="center"/>
          </w:tcPr>
          <w:p w14:paraId="65F98D6F">
            <w:pPr>
              <w:keepNext w:val="0"/>
              <w:keepLines w:val="0"/>
              <w:pageBreakBefore w:val="0"/>
              <w:widowControl w:val="0"/>
              <w:kinsoku/>
              <w:wordWrap w:val="0"/>
              <w:overflowPunct/>
              <w:topLinePunct/>
              <w:autoSpaceDE/>
              <w:autoSpaceDN/>
              <w:bidi w:val="0"/>
              <w:spacing w:beforeAutospacing="0" w:afterAutospacing="0"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（采购单位</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采购代理机构</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tc>
      </w:tr>
      <w:tr w14:paraId="19749D97">
        <w:tblPrEx>
          <w:tblCellMar>
            <w:top w:w="0" w:type="dxa"/>
            <w:left w:w="0" w:type="dxa"/>
            <w:bottom w:w="0" w:type="dxa"/>
            <w:right w:w="0" w:type="dxa"/>
          </w:tblCellMar>
        </w:tblPrEx>
        <w:trPr>
          <w:trHeight w:val="4370" w:hRule="atLeast"/>
        </w:trPr>
        <w:tc>
          <w:tcPr>
            <w:tcW w:w="8960" w:type="dxa"/>
            <w:vAlign w:val="top"/>
          </w:tcPr>
          <w:p w14:paraId="14202450">
            <w:pPr>
              <w:keepNext w:val="0"/>
              <w:keepLines w:val="0"/>
              <w:pageBreakBefore w:val="0"/>
              <w:widowControl w:val="0"/>
              <w:kinsoku/>
              <w:wordWrap w:val="0"/>
              <w:overflowPunct/>
              <w:topLinePunct/>
              <w:autoSpaceDE/>
              <w:autoSpaceDN/>
              <w:bidi w:val="0"/>
              <w:spacing w:beforeAutospacing="0" w:afterAutospacing="0" w:line="480" w:lineRule="auto"/>
              <w:ind w:left="-3" w:firstLine="513" w:firstLineChars="214"/>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我方承诺符合参与政府采购活动的资格条件。</w:t>
            </w:r>
          </w:p>
          <w:p w14:paraId="51C695F1">
            <w:pPr>
              <w:keepNext w:val="0"/>
              <w:keepLines w:val="0"/>
              <w:pageBreakBefore w:val="0"/>
              <w:widowControl w:val="0"/>
              <w:kinsoku/>
              <w:wordWrap w:val="0"/>
              <w:overflowPunct/>
              <w:topLinePunct/>
              <w:autoSpaceDE/>
              <w:autoSpaceDN/>
              <w:bidi w:val="0"/>
              <w:spacing w:beforeAutospacing="0" w:afterAutospacing="0" w:line="480" w:lineRule="auto"/>
              <w:ind w:left="-3" w:firstLine="513" w:firstLineChars="214"/>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我方对提交的资格条件资料的真实性负责，如有任何不实，愿按采购文件和相关法律法规的有关规定接受处理。</w:t>
            </w:r>
          </w:p>
          <w:p w14:paraId="1B903CA3">
            <w:pPr>
              <w:keepNext w:val="0"/>
              <w:keepLines w:val="0"/>
              <w:pageBreakBefore w:val="0"/>
              <w:widowControl w:val="0"/>
              <w:kinsoku/>
              <w:wordWrap w:val="0"/>
              <w:overflowPunct/>
              <w:topLinePunct/>
              <w:autoSpaceDE/>
              <w:autoSpaceDN/>
              <w:bidi w:val="0"/>
              <w:spacing w:beforeAutospacing="0" w:afterAutospacing="0" w:line="480" w:lineRule="auto"/>
              <w:ind w:left="-3" w:firstLine="513" w:firstLineChars="214"/>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我方提交的资格条件资料是响应文件的组成部分，愿承担采购文件规定的全部责任和义务。</w:t>
            </w:r>
          </w:p>
          <w:p w14:paraId="20F6ADDA">
            <w:pPr>
              <w:keepNext w:val="0"/>
              <w:keepLines w:val="0"/>
              <w:pageBreakBefore w:val="0"/>
              <w:widowControl w:val="0"/>
              <w:tabs>
                <w:tab w:val="left" w:pos="5760"/>
              </w:tabs>
              <w:kinsoku/>
              <w:wordWrap w:val="0"/>
              <w:overflowPunct/>
              <w:topLinePunct/>
              <w:autoSpaceDE/>
              <w:autoSpaceDN/>
              <w:bidi w:val="0"/>
              <w:spacing w:beforeAutospacing="0" w:afterAutospacing="0" w:line="480" w:lineRule="auto"/>
              <w:ind w:right="482"/>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供应商（盖章）：</w:t>
            </w:r>
            <w:r>
              <w:rPr>
                <w:rFonts w:hint="eastAsia" w:ascii="宋体" w:hAnsi="宋体" w:eastAsia="宋体" w:cs="宋体"/>
                <w:color w:val="auto"/>
                <w:sz w:val="24"/>
                <w:highlight w:val="none"/>
                <w:u w:val="single"/>
              </w:rPr>
              <w:t xml:space="preserve">                       </w:t>
            </w:r>
          </w:p>
          <w:p w14:paraId="44177B0D">
            <w:pPr>
              <w:keepNext w:val="0"/>
              <w:keepLines w:val="0"/>
              <w:pageBreakBefore w:val="0"/>
              <w:widowControl w:val="0"/>
              <w:tabs>
                <w:tab w:val="left" w:pos="5760"/>
              </w:tabs>
              <w:kinsoku/>
              <w:wordWrap w:val="0"/>
              <w:overflowPunct/>
              <w:topLinePunct/>
              <w:autoSpaceDE/>
              <w:autoSpaceDN/>
              <w:bidi w:val="0"/>
              <w:spacing w:beforeAutospacing="0" w:afterAutospacing="0" w:line="480" w:lineRule="auto"/>
              <w:ind w:firstLine="7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法定代表人或授权代表人签字（或盖章）: </w:t>
            </w:r>
            <w:r>
              <w:rPr>
                <w:rFonts w:hint="eastAsia" w:ascii="宋体" w:hAnsi="宋体" w:eastAsia="宋体" w:cs="宋体"/>
                <w:color w:val="auto"/>
                <w:sz w:val="24"/>
                <w:highlight w:val="none"/>
                <w:u w:val="single"/>
              </w:rPr>
              <w:t xml:space="preserve">         </w:t>
            </w:r>
          </w:p>
          <w:p w14:paraId="6A8BD2ED">
            <w:pPr>
              <w:keepNext w:val="0"/>
              <w:keepLines w:val="0"/>
              <w:pageBreakBefore w:val="0"/>
              <w:widowControl w:val="0"/>
              <w:kinsoku/>
              <w:wordWrap w:val="0"/>
              <w:overflowPunct/>
              <w:topLinePunct/>
              <w:autoSpaceDE/>
              <w:autoSpaceDN/>
              <w:bidi w:val="0"/>
              <w:spacing w:beforeAutospacing="0" w:afterAutospacing="0" w:line="480" w:lineRule="auto"/>
              <w:ind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tc>
      </w:tr>
    </w:tbl>
    <w:p w14:paraId="1091046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rPr>
          <w:rFonts w:hint="eastAsia" w:ascii="宋体" w:hAnsi="宋体" w:eastAsia="宋体" w:cs="宋体"/>
          <w:b/>
          <w:bCs/>
          <w:color w:val="auto"/>
          <w:sz w:val="24"/>
          <w:highlight w:val="none"/>
        </w:rPr>
      </w:pPr>
    </w:p>
    <w:p w14:paraId="773452D7">
      <w:pPr>
        <w:pStyle w:val="11"/>
        <w:keepNext w:val="0"/>
        <w:keepLines w:val="0"/>
        <w:pageBreakBefore w:val="0"/>
        <w:widowControl w:val="0"/>
        <w:kinsoku/>
        <w:wordWrap w:val="0"/>
        <w:overflowPunct/>
        <w:topLinePunct/>
        <w:autoSpaceDE/>
        <w:autoSpaceDN/>
        <w:bidi w:val="0"/>
        <w:spacing w:beforeAutospacing="0" w:after="0" w:afterAutospacing="0" w:line="360" w:lineRule="auto"/>
        <w:ind w:firstLine="241"/>
        <w:rPr>
          <w:rFonts w:hint="eastAsia" w:ascii="宋体" w:hAnsi="宋体" w:eastAsia="宋体" w:cs="宋体"/>
          <w:b/>
          <w:bCs/>
          <w:color w:val="auto"/>
          <w:sz w:val="24"/>
          <w:highlight w:val="none"/>
        </w:rPr>
      </w:pPr>
    </w:p>
    <w:p w14:paraId="47035AE0">
      <w:pPr>
        <w:pStyle w:val="12"/>
        <w:rPr>
          <w:rFonts w:hint="eastAsia"/>
        </w:rPr>
      </w:pPr>
    </w:p>
    <w:p w14:paraId="65C77FCA">
      <w:pPr>
        <w:pStyle w:val="11"/>
        <w:keepNext w:val="0"/>
        <w:keepLines w:val="0"/>
        <w:pageBreakBefore w:val="0"/>
        <w:widowControl w:val="0"/>
        <w:kinsoku/>
        <w:wordWrap w:val="0"/>
        <w:overflowPunct/>
        <w:topLinePunct/>
        <w:autoSpaceDE/>
        <w:autoSpaceDN/>
        <w:bidi w:val="0"/>
        <w:spacing w:beforeAutospacing="0" w:after="0" w:afterAutospacing="0" w:line="360" w:lineRule="auto"/>
        <w:ind w:left="0" w:leftChars="0" w:firstLine="0" w:firstLineChars="0"/>
        <w:rPr>
          <w:rFonts w:hint="eastAsia" w:ascii="宋体" w:hAnsi="宋体" w:eastAsia="宋体" w:cs="宋体"/>
          <w:b/>
          <w:bCs/>
          <w:color w:val="auto"/>
          <w:sz w:val="24"/>
          <w:highlight w:val="none"/>
        </w:rPr>
      </w:pPr>
    </w:p>
    <w:p w14:paraId="02BB8002">
      <w:pPr>
        <w:pStyle w:val="11"/>
        <w:keepNext w:val="0"/>
        <w:keepLines w:val="0"/>
        <w:pageBreakBefore w:val="0"/>
        <w:widowControl w:val="0"/>
        <w:kinsoku/>
        <w:wordWrap w:val="0"/>
        <w:overflowPunct/>
        <w:topLinePunct/>
        <w:autoSpaceDE/>
        <w:autoSpaceDN/>
        <w:bidi w:val="0"/>
        <w:spacing w:beforeAutospacing="0" w:after="0" w:afterAutospacing="0" w:line="360" w:lineRule="auto"/>
        <w:ind w:left="0" w:leftChars="0" w:firstLine="0" w:firstLineChars="0"/>
        <w:rPr>
          <w:rFonts w:hint="eastAsia" w:ascii="宋体" w:hAnsi="宋体" w:eastAsia="宋体" w:cs="宋体"/>
          <w:b/>
          <w:bCs/>
          <w:color w:val="auto"/>
          <w:sz w:val="24"/>
          <w:highlight w:val="none"/>
        </w:rPr>
      </w:pPr>
    </w:p>
    <w:p w14:paraId="0FBDD19A">
      <w:pPr>
        <w:pStyle w:val="11"/>
        <w:keepNext w:val="0"/>
        <w:keepLines w:val="0"/>
        <w:pageBreakBefore w:val="0"/>
        <w:widowControl w:val="0"/>
        <w:kinsoku/>
        <w:wordWrap w:val="0"/>
        <w:overflowPunct/>
        <w:topLinePunct/>
        <w:autoSpaceDE/>
        <w:autoSpaceDN/>
        <w:bidi w:val="0"/>
        <w:spacing w:beforeAutospacing="0" w:after="0" w:afterAutospacing="0" w:line="360" w:lineRule="auto"/>
        <w:ind w:left="0" w:leftChars="0" w:firstLine="0" w:firstLineChars="0"/>
        <w:rPr>
          <w:rFonts w:hint="eastAsia" w:ascii="宋体" w:hAnsi="宋体" w:eastAsia="宋体" w:cs="宋体"/>
          <w:b/>
          <w:bCs/>
          <w:color w:val="auto"/>
          <w:sz w:val="24"/>
          <w:highlight w:val="none"/>
        </w:rPr>
      </w:pPr>
    </w:p>
    <w:p w14:paraId="3E636B43">
      <w:pPr>
        <w:pStyle w:val="12"/>
        <w:keepNext w:val="0"/>
        <w:keepLines w:val="0"/>
        <w:pageBreakBefore w:val="0"/>
        <w:widowControl w:val="0"/>
        <w:kinsoku/>
        <w:wordWrap w:val="0"/>
        <w:overflowPunct/>
        <w:topLinePunct/>
        <w:autoSpaceDE/>
        <w:autoSpaceDN/>
        <w:bidi w:val="0"/>
        <w:rPr>
          <w:rFonts w:hint="eastAsia" w:ascii="宋体" w:hAnsi="宋体" w:eastAsia="宋体" w:cs="宋体"/>
          <w:b/>
          <w:bCs/>
          <w:color w:val="auto"/>
          <w:sz w:val="24"/>
          <w:highlight w:val="none"/>
        </w:rPr>
      </w:pPr>
    </w:p>
    <w:p w14:paraId="3ADCB87E">
      <w:pPr>
        <w:keepNext w:val="0"/>
        <w:keepLines w:val="0"/>
        <w:pageBreakBefore w:val="0"/>
        <w:widowControl w:val="0"/>
        <w:kinsoku/>
        <w:wordWrap w:val="0"/>
        <w:overflowPunct/>
        <w:topLinePunct/>
        <w:autoSpaceDE/>
        <w:autoSpaceDN/>
        <w:bidi w:val="0"/>
        <w:rPr>
          <w:rFonts w:hint="eastAsia"/>
          <w:color w:val="auto"/>
        </w:rPr>
      </w:pPr>
    </w:p>
    <w:p w14:paraId="4C4DA053">
      <w:pPr>
        <w:keepNext w:val="0"/>
        <w:keepLines w:val="0"/>
        <w:pageBreakBefore w:val="0"/>
        <w:widowControl w:val="0"/>
        <w:kinsoku/>
        <w:wordWrap w:val="0"/>
        <w:overflowPunct/>
        <w:topLinePunct/>
        <w:autoSpaceDE/>
        <w:autoSpaceDN/>
        <w:bidi w:val="0"/>
        <w:rPr>
          <w:rFonts w:hint="eastAsia" w:ascii="宋体" w:hAnsi="宋体" w:eastAsia="宋体" w:cs="宋体"/>
          <w:b/>
          <w:bCs/>
          <w:color w:val="auto"/>
          <w:sz w:val="24"/>
          <w:highlight w:val="none"/>
        </w:rPr>
      </w:pPr>
    </w:p>
    <w:p w14:paraId="2E55492E">
      <w:pPr>
        <w:pStyle w:val="10"/>
        <w:keepNext w:val="0"/>
        <w:keepLines w:val="0"/>
        <w:pageBreakBefore w:val="0"/>
        <w:widowControl w:val="0"/>
        <w:kinsoku/>
        <w:wordWrap w:val="0"/>
        <w:overflowPunct/>
        <w:topLinePunct/>
        <w:autoSpaceDE/>
        <w:autoSpaceDN/>
        <w:bidi w:val="0"/>
        <w:rPr>
          <w:rFonts w:hint="eastAsia"/>
          <w:color w:val="auto"/>
          <w:lang w:val="en-US" w:eastAsia="zh-CN"/>
        </w:rPr>
      </w:pPr>
    </w:p>
    <w:p w14:paraId="08251FC2">
      <w:pPr>
        <w:pStyle w:val="11"/>
        <w:keepNext w:val="0"/>
        <w:keepLines w:val="0"/>
        <w:pageBreakBefore w:val="0"/>
        <w:widowControl w:val="0"/>
        <w:kinsoku/>
        <w:wordWrap w:val="0"/>
        <w:overflowPunct/>
        <w:topLinePunct/>
        <w:autoSpaceDE/>
        <w:autoSpaceDN/>
        <w:bidi w:val="0"/>
        <w:rPr>
          <w:rFonts w:hint="eastAsia"/>
          <w:color w:val="auto"/>
          <w:lang w:val="en-US" w:eastAsia="zh-CN"/>
        </w:rPr>
      </w:pPr>
    </w:p>
    <w:p w14:paraId="02A1D0C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rPr>
          <w:rFonts w:hint="eastAsia" w:ascii="宋体" w:hAnsi="宋体" w:eastAsia="宋体" w:cs="宋体"/>
          <w:b/>
          <w:bCs/>
          <w:color w:val="auto"/>
          <w:sz w:val="24"/>
          <w:highlight w:val="none"/>
          <w:lang w:val="en-US" w:eastAsia="zh-CN"/>
        </w:rPr>
      </w:pPr>
    </w:p>
    <w:p w14:paraId="6E8DA8C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rPr>
          <w:rFonts w:hint="eastAsia" w:ascii="宋体" w:hAnsi="宋体" w:eastAsia="宋体" w:cs="宋体"/>
          <w:b/>
          <w:bCs/>
          <w:color w:val="auto"/>
          <w:sz w:val="24"/>
          <w:highlight w:val="none"/>
          <w:lang w:val="en-US" w:eastAsia="zh-CN"/>
        </w:rPr>
      </w:pPr>
    </w:p>
    <w:p w14:paraId="7D79BB5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rPr>
          <w:rFonts w:hint="eastAsia" w:ascii="宋体" w:hAnsi="宋体" w:eastAsia="宋体" w:cs="宋体"/>
          <w:b/>
          <w:bCs/>
          <w:color w:val="auto"/>
          <w:sz w:val="24"/>
          <w:highlight w:val="none"/>
          <w:lang w:val="en-US" w:eastAsia="zh-CN"/>
        </w:rPr>
      </w:pPr>
    </w:p>
    <w:p w14:paraId="2895E30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rPr>
          <w:rFonts w:hint="eastAsia" w:ascii="宋体" w:hAnsi="宋体" w:eastAsia="宋体" w:cs="宋体"/>
          <w:b/>
          <w:bCs/>
          <w:color w:val="auto"/>
          <w:sz w:val="24"/>
          <w:highlight w:val="none"/>
          <w:lang w:val="en-US" w:eastAsia="zh-CN"/>
        </w:rPr>
      </w:pPr>
    </w:p>
    <w:p w14:paraId="6308885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rPr>
          <w:rFonts w:hint="eastAsia" w:ascii="宋体" w:hAnsi="宋体" w:eastAsia="宋体" w:cs="宋体"/>
          <w:b/>
          <w:bCs/>
          <w:color w:val="auto"/>
          <w:sz w:val="24"/>
          <w:highlight w:val="none"/>
          <w:lang w:val="en-US" w:eastAsia="zh-CN"/>
        </w:rPr>
      </w:pPr>
    </w:p>
    <w:p w14:paraId="7C9BDFB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投标声明书格式：</w:t>
      </w:r>
    </w:p>
    <w:p w14:paraId="4D8B6CF8">
      <w:pPr>
        <w:keepNext w:val="0"/>
        <w:keepLines w:val="0"/>
        <w:pageBreakBefore w:val="0"/>
        <w:widowControl w:val="0"/>
        <w:kinsoku/>
        <w:wordWrap w:val="0"/>
        <w:overflowPunct/>
        <w:topLinePunct/>
        <w:autoSpaceDE/>
        <w:autoSpaceDN/>
        <w:bidi w:val="0"/>
        <w:spacing w:beforeAutospacing="0" w:afterAutospacing="0" w:line="360" w:lineRule="auto"/>
        <w:ind w:firstLine="667"/>
        <w:jc w:val="center"/>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rPr>
        <w:t>投标声明书</w:t>
      </w:r>
    </w:p>
    <w:p w14:paraId="21E6B0D5">
      <w:pPr>
        <w:keepNext w:val="0"/>
        <w:keepLines w:val="0"/>
        <w:pageBreakBefore w:val="0"/>
        <w:widowControl w:val="0"/>
        <w:kinsoku/>
        <w:wordWrap w:val="0"/>
        <w:overflowPunct/>
        <w:topLinePunct/>
        <w:autoSpaceDE/>
        <w:autoSpaceDN/>
        <w:bidi w:val="0"/>
        <w:spacing w:beforeAutospacing="0" w:afterAutospacing="0" w:line="360" w:lineRule="auto"/>
        <w:ind w:firstLine="667"/>
        <w:jc w:val="center"/>
        <w:rPr>
          <w:rFonts w:hint="eastAsia" w:ascii="宋体" w:hAnsi="宋体" w:eastAsia="宋体" w:cs="宋体"/>
          <w:b/>
          <w:color w:val="auto"/>
          <w:spacing w:val="6"/>
          <w:sz w:val="32"/>
          <w:highlight w:val="none"/>
        </w:rPr>
      </w:pPr>
    </w:p>
    <w:p w14:paraId="4FEE6E27">
      <w:pPr>
        <w:keepNext w:val="0"/>
        <w:keepLines w:val="0"/>
        <w:pageBreakBefore w:val="0"/>
        <w:widowControl w:val="0"/>
        <w:kinsoku/>
        <w:wordWrap w:val="0"/>
        <w:overflowPunct/>
        <w:topLinePunct/>
        <w:autoSpaceDE/>
        <w:autoSpaceDN/>
        <w:bidi w:val="0"/>
        <w:adjustRightInd/>
        <w:snapToGrid w:val="0"/>
        <w:spacing w:beforeAutospacing="0" w:afterAutospacing="0" w:line="360" w:lineRule="auto"/>
        <w:ind w:right="0" w:rightChars="0" w:firstLine="480"/>
        <w:jc w:val="both"/>
        <w:textAlignment w:val="auto"/>
        <w:outlineLvl w:val="9"/>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（采购单位</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采购代理机构</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u w:val="single"/>
          <w:lang w:val="en-US" w:eastAsia="zh-CN"/>
        </w:rPr>
        <w:t xml:space="preserve">      </w:t>
      </w:r>
    </w:p>
    <w:p w14:paraId="41A62B97">
      <w:pPr>
        <w:keepNext w:val="0"/>
        <w:keepLines w:val="0"/>
        <w:pageBreakBefore w:val="0"/>
        <w:widowControl w:val="0"/>
        <w:kinsoku/>
        <w:wordWrap w:val="0"/>
        <w:overflowPunct/>
        <w:topLinePunct/>
        <w:autoSpaceDE/>
        <w:autoSpaceDN/>
        <w:bidi w:val="0"/>
        <w:adjustRightInd/>
        <w:snapToGrid w:val="0"/>
        <w:spacing w:beforeAutospacing="0" w:afterAutospacing="0" w:line="360" w:lineRule="auto"/>
        <w:ind w:right="0" w:rightChars="0" w:firstLine="720" w:firstLineChars="300"/>
        <w:jc w:val="both"/>
        <w:textAlignment w:val="auto"/>
        <w:outlineLvl w:val="9"/>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名称）系中华人民共和国合法企业，经营地址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7E2058">
      <w:pPr>
        <w:keepNext w:val="0"/>
        <w:keepLines w:val="0"/>
        <w:pageBreakBefore w:val="0"/>
        <w:widowControl w:val="0"/>
        <w:kinsoku/>
        <w:wordWrap w:val="0"/>
        <w:overflowPunct/>
        <w:topLinePunct/>
        <w:autoSpaceDE/>
        <w:autoSpaceDN/>
        <w:bidi w:val="0"/>
        <w:adjustRightInd/>
        <w:snapToGrid w:val="0"/>
        <w:spacing w:beforeAutospacing="0" w:afterAutospacing="0" w:line="360" w:lineRule="auto"/>
        <w:ind w:right="0" w:rightChars="0" w:firstLine="480"/>
        <w:jc w:val="both"/>
        <w:textAlignment w:val="auto"/>
        <w:outlineLvl w:val="9"/>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名称）的法定代表人，我方愿意参加贵方组织的</w:t>
      </w:r>
      <w:r>
        <w:rPr>
          <w:rFonts w:hint="eastAsia" w:ascii="宋体" w:hAnsi="宋体" w:eastAsia="宋体" w:cs="宋体"/>
          <w:color w:val="auto"/>
          <w:sz w:val="24"/>
          <w:highlight w:val="none"/>
          <w:u w:val="single"/>
        </w:rPr>
        <w:t xml:space="preserve">                 （项目名称、编号）                 </w:t>
      </w:r>
      <w:r>
        <w:rPr>
          <w:rFonts w:hint="eastAsia" w:ascii="宋体" w:hAnsi="宋体" w:eastAsia="宋体" w:cs="宋体"/>
          <w:color w:val="auto"/>
          <w:sz w:val="24"/>
          <w:highlight w:val="none"/>
        </w:rPr>
        <w:t>项目的投标，为便于贵方公正、择优地确定</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及其</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产品和服务，我方就本次</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有关事项郑重声明如下：</w:t>
      </w:r>
    </w:p>
    <w:p w14:paraId="3E1DE16F">
      <w:pPr>
        <w:keepNext w:val="0"/>
        <w:keepLines w:val="0"/>
        <w:pageBreakBefore w:val="0"/>
        <w:widowControl w:val="0"/>
        <w:kinsoku/>
        <w:wordWrap w:val="0"/>
        <w:overflowPunct/>
        <w:topLinePunct/>
        <w:autoSpaceDE/>
        <w:autoSpaceDN/>
        <w:bidi w:val="0"/>
        <w:adjustRightInd/>
        <w:snapToGrid w:val="0"/>
        <w:spacing w:beforeAutospacing="0" w:afterAutospacing="0" w:line="360" w:lineRule="auto"/>
        <w:ind w:right="0" w:rightChars="0" w:firstLine="48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1.我方已详细审查全部采购文件，同意采购文件的各项要求。 </w:t>
      </w:r>
    </w:p>
    <w:p w14:paraId="7BB20FA5">
      <w:pPr>
        <w:keepNext w:val="0"/>
        <w:keepLines w:val="0"/>
        <w:pageBreakBefore w:val="0"/>
        <w:widowControl w:val="0"/>
        <w:kinsoku/>
        <w:wordWrap w:val="0"/>
        <w:overflowPunct/>
        <w:topLinePunct/>
        <w:autoSpaceDE/>
        <w:autoSpaceDN/>
        <w:bidi w:val="0"/>
        <w:adjustRightInd/>
        <w:snapToGrid w:val="0"/>
        <w:spacing w:beforeAutospacing="0" w:afterAutospacing="0" w:line="360" w:lineRule="auto"/>
        <w:ind w:right="0" w:rightChars="0" w:firstLine="48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2.我方向贵方提交的所有投标响应文件、资料都是准确的和真实的。</w:t>
      </w:r>
    </w:p>
    <w:p w14:paraId="28F1A132">
      <w:pPr>
        <w:keepNext w:val="0"/>
        <w:keepLines w:val="0"/>
        <w:pageBreakBefore w:val="0"/>
        <w:widowControl w:val="0"/>
        <w:kinsoku/>
        <w:wordWrap w:val="0"/>
        <w:overflowPunct/>
        <w:topLinePunct/>
        <w:autoSpaceDE/>
        <w:autoSpaceDN/>
        <w:bidi w:val="0"/>
        <w:adjustRightInd/>
        <w:snapToGrid w:val="0"/>
        <w:spacing w:beforeAutospacing="0" w:afterAutospacing="0" w:line="360" w:lineRule="auto"/>
        <w:ind w:right="0" w:rightChars="0" w:firstLine="48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3.我方提供的货物或服务符合国家法律法规及相关要求（包括但不限于质量标准、技术标准、备案、许可等）。</w:t>
      </w:r>
    </w:p>
    <w:p w14:paraId="7031FDDF">
      <w:pPr>
        <w:keepNext w:val="0"/>
        <w:keepLines w:val="0"/>
        <w:pageBreakBefore w:val="0"/>
        <w:widowControl w:val="0"/>
        <w:kinsoku/>
        <w:wordWrap w:val="0"/>
        <w:overflowPunct/>
        <w:topLinePunct/>
        <w:autoSpaceDE/>
        <w:autoSpaceDN/>
        <w:bidi w:val="0"/>
        <w:adjustRightInd/>
        <w:snapToGrid w:val="0"/>
        <w:spacing w:beforeAutospacing="0" w:afterAutospacing="0" w:line="360" w:lineRule="auto"/>
        <w:ind w:right="0" w:rightChars="0" w:firstLine="48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4.若中标，我方将按采购文件规定履行合同责任和义务。 </w:t>
      </w:r>
    </w:p>
    <w:p w14:paraId="7D3BAF1D">
      <w:pPr>
        <w:keepNext w:val="0"/>
        <w:keepLines w:val="0"/>
        <w:pageBreakBefore w:val="0"/>
        <w:widowControl w:val="0"/>
        <w:kinsoku/>
        <w:wordWrap w:val="0"/>
        <w:overflowPunct/>
        <w:topLinePunct/>
        <w:autoSpaceDE/>
        <w:autoSpaceDN/>
        <w:bidi w:val="0"/>
        <w:adjustRightInd/>
        <w:snapToGrid w:val="0"/>
        <w:spacing w:beforeAutospacing="0" w:afterAutospacing="0" w:line="360" w:lineRule="auto"/>
        <w:ind w:right="0" w:rightChars="0" w:firstLine="48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5.我方不是采购人的附属机构；在获知本项目采购信息后，与采购人聘请的为此项目提供咨询服务的公司及其附属机构没有任何联系。 </w:t>
      </w:r>
    </w:p>
    <w:p w14:paraId="72D6524D">
      <w:pPr>
        <w:keepNext w:val="0"/>
        <w:keepLines w:val="0"/>
        <w:pageBreakBefore w:val="0"/>
        <w:widowControl w:val="0"/>
        <w:kinsoku/>
        <w:wordWrap w:val="0"/>
        <w:overflowPunct/>
        <w:topLinePunct/>
        <w:autoSpaceDE/>
        <w:autoSpaceDN/>
        <w:bidi w:val="0"/>
        <w:adjustRightInd/>
        <w:snapToGrid w:val="0"/>
        <w:spacing w:beforeAutospacing="0" w:afterAutospacing="0" w:line="360" w:lineRule="auto"/>
        <w:ind w:right="0" w:rightChars="0" w:firstLine="48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6.投标响应文件自开标日起有效期为</w:t>
      </w:r>
      <w:r>
        <w:rPr>
          <w:rFonts w:hint="eastAsia" w:ascii="宋体" w:hAnsi="宋体" w:eastAsia="宋体" w:cs="宋体"/>
          <w:color w:val="auto"/>
          <w:sz w:val="24"/>
          <w:highlight w:val="none"/>
          <w:u w:val="single"/>
          <w:lang w:val="en-US" w:eastAsia="zh-CN"/>
        </w:rPr>
        <w:t xml:space="preserve"> 90 </w:t>
      </w:r>
      <w:r>
        <w:rPr>
          <w:rFonts w:hint="eastAsia" w:ascii="宋体" w:hAnsi="宋体" w:eastAsia="宋体" w:cs="宋体"/>
          <w:color w:val="auto"/>
          <w:sz w:val="24"/>
          <w:highlight w:val="none"/>
          <w:lang w:val="en-US" w:eastAsia="zh-CN"/>
        </w:rPr>
        <w:t xml:space="preserve">日历天。 </w:t>
      </w:r>
    </w:p>
    <w:p w14:paraId="62F69B15">
      <w:pPr>
        <w:keepNext w:val="0"/>
        <w:keepLines w:val="0"/>
        <w:pageBreakBefore w:val="0"/>
        <w:widowControl w:val="0"/>
        <w:kinsoku/>
        <w:wordWrap w:val="0"/>
        <w:overflowPunct/>
        <w:topLinePunct/>
        <w:autoSpaceDE/>
        <w:autoSpaceDN/>
        <w:bidi w:val="0"/>
        <w:adjustRightInd/>
        <w:snapToGrid w:val="0"/>
        <w:spacing w:beforeAutospacing="0" w:afterAutospacing="0" w:line="360" w:lineRule="auto"/>
        <w:ind w:right="0" w:rightChars="0" w:firstLine="48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7.我方承诺已经具备参与政府采购活动的资格条件并且没有税收缴纳、社会保障等方面 的失信记录。 </w:t>
      </w:r>
    </w:p>
    <w:p w14:paraId="22FCF1CD">
      <w:pPr>
        <w:keepNext w:val="0"/>
        <w:keepLines w:val="0"/>
        <w:pageBreakBefore w:val="0"/>
        <w:widowControl w:val="0"/>
        <w:kinsoku/>
        <w:wordWrap w:val="0"/>
        <w:overflowPunct/>
        <w:topLinePunct/>
        <w:autoSpaceDE/>
        <w:autoSpaceDN/>
        <w:bidi w:val="0"/>
        <w:adjustRightInd/>
        <w:snapToGrid w:val="0"/>
        <w:spacing w:beforeAutospacing="0" w:afterAutospacing="0" w:line="360" w:lineRule="auto"/>
        <w:ind w:right="0" w:rightChars="0" w:firstLine="48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8.我方通过“信用中国”网站（www.creditchina.gov.cn）、中国政府采购网（www.ccgp.gov.cn）查询，未被列入失信被执行人、重大税收违法案件当事人名单、政府采购严重违法失信行为记录名单。 </w:t>
      </w:r>
    </w:p>
    <w:p w14:paraId="0147E464">
      <w:pPr>
        <w:keepNext w:val="0"/>
        <w:keepLines w:val="0"/>
        <w:pageBreakBefore w:val="0"/>
        <w:widowControl w:val="0"/>
        <w:kinsoku/>
        <w:wordWrap w:val="0"/>
        <w:overflowPunct/>
        <w:topLinePunct/>
        <w:autoSpaceDE/>
        <w:autoSpaceDN/>
        <w:bidi w:val="0"/>
        <w:adjustRightInd/>
        <w:snapToGrid w:val="0"/>
        <w:spacing w:beforeAutospacing="0" w:afterAutospacing="0" w:line="360" w:lineRule="auto"/>
        <w:ind w:right="0" w:rightChars="0" w:firstLine="48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以上事项如有虚假或隐瞒，我方愿意承担一切后果，并不再寻求任何旨在减轻或免除法律责任的辩解。                   </w:t>
      </w:r>
    </w:p>
    <w:p w14:paraId="57FDD04F">
      <w:pPr>
        <w:keepNext w:val="0"/>
        <w:keepLines w:val="0"/>
        <w:pageBreakBefore w:val="0"/>
        <w:widowControl w:val="0"/>
        <w:shd w:val="clear" w:color="auto" w:fill="auto"/>
        <w:tabs>
          <w:tab w:val="left" w:pos="5760"/>
        </w:tabs>
        <w:kinsoku/>
        <w:wordWrap w:val="0"/>
        <w:overflowPunct/>
        <w:topLinePunct/>
        <w:autoSpaceDE/>
        <w:autoSpaceDN/>
        <w:bidi w:val="0"/>
        <w:spacing w:beforeAutospacing="0" w:afterAutospacing="0" w:line="400" w:lineRule="exact"/>
        <w:ind w:left="0" w:leftChars="0" w:right="482" w:firstLine="0" w:firstLineChars="0"/>
        <w:jc w:val="center"/>
        <w:textAlignment w:val="auto"/>
        <w:outlineLvl w:val="9"/>
        <w:rPr>
          <w:rFonts w:hint="eastAsia" w:ascii="宋体" w:hAnsi="宋体" w:eastAsia="宋体" w:cs="宋体"/>
          <w:color w:val="auto"/>
          <w:sz w:val="24"/>
          <w:highlight w:val="none"/>
        </w:rPr>
      </w:pPr>
    </w:p>
    <w:p w14:paraId="001B2687">
      <w:pPr>
        <w:keepNext w:val="0"/>
        <w:keepLines w:val="0"/>
        <w:pageBreakBefore w:val="0"/>
        <w:widowControl w:val="0"/>
        <w:shd w:val="clear" w:color="auto" w:fill="auto"/>
        <w:tabs>
          <w:tab w:val="left" w:pos="5760"/>
        </w:tabs>
        <w:kinsoku/>
        <w:wordWrap w:val="0"/>
        <w:overflowPunct/>
        <w:topLinePunct/>
        <w:autoSpaceDE/>
        <w:autoSpaceDN/>
        <w:bidi w:val="0"/>
        <w:spacing w:beforeAutospacing="0" w:afterAutospacing="0" w:line="360" w:lineRule="auto"/>
        <w:ind w:left="0" w:leftChars="0" w:right="482" w:firstLine="0" w:firstLineChars="0"/>
        <w:jc w:val="both"/>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7ED95BF3">
      <w:pPr>
        <w:keepNext w:val="0"/>
        <w:keepLines w:val="0"/>
        <w:pageBreakBefore w:val="0"/>
        <w:widowControl w:val="0"/>
        <w:shd w:val="clear" w:color="auto" w:fill="auto"/>
        <w:tabs>
          <w:tab w:val="left" w:pos="5760"/>
        </w:tabs>
        <w:kinsoku/>
        <w:wordWrap w:val="0"/>
        <w:overflowPunct/>
        <w:topLinePunct/>
        <w:autoSpaceDE/>
        <w:autoSpaceDN/>
        <w:bidi w:val="0"/>
        <w:spacing w:beforeAutospacing="0" w:afterAutospacing="0" w:line="360" w:lineRule="auto"/>
        <w:ind w:left="0" w:lef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法定代表人或授权代表人签字（或盖章）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3C565738">
      <w:pPr>
        <w:keepNext w:val="0"/>
        <w:keepLines w:val="0"/>
        <w:pageBreakBefore w:val="0"/>
        <w:widowControl w:val="0"/>
        <w:shd w:val="clear" w:color="auto" w:fill="auto"/>
        <w:kinsoku/>
        <w:wordWrap w:val="0"/>
        <w:overflowPunct/>
        <w:topLinePunct/>
        <w:autoSpaceDE/>
        <w:autoSpaceDN/>
        <w:bidi w:val="0"/>
        <w:adjustRightInd w:val="0"/>
        <w:snapToGrid w:val="0"/>
        <w:spacing w:beforeAutospacing="0" w:afterAutospacing="0" w:line="360" w:lineRule="auto"/>
        <w:ind w:left="0" w:leftChars="0" w:firstLine="0" w:firstLineChars="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u w:val="none"/>
          <w:lang w:eastAsia="zh-CN"/>
        </w:rPr>
        <w:t>日期：</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1080C5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rPr>
          <w:rFonts w:hint="eastAsia" w:ascii="宋体" w:hAnsi="宋体" w:eastAsia="宋体" w:cs="宋体"/>
          <w:b/>
          <w:bCs/>
          <w:color w:val="auto"/>
          <w:sz w:val="24"/>
          <w:highlight w:val="none"/>
          <w:lang w:val="en-US" w:eastAsia="zh-CN"/>
        </w:rPr>
      </w:pPr>
    </w:p>
    <w:p w14:paraId="081F670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诚信承诺书格式：</w:t>
      </w:r>
    </w:p>
    <w:p w14:paraId="4CF46E8A">
      <w:pPr>
        <w:keepNext w:val="0"/>
        <w:keepLines w:val="0"/>
        <w:pageBreakBefore w:val="0"/>
        <w:widowControl w:val="0"/>
        <w:kinsoku/>
        <w:wordWrap w:val="0"/>
        <w:overflowPunct/>
        <w:topLinePunct/>
        <w:autoSpaceDE/>
        <w:autoSpaceDN/>
        <w:bidi w:val="0"/>
        <w:spacing w:beforeAutospacing="0" w:afterAutospacing="0" w:line="360" w:lineRule="auto"/>
        <w:ind w:firstLine="562"/>
        <w:jc w:val="center"/>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t>诚信承诺书</w:t>
      </w:r>
    </w:p>
    <w:p w14:paraId="4F347D97">
      <w:pPr>
        <w:keepNext w:val="0"/>
        <w:keepLines w:val="0"/>
        <w:pageBreakBefore w:val="0"/>
        <w:widowControl w:val="0"/>
        <w:kinsoku/>
        <w:wordWrap w:val="0"/>
        <w:overflowPunct/>
        <w:topLinePunct/>
        <w:autoSpaceDE/>
        <w:autoSpaceDN/>
        <w:bidi w:val="0"/>
        <w:spacing w:beforeAutospacing="0" w:afterAutospacing="0" w:line="360" w:lineRule="auto"/>
        <w:ind w:firstLine="562"/>
        <w:jc w:val="center"/>
        <w:rPr>
          <w:rFonts w:hint="eastAsia" w:ascii="宋体" w:hAnsi="宋体" w:eastAsia="宋体" w:cs="宋体"/>
          <w:b/>
          <w:color w:val="auto"/>
          <w:sz w:val="28"/>
          <w:szCs w:val="30"/>
          <w:highlight w:val="none"/>
        </w:rPr>
      </w:pPr>
    </w:p>
    <w:p w14:paraId="21F94C5F">
      <w:pPr>
        <w:keepNext w:val="0"/>
        <w:keepLines w:val="0"/>
        <w:pageBreakBefore w:val="0"/>
        <w:widowControl w:val="0"/>
        <w:kinsoku/>
        <w:wordWrap w:val="0"/>
        <w:overflowPunct/>
        <w:topLinePunct/>
        <w:autoSpaceDE/>
        <w:autoSpaceDN/>
        <w:bidi w:val="0"/>
        <w:spacing w:beforeAutospacing="0" w:afterAutospacing="0"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（采购单位</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采购代理机构</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w:t>
      </w:r>
    </w:p>
    <w:p w14:paraId="7473D9DB">
      <w:pPr>
        <w:keepNext w:val="0"/>
        <w:keepLines w:val="0"/>
        <w:pageBreakBefore w:val="0"/>
        <w:widowControl w:val="0"/>
        <w:kinsoku/>
        <w:wordWrap w:val="0"/>
        <w:overflowPunct/>
        <w:topLinePunct/>
        <w:autoSpaceDE/>
        <w:autoSpaceDN/>
        <w:bidi w:val="0"/>
        <w:spacing w:beforeAutospacing="0" w:afterAutospacing="0"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我方在参加贵单位的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政府采购项目的招投标活动中，郑重承诺如下：</w:t>
      </w:r>
    </w:p>
    <w:p w14:paraId="224B1D65">
      <w:pPr>
        <w:keepNext w:val="0"/>
        <w:keepLines w:val="0"/>
        <w:pageBreakBefore w:val="0"/>
        <w:widowControl w:val="0"/>
        <w:kinsoku/>
        <w:wordWrap w:val="0"/>
        <w:overflowPunct/>
        <w:topLinePunct/>
        <w:autoSpaceDE/>
        <w:autoSpaceDN/>
        <w:bidi w:val="0"/>
        <w:spacing w:beforeAutospacing="0" w:afterAutospacing="0"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我方申报的所有资料都是真实、准确、完整的；</w:t>
      </w:r>
    </w:p>
    <w:p w14:paraId="021AB71F">
      <w:pPr>
        <w:keepNext w:val="0"/>
        <w:keepLines w:val="0"/>
        <w:pageBreakBefore w:val="0"/>
        <w:widowControl w:val="0"/>
        <w:kinsoku/>
        <w:wordWrap w:val="0"/>
        <w:overflowPunct/>
        <w:topLinePunct/>
        <w:autoSpaceDE/>
        <w:autoSpaceDN/>
        <w:bidi w:val="0"/>
        <w:spacing w:beforeAutospacing="0" w:afterAutospacing="0"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我方无资质挂靠情形，保证不参与串标、围标及抬标；</w:t>
      </w:r>
    </w:p>
    <w:p w14:paraId="5FB49891">
      <w:pPr>
        <w:keepNext w:val="0"/>
        <w:keepLines w:val="0"/>
        <w:pageBreakBefore w:val="0"/>
        <w:widowControl w:val="0"/>
        <w:kinsoku/>
        <w:wordWrap w:val="0"/>
        <w:overflowPunct/>
        <w:topLinePunct/>
        <w:autoSpaceDE/>
        <w:autoSpaceDN/>
        <w:bidi w:val="0"/>
        <w:spacing w:beforeAutospacing="0" w:afterAutospacing="0"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我方没有被各级行政主管部门做出停止市场行为的处罚；</w:t>
      </w:r>
    </w:p>
    <w:p w14:paraId="14DB79A9">
      <w:pPr>
        <w:keepNext w:val="0"/>
        <w:keepLines w:val="0"/>
        <w:pageBreakBefore w:val="0"/>
        <w:widowControl w:val="0"/>
        <w:kinsoku/>
        <w:wordWrap w:val="0"/>
        <w:overflowPunct/>
        <w:topLinePunct/>
        <w:autoSpaceDE/>
        <w:autoSpaceDN/>
        <w:bidi w:val="0"/>
        <w:spacing w:beforeAutospacing="0" w:afterAutospacing="0"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若我方中标，将严格按照规定及时与采购人签订合同；</w:t>
      </w:r>
    </w:p>
    <w:p w14:paraId="6AE74D53">
      <w:pPr>
        <w:keepNext w:val="0"/>
        <w:keepLines w:val="0"/>
        <w:pageBreakBefore w:val="0"/>
        <w:widowControl w:val="0"/>
        <w:kinsoku/>
        <w:wordWrap w:val="0"/>
        <w:overflowPunct/>
        <w:topLinePunct/>
        <w:autoSpaceDE/>
        <w:autoSpaceDN/>
        <w:bidi w:val="0"/>
        <w:spacing w:beforeAutospacing="0" w:afterAutospacing="0"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若我方中标，将严格按照</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文件及投标文件所承诺的报价、质量、工期、投标方案、项目负责人等内容组织实施；</w:t>
      </w:r>
    </w:p>
    <w:p w14:paraId="0CB5C962">
      <w:pPr>
        <w:keepNext w:val="0"/>
        <w:keepLines w:val="0"/>
        <w:pageBreakBefore w:val="0"/>
        <w:widowControl w:val="0"/>
        <w:kinsoku/>
        <w:wordWrap w:val="0"/>
        <w:overflowPunct/>
        <w:topLinePunct/>
        <w:autoSpaceDE/>
        <w:autoSpaceDN/>
        <w:bidi w:val="0"/>
        <w:spacing w:beforeAutospacing="0" w:afterAutospacing="0"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我方若违反上述承诺，隐瞒、提供虚假资料或不按</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要求组织实施或参与串标围标等行为，被贵方发现或被他人举报查实，无条件接受贵方、行政主管部门作出的取消投标资格、中标资格、解除合同、拒绝后续政府采购投标、不良行为记录等的处罚。对造成的损失，任何法律和经济责任完全由我方负责。</w:t>
      </w:r>
    </w:p>
    <w:p w14:paraId="15F58B1B">
      <w:pPr>
        <w:keepNext w:val="0"/>
        <w:keepLines w:val="0"/>
        <w:pageBreakBefore w:val="0"/>
        <w:widowControl w:val="0"/>
        <w:kinsoku/>
        <w:wordWrap w:val="0"/>
        <w:overflowPunct/>
        <w:topLinePunct/>
        <w:autoSpaceDE/>
        <w:autoSpaceDN/>
        <w:bidi w:val="0"/>
        <w:spacing w:beforeAutospacing="0" w:afterAutospacing="0"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26D0F7F8">
      <w:pPr>
        <w:keepNext w:val="0"/>
        <w:keepLines w:val="0"/>
        <w:pageBreakBefore w:val="0"/>
        <w:widowControl w:val="0"/>
        <w:kinsoku/>
        <w:wordWrap w:val="0"/>
        <w:overflowPunct/>
        <w:topLinePunct/>
        <w:autoSpaceDE/>
        <w:autoSpaceDN/>
        <w:bidi w:val="0"/>
        <w:spacing w:beforeAutospacing="0" w:afterAutospacing="0" w:line="360" w:lineRule="auto"/>
        <w:ind w:firstLine="482"/>
        <w:rPr>
          <w:rFonts w:hint="eastAsia" w:ascii="宋体" w:hAnsi="宋体" w:eastAsia="宋体" w:cs="宋体"/>
          <w:color w:val="auto"/>
          <w:sz w:val="24"/>
          <w:highlight w:val="none"/>
        </w:rPr>
      </w:pPr>
    </w:p>
    <w:p w14:paraId="7EEA1F6D">
      <w:pPr>
        <w:keepNext w:val="0"/>
        <w:keepLines w:val="0"/>
        <w:pageBreakBefore w:val="0"/>
        <w:widowControl w:val="0"/>
        <w:kinsoku/>
        <w:wordWrap w:val="0"/>
        <w:overflowPunct/>
        <w:topLinePunct/>
        <w:autoSpaceDE/>
        <w:autoSpaceDN/>
        <w:bidi w:val="0"/>
        <w:spacing w:beforeAutospacing="0" w:afterAutospacing="0"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承诺单位：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（加盖公章）</w:t>
      </w:r>
    </w:p>
    <w:p w14:paraId="16DDA398">
      <w:pPr>
        <w:keepNext w:val="0"/>
        <w:keepLines w:val="0"/>
        <w:pageBreakBefore w:val="0"/>
        <w:widowControl w:val="0"/>
        <w:kinsoku/>
        <w:wordWrap w:val="0"/>
        <w:overflowPunct/>
        <w:topLinePunct/>
        <w:autoSpaceDE/>
        <w:autoSpaceDN/>
        <w:bidi w:val="0"/>
        <w:spacing w:beforeAutospacing="0" w:afterAutospacing="0"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w:t>
      </w:r>
      <w:r>
        <w:rPr>
          <w:rFonts w:hint="eastAsia" w:ascii="宋体" w:hAnsi="宋体" w:eastAsia="宋体" w:cs="宋体"/>
          <w:color w:val="auto"/>
          <w:sz w:val="24"/>
          <w:highlight w:val="none"/>
          <w:lang w:val="en-US" w:eastAsia="zh-CN"/>
        </w:rPr>
        <w:t>代表</w:t>
      </w:r>
      <w:r>
        <w:rPr>
          <w:rFonts w:hint="eastAsia" w:ascii="宋体" w:hAnsi="宋体" w:eastAsia="宋体" w:cs="宋体"/>
          <w:color w:val="auto"/>
          <w:sz w:val="24"/>
          <w:highlight w:val="none"/>
        </w:rPr>
        <w:t>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6565959">
      <w:pPr>
        <w:keepNext w:val="0"/>
        <w:keepLines w:val="0"/>
        <w:pageBreakBefore w:val="0"/>
        <w:widowControl w:val="0"/>
        <w:kinsoku/>
        <w:wordWrap w:val="0"/>
        <w:overflowPunct/>
        <w:topLinePunct/>
        <w:autoSpaceDE/>
        <w:autoSpaceDN/>
        <w:bidi w:val="0"/>
        <w:spacing w:beforeAutospacing="0" w:afterAutospacing="0"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BBDD49F">
      <w:pPr>
        <w:keepNext w:val="0"/>
        <w:keepLines w:val="0"/>
        <w:pageBreakBefore w:val="0"/>
        <w:widowControl w:val="0"/>
        <w:kinsoku/>
        <w:wordWrap w:val="0"/>
        <w:overflowPunct/>
        <w:topLinePunct/>
        <w:autoSpaceDE/>
        <w:autoSpaceDN/>
        <w:bidi w:val="0"/>
        <w:spacing w:beforeAutospacing="0" w:afterAutospacing="0" w:line="360" w:lineRule="auto"/>
        <w:ind w:firstLine="48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p>
    <w:p w14:paraId="4FAE2A90">
      <w:pPr>
        <w:keepNext w:val="0"/>
        <w:keepLines w:val="0"/>
        <w:pageBreakBefore w:val="0"/>
        <w:widowControl w:val="0"/>
        <w:kinsoku/>
        <w:wordWrap w:val="0"/>
        <w:overflowPunct/>
        <w:topLinePunct/>
        <w:autoSpaceDE/>
        <w:autoSpaceDN/>
        <w:bidi w:val="0"/>
        <w:spacing w:beforeAutospacing="0" w:afterAutospacing="0"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p>
    <w:p w14:paraId="00BB4A66">
      <w:pPr>
        <w:keepNext w:val="0"/>
        <w:keepLines w:val="0"/>
        <w:pageBreakBefore w:val="0"/>
        <w:widowControl w:val="0"/>
        <w:kinsoku/>
        <w:wordWrap w:val="0"/>
        <w:overflowPunct/>
        <w:topLinePunct/>
        <w:autoSpaceDE/>
        <w:autoSpaceDN/>
        <w:bidi w:val="0"/>
        <w:spacing w:beforeAutospacing="0" w:afterAutospacing="0"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E6B5919">
      <w:pPr>
        <w:keepNext w:val="0"/>
        <w:keepLines w:val="0"/>
        <w:pageBreakBefore w:val="0"/>
        <w:widowControl w:val="0"/>
        <w:kinsoku/>
        <w:wordWrap w:val="0"/>
        <w:overflowPunct/>
        <w:topLinePunct/>
        <w:autoSpaceDE/>
        <w:autoSpaceDN/>
        <w:bidi w:val="0"/>
        <w:spacing w:beforeAutospacing="0" w:afterAutospacing="0" w:line="360" w:lineRule="auto"/>
        <w:ind w:firstLine="480"/>
        <w:rPr>
          <w:rFonts w:hint="eastAsia" w:ascii="宋体" w:hAnsi="宋体" w:eastAsia="宋体" w:cs="宋体"/>
          <w:color w:val="auto"/>
          <w:sz w:val="24"/>
          <w:highlight w:val="none"/>
        </w:rPr>
      </w:pPr>
    </w:p>
    <w:p w14:paraId="5074FDF9">
      <w:pPr>
        <w:keepNext w:val="0"/>
        <w:keepLines w:val="0"/>
        <w:pageBreakBefore w:val="0"/>
        <w:widowControl w:val="0"/>
        <w:kinsoku/>
        <w:wordWrap w:val="0"/>
        <w:overflowPunct/>
        <w:topLinePunct/>
        <w:autoSpaceDE/>
        <w:autoSpaceDN/>
        <w:bidi w:val="0"/>
        <w:spacing w:beforeAutospacing="0" w:afterAutospacing="0" w:line="360" w:lineRule="auto"/>
        <w:ind w:firstLine="480"/>
        <w:rPr>
          <w:rFonts w:hint="eastAsia" w:ascii="宋体" w:hAnsi="宋体" w:eastAsia="宋体" w:cs="宋体"/>
          <w:color w:val="auto"/>
          <w:sz w:val="24"/>
          <w:highlight w:val="none"/>
        </w:rPr>
      </w:pPr>
    </w:p>
    <w:p w14:paraId="665DDA41">
      <w:pPr>
        <w:keepNext w:val="0"/>
        <w:keepLines w:val="0"/>
        <w:pageBreakBefore w:val="0"/>
        <w:widowControl w:val="0"/>
        <w:kinsoku/>
        <w:wordWrap w:val="0"/>
        <w:overflowPunct/>
        <w:topLinePunct/>
        <w:autoSpaceDE/>
        <w:autoSpaceDN/>
        <w:bidi w:val="0"/>
        <w:spacing w:beforeAutospacing="0" w:afterAutospacing="0" w:line="360" w:lineRule="auto"/>
        <w:ind w:firstLine="480"/>
        <w:rPr>
          <w:rFonts w:hint="eastAsia" w:ascii="宋体" w:hAnsi="宋体" w:eastAsia="宋体" w:cs="宋体"/>
          <w:color w:val="auto"/>
          <w:sz w:val="24"/>
          <w:highlight w:val="none"/>
        </w:rPr>
      </w:pPr>
    </w:p>
    <w:p w14:paraId="26869281">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b/>
          <w:bCs/>
          <w:color w:val="auto"/>
          <w:sz w:val="24"/>
          <w:highlight w:val="none"/>
          <w:lang w:val="en-US" w:eastAsia="zh-CN"/>
        </w:rPr>
      </w:pPr>
    </w:p>
    <w:p w14:paraId="627F8E00">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b/>
          <w:bCs/>
          <w:color w:val="auto"/>
          <w:sz w:val="24"/>
          <w:highlight w:val="none"/>
          <w:lang w:val="en-US" w:eastAsia="zh-CN"/>
        </w:rPr>
      </w:pPr>
    </w:p>
    <w:p w14:paraId="73093BC0">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b/>
          <w:bCs/>
          <w:color w:val="auto"/>
          <w:sz w:val="24"/>
          <w:highlight w:val="none"/>
          <w:lang w:val="en-US" w:eastAsia="zh-CN"/>
        </w:rPr>
      </w:pPr>
    </w:p>
    <w:p w14:paraId="104DE1A7">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无重大违法记录声明函</w:t>
      </w:r>
    </w:p>
    <w:p w14:paraId="3FACAF40">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b/>
          <w:color w:val="auto"/>
          <w:sz w:val="24"/>
          <w:highlight w:val="none"/>
        </w:rPr>
      </w:pPr>
    </w:p>
    <w:p w14:paraId="5BECBC67">
      <w:pPr>
        <w:keepNext w:val="0"/>
        <w:keepLines w:val="0"/>
        <w:pageBreakBefore w:val="0"/>
        <w:widowControl w:val="0"/>
        <w:kinsoku/>
        <w:wordWrap w:val="0"/>
        <w:overflowPunct/>
        <w:topLinePunct/>
        <w:autoSpaceDE/>
        <w:autoSpaceDN/>
        <w:bidi w:val="0"/>
        <w:spacing w:beforeAutospacing="0" w:afterAutospacing="0"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无重大违法记录声明函</w:t>
      </w:r>
    </w:p>
    <w:p w14:paraId="2C025192">
      <w:pPr>
        <w:keepNext w:val="0"/>
        <w:keepLines w:val="0"/>
        <w:pageBreakBefore w:val="0"/>
        <w:widowControl w:val="0"/>
        <w:kinsoku/>
        <w:wordWrap w:val="0"/>
        <w:overflowPunct/>
        <w:topLinePunct/>
        <w:autoSpaceDE/>
        <w:autoSpaceDN/>
        <w:bidi w:val="0"/>
        <w:spacing w:beforeAutospacing="0" w:afterAutospacing="0" w:line="360" w:lineRule="auto"/>
        <w:jc w:val="center"/>
        <w:rPr>
          <w:rFonts w:hint="eastAsia" w:ascii="宋体" w:hAnsi="宋体" w:eastAsia="宋体" w:cs="宋体"/>
          <w:b/>
          <w:color w:val="auto"/>
          <w:sz w:val="32"/>
          <w:highlight w:val="none"/>
        </w:rPr>
      </w:pPr>
    </w:p>
    <w:p w14:paraId="264B6246">
      <w:pPr>
        <w:keepNext w:val="0"/>
        <w:keepLines w:val="0"/>
        <w:pageBreakBefore w:val="0"/>
        <w:widowControl w:val="0"/>
        <w:kinsoku/>
        <w:wordWrap w:val="0"/>
        <w:overflowPunct/>
        <w:topLinePunct/>
        <w:autoSpaceDE/>
        <w:autoSpaceDN/>
        <w:bidi w:val="0"/>
        <w:adjustRightInd/>
        <w:snapToGrid/>
        <w:spacing w:beforeAutospacing="0" w:afterAutospacing="0" w:line="600" w:lineRule="exact"/>
        <w:ind w:left="0" w:leftChars="0" w:right="0" w:rightChars="0" w:firstLine="48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（采购单位</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采购代理机构</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w:t>
      </w:r>
    </w:p>
    <w:p w14:paraId="3B7A9E91">
      <w:pPr>
        <w:keepNext w:val="0"/>
        <w:keepLines w:val="0"/>
        <w:pageBreakBefore w:val="0"/>
        <w:widowControl w:val="0"/>
        <w:kinsoku/>
        <w:wordWrap w:val="0"/>
        <w:overflowPunct/>
        <w:topLinePunct/>
        <w:autoSpaceDE/>
        <w:autoSpaceDN/>
        <w:bidi w:val="0"/>
        <w:adjustRightInd/>
        <w:snapToGrid/>
        <w:spacing w:beforeAutospacing="0" w:afterAutospacing="0" w:line="600" w:lineRule="exact"/>
        <w:ind w:left="0" w:leftChars="0" w:right="0" w:rightChars="0" w:firstLine="48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针对</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投标，本公司作出如下承诺：</w:t>
      </w:r>
    </w:p>
    <w:p w14:paraId="474222D3">
      <w:pPr>
        <w:keepNext w:val="0"/>
        <w:keepLines w:val="0"/>
        <w:pageBreakBefore w:val="0"/>
        <w:widowControl w:val="0"/>
        <w:kinsoku/>
        <w:wordWrap w:val="0"/>
        <w:overflowPunct/>
        <w:topLinePunct/>
        <w:autoSpaceDE/>
        <w:autoSpaceDN/>
        <w:bidi w:val="0"/>
        <w:adjustRightInd/>
        <w:snapToGrid/>
        <w:spacing w:beforeAutospacing="0" w:afterAutospacing="0" w:line="600" w:lineRule="exact"/>
        <w:ind w:left="0" w:leftChars="0" w:right="0" w:rightChars="0" w:firstLine="48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本公司参加政府采购活动前三年内，没有因违法经营受到刑事处罚或者停产停业、吊销许可证或者执照、较大数额罚款等行政处罚。</w:t>
      </w:r>
    </w:p>
    <w:p w14:paraId="681130C8">
      <w:pPr>
        <w:pStyle w:val="36"/>
        <w:keepNext w:val="0"/>
        <w:keepLines w:val="0"/>
        <w:pageBreakBefore w:val="0"/>
        <w:widowControl w:val="0"/>
        <w:kinsoku/>
        <w:wordWrap w:val="0"/>
        <w:overflowPunct/>
        <w:topLinePunct/>
        <w:autoSpaceDE/>
        <w:autoSpaceDN/>
        <w:bidi w:val="0"/>
        <w:spacing w:before="0" w:beforeAutospacing="0" w:after="0" w:afterAutospacing="0"/>
        <w:rPr>
          <w:rFonts w:hint="eastAsia"/>
          <w:color w:val="auto"/>
          <w:highlight w:val="none"/>
        </w:rPr>
      </w:pPr>
    </w:p>
    <w:p w14:paraId="26EA6159">
      <w:pPr>
        <w:keepNext w:val="0"/>
        <w:keepLines w:val="0"/>
        <w:pageBreakBefore w:val="0"/>
        <w:widowControl w:val="0"/>
        <w:shd w:val="clear" w:color="auto" w:fill="auto"/>
        <w:tabs>
          <w:tab w:val="left" w:pos="5760"/>
        </w:tabs>
        <w:kinsoku/>
        <w:wordWrap w:val="0"/>
        <w:overflowPunct/>
        <w:topLinePunct/>
        <w:autoSpaceDE/>
        <w:autoSpaceDN/>
        <w:bidi w:val="0"/>
        <w:spacing w:beforeAutospacing="0" w:afterAutospacing="0" w:line="360" w:lineRule="auto"/>
        <w:ind w:left="0" w:leftChars="0" w:right="482" w:firstLine="0" w:firstLineChars="0"/>
        <w:jc w:val="both"/>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661373FC">
      <w:pPr>
        <w:keepNext w:val="0"/>
        <w:keepLines w:val="0"/>
        <w:pageBreakBefore w:val="0"/>
        <w:widowControl w:val="0"/>
        <w:shd w:val="clear" w:color="auto" w:fill="auto"/>
        <w:tabs>
          <w:tab w:val="left" w:pos="5760"/>
        </w:tabs>
        <w:kinsoku/>
        <w:wordWrap w:val="0"/>
        <w:overflowPunct/>
        <w:topLinePunct/>
        <w:autoSpaceDE/>
        <w:autoSpaceDN/>
        <w:bidi w:val="0"/>
        <w:spacing w:beforeAutospacing="0" w:afterAutospacing="0" w:line="360" w:lineRule="auto"/>
        <w:ind w:left="0" w:lef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法定代表人或授权代表人签字（或盖章）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3136D572">
      <w:pPr>
        <w:keepNext w:val="0"/>
        <w:keepLines w:val="0"/>
        <w:pageBreakBefore w:val="0"/>
        <w:widowControl w:val="0"/>
        <w:shd w:val="clear" w:color="auto" w:fill="auto"/>
        <w:kinsoku/>
        <w:wordWrap w:val="0"/>
        <w:overflowPunct/>
        <w:topLinePunct/>
        <w:autoSpaceDE/>
        <w:autoSpaceDN/>
        <w:bidi w:val="0"/>
        <w:adjustRightInd w:val="0"/>
        <w:snapToGrid w:val="0"/>
        <w:spacing w:beforeAutospacing="0" w:afterAutospacing="0" w:line="360" w:lineRule="auto"/>
        <w:ind w:left="0" w:leftChars="0" w:firstLine="0" w:firstLineChars="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u w:val="none"/>
          <w:lang w:eastAsia="zh-CN"/>
        </w:rPr>
        <w:t>日期：</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C2710D7">
      <w:pPr>
        <w:keepNext w:val="0"/>
        <w:keepLines w:val="0"/>
        <w:pageBreakBefore w:val="0"/>
        <w:widowControl w:val="0"/>
        <w:kinsoku/>
        <w:wordWrap w:val="0"/>
        <w:overflowPunct/>
        <w:topLinePunct/>
        <w:autoSpaceDE/>
        <w:autoSpaceDN/>
        <w:bidi w:val="0"/>
        <w:spacing w:beforeAutospacing="0" w:afterAutospacing="0" w:line="360" w:lineRule="auto"/>
        <w:ind w:firstLine="480"/>
        <w:jc w:val="right"/>
        <w:rPr>
          <w:rFonts w:hint="eastAsia" w:ascii="宋体" w:hAnsi="宋体" w:eastAsia="宋体" w:cs="宋体"/>
          <w:color w:val="auto"/>
          <w:sz w:val="24"/>
          <w:highlight w:val="none"/>
        </w:rPr>
      </w:pPr>
    </w:p>
    <w:p w14:paraId="369BA5B3">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p>
    <w:p w14:paraId="7DC17F33">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p>
    <w:p w14:paraId="1BC80B87">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p>
    <w:p w14:paraId="016043B8">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p>
    <w:p w14:paraId="333A0B31">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p>
    <w:p w14:paraId="363E6388">
      <w:pPr>
        <w:pStyle w:val="3"/>
        <w:keepNext w:val="0"/>
        <w:keepLines w:val="0"/>
        <w:pageBreakBefore w:val="0"/>
        <w:widowControl w:val="0"/>
        <w:kinsoku/>
        <w:wordWrap w:val="0"/>
        <w:overflowPunct/>
        <w:topLinePunct/>
        <w:autoSpaceDE/>
        <w:autoSpaceDN/>
        <w:bidi w:val="0"/>
        <w:spacing w:before="0" w:beforeAutospacing="0" w:after="0" w:afterAutospacing="0"/>
        <w:rPr>
          <w:rFonts w:hint="eastAsia"/>
          <w:color w:val="auto"/>
        </w:rPr>
      </w:pPr>
    </w:p>
    <w:p w14:paraId="5C4D7596">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p>
    <w:p w14:paraId="5C5A8842">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p>
    <w:p w14:paraId="5DD02D3C">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b/>
          <w:bCs/>
          <w:color w:val="auto"/>
          <w:sz w:val="24"/>
          <w:highlight w:val="none"/>
          <w:lang w:val="en-US" w:eastAsia="zh-CN"/>
        </w:rPr>
      </w:pPr>
    </w:p>
    <w:p w14:paraId="76DC2A25">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b/>
          <w:bCs/>
          <w:color w:val="auto"/>
          <w:sz w:val="24"/>
          <w:highlight w:val="none"/>
          <w:lang w:val="en-US" w:eastAsia="zh-CN"/>
        </w:rPr>
      </w:pPr>
    </w:p>
    <w:p w14:paraId="76483691">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b/>
          <w:bCs/>
          <w:color w:val="auto"/>
          <w:sz w:val="24"/>
          <w:highlight w:val="none"/>
          <w:lang w:val="en-US" w:eastAsia="zh-CN"/>
        </w:rPr>
      </w:pPr>
    </w:p>
    <w:p w14:paraId="72AEC3C6">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b/>
          <w:bCs/>
          <w:color w:val="auto"/>
          <w:sz w:val="24"/>
          <w:highlight w:val="none"/>
          <w:lang w:val="en-US" w:eastAsia="zh-CN"/>
        </w:rPr>
      </w:pPr>
    </w:p>
    <w:p w14:paraId="54B4C403">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b/>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color w:val="auto"/>
          <w:sz w:val="24"/>
          <w:highlight w:val="none"/>
        </w:rPr>
        <w:t>法定代表人资格证明书格式</w:t>
      </w:r>
    </w:p>
    <w:p w14:paraId="37BCAAEC">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b/>
          <w:color w:val="auto"/>
          <w:sz w:val="24"/>
          <w:highlight w:val="none"/>
        </w:rPr>
      </w:pPr>
    </w:p>
    <w:p w14:paraId="3962D731">
      <w:pPr>
        <w:keepNext w:val="0"/>
        <w:keepLines w:val="0"/>
        <w:pageBreakBefore w:val="0"/>
        <w:widowControl w:val="0"/>
        <w:kinsoku/>
        <w:wordWrap w:val="0"/>
        <w:overflowPunct/>
        <w:topLinePunct/>
        <w:autoSpaceDE/>
        <w:autoSpaceDN/>
        <w:bidi w:val="0"/>
        <w:spacing w:beforeAutospacing="0" w:afterAutospacing="0"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法定代表人资格证明书</w:t>
      </w:r>
    </w:p>
    <w:p w14:paraId="15F14F53">
      <w:pPr>
        <w:keepNext w:val="0"/>
        <w:keepLines w:val="0"/>
        <w:pageBreakBefore w:val="0"/>
        <w:widowControl w:val="0"/>
        <w:kinsoku/>
        <w:wordWrap w:val="0"/>
        <w:overflowPunct/>
        <w:topLinePunct/>
        <w:autoSpaceDE/>
        <w:autoSpaceDN/>
        <w:bidi w:val="0"/>
        <w:spacing w:beforeAutospacing="0" w:afterAutospacing="0" w:line="360" w:lineRule="auto"/>
        <w:jc w:val="center"/>
        <w:rPr>
          <w:rFonts w:hint="eastAsia" w:ascii="宋体" w:hAnsi="宋体" w:eastAsia="宋体" w:cs="宋体"/>
          <w:b/>
          <w:color w:val="auto"/>
          <w:sz w:val="32"/>
          <w:highlight w:val="none"/>
        </w:rPr>
      </w:pPr>
    </w:p>
    <w:p w14:paraId="38F9F72E">
      <w:pPr>
        <w:pStyle w:val="17"/>
        <w:keepNext w:val="0"/>
        <w:keepLines w:val="0"/>
        <w:pageBreakBefore w:val="0"/>
        <w:widowControl w:val="0"/>
        <w:kinsoku/>
        <w:wordWrap w:val="0"/>
        <w:overflowPunct/>
        <w:topLinePunct/>
        <w:autoSpaceDE/>
        <w:autoSpaceDN/>
        <w:bidi w:val="0"/>
        <w:spacing w:before="0" w:beforeLines="0" w:beforeAutospacing="0" w:after="0" w:afterLines="0" w:afterAutospacing="0" w:line="360" w:lineRule="auto"/>
        <w:ind w:firstLine="5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w:t>
      </w:r>
    </w:p>
    <w:p w14:paraId="7337B58C">
      <w:pPr>
        <w:pStyle w:val="17"/>
        <w:keepNext w:val="0"/>
        <w:keepLines w:val="0"/>
        <w:pageBreakBefore w:val="0"/>
        <w:widowControl w:val="0"/>
        <w:kinsoku/>
        <w:wordWrap w:val="0"/>
        <w:overflowPunct/>
        <w:topLinePunct/>
        <w:autoSpaceDE/>
        <w:autoSpaceDN/>
        <w:bidi w:val="0"/>
        <w:spacing w:before="0" w:beforeLines="0" w:beforeAutospacing="0" w:after="0" w:afterLines="0" w:afterAutospacing="0" w:line="360" w:lineRule="auto"/>
        <w:ind w:firstLine="5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p>
    <w:p w14:paraId="4407865E">
      <w:pPr>
        <w:pStyle w:val="17"/>
        <w:keepNext w:val="0"/>
        <w:keepLines w:val="0"/>
        <w:pageBreakBefore w:val="0"/>
        <w:widowControl w:val="0"/>
        <w:kinsoku/>
        <w:wordWrap w:val="0"/>
        <w:overflowPunct/>
        <w:topLinePunct/>
        <w:autoSpaceDE/>
        <w:autoSpaceDN/>
        <w:bidi w:val="0"/>
        <w:spacing w:before="0" w:beforeLines="0" w:beforeAutospacing="0" w:after="0" w:afterLines="0" w:afterAutospacing="0" w:line="360" w:lineRule="auto"/>
        <w:ind w:firstLine="520" w:firstLineChars="200"/>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DBC748E">
      <w:pPr>
        <w:pStyle w:val="17"/>
        <w:keepNext w:val="0"/>
        <w:keepLines w:val="0"/>
        <w:pageBreakBefore w:val="0"/>
        <w:widowControl w:val="0"/>
        <w:kinsoku/>
        <w:wordWrap w:val="0"/>
        <w:overflowPunct/>
        <w:topLinePunct/>
        <w:autoSpaceDE/>
        <w:autoSpaceDN/>
        <w:bidi w:val="0"/>
        <w:spacing w:before="0" w:beforeLines="0" w:beforeAutospacing="0" w:after="0" w:afterLines="0" w:afterAutospacing="0" w:line="360" w:lineRule="auto"/>
        <w:ind w:firstLine="5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5C08DFB3">
      <w:pPr>
        <w:pStyle w:val="17"/>
        <w:keepNext w:val="0"/>
        <w:keepLines w:val="0"/>
        <w:pageBreakBefore w:val="0"/>
        <w:widowControl w:val="0"/>
        <w:kinsoku/>
        <w:wordWrap w:val="0"/>
        <w:overflowPunct/>
        <w:topLinePunct/>
        <w:autoSpaceDE/>
        <w:autoSpaceDN/>
        <w:bidi w:val="0"/>
        <w:spacing w:before="0" w:beforeLines="0" w:beforeAutospacing="0" w:after="0" w:afterLines="0" w:afterAutospacing="0" w:line="360" w:lineRule="auto"/>
        <w:ind w:firstLine="5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职务：</w:t>
      </w:r>
      <w:r>
        <w:rPr>
          <w:rFonts w:hint="eastAsia" w:ascii="宋体" w:hAnsi="宋体" w:eastAsia="宋体" w:cs="宋体"/>
          <w:color w:val="auto"/>
          <w:highlight w:val="none"/>
          <w:u w:val="single"/>
        </w:rPr>
        <w:t xml:space="preserve">               </w:t>
      </w:r>
    </w:p>
    <w:p w14:paraId="786BEBED">
      <w:pPr>
        <w:pStyle w:val="17"/>
        <w:keepNext w:val="0"/>
        <w:keepLines w:val="0"/>
        <w:pageBreakBefore w:val="0"/>
        <w:widowControl w:val="0"/>
        <w:kinsoku/>
        <w:wordWrap w:val="0"/>
        <w:overflowPunct/>
        <w:topLinePunct/>
        <w:autoSpaceDE/>
        <w:autoSpaceDN/>
        <w:bidi w:val="0"/>
        <w:spacing w:before="0" w:beforeLines="0" w:beforeAutospacing="0" w:after="0" w:afterLines="0" w:afterAutospacing="0" w:line="360" w:lineRule="auto"/>
        <w:ind w:firstLine="520" w:firstLineChars="200"/>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（投标人名称）                   </w:t>
      </w:r>
      <w:r>
        <w:rPr>
          <w:rFonts w:hint="eastAsia" w:ascii="宋体" w:hAnsi="宋体" w:eastAsia="宋体" w:cs="宋体"/>
          <w:color w:val="auto"/>
          <w:highlight w:val="none"/>
        </w:rPr>
        <w:t>的法定代表人。</w:t>
      </w:r>
    </w:p>
    <w:p w14:paraId="0E6F452E">
      <w:pPr>
        <w:pStyle w:val="17"/>
        <w:keepNext w:val="0"/>
        <w:keepLines w:val="0"/>
        <w:pageBreakBefore w:val="0"/>
        <w:widowControl w:val="0"/>
        <w:kinsoku/>
        <w:wordWrap w:val="0"/>
        <w:overflowPunct/>
        <w:topLinePunct/>
        <w:autoSpaceDE/>
        <w:autoSpaceDN/>
        <w:bidi w:val="0"/>
        <w:spacing w:before="0" w:beforeLines="0" w:beforeAutospacing="0" w:after="0" w:afterLines="0" w:afterAutospacing="0" w:line="360" w:lineRule="auto"/>
        <w:ind w:firstLine="520" w:firstLineChars="200"/>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58226E0E">
      <w:pPr>
        <w:pStyle w:val="17"/>
        <w:keepNext w:val="0"/>
        <w:keepLines w:val="0"/>
        <w:pageBreakBefore w:val="0"/>
        <w:widowControl w:val="0"/>
        <w:kinsoku/>
        <w:wordWrap w:val="0"/>
        <w:overflowPunct/>
        <w:topLinePunct/>
        <w:autoSpaceDE/>
        <w:autoSpaceDN/>
        <w:bidi w:val="0"/>
        <w:spacing w:before="0" w:beforeLines="0" w:beforeAutospacing="0" w:after="0" w:afterLines="0" w:afterAutospacing="0"/>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法定代表人身份证复印件（正反面）： </w:t>
      </w:r>
    </w:p>
    <w:p w14:paraId="4BEE7401">
      <w:pPr>
        <w:keepNext w:val="0"/>
        <w:keepLines w:val="0"/>
        <w:pageBreakBefore w:val="0"/>
        <w:widowControl w:val="0"/>
        <w:kinsoku/>
        <w:wordWrap w:val="0"/>
        <w:overflowPunct/>
        <w:topLinePunct/>
        <w:autoSpaceDE/>
        <w:autoSpaceDN/>
        <w:bidi w:val="0"/>
        <w:spacing w:beforeAutospacing="0" w:afterAutospacing="0"/>
        <w:rPr>
          <w:rFonts w:hint="eastAsia" w:ascii="宋体" w:hAnsi="宋体" w:eastAsia="宋体" w:cs="宋体"/>
          <w:color w:val="auto"/>
          <w:highlight w:val="none"/>
        </w:rPr>
      </w:pPr>
    </w:p>
    <w:tbl>
      <w:tblPr>
        <w:tblStyle w:val="27"/>
        <w:tblW w:w="8670"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5"/>
        <w:gridCol w:w="4305"/>
      </w:tblGrid>
      <w:tr w14:paraId="4587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5" w:hRule="atLeast"/>
        </w:trPr>
        <w:tc>
          <w:tcPr>
            <w:tcW w:w="4365" w:type="dxa"/>
            <w:vAlign w:val="top"/>
          </w:tcPr>
          <w:p w14:paraId="6C329220">
            <w:pPr>
              <w:pStyle w:val="4"/>
              <w:keepNext w:val="0"/>
              <w:keepLines w:val="0"/>
              <w:pageBreakBefore w:val="0"/>
              <w:widowControl w:val="0"/>
              <w:kinsoku/>
              <w:wordWrap w:val="0"/>
              <w:overflowPunct/>
              <w:topLinePunct/>
              <w:autoSpaceDE/>
              <w:autoSpaceDN/>
              <w:bidi w:val="0"/>
              <w:spacing w:before="0" w:beforeAutospacing="0" w:after="0" w:afterAutospacing="0"/>
              <w:rPr>
                <w:rFonts w:hint="eastAsia" w:ascii="宋体" w:hAnsi="宋体" w:eastAsia="宋体" w:cs="宋体"/>
                <w:color w:val="auto"/>
                <w:highlight w:val="none"/>
                <w:vertAlign w:val="baseline"/>
              </w:rPr>
            </w:pPr>
          </w:p>
        </w:tc>
        <w:tc>
          <w:tcPr>
            <w:tcW w:w="4305" w:type="dxa"/>
            <w:vAlign w:val="top"/>
          </w:tcPr>
          <w:p w14:paraId="10F34E2F">
            <w:pPr>
              <w:pStyle w:val="4"/>
              <w:keepNext w:val="0"/>
              <w:keepLines w:val="0"/>
              <w:pageBreakBefore w:val="0"/>
              <w:widowControl w:val="0"/>
              <w:kinsoku/>
              <w:wordWrap w:val="0"/>
              <w:overflowPunct/>
              <w:topLinePunct/>
              <w:autoSpaceDE/>
              <w:autoSpaceDN/>
              <w:bidi w:val="0"/>
              <w:spacing w:before="0" w:beforeAutospacing="0" w:after="0" w:afterAutospacing="0"/>
              <w:rPr>
                <w:rFonts w:hint="eastAsia" w:ascii="宋体" w:hAnsi="宋体" w:eastAsia="宋体" w:cs="宋体"/>
                <w:color w:val="auto"/>
                <w:highlight w:val="none"/>
                <w:vertAlign w:val="baseline"/>
              </w:rPr>
            </w:pPr>
          </w:p>
        </w:tc>
      </w:tr>
    </w:tbl>
    <w:p w14:paraId="0FF666A8">
      <w:pPr>
        <w:pStyle w:val="17"/>
        <w:keepNext w:val="0"/>
        <w:keepLines w:val="0"/>
        <w:pageBreakBefore w:val="0"/>
        <w:widowControl w:val="0"/>
        <w:kinsoku/>
        <w:wordWrap w:val="0"/>
        <w:overflowPunct/>
        <w:topLinePunct/>
        <w:autoSpaceDE/>
        <w:autoSpaceDN/>
        <w:bidi w:val="0"/>
        <w:spacing w:before="0" w:beforeLines="0" w:beforeAutospacing="0" w:after="0" w:afterLines="0" w:afterAutospacing="0" w:line="360" w:lineRule="auto"/>
        <w:rPr>
          <w:rFonts w:hint="eastAsia" w:ascii="宋体" w:hAnsi="宋体" w:eastAsia="宋体" w:cs="宋体"/>
          <w:color w:val="auto"/>
          <w:highlight w:val="none"/>
        </w:rPr>
      </w:pPr>
    </w:p>
    <w:p w14:paraId="07699C68">
      <w:pPr>
        <w:pStyle w:val="17"/>
        <w:keepNext w:val="0"/>
        <w:keepLines w:val="0"/>
        <w:pageBreakBefore w:val="0"/>
        <w:widowControl w:val="0"/>
        <w:kinsoku/>
        <w:wordWrap w:val="0"/>
        <w:overflowPunct/>
        <w:topLinePunct/>
        <w:autoSpaceDE/>
        <w:autoSpaceDN/>
        <w:bidi w:val="0"/>
        <w:spacing w:before="0" w:beforeLines="0" w:beforeAutospacing="0" w:after="0" w:afterLines="0" w:afterAutospacing="0" w:line="360" w:lineRule="auto"/>
        <w:ind w:right="482"/>
        <w:jc w:val="both"/>
        <w:rPr>
          <w:rFonts w:hint="eastAsia" w:ascii="宋体" w:hAnsi="宋体" w:eastAsia="宋体" w:cs="宋体"/>
          <w:color w:val="auto"/>
          <w:highlight w:val="none"/>
          <w:u w:val="single"/>
        </w:rPr>
      </w:pPr>
      <w:r>
        <w:rPr>
          <w:rFonts w:hint="eastAsia" w:hAnsi="宋体" w:eastAsia="宋体" w:cs="宋体"/>
          <w:color w:val="auto"/>
          <w:highlight w:val="none"/>
          <w:lang w:val="en-US" w:eastAsia="zh-CN"/>
        </w:rPr>
        <w:t xml:space="preserve">   </w:t>
      </w:r>
      <w:r>
        <w:rPr>
          <w:rFonts w:hint="eastAsia" w:hAnsi="宋体" w:eastAsia="宋体" w:cs="宋体"/>
          <w:color w:val="auto"/>
          <w:highlight w:val="none"/>
          <w:lang w:eastAsia="zh-CN"/>
        </w:rPr>
        <w:t>供应商</w:t>
      </w:r>
      <w:r>
        <w:rPr>
          <w:rFonts w:hint="eastAsia" w:ascii="宋体" w:hAnsi="宋体" w:eastAsia="宋体" w:cs="宋体"/>
          <w:color w:val="auto"/>
          <w:highlight w:val="none"/>
        </w:rPr>
        <w:t>（盖章）：</w:t>
      </w:r>
      <w:r>
        <w:rPr>
          <w:rFonts w:hint="eastAsia" w:ascii="宋体" w:hAnsi="宋体" w:eastAsia="宋体" w:cs="宋体"/>
          <w:color w:val="auto"/>
          <w:highlight w:val="none"/>
          <w:u w:val="single"/>
        </w:rPr>
        <w:t xml:space="preserve">                         </w:t>
      </w:r>
    </w:p>
    <w:p w14:paraId="67342405">
      <w:pPr>
        <w:pStyle w:val="17"/>
        <w:keepNext w:val="0"/>
        <w:keepLines w:val="0"/>
        <w:pageBreakBefore w:val="0"/>
        <w:widowControl w:val="0"/>
        <w:kinsoku/>
        <w:wordWrap w:val="0"/>
        <w:overflowPunct/>
        <w:topLinePunct/>
        <w:autoSpaceDE/>
        <w:autoSpaceDN/>
        <w:bidi w:val="0"/>
        <w:spacing w:before="0" w:beforeLines="0" w:beforeAutospacing="0" w:after="0" w:afterLines="0" w:afterAutospacing="0" w:line="360" w:lineRule="auto"/>
        <w:jc w:val="both"/>
        <w:rPr>
          <w:rFonts w:hint="eastAsia" w:eastAsia="宋体"/>
          <w:color w:val="auto"/>
          <w:lang w:val="en-US" w:eastAsia="zh-CN"/>
        </w:rPr>
      </w:pPr>
      <w:r>
        <w:rPr>
          <w:rFonts w:hint="eastAsia" w:hAnsi="宋体" w:eastAsia="宋体" w:cs="宋体"/>
          <w:color w:val="auto"/>
          <w:highlight w:val="none"/>
          <w:lang w:val="en-US" w:eastAsia="zh-CN"/>
        </w:rPr>
        <w:t xml:space="preserve">   </w:t>
      </w: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hAnsi="宋体" w:eastAsia="宋体" w:cs="宋体"/>
          <w:color w:val="auto"/>
          <w:highlight w:val="none"/>
          <w:u w:val="single"/>
          <w:lang w:val="en-US" w:eastAsia="zh-CN"/>
        </w:rPr>
        <w:t xml:space="preserve"> </w:t>
      </w:r>
      <w:r>
        <w:rPr>
          <w:rFonts w:hint="eastAsia" w:hAnsi="宋体" w:eastAsia="宋体" w:cs="宋体"/>
          <w:color w:val="auto"/>
          <w:highlight w:val="none"/>
          <w:u w:val="none"/>
          <w:lang w:val="en-US" w:eastAsia="zh-CN"/>
        </w:rPr>
        <w:t>日</w:t>
      </w:r>
    </w:p>
    <w:p w14:paraId="0FD3B161">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b/>
          <w:color w:val="auto"/>
          <w:sz w:val="24"/>
          <w:highlight w:val="none"/>
        </w:rPr>
      </w:pPr>
    </w:p>
    <w:p w14:paraId="39F5F20F">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b/>
          <w:color w:val="auto"/>
          <w:sz w:val="24"/>
          <w:highlight w:val="none"/>
          <w:lang w:val="en-US" w:eastAsia="zh-CN"/>
        </w:rPr>
      </w:pPr>
    </w:p>
    <w:p w14:paraId="1E9FD7AD">
      <w:pPr>
        <w:pStyle w:val="35"/>
        <w:keepNext w:val="0"/>
        <w:keepLines w:val="0"/>
        <w:pageBreakBefore w:val="0"/>
        <w:widowControl w:val="0"/>
        <w:kinsoku/>
        <w:wordWrap w:val="0"/>
        <w:overflowPunct/>
        <w:topLinePunct/>
        <w:autoSpaceDE/>
        <w:autoSpaceDN/>
        <w:bidi w:val="0"/>
        <w:rPr>
          <w:rFonts w:hint="eastAsia" w:ascii="宋体" w:hAnsi="宋体" w:eastAsia="宋体" w:cs="宋体"/>
          <w:b/>
          <w:color w:val="auto"/>
          <w:sz w:val="24"/>
          <w:highlight w:val="none"/>
          <w:lang w:val="en-US" w:eastAsia="zh-CN"/>
        </w:rPr>
      </w:pPr>
    </w:p>
    <w:p w14:paraId="324389BC">
      <w:pPr>
        <w:pStyle w:val="35"/>
        <w:keepNext w:val="0"/>
        <w:keepLines w:val="0"/>
        <w:pageBreakBefore w:val="0"/>
        <w:widowControl w:val="0"/>
        <w:kinsoku/>
        <w:wordWrap w:val="0"/>
        <w:overflowPunct/>
        <w:topLinePunct/>
        <w:autoSpaceDE/>
        <w:autoSpaceDN/>
        <w:bidi w:val="0"/>
        <w:rPr>
          <w:rFonts w:hint="eastAsia" w:ascii="宋体" w:hAnsi="宋体" w:eastAsia="宋体" w:cs="宋体"/>
          <w:b/>
          <w:color w:val="auto"/>
          <w:sz w:val="24"/>
          <w:highlight w:val="none"/>
          <w:lang w:val="en-US" w:eastAsia="zh-CN"/>
        </w:rPr>
      </w:pPr>
    </w:p>
    <w:p w14:paraId="13BF42DD">
      <w:pPr>
        <w:pStyle w:val="35"/>
        <w:keepNext w:val="0"/>
        <w:keepLines w:val="0"/>
        <w:pageBreakBefore w:val="0"/>
        <w:widowControl w:val="0"/>
        <w:kinsoku/>
        <w:wordWrap w:val="0"/>
        <w:overflowPunct/>
        <w:topLinePunct/>
        <w:autoSpaceDE/>
        <w:autoSpaceDN/>
        <w:bidi w:val="0"/>
        <w:rPr>
          <w:rFonts w:hint="eastAsia" w:ascii="宋体" w:hAnsi="宋体" w:eastAsia="宋体" w:cs="宋体"/>
          <w:b/>
          <w:color w:val="auto"/>
          <w:sz w:val="24"/>
          <w:highlight w:val="none"/>
          <w:lang w:val="en-US" w:eastAsia="zh-CN"/>
        </w:rPr>
      </w:pPr>
    </w:p>
    <w:p w14:paraId="795B55F5">
      <w:pPr>
        <w:pStyle w:val="35"/>
        <w:keepNext w:val="0"/>
        <w:keepLines w:val="0"/>
        <w:pageBreakBefore w:val="0"/>
        <w:widowControl w:val="0"/>
        <w:kinsoku/>
        <w:wordWrap w:val="0"/>
        <w:overflowPunct/>
        <w:topLinePunct/>
        <w:autoSpaceDE/>
        <w:autoSpaceDN/>
        <w:bidi w:val="0"/>
        <w:rPr>
          <w:rFonts w:hint="eastAsia" w:ascii="宋体" w:hAnsi="宋体" w:eastAsia="宋体" w:cs="宋体"/>
          <w:b/>
          <w:color w:val="auto"/>
          <w:sz w:val="24"/>
          <w:highlight w:val="none"/>
          <w:lang w:val="en-US" w:eastAsia="zh-CN"/>
        </w:rPr>
      </w:pPr>
    </w:p>
    <w:p w14:paraId="24EB0A51">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b/>
          <w:color w:val="auto"/>
          <w:sz w:val="24"/>
          <w:highlight w:val="none"/>
          <w:lang w:val="en-US" w:eastAsia="zh-CN"/>
        </w:rPr>
      </w:pPr>
    </w:p>
    <w:p w14:paraId="13632DB4">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法定代表人授权委托书格式：</w:t>
      </w:r>
    </w:p>
    <w:p w14:paraId="7E8C8784">
      <w:pPr>
        <w:keepNext w:val="0"/>
        <w:keepLines w:val="0"/>
        <w:pageBreakBefore w:val="0"/>
        <w:widowControl w:val="0"/>
        <w:kinsoku/>
        <w:wordWrap w:val="0"/>
        <w:overflowPunct/>
        <w:topLinePunct/>
        <w:autoSpaceDE/>
        <w:autoSpaceDN/>
        <w:bidi w:val="0"/>
        <w:spacing w:beforeAutospacing="0" w:afterAutospacing="0"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法定代表人授权委托书</w:t>
      </w:r>
    </w:p>
    <w:p w14:paraId="3F1E0B85">
      <w:pPr>
        <w:keepNext w:val="0"/>
        <w:keepLines w:val="0"/>
        <w:pageBreakBefore w:val="0"/>
        <w:widowControl w:val="0"/>
        <w:kinsoku/>
        <w:wordWrap w:val="0"/>
        <w:overflowPunct/>
        <w:topLinePunct/>
        <w:autoSpaceDE/>
        <w:autoSpaceDN/>
        <w:bidi w:val="0"/>
        <w:adjustRightInd/>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Cs/>
          <w:color w:val="auto"/>
          <w:sz w:val="24"/>
          <w:highlight w:val="none"/>
        </w:rPr>
      </w:pPr>
    </w:p>
    <w:p w14:paraId="112AD23D">
      <w:pPr>
        <w:keepNext w:val="0"/>
        <w:keepLines w:val="0"/>
        <w:pageBreakBefore w:val="0"/>
        <w:widowControl w:val="0"/>
        <w:kinsoku/>
        <w:wordWrap w:val="0"/>
        <w:overflowPunct/>
        <w:topLinePunct/>
        <w:autoSpaceDE/>
        <w:autoSpaceDN/>
        <w:bidi w:val="0"/>
        <w:adjustRightInd/>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致：</w:t>
      </w:r>
      <w:r>
        <w:rPr>
          <w:rFonts w:hint="eastAsia" w:ascii="宋体" w:hAnsi="宋体" w:eastAsia="宋体" w:cs="宋体"/>
          <w:color w:val="auto"/>
          <w:sz w:val="24"/>
          <w:highlight w:val="none"/>
          <w:u w:val="single"/>
        </w:rPr>
        <w:t xml:space="preserve">        （采购单位</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采购代理机构</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w:t>
      </w:r>
    </w:p>
    <w:p w14:paraId="59440881">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 xml:space="preserve">的法定代表人，现授权委托本单位在职职工 </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项目的投标活动，并代表我方全权办理针对上述项目的投标、开标、评标、签约等具体事务和签署相关文件。</w:t>
      </w:r>
    </w:p>
    <w:p w14:paraId="11D1DEA1">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w:t>
      </w:r>
      <w:r>
        <w:rPr>
          <w:rFonts w:hint="eastAsia" w:ascii="宋体" w:hAnsi="宋体" w:eastAsia="宋体" w:cs="宋体"/>
          <w:color w:val="auto"/>
          <w:sz w:val="24"/>
          <w:highlight w:val="none"/>
          <w:lang w:eastAsia="zh-CN"/>
        </w:rPr>
        <w:t>授权代表人</w:t>
      </w:r>
      <w:r>
        <w:rPr>
          <w:rFonts w:hint="eastAsia" w:ascii="宋体" w:hAnsi="宋体" w:eastAsia="宋体" w:cs="宋体"/>
          <w:color w:val="auto"/>
          <w:sz w:val="24"/>
          <w:highlight w:val="none"/>
        </w:rPr>
        <w:t>的签名事项负全部责任。</w:t>
      </w:r>
    </w:p>
    <w:p w14:paraId="68833DA1">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在撤销授权的书面通知以前，本授权书一直有效。</w:t>
      </w:r>
      <w:r>
        <w:rPr>
          <w:rFonts w:hint="eastAsia" w:ascii="宋体" w:hAnsi="宋体" w:eastAsia="宋体" w:cs="宋体"/>
          <w:color w:val="auto"/>
          <w:sz w:val="24"/>
          <w:highlight w:val="none"/>
          <w:lang w:eastAsia="zh-CN"/>
        </w:rPr>
        <w:t>授权代表人</w:t>
      </w:r>
      <w:r>
        <w:rPr>
          <w:rFonts w:hint="eastAsia" w:ascii="宋体" w:hAnsi="宋体" w:eastAsia="宋体" w:cs="宋体"/>
          <w:color w:val="auto"/>
          <w:sz w:val="24"/>
          <w:highlight w:val="none"/>
        </w:rPr>
        <w:t>在授权书有效期内签署的所有文件不因授权的撤销而失效。</w:t>
      </w:r>
    </w:p>
    <w:p w14:paraId="1A765E5C">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授权代表人</w:t>
      </w:r>
      <w:r>
        <w:rPr>
          <w:rFonts w:hint="eastAsia" w:ascii="宋体" w:hAnsi="宋体" w:eastAsia="宋体" w:cs="宋体"/>
          <w:color w:val="auto"/>
          <w:sz w:val="24"/>
          <w:highlight w:val="none"/>
        </w:rPr>
        <w:t>无转委托权，特此委托。</w:t>
      </w:r>
    </w:p>
    <w:p w14:paraId="7EBFE757">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授权代表人</w:t>
      </w:r>
      <w:r>
        <w:rPr>
          <w:rFonts w:hint="eastAsia" w:ascii="宋体" w:hAnsi="宋体" w:eastAsia="宋体" w:cs="宋体"/>
          <w:color w:val="auto"/>
          <w:sz w:val="24"/>
          <w:highlight w:val="none"/>
        </w:rPr>
        <w:t>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法定代表人签字（或盖章）：</w:t>
      </w:r>
      <w:r>
        <w:rPr>
          <w:rFonts w:hint="eastAsia" w:ascii="宋体" w:hAnsi="宋体" w:eastAsia="宋体" w:cs="宋体"/>
          <w:color w:val="auto"/>
          <w:sz w:val="24"/>
          <w:highlight w:val="none"/>
          <w:u w:val="single"/>
        </w:rPr>
        <w:t xml:space="preserve">            </w:t>
      </w:r>
    </w:p>
    <w:p w14:paraId="33B933DA">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7B409262">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169D3FB0">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供应商公章：              </w:t>
      </w:r>
    </w:p>
    <w:p w14:paraId="58A19F19">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2A5149D">
      <w:pPr>
        <w:keepNext w:val="0"/>
        <w:keepLines w:val="0"/>
        <w:pageBreakBefore w:val="0"/>
        <w:widowControl w:val="0"/>
        <w:kinsoku/>
        <w:wordWrap w:val="0"/>
        <w:overflowPunct/>
        <w:topLinePunct/>
        <w:autoSpaceDE/>
        <w:autoSpaceDN/>
        <w:bidi w:val="0"/>
        <w:adjustRightInd/>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授权代表人</w:t>
      </w:r>
      <w:r>
        <w:rPr>
          <w:rFonts w:hint="eastAsia" w:ascii="宋体" w:hAnsi="宋体" w:eastAsia="宋体" w:cs="宋体"/>
          <w:color w:val="auto"/>
          <w:sz w:val="24"/>
          <w:highlight w:val="none"/>
        </w:rPr>
        <w:t xml:space="preserve">身份证复印件（正反面）：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法定代表人身份证复印件（正反面）：</w:t>
      </w:r>
    </w:p>
    <w:p w14:paraId="74667544">
      <w:pPr>
        <w:keepNext w:val="0"/>
        <w:keepLines w:val="0"/>
        <w:pageBreakBefore w:val="0"/>
        <w:widowControl w:val="0"/>
        <w:kinsoku/>
        <w:wordWrap w:val="0"/>
        <w:overflowPunct/>
        <w:topLinePunct/>
        <w:autoSpaceDE/>
        <w:autoSpaceDN/>
        <w:bidi w:val="0"/>
        <w:snapToGrid w:val="0"/>
        <w:spacing w:beforeAutospacing="0" w:afterAutospacing="0"/>
        <w:outlineLvl w:val="1"/>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zh-CN"/>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15875</wp:posOffset>
                </wp:positionV>
                <wp:extent cx="2790825" cy="2903855"/>
                <wp:effectExtent l="4445" t="4445" r="5080" b="6350"/>
                <wp:wrapNone/>
                <wp:docPr id="4" name="矩形 4"/>
                <wp:cNvGraphicFramePr/>
                <a:graphic xmlns:a="http://schemas.openxmlformats.org/drawingml/2006/main">
                  <a:graphicData uri="http://schemas.microsoft.com/office/word/2010/wordprocessingShape">
                    <wps:wsp>
                      <wps:cNvSpPr/>
                      <wps:spPr>
                        <a:xfrm>
                          <a:off x="0" y="0"/>
                          <a:ext cx="2790825" cy="29038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5A6055"/>
                        </w:txbxContent>
                      </wps:txbx>
                      <wps:bodyPr upright="1"/>
                    </wps:wsp>
                  </a:graphicData>
                </a:graphic>
              </wp:anchor>
            </w:drawing>
          </mc:Choice>
          <mc:Fallback>
            <w:pict>
              <v:rect id="_x0000_s1026" o:spid="_x0000_s1026" o:spt="1" style="position:absolute;left:0pt;margin-left:-1pt;margin-top:1.25pt;height:228.65pt;width:219.75pt;z-index:251661312;mso-width-relative:page;mso-height-relative:page;" fillcolor="#FFFFFF" filled="t" stroked="t" coordsize="21600,21600" o:gfxdata="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IYGli1wAAAAgBAAAPAAAAAAAAAAEAIAAAACIAAABkcnMvZG93&#10;bnJldi54bWxQSwECFAAUAAAACACHTuJAjVk8wQECAAAqBAAADgAAAAAAAAABACAAAAAmAQAAZHJz&#10;L2Uyb0RvYy54bWxQSwUGAAAAAAYABgBZAQAAmQUAAAAA&#10;">
                <v:fill on="t" focussize="0,0"/>
                <v:stroke color="#000000" joinstyle="miter"/>
                <v:imagedata o:title=""/>
                <o:lock v:ext="edit" aspectratio="f"/>
                <v:textbox>
                  <w:txbxContent>
                    <w:p w14:paraId="4A5A6055"/>
                  </w:txbxContent>
                </v:textbox>
              </v:rect>
            </w:pict>
          </mc:Fallback>
        </mc:AlternateContent>
      </w:r>
      <w:r>
        <w:rPr>
          <w:rFonts w:hint="eastAsia" w:ascii="宋体" w:hAnsi="宋体" w:eastAsia="宋体" w:cs="宋体"/>
          <w:b/>
          <w:bCs/>
          <w:color w:val="auto"/>
          <w:sz w:val="24"/>
          <w:highlight w:val="none"/>
          <w:lang w:val="zh-CN"/>
        </w:rPr>
        <mc:AlternateContent>
          <mc:Choice Requires="wps">
            <w:drawing>
              <wp:anchor distT="0" distB="0" distL="114300" distR="114300" simplePos="0" relativeHeight="251662336" behindDoc="0" locked="0" layoutInCell="1" allowOverlap="1">
                <wp:simplePos x="0" y="0"/>
                <wp:positionH relativeFrom="column">
                  <wp:posOffset>2902585</wp:posOffset>
                </wp:positionH>
                <wp:positionV relativeFrom="paragraph">
                  <wp:posOffset>20320</wp:posOffset>
                </wp:positionV>
                <wp:extent cx="2838450" cy="2886710"/>
                <wp:effectExtent l="4445" t="4445" r="14605" b="23495"/>
                <wp:wrapNone/>
                <wp:docPr id="3" name="矩形 3"/>
                <wp:cNvGraphicFramePr/>
                <a:graphic xmlns:a="http://schemas.openxmlformats.org/drawingml/2006/main">
                  <a:graphicData uri="http://schemas.microsoft.com/office/word/2010/wordprocessingShape">
                    <wps:wsp>
                      <wps:cNvSpPr/>
                      <wps:spPr>
                        <a:xfrm>
                          <a:off x="0" y="0"/>
                          <a:ext cx="2838450" cy="28867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3D3F4C"/>
                        </w:txbxContent>
                      </wps:txbx>
                      <wps:bodyPr upright="1"/>
                    </wps:wsp>
                  </a:graphicData>
                </a:graphic>
              </wp:anchor>
            </w:drawing>
          </mc:Choice>
          <mc:Fallback>
            <w:pict>
              <v:rect id="_x0000_s1026" o:spid="_x0000_s1026" o:spt="1" style="position:absolute;left:0pt;margin-left:228.55pt;margin-top:1.6pt;height:227.3pt;width:223.5pt;z-index:251662336;mso-width-relative:page;mso-height-relative:page;" fillcolor="#FFFFFF" filled="t" stroked="t" coordsize="21600,21600" o:gfxdata="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nWn91gAAAAkBAAAPAAAAAAAAAAEAIAAAACIAAABkcnMv&#10;ZG93bnJldi54bWxQSwECFAAUAAAACACHTuJAYW6CogUCAAAqBAAADgAAAAAAAAABACAAAAAlAQAA&#10;ZHJzL2Uyb0RvYy54bWxQSwUGAAAAAAYABgBZAQAAnAUAAAAA&#10;">
                <v:fill on="t" focussize="0,0"/>
                <v:stroke color="#000000" joinstyle="miter"/>
                <v:imagedata o:title=""/>
                <o:lock v:ext="edit" aspectratio="f"/>
                <v:textbox>
                  <w:txbxContent>
                    <w:p w14:paraId="663D3F4C"/>
                  </w:txbxContent>
                </v:textbox>
              </v:rect>
            </w:pict>
          </mc:Fallback>
        </mc:AlternateContent>
      </w:r>
    </w:p>
    <w:p w14:paraId="54C2A1A5">
      <w:pPr>
        <w:keepNext w:val="0"/>
        <w:keepLines w:val="0"/>
        <w:pageBreakBefore w:val="0"/>
        <w:widowControl w:val="0"/>
        <w:kinsoku/>
        <w:wordWrap w:val="0"/>
        <w:overflowPunct/>
        <w:topLinePunct/>
        <w:autoSpaceDE/>
        <w:autoSpaceDN/>
        <w:bidi w:val="0"/>
        <w:snapToGrid w:val="0"/>
        <w:spacing w:beforeAutospacing="0" w:afterAutospacing="0"/>
        <w:outlineLvl w:val="1"/>
        <w:rPr>
          <w:rFonts w:hint="eastAsia" w:ascii="宋体" w:hAnsi="宋体" w:eastAsia="宋体" w:cs="宋体"/>
          <w:b/>
          <w:bCs/>
          <w:color w:val="auto"/>
          <w:sz w:val="24"/>
          <w:highlight w:val="none"/>
        </w:rPr>
      </w:pPr>
    </w:p>
    <w:p w14:paraId="0B83583F">
      <w:pPr>
        <w:keepNext w:val="0"/>
        <w:keepLines w:val="0"/>
        <w:pageBreakBefore w:val="0"/>
        <w:widowControl w:val="0"/>
        <w:kinsoku/>
        <w:wordWrap w:val="0"/>
        <w:overflowPunct/>
        <w:topLinePunct/>
        <w:autoSpaceDE/>
        <w:autoSpaceDN/>
        <w:bidi w:val="0"/>
        <w:snapToGrid w:val="0"/>
        <w:spacing w:beforeAutospacing="0" w:afterAutospacing="0"/>
        <w:outlineLvl w:val="1"/>
        <w:rPr>
          <w:rFonts w:hint="eastAsia" w:ascii="宋体" w:hAnsi="宋体" w:eastAsia="宋体" w:cs="宋体"/>
          <w:b/>
          <w:bCs/>
          <w:color w:val="auto"/>
          <w:sz w:val="24"/>
          <w:highlight w:val="none"/>
        </w:rPr>
      </w:pPr>
    </w:p>
    <w:p w14:paraId="67E63003">
      <w:pPr>
        <w:keepNext w:val="0"/>
        <w:keepLines w:val="0"/>
        <w:pageBreakBefore w:val="0"/>
        <w:widowControl w:val="0"/>
        <w:kinsoku/>
        <w:wordWrap w:val="0"/>
        <w:overflowPunct/>
        <w:topLinePunct/>
        <w:autoSpaceDE/>
        <w:autoSpaceDN/>
        <w:bidi w:val="0"/>
        <w:snapToGrid w:val="0"/>
        <w:spacing w:beforeAutospacing="0" w:afterAutospacing="0"/>
        <w:outlineLvl w:val="1"/>
        <w:rPr>
          <w:rFonts w:hint="eastAsia" w:ascii="宋体" w:hAnsi="宋体" w:eastAsia="宋体" w:cs="宋体"/>
          <w:b/>
          <w:bCs/>
          <w:color w:val="auto"/>
          <w:sz w:val="24"/>
          <w:highlight w:val="none"/>
        </w:rPr>
      </w:pPr>
    </w:p>
    <w:p w14:paraId="44BDD61F">
      <w:pPr>
        <w:keepNext w:val="0"/>
        <w:keepLines w:val="0"/>
        <w:pageBreakBefore w:val="0"/>
        <w:widowControl w:val="0"/>
        <w:kinsoku/>
        <w:wordWrap w:val="0"/>
        <w:overflowPunct/>
        <w:topLinePunct/>
        <w:autoSpaceDE/>
        <w:autoSpaceDN/>
        <w:bidi w:val="0"/>
        <w:snapToGrid w:val="0"/>
        <w:spacing w:beforeAutospacing="0" w:afterAutospacing="0"/>
        <w:outlineLvl w:val="1"/>
        <w:rPr>
          <w:rFonts w:hint="eastAsia" w:ascii="宋体" w:hAnsi="宋体" w:eastAsia="宋体" w:cs="宋体"/>
          <w:b/>
          <w:bCs/>
          <w:color w:val="auto"/>
          <w:sz w:val="24"/>
          <w:highlight w:val="none"/>
        </w:rPr>
      </w:pPr>
    </w:p>
    <w:p w14:paraId="51662584">
      <w:pPr>
        <w:keepNext w:val="0"/>
        <w:keepLines w:val="0"/>
        <w:pageBreakBefore w:val="0"/>
        <w:widowControl w:val="0"/>
        <w:kinsoku/>
        <w:wordWrap w:val="0"/>
        <w:overflowPunct/>
        <w:topLinePunct/>
        <w:autoSpaceDE/>
        <w:autoSpaceDN/>
        <w:bidi w:val="0"/>
        <w:snapToGrid w:val="0"/>
        <w:spacing w:beforeAutospacing="0" w:afterAutospacing="0"/>
        <w:outlineLvl w:val="1"/>
        <w:rPr>
          <w:rFonts w:hint="eastAsia" w:ascii="宋体" w:hAnsi="宋体" w:eastAsia="宋体" w:cs="宋体"/>
          <w:b/>
          <w:bCs/>
          <w:color w:val="auto"/>
          <w:sz w:val="24"/>
          <w:highlight w:val="none"/>
        </w:rPr>
      </w:pPr>
    </w:p>
    <w:p w14:paraId="2EF93954">
      <w:pPr>
        <w:keepNext w:val="0"/>
        <w:keepLines w:val="0"/>
        <w:pageBreakBefore w:val="0"/>
        <w:widowControl w:val="0"/>
        <w:kinsoku/>
        <w:wordWrap w:val="0"/>
        <w:overflowPunct/>
        <w:topLinePunct/>
        <w:autoSpaceDE/>
        <w:autoSpaceDN/>
        <w:bidi w:val="0"/>
        <w:snapToGrid w:val="0"/>
        <w:spacing w:beforeAutospacing="0" w:afterAutospacing="0"/>
        <w:outlineLvl w:val="1"/>
        <w:rPr>
          <w:rFonts w:hint="eastAsia" w:ascii="宋体" w:hAnsi="宋体" w:eastAsia="宋体" w:cs="宋体"/>
          <w:b/>
          <w:bCs/>
          <w:color w:val="auto"/>
          <w:sz w:val="24"/>
          <w:highlight w:val="none"/>
        </w:rPr>
      </w:pPr>
    </w:p>
    <w:p w14:paraId="709C4C65">
      <w:pPr>
        <w:keepNext w:val="0"/>
        <w:keepLines w:val="0"/>
        <w:pageBreakBefore w:val="0"/>
        <w:widowControl w:val="0"/>
        <w:kinsoku/>
        <w:wordWrap w:val="0"/>
        <w:overflowPunct/>
        <w:topLinePunct/>
        <w:autoSpaceDE/>
        <w:autoSpaceDN/>
        <w:bidi w:val="0"/>
        <w:snapToGrid w:val="0"/>
        <w:spacing w:beforeAutospacing="0" w:afterAutospacing="0"/>
        <w:outlineLvl w:val="1"/>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2921000</wp:posOffset>
                </wp:positionH>
                <wp:positionV relativeFrom="paragraph">
                  <wp:posOffset>85725</wp:posOffset>
                </wp:positionV>
                <wp:extent cx="28384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28384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0pt;margin-top:6.75pt;height:0.05pt;width:223.5pt;z-index:251664384;mso-width-relative:page;mso-height-relative:page;" filled="f" stroked="t" coordsize="21600,21600" o:gfxdata="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Zwc41gAAAAkBAAAPAAAAAAAAAAEAIAAAACIAAABkcnMvZG93bnJldi54bWxQ&#10;SwECFAAUAAAACACHTuJAUa0RifkBAADmAwAADgAAAAAAAAABACAAAAAlAQAAZHJzL2Uyb0RvYy54&#10;bWxQSwUGAAAAAAYABgBZAQAAkAUAAAAA&#10;">
                <v:fill on="f" focussize="0,0"/>
                <v:stroke color="#000000" joinstyle="round"/>
                <v:imagedata o:title=""/>
                <o:lock v:ext="edit" aspectratio="f"/>
              </v:lin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-24130</wp:posOffset>
                </wp:positionH>
                <wp:positionV relativeFrom="paragraph">
                  <wp:posOffset>95250</wp:posOffset>
                </wp:positionV>
                <wp:extent cx="279082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7908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pt;margin-top:7.5pt;height:0.05pt;width:219.75pt;z-index:251663360;mso-width-relative:page;mso-height-relative:page;" filled="f" stroked="t" coordsize="21600,21600" o:gfxdata="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A+SfrWAAAACAEAAA8AAAAAAAAAAQAgAAAAIgAAAGRycy9kb3ducmV2LnhtbFBLAQIU&#10;ABQAAAAIAIdO4kCguii59QEAAOYDAAAOAAAAAAAAAAEAIAAAACUBAABkcnMvZTJvRG9jLnhtbFBL&#10;BQYAAAAABgAGAFkBAACMBQAAAAA=&#10;">
                <v:fill on="f" focussize="0,0"/>
                <v:stroke color="#000000" joinstyle="round"/>
                <v:imagedata o:title=""/>
                <o:lock v:ext="edit" aspectratio="f"/>
              </v:line>
            </w:pict>
          </mc:Fallback>
        </mc:AlternateContent>
      </w:r>
    </w:p>
    <w:p w14:paraId="0350113E">
      <w:pPr>
        <w:keepNext w:val="0"/>
        <w:keepLines w:val="0"/>
        <w:pageBreakBefore w:val="0"/>
        <w:widowControl w:val="0"/>
        <w:kinsoku/>
        <w:wordWrap w:val="0"/>
        <w:overflowPunct/>
        <w:topLinePunct/>
        <w:autoSpaceDE/>
        <w:autoSpaceDN/>
        <w:bidi w:val="0"/>
        <w:snapToGrid w:val="0"/>
        <w:spacing w:beforeAutospacing="0" w:afterAutospacing="0"/>
        <w:ind w:firstLine="198" w:firstLineChars="82"/>
        <w:outlineLvl w:val="1"/>
        <w:rPr>
          <w:rFonts w:hint="eastAsia" w:ascii="宋体" w:hAnsi="宋体" w:eastAsia="宋体" w:cs="宋体"/>
          <w:b/>
          <w:bCs/>
          <w:color w:val="auto"/>
          <w:sz w:val="24"/>
          <w:highlight w:val="none"/>
        </w:rPr>
      </w:pPr>
    </w:p>
    <w:p w14:paraId="0FAFA843">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b/>
          <w:color w:val="auto"/>
          <w:sz w:val="24"/>
          <w:highlight w:val="none"/>
          <w:lang w:val="en-US" w:eastAsia="zh-CN"/>
        </w:rPr>
      </w:pPr>
    </w:p>
    <w:p w14:paraId="337C4988">
      <w:pPr>
        <w:pStyle w:val="10"/>
        <w:keepNext w:val="0"/>
        <w:keepLines w:val="0"/>
        <w:pageBreakBefore w:val="0"/>
        <w:widowControl w:val="0"/>
        <w:kinsoku/>
        <w:wordWrap w:val="0"/>
        <w:overflowPunct/>
        <w:topLinePunct/>
        <w:autoSpaceDE/>
        <w:autoSpaceDN/>
        <w:bidi w:val="0"/>
        <w:spacing w:beforeAutospacing="0" w:after="0" w:afterAutospacing="0"/>
        <w:rPr>
          <w:rFonts w:hint="eastAsia" w:ascii="宋体" w:hAnsi="宋体" w:eastAsia="宋体" w:cs="宋体"/>
          <w:b/>
          <w:color w:val="auto"/>
          <w:sz w:val="24"/>
          <w:highlight w:val="none"/>
          <w:lang w:val="en-US" w:eastAsia="zh-CN"/>
        </w:rPr>
      </w:pPr>
    </w:p>
    <w:p w14:paraId="5E08705C">
      <w:pPr>
        <w:keepNext w:val="0"/>
        <w:keepLines w:val="0"/>
        <w:pageBreakBefore w:val="0"/>
        <w:widowControl w:val="0"/>
        <w:shd w:val="clear"/>
        <w:kinsoku/>
        <w:wordWrap w:val="0"/>
        <w:overflowPunct/>
        <w:topLinePunct/>
        <w:autoSpaceDE/>
        <w:autoSpaceDN/>
        <w:bidi w:val="0"/>
        <w:snapToGrid w:val="0"/>
        <w:spacing w:beforeAutospacing="0" w:afterAutospacing="0"/>
        <w:jc w:val="both"/>
        <w:outlineLvl w:val="1"/>
        <w:rPr>
          <w:rFonts w:hint="eastAsia" w:ascii="宋体" w:hAnsi="宋体" w:eastAsia="宋体" w:cs="宋体"/>
          <w:b/>
          <w:bCs/>
          <w:color w:val="auto"/>
          <w:sz w:val="36"/>
          <w:szCs w:val="36"/>
          <w:highlight w:val="none"/>
          <w:lang w:eastAsia="zh-CN"/>
        </w:rPr>
      </w:pPr>
    </w:p>
    <w:p w14:paraId="79C61F8A">
      <w:pPr>
        <w:pStyle w:val="17"/>
        <w:keepNext w:val="0"/>
        <w:keepLines w:val="0"/>
        <w:pageBreakBefore w:val="0"/>
        <w:widowControl w:val="0"/>
        <w:numPr>
          <w:ilvl w:val="0"/>
          <w:numId w:val="0"/>
        </w:numPr>
        <w:shd w:val="clear"/>
        <w:kinsoku/>
        <w:wordWrap w:val="0"/>
        <w:overflowPunct/>
        <w:topLinePunct/>
        <w:autoSpaceDE/>
        <w:autoSpaceDN/>
        <w:bidi w:val="0"/>
        <w:adjustRightInd/>
        <w:snapToGrid w:val="0"/>
        <w:spacing w:before="0" w:beforeLines="0" w:beforeAutospacing="0" w:after="0" w:afterLines="0" w:afterAutospacing="0" w:line="360" w:lineRule="auto"/>
        <w:textAlignment w:val="auto"/>
        <w:rPr>
          <w:rFonts w:hint="eastAsia" w:hAnsi="宋体" w:eastAsia="宋体" w:cs="宋体"/>
          <w:b/>
          <w:color w:val="auto"/>
          <w:highlight w:val="none"/>
          <w:lang w:val="en-US" w:eastAsia="zh-CN"/>
        </w:rPr>
      </w:pPr>
    </w:p>
    <w:p w14:paraId="7984977D">
      <w:pPr>
        <w:pStyle w:val="17"/>
        <w:keepNext w:val="0"/>
        <w:keepLines w:val="0"/>
        <w:pageBreakBefore w:val="0"/>
        <w:widowControl w:val="0"/>
        <w:numPr>
          <w:ilvl w:val="0"/>
          <w:numId w:val="0"/>
        </w:numPr>
        <w:shd w:val="clear"/>
        <w:kinsoku/>
        <w:wordWrap w:val="0"/>
        <w:overflowPunct/>
        <w:topLinePunct/>
        <w:autoSpaceDE/>
        <w:autoSpaceDN/>
        <w:bidi w:val="0"/>
        <w:adjustRightInd/>
        <w:snapToGrid w:val="0"/>
        <w:spacing w:before="0" w:beforeLines="0" w:beforeAutospacing="0" w:after="0" w:afterLines="0" w:afterAutospacing="0" w:line="360" w:lineRule="auto"/>
        <w:textAlignment w:val="auto"/>
        <w:rPr>
          <w:rFonts w:hint="eastAsia" w:hAnsi="宋体" w:eastAsia="宋体" w:cs="宋体"/>
          <w:b/>
          <w:color w:val="auto"/>
          <w:highlight w:val="none"/>
          <w:lang w:val="en-US" w:eastAsia="zh-CN"/>
        </w:rPr>
      </w:pPr>
    </w:p>
    <w:p w14:paraId="19FAD547">
      <w:pPr>
        <w:pStyle w:val="11"/>
        <w:ind w:left="0" w:leftChars="0" w:firstLine="0" w:firstLineChars="0"/>
        <w:rPr>
          <w:rFonts w:hint="eastAsia"/>
          <w:color w:val="auto"/>
          <w:lang w:eastAsia="zh-CN"/>
        </w:rPr>
      </w:pPr>
    </w:p>
    <w:p w14:paraId="5A0666C1">
      <w:pPr>
        <w:keepNext w:val="0"/>
        <w:keepLines w:val="0"/>
        <w:pageBreakBefore w:val="0"/>
        <w:widowControl w:val="0"/>
        <w:numPr>
          <w:ilvl w:val="0"/>
          <w:numId w:val="6"/>
        </w:numPr>
        <w:shd w:val="clear"/>
        <w:kinsoku/>
        <w:wordWrap w:val="0"/>
        <w:overflowPunct/>
        <w:topLinePunct/>
        <w:autoSpaceDE/>
        <w:autoSpaceDN/>
        <w:bidi w:val="0"/>
        <w:snapToGrid w:val="0"/>
        <w:spacing w:beforeAutospacing="0" w:afterAutospacing="0"/>
        <w:jc w:val="left"/>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商务技术文件格式：</w:t>
      </w:r>
    </w:p>
    <w:p w14:paraId="0755DA5F">
      <w:pPr>
        <w:pStyle w:val="4"/>
        <w:keepNext w:val="0"/>
        <w:keepLines w:val="0"/>
        <w:pageBreakBefore w:val="0"/>
        <w:widowControl w:val="0"/>
        <w:numPr>
          <w:ilvl w:val="0"/>
          <w:numId w:val="0"/>
        </w:numPr>
        <w:kinsoku/>
        <w:wordWrap w:val="0"/>
        <w:overflowPunct/>
        <w:topLinePunct/>
        <w:autoSpaceDE/>
        <w:autoSpaceDN/>
        <w:bidi w:val="0"/>
        <w:spacing w:before="0" w:beforeAutospacing="0" w:after="0" w:afterAutospacing="0"/>
        <w:rPr>
          <w:rFonts w:hint="eastAsia"/>
          <w:color w:val="auto"/>
        </w:rPr>
      </w:pPr>
    </w:p>
    <w:p w14:paraId="1A8D5031">
      <w:pPr>
        <w:keepNext w:val="0"/>
        <w:keepLines w:val="0"/>
        <w:pageBreakBefore w:val="0"/>
        <w:widowControl w:val="0"/>
        <w:kinsoku/>
        <w:wordWrap w:val="0"/>
        <w:overflowPunct/>
        <w:topLinePunct/>
        <w:autoSpaceDE/>
        <w:autoSpaceDN/>
        <w:bidi w:val="0"/>
        <w:snapToGrid w:val="0"/>
        <w:spacing w:beforeAutospacing="0" w:afterAutospacing="0" w:line="360" w:lineRule="auto"/>
        <w:ind w:firstLine="198" w:firstLineChars="82"/>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 商务技术文件封面格式： </w:t>
      </w:r>
    </w:p>
    <w:p w14:paraId="45674930">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outlineLvl w:val="1"/>
        <w:rPr>
          <w:rFonts w:hint="eastAsia" w:ascii="宋体" w:hAnsi="宋体" w:eastAsia="宋体" w:cs="宋体"/>
          <w:b/>
          <w:bCs/>
          <w:color w:val="auto"/>
          <w:sz w:val="32"/>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 xml:space="preserve">   </w:t>
      </w:r>
    </w:p>
    <w:p w14:paraId="7CE50372">
      <w:pPr>
        <w:keepNext w:val="0"/>
        <w:keepLines w:val="0"/>
        <w:pageBreakBefore w:val="0"/>
        <w:widowControl w:val="0"/>
        <w:kinsoku/>
        <w:wordWrap w:val="0"/>
        <w:overflowPunct/>
        <w:topLinePunct/>
        <w:autoSpaceDE/>
        <w:autoSpaceDN/>
        <w:bidi w:val="0"/>
        <w:snapToGrid w:val="0"/>
        <w:spacing w:beforeAutospacing="0" w:afterAutospacing="0" w:line="360" w:lineRule="auto"/>
        <w:ind w:firstLine="643"/>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商务技术文件</w:t>
      </w:r>
    </w:p>
    <w:p w14:paraId="12CBBD03">
      <w:pPr>
        <w:keepNext w:val="0"/>
        <w:keepLines w:val="0"/>
        <w:pageBreakBefore w:val="0"/>
        <w:widowControl w:val="0"/>
        <w:kinsoku/>
        <w:wordWrap w:val="0"/>
        <w:overflowPunct/>
        <w:topLinePunct/>
        <w:autoSpaceDE/>
        <w:autoSpaceDN/>
        <w:bidi w:val="0"/>
        <w:snapToGrid w:val="0"/>
        <w:spacing w:beforeAutospacing="0" w:afterAutospacing="0" w:line="360" w:lineRule="auto"/>
        <w:ind w:firstLine="1200" w:firstLineChars="5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7AA52E5B">
      <w:pPr>
        <w:keepNext w:val="0"/>
        <w:keepLines w:val="0"/>
        <w:pageBreakBefore w:val="0"/>
        <w:widowControl w:val="0"/>
        <w:kinsoku/>
        <w:wordWrap w:val="0"/>
        <w:overflowPunct/>
        <w:topLinePunct/>
        <w:autoSpaceDE/>
        <w:autoSpaceDN/>
        <w:bidi w:val="0"/>
        <w:snapToGrid w:val="0"/>
        <w:spacing w:beforeAutospacing="0" w:afterAutospacing="0" w:line="360" w:lineRule="auto"/>
        <w:ind w:firstLine="1200" w:firstLineChars="5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159AED5E">
      <w:pPr>
        <w:pStyle w:val="6"/>
        <w:keepNext w:val="0"/>
        <w:keepLines w:val="0"/>
        <w:pageBreakBefore w:val="0"/>
        <w:widowControl w:val="0"/>
        <w:kinsoku/>
        <w:wordWrap w:val="0"/>
        <w:overflowPunct/>
        <w:topLinePunct/>
        <w:autoSpaceDE/>
        <w:autoSpaceDN/>
        <w:bidi w:val="0"/>
        <w:snapToGrid w:val="0"/>
        <w:spacing w:beforeAutospacing="0" w:afterAutospacing="0" w:line="360" w:lineRule="auto"/>
        <w:ind w:firstLine="1200" w:firstLineChars="5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5B7C00AC">
      <w:pPr>
        <w:pStyle w:val="6"/>
        <w:keepNext w:val="0"/>
        <w:keepLines w:val="0"/>
        <w:pageBreakBefore w:val="0"/>
        <w:widowControl w:val="0"/>
        <w:kinsoku/>
        <w:wordWrap w:val="0"/>
        <w:overflowPunct/>
        <w:topLinePunct/>
        <w:autoSpaceDE/>
        <w:autoSpaceDN/>
        <w:bidi w:val="0"/>
        <w:snapToGrid w:val="0"/>
        <w:spacing w:beforeAutospacing="0" w:afterAutospacing="0" w:line="360" w:lineRule="auto"/>
        <w:ind w:firstLine="1200" w:firstLineChars="5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786F9550">
      <w:pPr>
        <w:keepNext w:val="0"/>
        <w:keepLines w:val="0"/>
        <w:pageBreakBefore w:val="0"/>
        <w:widowControl w:val="0"/>
        <w:kinsoku/>
        <w:wordWrap w:val="0"/>
        <w:overflowPunct/>
        <w:topLinePunct/>
        <w:autoSpaceDE/>
        <w:autoSpaceDN/>
        <w:bidi w:val="0"/>
        <w:snapToGrid w:val="0"/>
        <w:spacing w:beforeAutospacing="0" w:afterAutospacing="0" w:line="360" w:lineRule="auto"/>
        <w:ind w:firstLine="4080" w:firstLineChars="1700"/>
        <w:rPr>
          <w:rFonts w:hint="eastAsia" w:ascii="宋体" w:hAnsi="宋体" w:eastAsia="宋体" w:cs="宋体"/>
          <w:color w:val="auto"/>
          <w:sz w:val="24"/>
          <w:highlight w:val="none"/>
        </w:rPr>
      </w:pPr>
    </w:p>
    <w:p w14:paraId="219427F3">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53DB826D">
      <w:pPr>
        <w:pStyle w:val="11"/>
        <w:keepNext w:val="0"/>
        <w:keepLines w:val="0"/>
        <w:pageBreakBefore w:val="0"/>
        <w:widowControl w:val="0"/>
        <w:kinsoku/>
        <w:wordWrap w:val="0"/>
        <w:overflowPunct/>
        <w:topLinePunct/>
        <w:autoSpaceDE/>
        <w:autoSpaceDN/>
        <w:bidi w:val="0"/>
        <w:spacing w:beforeAutospacing="0" w:after="0" w:afterAutospacing="0" w:line="360" w:lineRule="auto"/>
        <w:ind w:left="0" w:leftChars="0" w:firstLine="0" w:firstLineChars="0"/>
        <w:rPr>
          <w:rFonts w:hint="eastAsia" w:ascii="宋体" w:hAnsi="宋体" w:eastAsia="宋体" w:cs="宋体"/>
          <w:color w:val="auto"/>
          <w:sz w:val="24"/>
          <w:highlight w:val="none"/>
        </w:rPr>
      </w:pPr>
    </w:p>
    <w:p w14:paraId="11A6B4AE">
      <w:pPr>
        <w:pStyle w:val="11"/>
        <w:keepNext w:val="0"/>
        <w:keepLines w:val="0"/>
        <w:pageBreakBefore w:val="0"/>
        <w:widowControl w:val="0"/>
        <w:kinsoku/>
        <w:wordWrap w:val="0"/>
        <w:overflowPunct/>
        <w:topLinePunct/>
        <w:autoSpaceDE/>
        <w:autoSpaceDN/>
        <w:bidi w:val="0"/>
        <w:spacing w:beforeAutospacing="0" w:after="0" w:afterAutospacing="0" w:line="360" w:lineRule="auto"/>
        <w:ind w:left="0" w:leftChars="0" w:firstLine="0" w:firstLineChars="0"/>
        <w:rPr>
          <w:rFonts w:hint="eastAsia" w:ascii="宋体" w:hAnsi="宋体" w:eastAsia="宋体" w:cs="宋体"/>
          <w:color w:val="auto"/>
          <w:sz w:val="24"/>
          <w:highlight w:val="none"/>
        </w:rPr>
      </w:pPr>
    </w:p>
    <w:p w14:paraId="0E6E92BC">
      <w:pPr>
        <w:pStyle w:val="11"/>
        <w:keepNext w:val="0"/>
        <w:keepLines w:val="0"/>
        <w:pageBreakBefore w:val="0"/>
        <w:widowControl w:val="0"/>
        <w:kinsoku/>
        <w:wordWrap w:val="0"/>
        <w:overflowPunct/>
        <w:topLinePunct/>
        <w:autoSpaceDE/>
        <w:autoSpaceDN/>
        <w:bidi w:val="0"/>
        <w:spacing w:beforeAutospacing="0" w:after="0" w:afterAutospacing="0" w:line="360" w:lineRule="auto"/>
        <w:ind w:left="0" w:leftChars="0" w:firstLine="0" w:firstLineChars="0"/>
        <w:rPr>
          <w:rFonts w:hint="eastAsia" w:ascii="宋体" w:hAnsi="宋体" w:eastAsia="宋体" w:cs="宋体"/>
          <w:color w:val="auto"/>
          <w:sz w:val="24"/>
          <w:highlight w:val="none"/>
        </w:rPr>
      </w:pPr>
    </w:p>
    <w:p w14:paraId="0EBBBBF8">
      <w:pPr>
        <w:pStyle w:val="11"/>
        <w:keepNext w:val="0"/>
        <w:keepLines w:val="0"/>
        <w:pageBreakBefore w:val="0"/>
        <w:widowControl w:val="0"/>
        <w:kinsoku/>
        <w:wordWrap w:val="0"/>
        <w:overflowPunct/>
        <w:topLinePunct/>
        <w:autoSpaceDE/>
        <w:autoSpaceDN/>
        <w:bidi w:val="0"/>
        <w:spacing w:beforeAutospacing="0" w:after="0" w:afterAutospacing="0" w:line="360" w:lineRule="auto"/>
        <w:ind w:firstLine="0" w:firstLineChars="0"/>
        <w:rPr>
          <w:rFonts w:hint="eastAsia" w:ascii="宋体" w:hAnsi="宋体" w:eastAsia="宋体" w:cs="宋体"/>
          <w:color w:val="auto"/>
          <w:sz w:val="24"/>
          <w:highlight w:val="none"/>
        </w:rPr>
      </w:pPr>
    </w:p>
    <w:p w14:paraId="5E544941">
      <w:pPr>
        <w:keepNext w:val="0"/>
        <w:keepLines w:val="0"/>
        <w:pageBreakBefore w:val="0"/>
        <w:widowControl w:val="0"/>
        <w:kinsoku/>
        <w:wordWrap w:val="0"/>
        <w:overflowPunct/>
        <w:topLinePunct/>
        <w:autoSpaceDE/>
        <w:autoSpaceDN/>
        <w:bidi w:val="0"/>
        <w:snapToGrid w:val="0"/>
        <w:spacing w:beforeAutospacing="0" w:afterAutospacing="0"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2.商务技术文件目录</w:t>
      </w:r>
    </w:p>
    <w:p w14:paraId="07401201">
      <w:pPr>
        <w:keepNext w:val="0"/>
        <w:keepLines w:val="0"/>
        <w:pageBreakBefore w:val="0"/>
        <w:widowControl w:val="0"/>
        <w:kinsoku/>
        <w:wordWrap w:val="0"/>
        <w:overflowPunct/>
        <w:topLinePunct/>
        <w:autoSpaceDE/>
        <w:autoSpaceDN/>
        <w:bidi w:val="0"/>
        <w:snapToGrid w:val="0"/>
        <w:spacing w:beforeAutospacing="0" w:afterAutospacing="0"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（请按照“第三章投标人须知，三、投标文件的编制”的顺序，结合评标办法自行编制目录）</w:t>
      </w:r>
    </w:p>
    <w:p w14:paraId="45C58A06">
      <w:pPr>
        <w:keepNext w:val="0"/>
        <w:keepLines w:val="0"/>
        <w:pageBreakBefore w:val="0"/>
        <w:widowControl w:val="0"/>
        <w:kinsoku/>
        <w:wordWrap w:val="0"/>
        <w:overflowPunct/>
        <w:topLinePunct/>
        <w:autoSpaceDE/>
        <w:autoSpaceDN/>
        <w:bidi w:val="0"/>
        <w:snapToGrid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b/>
          <w:color w:val="auto"/>
          <w:sz w:val="24"/>
          <w:highlight w:val="none"/>
        </w:rPr>
        <w:t>例如：</w:t>
      </w:r>
    </w:p>
    <w:p w14:paraId="0C3DED85">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360" w:lineRule="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（1）投标人基本情况表———————————————————————（页码）</w:t>
      </w:r>
    </w:p>
    <w:p w14:paraId="5E767668">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360" w:lineRule="auto"/>
        <w:rPr>
          <w:rFonts w:hint="eastAsia" w:ascii="宋体" w:hAnsi="宋体" w:eastAsia="宋体" w:cs="宋体"/>
          <w:color w:val="auto"/>
          <w:kern w:val="0"/>
          <w:sz w:val="24"/>
          <w:szCs w:val="24"/>
          <w:highlight w:val="none"/>
          <w:lang w:val="en-US" w:eastAsia="zh-CN"/>
        </w:rPr>
      </w:pPr>
      <w:r>
        <w:rPr>
          <w:rFonts w:hint="eastAsia" w:hAnsi="宋体" w:eastAsia="宋体" w:cs="宋体"/>
          <w:color w:val="auto"/>
          <w:sz w:val="24"/>
          <w:szCs w:val="18"/>
          <w:highlight w:val="none"/>
          <w:lang w:eastAsia="zh-CN"/>
        </w:rPr>
        <w:t>（</w:t>
      </w:r>
      <w:r>
        <w:rPr>
          <w:rFonts w:hint="eastAsia" w:hAnsi="宋体" w:eastAsia="宋体" w:cs="宋体"/>
          <w:color w:val="auto"/>
          <w:sz w:val="24"/>
          <w:szCs w:val="18"/>
          <w:highlight w:val="none"/>
          <w:lang w:val="en-US" w:eastAsia="zh-CN"/>
        </w:rPr>
        <w:t>2</w:t>
      </w:r>
      <w:r>
        <w:rPr>
          <w:rFonts w:hint="eastAsia" w:hAnsi="宋体" w:eastAsia="宋体" w:cs="宋体"/>
          <w:color w:val="auto"/>
          <w:sz w:val="24"/>
          <w:szCs w:val="18"/>
          <w:highlight w:val="none"/>
          <w:lang w:eastAsia="zh-CN"/>
        </w:rPr>
        <w:t>）</w:t>
      </w:r>
      <w:r>
        <w:rPr>
          <w:rFonts w:hint="eastAsia" w:ascii="宋体" w:hAnsi="宋体" w:eastAsia="宋体" w:cs="宋体"/>
          <w:color w:val="auto"/>
          <w:kern w:val="0"/>
          <w:sz w:val="24"/>
          <w:szCs w:val="24"/>
          <w:highlight w:val="none"/>
          <w:lang w:val="en-US" w:eastAsia="zh-CN"/>
        </w:rPr>
        <w:t>相关行业</w:t>
      </w:r>
      <w:r>
        <w:rPr>
          <w:rFonts w:hint="eastAsia" w:hAnsi="宋体" w:eastAsia="宋体" w:cs="宋体"/>
          <w:color w:val="auto"/>
          <w:kern w:val="0"/>
          <w:sz w:val="24"/>
          <w:szCs w:val="24"/>
          <w:highlight w:val="none"/>
          <w:lang w:val="en-US" w:eastAsia="zh-CN"/>
        </w:rPr>
        <w:t>认证证书及</w:t>
      </w:r>
      <w:r>
        <w:rPr>
          <w:rFonts w:hint="eastAsia" w:ascii="宋体" w:hAnsi="宋体" w:eastAsia="宋体" w:cs="宋体"/>
          <w:color w:val="auto"/>
          <w:kern w:val="0"/>
          <w:sz w:val="24"/>
          <w:szCs w:val="24"/>
          <w:highlight w:val="none"/>
          <w:lang w:val="en-US" w:eastAsia="zh-CN"/>
        </w:rPr>
        <w:t>相关材料</w:t>
      </w:r>
      <w:r>
        <w:rPr>
          <w:rFonts w:hint="eastAsia" w:ascii="宋体" w:hAnsi="宋体" w:eastAsia="宋体" w:cs="宋体"/>
          <w:color w:val="auto"/>
          <w:sz w:val="24"/>
          <w:szCs w:val="18"/>
          <w:highlight w:val="none"/>
        </w:rPr>
        <w:t>——————————————————（页码）</w:t>
      </w:r>
    </w:p>
    <w:p w14:paraId="2658519F">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360" w:lineRule="auto"/>
        <w:rPr>
          <w:rFonts w:hint="eastAsia" w:ascii="宋体" w:hAnsi="宋体" w:eastAsia="宋体" w:cs="宋体"/>
          <w:color w:val="auto"/>
          <w:sz w:val="24"/>
          <w:szCs w:val="18"/>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bidi="ar-SA"/>
        </w:rPr>
        <w:t>商</w:t>
      </w:r>
      <w:r>
        <w:rPr>
          <w:rFonts w:hint="eastAsia" w:ascii="宋体" w:hAnsi="宋体" w:eastAsia="宋体" w:cs="宋体"/>
          <w:b w:val="0"/>
          <w:bCs w:val="0"/>
          <w:color w:val="auto"/>
          <w:sz w:val="24"/>
          <w:szCs w:val="24"/>
          <w:highlight w:val="none"/>
          <w:lang w:val="en-US" w:eastAsia="zh-CN"/>
        </w:rPr>
        <w:t>务响应表</w:t>
      </w:r>
      <w:r>
        <w:rPr>
          <w:rFonts w:hint="eastAsia" w:ascii="宋体" w:hAnsi="宋体" w:eastAsia="宋体" w:cs="宋体"/>
          <w:color w:val="auto"/>
          <w:sz w:val="24"/>
          <w:szCs w:val="18"/>
          <w:highlight w:val="none"/>
        </w:rPr>
        <w:t>——————————————————————————（页码）</w:t>
      </w:r>
    </w:p>
    <w:p w14:paraId="356D096D">
      <w:pPr>
        <w:pStyle w:val="17"/>
        <w:keepNext w:val="0"/>
        <w:keepLines w:val="0"/>
        <w:pageBreakBefore w:val="0"/>
        <w:widowControl w:val="0"/>
        <w:kinsoku/>
        <w:wordWrap w:val="0"/>
        <w:overflowPunct/>
        <w:topLinePunct/>
        <w:autoSpaceDE/>
        <w:autoSpaceDN/>
        <w:bidi w:val="0"/>
        <w:snapToGrid w:val="0"/>
        <w:spacing w:before="0" w:beforeLines="0" w:beforeAutospacing="0" w:after="0" w:afterLines="0" w:afterAutospacing="0" w:line="360" w:lineRule="auto"/>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 xml:space="preserve">  </w:t>
      </w:r>
      <w:r>
        <w:rPr>
          <w:rFonts w:hint="eastAsia" w:hAnsi="宋体" w:eastAsia="宋体" w:cs="宋体"/>
          <w:b/>
          <w:bCs/>
          <w:color w:val="auto"/>
          <w:sz w:val="24"/>
          <w:szCs w:val="18"/>
          <w:highlight w:val="none"/>
          <w:lang w:val="en-US" w:eastAsia="zh-CN"/>
        </w:rPr>
        <w:t xml:space="preserve">    </w:t>
      </w:r>
      <w:r>
        <w:rPr>
          <w:rFonts w:hint="eastAsia" w:ascii="宋体" w:hAnsi="宋体" w:eastAsia="宋体" w:cs="宋体"/>
          <w:b/>
          <w:bCs/>
          <w:color w:val="auto"/>
          <w:sz w:val="24"/>
          <w:szCs w:val="18"/>
          <w:highlight w:val="none"/>
        </w:rPr>
        <w:t>………………</w:t>
      </w:r>
    </w:p>
    <w:p w14:paraId="1A4E854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rPr>
          <w:rFonts w:hint="eastAsia" w:ascii="宋体" w:hAnsi="宋体" w:eastAsia="宋体" w:cs="宋体"/>
          <w:b/>
          <w:bCs/>
          <w:color w:val="auto"/>
          <w:sz w:val="24"/>
          <w:highlight w:val="none"/>
          <w:lang w:val="en-US" w:eastAsia="zh-CN"/>
        </w:rPr>
      </w:pPr>
    </w:p>
    <w:p w14:paraId="7B641C0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rPr>
          <w:rFonts w:hint="eastAsia" w:ascii="宋体" w:hAnsi="宋体" w:eastAsia="宋体" w:cs="宋体"/>
          <w:b/>
          <w:bCs/>
          <w:color w:val="auto"/>
          <w:sz w:val="24"/>
          <w:highlight w:val="none"/>
          <w:lang w:val="en-US" w:eastAsia="zh-CN"/>
        </w:rPr>
      </w:pPr>
    </w:p>
    <w:p w14:paraId="51062C5B">
      <w:pPr>
        <w:pStyle w:val="2"/>
        <w:rPr>
          <w:rFonts w:hint="eastAsia" w:ascii="宋体" w:hAnsi="宋体" w:eastAsia="宋体" w:cs="宋体"/>
          <w:b/>
          <w:bCs/>
          <w:color w:val="auto"/>
          <w:sz w:val="24"/>
          <w:highlight w:val="none"/>
          <w:lang w:val="en-US" w:eastAsia="zh-CN"/>
        </w:rPr>
      </w:pPr>
    </w:p>
    <w:p w14:paraId="52620BB7">
      <w:pPr>
        <w:rPr>
          <w:rFonts w:hint="eastAsia"/>
          <w:color w:val="auto"/>
          <w:lang w:val="en-US" w:eastAsia="zh-CN"/>
        </w:rPr>
      </w:pPr>
    </w:p>
    <w:p w14:paraId="1BA9AE5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rPr>
          <w:rFonts w:hint="eastAsia" w:ascii="宋体" w:hAnsi="宋体" w:eastAsia="宋体" w:cs="宋体"/>
          <w:b/>
          <w:bCs/>
          <w:color w:val="auto"/>
          <w:sz w:val="24"/>
          <w:highlight w:val="none"/>
          <w:lang w:val="en-US" w:eastAsia="zh-CN"/>
        </w:rPr>
      </w:pPr>
    </w:p>
    <w:p w14:paraId="0F56A30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rPr>
          <w:rFonts w:hint="eastAsia" w:ascii="宋体" w:hAnsi="宋体" w:eastAsia="宋体" w:cs="宋体"/>
          <w:b/>
          <w:bCs/>
          <w:color w:val="auto"/>
          <w:sz w:val="24"/>
          <w:highlight w:val="none"/>
          <w:lang w:val="en-US" w:eastAsia="zh-CN"/>
        </w:rPr>
      </w:pPr>
    </w:p>
    <w:p w14:paraId="2A54389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rPr>
          <w:rFonts w:hint="eastAsia" w:ascii="宋体" w:hAnsi="宋体" w:eastAsia="宋体" w:cs="宋体"/>
          <w:b/>
          <w:color w:val="auto"/>
          <w:sz w:val="32"/>
          <w:szCs w:val="36"/>
          <w:highlight w:val="none"/>
          <w:lang w:eastAsia="zh-CN"/>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.投标人基本情况表格式</w:t>
      </w:r>
      <w:r>
        <w:rPr>
          <w:rFonts w:hint="eastAsia" w:ascii="宋体" w:hAnsi="宋体" w:eastAsia="宋体" w:cs="宋体"/>
          <w:b/>
          <w:bCs/>
          <w:color w:val="auto"/>
          <w:sz w:val="24"/>
          <w:highlight w:val="none"/>
          <w:lang w:eastAsia="zh-CN"/>
        </w:rPr>
        <w:t>：</w:t>
      </w:r>
    </w:p>
    <w:p w14:paraId="310B3926">
      <w:pPr>
        <w:keepNext w:val="0"/>
        <w:keepLines w:val="0"/>
        <w:pageBreakBefore w:val="0"/>
        <w:widowControl w:val="0"/>
        <w:kinsoku/>
        <w:wordWrap w:val="0"/>
        <w:overflowPunct/>
        <w:topLinePunct/>
        <w:autoSpaceDE/>
        <w:autoSpaceDN/>
        <w:bidi w:val="0"/>
        <w:spacing w:beforeAutospacing="0" w:afterAutospacing="0" w:line="360" w:lineRule="auto"/>
        <w:ind w:firstLine="562"/>
        <w:jc w:val="center"/>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t>投标人基本情况表</w:t>
      </w:r>
    </w:p>
    <w:tbl>
      <w:tblPr>
        <w:tblStyle w:val="26"/>
        <w:tblW w:w="9279"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42"/>
        <w:gridCol w:w="1434"/>
        <w:gridCol w:w="1423"/>
        <w:gridCol w:w="1431"/>
        <w:gridCol w:w="2075"/>
        <w:gridCol w:w="1374"/>
      </w:tblGrid>
      <w:tr w14:paraId="2A5999D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4" w:hRule="atLeast"/>
        </w:trPr>
        <w:tc>
          <w:tcPr>
            <w:tcW w:w="1542" w:type="dxa"/>
            <w:tcBorders>
              <w:top w:val="single" w:color="auto" w:sz="4" w:space="0"/>
              <w:left w:val="single" w:color="auto" w:sz="4" w:space="0"/>
              <w:bottom w:val="single" w:color="auto" w:sz="4" w:space="0"/>
              <w:right w:val="single" w:color="auto" w:sz="4" w:space="0"/>
            </w:tcBorders>
            <w:vAlign w:val="center"/>
          </w:tcPr>
          <w:p w14:paraId="052E4E00">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投标人名称</w:t>
            </w:r>
          </w:p>
        </w:tc>
        <w:tc>
          <w:tcPr>
            <w:tcW w:w="7737" w:type="dxa"/>
            <w:gridSpan w:val="5"/>
            <w:tcBorders>
              <w:top w:val="single" w:color="auto" w:sz="4" w:space="0"/>
              <w:left w:val="single" w:color="auto" w:sz="4" w:space="0"/>
              <w:bottom w:val="single" w:color="auto" w:sz="4" w:space="0"/>
              <w:right w:val="single" w:color="auto" w:sz="4" w:space="0"/>
            </w:tcBorders>
            <w:vAlign w:val="center"/>
          </w:tcPr>
          <w:p w14:paraId="2648FF61">
            <w:pPr>
              <w:keepNext w:val="0"/>
              <w:keepLines w:val="0"/>
              <w:pageBreakBefore w:val="0"/>
              <w:widowControl w:val="0"/>
              <w:kinsoku/>
              <w:wordWrap w:val="0"/>
              <w:overflowPunct/>
              <w:topLinePunct/>
              <w:autoSpaceDE/>
              <w:autoSpaceDN/>
              <w:bidi w:val="0"/>
              <w:adjustRightInd/>
              <w:snapToGrid/>
              <w:spacing w:beforeAutospacing="0" w:afterAutospacing="0" w:line="400" w:lineRule="exact"/>
              <w:ind w:firstLine="480"/>
              <w:jc w:val="center"/>
              <w:textAlignment w:val="auto"/>
              <w:outlineLvl w:val="9"/>
              <w:rPr>
                <w:rFonts w:hint="eastAsia" w:ascii="宋体" w:hAnsi="宋体" w:eastAsia="宋体" w:cs="宋体"/>
                <w:color w:val="auto"/>
                <w:sz w:val="24"/>
                <w:szCs w:val="24"/>
                <w:highlight w:val="none"/>
              </w:rPr>
            </w:pPr>
          </w:p>
        </w:tc>
      </w:tr>
      <w:tr w14:paraId="711D3C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4" w:hRule="atLeast"/>
        </w:trPr>
        <w:tc>
          <w:tcPr>
            <w:tcW w:w="1542" w:type="dxa"/>
            <w:tcBorders>
              <w:top w:val="single" w:color="auto" w:sz="4" w:space="0"/>
              <w:left w:val="single" w:color="auto" w:sz="4" w:space="0"/>
              <w:bottom w:val="single" w:color="auto" w:sz="4" w:space="0"/>
              <w:right w:val="single" w:color="auto" w:sz="4" w:space="0"/>
            </w:tcBorders>
            <w:vAlign w:val="center"/>
          </w:tcPr>
          <w:p w14:paraId="7C1F3A0D">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法定代表人</w:t>
            </w:r>
          </w:p>
        </w:tc>
        <w:tc>
          <w:tcPr>
            <w:tcW w:w="1434" w:type="dxa"/>
            <w:tcBorders>
              <w:top w:val="single" w:color="auto" w:sz="4" w:space="0"/>
              <w:left w:val="single" w:color="auto" w:sz="4" w:space="0"/>
              <w:bottom w:val="single" w:color="auto" w:sz="4" w:space="0"/>
              <w:right w:val="single" w:color="auto" w:sz="4" w:space="0"/>
            </w:tcBorders>
            <w:vAlign w:val="center"/>
          </w:tcPr>
          <w:p w14:paraId="623E558D">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423" w:type="dxa"/>
            <w:tcBorders>
              <w:top w:val="single" w:color="auto" w:sz="4" w:space="0"/>
              <w:left w:val="single" w:color="auto" w:sz="4" w:space="0"/>
              <w:bottom w:val="single" w:color="auto" w:sz="4" w:space="0"/>
              <w:right w:val="single" w:color="auto" w:sz="4" w:space="0"/>
            </w:tcBorders>
            <w:vAlign w:val="center"/>
          </w:tcPr>
          <w:p w14:paraId="20CAC2CE">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授权代表人</w:t>
            </w:r>
          </w:p>
        </w:tc>
        <w:tc>
          <w:tcPr>
            <w:tcW w:w="1431" w:type="dxa"/>
            <w:tcBorders>
              <w:top w:val="single" w:color="auto" w:sz="4" w:space="0"/>
              <w:left w:val="single" w:color="auto" w:sz="4" w:space="0"/>
              <w:bottom w:val="single" w:color="auto" w:sz="4" w:space="0"/>
              <w:right w:val="single" w:color="auto" w:sz="4" w:space="0"/>
            </w:tcBorders>
            <w:vAlign w:val="center"/>
          </w:tcPr>
          <w:p w14:paraId="35F056A4">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075" w:type="dxa"/>
            <w:tcBorders>
              <w:top w:val="single" w:color="auto" w:sz="4" w:space="0"/>
              <w:left w:val="single" w:color="auto" w:sz="4" w:space="0"/>
              <w:bottom w:val="single" w:color="auto" w:sz="4" w:space="0"/>
              <w:right w:val="single" w:color="auto" w:sz="4" w:space="0"/>
            </w:tcBorders>
            <w:vAlign w:val="center"/>
          </w:tcPr>
          <w:p w14:paraId="20345396">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营业(经营)执照号码</w:t>
            </w:r>
          </w:p>
        </w:tc>
        <w:tc>
          <w:tcPr>
            <w:tcW w:w="1374" w:type="dxa"/>
            <w:tcBorders>
              <w:top w:val="single" w:color="auto" w:sz="4" w:space="0"/>
              <w:left w:val="single" w:color="auto" w:sz="4" w:space="0"/>
              <w:bottom w:val="single" w:color="auto" w:sz="4" w:space="0"/>
              <w:right w:val="single" w:color="auto" w:sz="4" w:space="0"/>
            </w:tcBorders>
            <w:vAlign w:val="center"/>
          </w:tcPr>
          <w:p w14:paraId="4557173C">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r>
      <w:tr w14:paraId="614307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4" w:hRule="atLeast"/>
        </w:trPr>
        <w:tc>
          <w:tcPr>
            <w:tcW w:w="1542" w:type="dxa"/>
            <w:tcBorders>
              <w:top w:val="single" w:color="auto" w:sz="4" w:space="0"/>
              <w:left w:val="single" w:color="auto" w:sz="4" w:space="0"/>
              <w:bottom w:val="single" w:color="auto" w:sz="4" w:space="0"/>
              <w:right w:val="single" w:color="auto" w:sz="4" w:space="0"/>
            </w:tcBorders>
            <w:vAlign w:val="center"/>
          </w:tcPr>
          <w:p w14:paraId="127EA62D">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职工人数</w:t>
            </w:r>
          </w:p>
        </w:tc>
        <w:tc>
          <w:tcPr>
            <w:tcW w:w="1434" w:type="dxa"/>
            <w:tcBorders>
              <w:top w:val="single" w:color="auto" w:sz="4" w:space="0"/>
              <w:left w:val="single" w:color="auto" w:sz="4" w:space="0"/>
              <w:bottom w:val="single" w:color="auto" w:sz="4" w:space="0"/>
              <w:right w:val="single" w:color="auto" w:sz="4" w:space="0"/>
            </w:tcBorders>
            <w:vAlign w:val="center"/>
          </w:tcPr>
          <w:p w14:paraId="7602274E">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423" w:type="dxa"/>
            <w:tcBorders>
              <w:top w:val="single" w:color="auto" w:sz="4" w:space="0"/>
              <w:left w:val="single" w:color="auto" w:sz="4" w:space="0"/>
              <w:bottom w:val="single" w:color="auto" w:sz="4" w:space="0"/>
              <w:right w:val="single" w:color="auto" w:sz="4" w:space="0"/>
            </w:tcBorders>
            <w:vAlign w:val="center"/>
          </w:tcPr>
          <w:p w14:paraId="70099B8E">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注册时间</w:t>
            </w:r>
          </w:p>
        </w:tc>
        <w:tc>
          <w:tcPr>
            <w:tcW w:w="1431" w:type="dxa"/>
            <w:tcBorders>
              <w:top w:val="single" w:color="auto" w:sz="4" w:space="0"/>
              <w:left w:val="single" w:color="auto" w:sz="4" w:space="0"/>
              <w:bottom w:val="single" w:color="auto" w:sz="4" w:space="0"/>
              <w:right w:val="single" w:color="auto" w:sz="4" w:space="0"/>
            </w:tcBorders>
            <w:vAlign w:val="center"/>
          </w:tcPr>
          <w:p w14:paraId="74CD4C42">
            <w:pPr>
              <w:keepNext w:val="0"/>
              <w:keepLines w:val="0"/>
              <w:pageBreakBefore w:val="0"/>
              <w:widowControl w:val="0"/>
              <w:kinsoku/>
              <w:wordWrap w:val="0"/>
              <w:overflowPunct/>
              <w:topLinePunct/>
              <w:autoSpaceDE/>
              <w:autoSpaceDN/>
              <w:bidi w:val="0"/>
              <w:adjustRightInd/>
              <w:snapToGrid/>
              <w:spacing w:beforeAutospacing="0" w:afterAutospacing="0" w:line="400" w:lineRule="exact"/>
              <w:ind w:right="-89"/>
              <w:jc w:val="center"/>
              <w:textAlignment w:val="auto"/>
              <w:outlineLvl w:val="9"/>
              <w:rPr>
                <w:rFonts w:hint="eastAsia" w:ascii="宋体" w:hAnsi="宋体" w:eastAsia="宋体" w:cs="宋体"/>
                <w:bCs/>
                <w:color w:val="auto"/>
                <w:sz w:val="24"/>
                <w:szCs w:val="24"/>
                <w:highlight w:val="none"/>
                <w:lang w:bidi="ar"/>
              </w:rPr>
            </w:pPr>
          </w:p>
        </w:tc>
        <w:tc>
          <w:tcPr>
            <w:tcW w:w="2075" w:type="dxa"/>
            <w:tcBorders>
              <w:top w:val="single" w:color="auto" w:sz="4" w:space="0"/>
              <w:left w:val="single" w:color="auto" w:sz="4" w:space="0"/>
              <w:bottom w:val="single" w:color="auto" w:sz="4" w:space="0"/>
              <w:right w:val="single" w:color="auto" w:sz="4" w:space="0"/>
            </w:tcBorders>
            <w:vAlign w:val="center"/>
          </w:tcPr>
          <w:p w14:paraId="1110A054">
            <w:pPr>
              <w:keepNext w:val="0"/>
              <w:keepLines w:val="0"/>
              <w:pageBreakBefore w:val="0"/>
              <w:widowControl w:val="0"/>
              <w:kinsoku/>
              <w:wordWrap w:val="0"/>
              <w:overflowPunct/>
              <w:topLinePunct/>
              <w:autoSpaceDE/>
              <w:autoSpaceDN/>
              <w:bidi w:val="0"/>
              <w:adjustRightInd/>
              <w:snapToGrid/>
              <w:spacing w:beforeAutospacing="0" w:afterAutospacing="0" w:line="400" w:lineRule="exact"/>
              <w:ind w:left="-107" w:leftChars="-51"/>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注册资金</w:t>
            </w:r>
          </w:p>
        </w:tc>
        <w:tc>
          <w:tcPr>
            <w:tcW w:w="1374" w:type="dxa"/>
            <w:tcBorders>
              <w:top w:val="single" w:color="auto" w:sz="4" w:space="0"/>
              <w:left w:val="single" w:color="auto" w:sz="4" w:space="0"/>
              <w:bottom w:val="single" w:color="auto" w:sz="4" w:space="0"/>
              <w:right w:val="single" w:color="auto" w:sz="4" w:space="0"/>
            </w:tcBorders>
            <w:vAlign w:val="center"/>
          </w:tcPr>
          <w:p w14:paraId="60662D61">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万元</w:t>
            </w:r>
          </w:p>
        </w:tc>
      </w:tr>
      <w:tr w14:paraId="3299038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4" w:hRule="atLeast"/>
        </w:trPr>
        <w:tc>
          <w:tcPr>
            <w:tcW w:w="1542" w:type="dxa"/>
            <w:tcBorders>
              <w:top w:val="single" w:color="auto" w:sz="4" w:space="0"/>
              <w:left w:val="single" w:color="auto" w:sz="4" w:space="0"/>
              <w:bottom w:val="single" w:color="auto" w:sz="4" w:space="0"/>
              <w:right w:val="single" w:color="auto" w:sz="4" w:space="0"/>
            </w:tcBorders>
            <w:vAlign w:val="center"/>
          </w:tcPr>
          <w:p w14:paraId="17DC8016">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地   址</w:t>
            </w:r>
          </w:p>
        </w:tc>
        <w:tc>
          <w:tcPr>
            <w:tcW w:w="7737" w:type="dxa"/>
            <w:gridSpan w:val="5"/>
            <w:tcBorders>
              <w:top w:val="single" w:color="auto" w:sz="4" w:space="0"/>
              <w:left w:val="single" w:color="auto" w:sz="4" w:space="0"/>
              <w:bottom w:val="single" w:color="auto" w:sz="4" w:space="0"/>
              <w:right w:val="single" w:color="auto" w:sz="4" w:space="0"/>
            </w:tcBorders>
            <w:vAlign w:val="center"/>
          </w:tcPr>
          <w:p w14:paraId="3B00734C">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r>
      <w:tr w14:paraId="2333517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4" w:hRule="atLeast"/>
        </w:trPr>
        <w:tc>
          <w:tcPr>
            <w:tcW w:w="1542" w:type="dxa"/>
            <w:vMerge w:val="restart"/>
            <w:tcBorders>
              <w:top w:val="single" w:color="auto" w:sz="4" w:space="0"/>
              <w:left w:val="single" w:color="auto" w:sz="4" w:space="0"/>
              <w:bottom w:val="nil"/>
              <w:right w:val="single" w:color="auto" w:sz="4" w:space="0"/>
            </w:tcBorders>
            <w:vAlign w:val="center"/>
          </w:tcPr>
          <w:p w14:paraId="1F8220CD">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所获资质</w:t>
            </w:r>
          </w:p>
          <w:p w14:paraId="4EA2BAE7">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或认证</w:t>
            </w:r>
          </w:p>
        </w:tc>
        <w:tc>
          <w:tcPr>
            <w:tcW w:w="1434" w:type="dxa"/>
            <w:tcBorders>
              <w:top w:val="single" w:color="auto" w:sz="4" w:space="0"/>
              <w:left w:val="single" w:color="auto" w:sz="4" w:space="0"/>
              <w:bottom w:val="single" w:color="auto" w:sz="4" w:space="0"/>
              <w:right w:val="single" w:color="auto" w:sz="4" w:space="0"/>
            </w:tcBorders>
            <w:vAlign w:val="center"/>
          </w:tcPr>
          <w:p w14:paraId="6FFF6BF9">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证书或证件名称及等级</w:t>
            </w: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327D570A">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颁发部门</w:t>
            </w:r>
          </w:p>
        </w:tc>
        <w:tc>
          <w:tcPr>
            <w:tcW w:w="2075" w:type="dxa"/>
            <w:tcBorders>
              <w:top w:val="single" w:color="auto" w:sz="4" w:space="0"/>
              <w:left w:val="single" w:color="auto" w:sz="4" w:space="0"/>
              <w:bottom w:val="single" w:color="auto" w:sz="4" w:space="0"/>
              <w:right w:val="single" w:color="auto" w:sz="4" w:space="0"/>
            </w:tcBorders>
            <w:vAlign w:val="center"/>
          </w:tcPr>
          <w:p w14:paraId="1FFC0AAF">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颁发时间</w:t>
            </w:r>
          </w:p>
        </w:tc>
        <w:tc>
          <w:tcPr>
            <w:tcW w:w="1374" w:type="dxa"/>
            <w:tcBorders>
              <w:top w:val="single" w:color="auto" w:sz="4" w:space="0"/>
              <w:left w:val="single" w:color="auto" w:sz="4" w:space="0"/>
              <w:bottom w:val="single" w:color="auto" w:sz="4" w:space="0"/>
              <w:right w:val="single" w:color="auto" w:sz="4" w:space="0"/>
            </w:tcBorders>
            <w:vAlign w:val="center"/>
          </w:tcPr>
          <w:p w14:paraId="49204023">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有效期</w:t>
            </w:r>
          </w:p>
        </w:tc>
      </w:tr>
      <w:tr w14:paraId="6712BC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4" w:hRule="atLeast"/>
        </w:trPr>
        <w:tc>
          <w:tcPr>
            <w:tcW w:w="1542" w:type="dxa"/>
            <w:vMerge w:val="continue"/>
            <w:tcBorders>
              <w:top w:val="single" w:color="auto" w:sz="4" w:space="0"/>
              <w:left w:val="single" w:color="auto" w:sz="4" w:space="0"/>
              <w:bottom w:val="nil"/>
              <w:right w:val="single" w:color="auto" w:sz="4" w:space="0"/>
            </w:tcBorders>
            <w:vAlign w:val="center"/>
          </w:tcPr>
          <w:p w14:paraId="09326744">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434" w:type="dxa"/>
            <w:tcBorders>
              <w:top w:val="single" w:color="auto" w:sz="4" w:space="0"/>
              <w:left w:val="single" w:color="auto" w:sz="4" w:space="0"/>
              <w:bottom w:val="single" w:color="auto" w:sz="4" w:space="0"/>
              <w:right w:val="single" w:color="auto" w:sz="4" w:space="0"/>
            </w:tcBorders>
            <w:vAlign w:val="center"/>
          </w:tcPr>
          <w:p w14:paraId="1552135E">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6FF9FE0B">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075" w:type="dxa"/>
            <w:tcBorders>
              <w:top w:val="single" w:color="auto" w:sz="4" w:space="0"/>
              <w:left w:val="single" w:color="auto" w:sz="4" w:space="0"/>
              <w:bottom w:val="single" w:color="auto" w:sz="4" w:space="0"/>
              <w:right w:val="single" w:color="auto" w:sz="4" w:space="0"/>
            </w:tcBorders>
            <w:vAlign w:val="center"/>
          </w:tcPr>
          <w:p w14:paraId="74BA65E7">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374" w:type="dxa"/>
            <w:tcBorders>
              <w:top w:val="single" w:color="auto" w:sz="4" w:space="0"/>
              <w:left w:val="single" w:color="auto" w:sz="4" w:space="0"/>
              <w:bottom w:val="single" w:color="auto" w:sz="4" w:space="0"/>
              <w:right w:val="single" w:color="auto" w:sz="4" w:space="0"/>
            </w:tcBorders>
            <w:vAlign w:val="center"/>
          </w:tcPr>
          <w:p w14:paraId="44516D5A">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r>
      <w:tr w14:paraId="4E3E79F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4" w:hRule="atLeast"/>
        </w:trPr>
        <w:tc>
          <w:tcPr>
            <w:tcW w:w="1542" w:type="dxa"/>
            <w:vMerge w:val="continue"/>
            <w:tcBorders>
              <w:top w:val="single" w:color="auto" w:sz="4" w:space="0"/>
              <w:left w:val="single" w:color="auto" w:sz="4" w:space="0"/>
              <w:bottom w:val="nil"/>
              <w:right w:val="single" w:color="auto" w:sz="4" w:space="0"/>
            </w:tcBorders>
            <w:vAlign w:val="center"/>
          </w:tcPr>
          <w:p w14:paraId="522A2741">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434" w:type="dxa"/>
            <w:tcBorders>
              <w:top w:val="single" w:color="auto" w:sz="4" w:space="0"/>
              <w:left w:val="single" w:color="auto" w:sz="4" w:space="0"/>
              <w:bottom w:val="single" w:color="auto" w:sz="4" w:space="0"/>
              <w:right w:val="single" w:color="auto" w:sz="4" w:space="0"/>
            </w:tcBorders>
            <w:vAlign w:val="center"/>
          </w:tcPr>
          <w:p w14:paraId="298CB3E7">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72A1AA2B">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075" w:type="dxa"/>
            <w:tcBorders>
              <w:top w:val="single" w:color="auto" w:sz="4" w:space="0"/>
              <w:left w:val="single" w:color="auto" w:sz="4" w:space="0"/>
              <w:bottom w:val="single" w:color="auto" w:sz="4" w:space="0"/>
              <w:right w:val="single" w:color="auto" w:sz="4" w:space="0"/>
            </w:tcBorders>
            <w:vAlign w:val="center"/>
          </w:tcPr>
          <w:p w14:paraId="0B2B0744">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374" w:type="dxa"/>
            <w:tcBorders>
              <w:top w:val="single" w:color="auto" w:sz="4" w:space="0"/>
              <w:left w:val="single" w:color="auto" w:sz="4" w:space="0"/>
              <w:bottom w:val="single" w:color="auto" w:sz="4" w:space="0"/>
              <w:right w:val="single" w:color="auto" w:sz="4" w:space="0"/>
            </w:tcBorders>
            <w:vAlign w:val="center"/>
          </w:tcPr>
          <w:p w14:paraId="32F32A2E">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r>
      <w:tr w14:paraId="50726F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4" w:hRule="atLeast"/>
        </w:trPr>
        <w:tc>
          <w:tcPr>
            <w:tcW w:w="1542" w:type="dxa"/>
            <w:vMerge w:val="continue"/>
            <w:tcBorders>
              <w:top w:val="single" w:color="auto" w:sz="4" w:space="0"/>
              <w:left w:val="single" w:color="auto" w:sz="4" w:space="0"/>
              <w:bottom w:val="nil"/>
              <w:right w:val="single" w:color="auto" w:sz="4" w:space="0"/>
            </w:tcBorders>
            <w:vAlign w:val="center"/>
          </w:tcPr>
          <w:p w14:paraId="207DE609">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434" w:type="dxa"/>
            <w:tcBorders>
              <w:top w:val="single" w:color="auto" w:sz="4" w:space="0"/>
              <w:left w:val="single" w:color="auto" w:sz="4" w:space="0"/>
              <w:bottom w:val="single" w:color="auto" w:sz="4" w:space="0"/>
              <w:right w:val="single" w:color="auto" w:sz="4" w:space="0"/>
            </w:tcBorders>
            <w:vAlign w:val="center"/>
          </w:tcPr>
          <w:p w14:paraId="464C0E39">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7CBE1577">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075" w:type="dxa"/>
            <w:tcBorders>
              <w:top w:val="single" w:color="auto" w:sz="4" w:space="0"/>
              <w:left w:val="single" w:color="auto" w:sz="4" w:space="0"/>
              <w:bottom w:val="single" w:color="auto" w:sz="4" w:space="0"/>
              <w:right w:val="single" w:color="auto" w:sz="4" w:space="0"/>
            </w:tcBorders>
            <w:vAlign w:val="center"/>
          </w:tcPr>
          <w:p w14:paraId="6B6A9640">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374" w:type="dxa"/>
            <w:tcBorders>
              <w:top w:val="single" w:color="auto" w:sz="4" w:space="0"/>
              <w:left w:val="single" w:color="auto" w:sz="4" w:space="0"/>
              <w:bottom w:val="single" w:color="auto" w:sz="4" w:space="0"/>
              <w:right w:val="single" w:color="auto" w:sz="4" w:space="0"/>
            </w:tcBorders>
            <w:vAlign w:val="center"/>
          </w:tcPr>
          <w:p w14:paraId="18D50E49">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r>
      <w:tr w14:paraId="1BB106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4" w:hRule="atLeast"/>
        </w:trPr>
        <w:tc>
          <w:tcPr>
            <w:tcW w:w="1542" w:type="dxa"/>
            <w:vMerge w:val="continue"/>
            <w:tcBorders>
              <w:top w:val="single" w:color="auto" w:sz="4" w:space="0"/>
              <w:left w:val="single" w:color="auto" w:sz="4" w:space="0"/>
              <w:bottom w:val="nil"/>
              <w:right w:val="single" w:color="auto" w:sz="4" w:space="0"/>
            </w:tcBorders>
            <w:vAlign w:val="center"/>
          </w:tcPr>
          <w:p w14:paraId="2A6B71A0">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434" w:type="dxa"/>
            <w:tcBorders>
              <w:top w:val="single" w:color="auto" w:sz="4" w:space="0"/>
              <w:left w:val="single" w:color="auto" w:sz="4" w:space="0"/>
              <w:bottom w:val="single" w:color="auto" w:sz="4" w:space="0"/>
              <w:right w:val="single" w:color="auto" w:sz="4" w:space="0"/>
            </w:tcBorders>
            <w:vAlign w:val="center"/>
          </w:tcPr>
          <w:p w14:paraId="7E985599">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7B211B01">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075" w:type="dxa"/>
            <w:tcBorders>
              <w:top w:val="single" w:color="auto" w:sz="4" w:space="0"/>
              <w:left w:val="single" w:color="auto" w:sz="4" w:space="0"/>
              <w:bottom w:val="single" w:color="auto" w:sz="4" w:space="0"/>
              <w:right w:val="single" w:color="auto" w:sz="4" w:space="0"/>
            </w:tcBorders>
            <w:vAlign w:val="center"/>
          </w:tcPr>
          <w:p w14:paraId="0F8AC94D">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374" w:type="dxa"/>
            <w:tcBorders>
              <w:top w:val="single" w:color="auto" w:sz="4" w:space="0"/>
              <w:left w:val="single" w:color="auto" w:sz="4" w:space="0"/>
              <w:bottom w:val="single" w:color="auto" w:sz="4" w:space="0"/>
              <w:right w:val="single" w:color="auto" w:sz="4" w:space="0"/>
            </w:tcBorders>
            <w:vAlign w:val="center"/>
          </w:tcPr>
          <w:p w14:paraId="01F12F7A">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r>
      <w:tr w14:paraId="1B3FA9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4" w:hRule="atLeast"/>
        </w:trPr>
        <w:tc>
          <w:tcPr>
            <w:tcW w:w="1542" w:type="dxa"/>
            <w:vMerge w:val="continue"/>
            <w:tcBorders>
              <w:top w:val="single" w:color="auto" w:sz="4" w:space="0"/>
              <w:left w:val="single" w:color="auto" w:sz="4" w:space="0"/>
              <w:bottom w:val="nil"/>
              <w:right w:val="single" w:color="auto" w:sz="4" w:space="0"/>
            </w:tcBorders>
            <w:vAlign w:val="center"/>
          </w:tcPr>
          <w:p w14:paraId="384EAFB6">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434" w:type="dxa"/>
            <w:tcBorders>
              <w:top w:val="single" w:color="auto" w:sz="4" w:space="0"/>
              <w:left w:val="single" w:color="auto" w:sz="4" w:space="0"/>
              <w:bottom w:val="single" w:color="auto" w:sz="4" w:space="0"/>
              <w:right w:val="single" w:color="auto" w:sz="4" w:space="0"/>
            </w:tcBorders>
            <w:vAlign w:val="center"/>
          </w:tcPr>
          <w:p w14:paraId="129A8178">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6A770722">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075" w:type="dxa"/>
            <w:tcBorders>
              <w:top w:val="single" w:color="auto" w:sz="4" w:space="0"/>
              <w:left w:val="single" w:color="auto" w:sz="4" w:space="0"/>
              <w:bottom w:val="single" w:color="auto" w:sz="4" w:space="0"/>
              <w:right w:val="single" w:color="auto" w:sz="4" w:space="0"/>
            </w:tcBorders>
            <w:vAlign w:val="center"/>
          </w:tcPr>
          <w:p w14:paraId="2D955A74">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374" w:type="dxa"/>
            <w:tcBorders>
              <w:top w:val="single" w:color="auto" w:sz="4" w:space="0"/>
              <w:left w:val="single" w:color="auto" w:sz="4" w:space="0"/>
              <w:bottom w:val="single" w:color="auto" w:sz="4" w:space="0"/>
              <w:right w:val="single" w:color="auto" w:sz="4" w:space="0"/>
            </w:tcBorders>
            <w:vAlign w:val="center"/>
          </w:tcPr>
          <w:p w14:paraId="297B5607">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r>
      <w:tr w14:paraId="0BB2E4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4" w:hRule="atLeast"/>
        </w:trPr>
        <w:tc>
          <w:tcPr>
            <w:tcW w:w="1542" w:type="dxa"/>
            <w:vMerge w:val="restart"/>
            <w:tcBorders>
              <w:top w:val="single" w:color="auto" w:sz="4" w:space="0"/>
              <w:left w:val="single" w:color="auto" w:sz="4" w:space="0"/>
              <w:bottom w:val="single" w:color="auto" w:sz="4" w:space="0"/>
              <w:right w:val="single" w:color="auto" w:sz="4" w:space="0"/>
            </w:tcBorders>
            <w:vAlign w:val="center"/>
          </w:tcPr>
          <w:p w14:paraId="4D32D63E">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所获荣誉</w:t>
            </w:r>
          </w:p>
        </w:tc>
        <w:tc>
          <w:tcPr>
            <w:tcW w:w="1434" w:type="dxa"/>
            <w:tcBorders>
              <w:top w:val="single" w:color="auto" w:sz="4" w:space="0"/>
              <w:left w:val="single" w:color="auto" w:sz="4" w:space="0"/>
              <w:bottom w:val="single" w:color="auto" w:sz="4" w:space="0"/>
              <w:right w:val="single" w:color="auto" w:sz="4" w:space="0"/>
            </w:tcBorders>
            <w:vAlign w:val="center"/>
          </w:tcPr>
          <w:p w14:paraId="7636DA90">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荣誉名称</w:t>
            </w: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042681B6">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颁发部门</w:t>
            </w:r>
          </w:p>
        </w:tc>
        <w:tc>
          <w:tcPr>
            <w:tcW w:w="2075" w:type="dxa"/>
            <w:tcBorders>
              <w:top w:val="single" w:color="auto" w:sz="4" w:space="0"/>
              <w:left w:val="single" w:color="auto" w:sz="4" w:space="0"/>
              <w:bottom w:val="single" w:color="auto" w:sz="4" w:space="0"/>
              <w:right w:val="single" w:color="auto" w:sz="4" w:space="0"/>
            </w:tcBorders>
            <w:vAlign w:val="center"/>
          </w:tcPr>
          <w:p w14:paraId="37D4E900">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颁发时间</w:t>
            </w:r>
          </w:p>
        </w:tc>
        <w:tc>
          <w:tcPr>
            <w:tcW w:w="1374" w:type="dxa"/>
            <w:tcBorders>
              <w:top w:val="single" w:color="auto" w:sz="4" w:space="0"/>
              <w:left w:val="single" w:color="auto" w:sz="4" w:space="0"/>
              <w:bottom w:val="single" w:color="auto" w:sz="4" w:space="0"/>
              <w:right w:val="single" w:color="auto" w:sz="4" w:space="0"/>
            </w:tcBorders>
            <w:vAlign w:val="center"/>
          </w:tcPr>
          <w:p w14:paraId="771451E5">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有效期</w:t>
            </w:r>
          </w:p>
        </w:tc>
      </w:tr>
      <w:tr w14:paraId="46C67C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4" w:hRule="atLeast"/>
        </w:trPr>
        <w:tc>
          <w:tcPr>
            <w:tcW w:w="1542" w:type="dxa"/>
            <w:vMerge w:val="continue"/>
            <w:tcBorders>
              <w:top w:val="single" w:color="auto" w:sz="4" w:space="0"/>
              <w:left w:val="single" w:color="auto" w:sz="4" w:space="0"/>
              <w:bottom w:val="single" w:color="auto" w:sz="4" w:space="0"/>
              <w:right w:val="single" w:color="auto" w:sz="4" w:space="0"/>
            </w:tcBorders>
            <w:vAlign w:val="center"/>
          </w:tcPr>
          <w:p w14:paraId="6AE2D709">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434" w:type="dxa"/>
            <w:tcBorders>
              <w:top w:val="single" w:color="auto" w:sz="4" w:space="0"/>
              <w:left w:val="single" w:color="auto" w:sz="4" w:space="0"/>
              <w:bottom w:val="single" w:color="auto" w:sz="4" w:space="0"/>
              <w:right w:val="single" w:color="auto" w:sz="4" w:space="0"/>
            </w:tcBorders>
            <w:vAlign w:val="center"/>
          </w:tcPr>
          <w:p w14:paraId="5CAE3CAD">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3DC7737A">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075" w:type="dxa"/>
            <w:tcBorders>
              <w:top w:val="single" w:color="auto" w:sz="4" w:space="0"/>
              <w:left w:val="single" w:color="auto" w:sz="4" w:space="0"/>
              <w:bottom w:val="single" w:color="auto" w:sz="4" w:space="0"/>
              <w:right w:val="single" w:color="auto" w:sz="4" w:space="0"/>
            </w:tcBorders>
            <w:vAlign w:val="center"/>
          </w:tcPr>
          <w:p w14:paraId="36045F23">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374" w:type="dxa"/>
            <w:tcBorders>
              <w:top w:val="single" w:color="auto" w:sz="4" w:space="0"/>
              <w:left w:val="single" w:color="auto" w:sz="4" w:space="0"/>
              <w:bottom w:val="single" w:color="auto" w:sz="4" w:space="0"/>
              <w:right w:val="single" w:color="auto" w:sz="4" w:space="0"/>
            </w:tcBorders>
            <w:vAlign w:val="center"/>
          </w:tcPr>
          <w:p w14:paraId="2936C1A4">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r>
      <w:tr w14:paraId="123519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4" w:hRule="atLeast"/>
        </w:trPr>
        <w:tc>
          <w:tcPr>
            <w:tcW w:w="1542" w:type="dxa"/>
            <w:vMerge w:val="continue"/>
            <w:tcBorders>
              <w:top w:val="single" w:color="auto" w:sz="4" w:space="0"/>
              <w:left w:val="single" w:color="auto" w:sz="4" w:space="0"/>
              <w:bottom w:val="single" w:color="auto" w:sz="4" w:space="0"/>
              <w:right w:val="single" w:color="auto" w:sz="4" w:space="0"/>
            </w:tcBorders>
            <w:vAlign w:val="center"/>
          </w:tcPr>
          <w:p w14:paraId="2D97BE25">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434" w:type="dxa"/>
            <w:tcBorders>
              <w:top w:val="single" w:color="auto" w:sz="4" w:space="0"/>
              <w:left w:val="single" w:color="auto" w:sz="4" w:space="0"/>
              <w:bottom w:val="single" w:color="auto" w:sz="4" w:space="0"/>
              <w:right w:val="single" w:color="auto" w:sz="4" w:space="0"/>
            </w:tcBorders>
            <w:vAlign w:val="center"/>
          </w:tcPr>
          <w:p w14:paraId="758BFBB7">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643CF70F">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075" w:type="dxa"/>
            <w:tcBorders>
              <w:top w:val="single" w:color="auto" w:sz="4" w:space="0"/>
              <w:left w:val="single" w:color="auto" w:sz="4" w:space="0"/>
              <w:bottom w:val="single" w:color="auto" w:sz="4" w:space="0"/>
              <w:right w:val="single" w:color="auto" w:sz="4" w:space="0"/>
            </w:tcBorders>
            <w:vAlign w:val="center"/>
          </w:tcPr>
          <w:p w14:paraId="763FC116">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374" w:type="dxa"/>
            <w:tcBorders>
              <w:top w:val="single" w:color="auto" w:sz="4" w:space="0"/>
              <w:left w:val="single" w:color="auto" w:sz="4" w:space="0"/>
              <w:bottom w:val="single" w:color="auto" w:sz="4" w:space="0"/>
              <w:right w:val="single" w:color="auto" w:sz="4" w:space="0"/>
            </w:tcBorders>
            <w:vAlign w:val="center"/>
          </w:tcPr>
          <w:p w14:paraId="6C81EF87">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r>
      <w:tr w14:paraId="4C0C1D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4" w:hRule="atLeast"/>
        </w:trPr>
        <w:tc>
          <w:tcPr>
            <w:tcW w:w="1542" w:type="dxa"/>
            <w:vMerge w:val="continue"/>
            <w:tcBorders>
              <w:top w:val="single" w:color="auto" w:sz="4" w:space="0"/>
              <w:left w:val="single" w:color="auto" w:sz="4" w:space="0"/>
              <w:bottom w:val="single" w:color="auto" w:sz="4" w:space="0"/>
              <w:right w:val="single" w:color="auto" w:sz="4" w:space="0"/>
            </w:tcBorders>
            <w:vAlign w:val="center"/>
          </w:tcPr>
          <w:p w14:paraId="3322626C">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434" w:type="dxa"/>
            <w:tcBorders>
              <w:top w:val="single" w:color="auto" w:sz="4" w:space="0"/>
              <w:left w:val="single" w:color="auto" w:sz="4" w:space="0"/>
              <w:bottom w:val="single" w:color="auto" w:sz="4" w:space="0"/>
              <w:right w:val="single" w:color="auto" w:sz="4" w:space="0"/>
            </w:tcBorders>
            <w:vAlign w:val="center"/>
          </w:tcPr>
          <w:p w14:paraId="1689EAAF">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7CAF877A">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075" w:type="dxa"/>
            <w:tcBorders>
              <w:top w:val="single" w:color="auto" w:sz="4" w:space="0"/>
              <w:left w:val="single" w:color="auto" w:sz="4" w:space="0"/>
              <w:bottom w:val="single" w:color="auto" w:sz="4" w:space="0"/>
              <w:right w:val="single" w:color="auto" w:sz="4" w:space="0"/>
            </w:tcBorders>
            <w:vAlign w:val="center"/>
          </w:tcPr>
          <w:p w14:paraId="39767526">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374" w:type="dxa"/>
            <w:tcBorders>
              <w:top w:val="single" w:color="auto" w:sz="4" w:space="0"/>
              <w:left w:val="single" w:color="auto" w:sz="4" w:space="0"/>
              <w:bottom w:val="single" w:color="auto" w:sz="4" w:space="0"/>
              <w:right w:val="single" w:color="auto" w:sz="4" w:space="0"/>
            </w:tcBorders>
            <w:vAlign w:val="center"/>
          </w:tcPr>
          <w:p w14:paraId="4B252444">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r>
      <w:tr w14:paraId="18E561A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4" w:hRule="atLeast"/>
        </w:trPr>
        <w:tc>
          <w:tcPr>
            <w:tcW w:w="1542" w:type="dxa"/>
            <w:vMerge w:val="continue"/>
            <w:tcBorders>
              <w:top w:val="single" w:color="auto" w:sz="4" w:space="0"/>
              <w:left w:val="single" w:color="auto" w:sz="4" w:space="0"/>
              <w:bottom w:val="single" w:color="auto" w:sz="4" w:space="0"/>
              <w:right w:val="single" w:color="auto" w:sz="4" w:space="0"/>
            </w:tcBorders>
            <w:vAlign w:val="center"/>
          </w:tcPr>
          <w:p w14:paraId="01C599D4">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434" w:type="dxa"/>
            <w:tcBorders>
              <w:top w:val="single" w:color="auto" w:sz="4" w:space="0"/>
              <w:left w:val="single" w:color="auto" w:sz="4" w:space="0"/>
              <w:bottom w:val="single" w:color="auto" w:sz="4" w:space="0"/>
              <w:right w:val="single" w:color="auto" w:sz="4" w:space="0"/>
            </w:tcBorders>
            <w:vAlign w:val="center"/>
          </w:tcPr>
          <w:p w14:paraId="11FB4C03">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71296A6F">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2075" w:type="dxa"/>
            <w:tcBorders>
              <w:top w:val="single" w:color="auto" w:sz="4" w:space="0"/>
              <w:left w:val="single" w:color="auto" w:sz="4" w:space="0"/>
              <w:bottom w:val="single" w:color="auto" w:sz="4" w:space="0"/>
              <w:right w:val="single" w:color="auto" w:sz="4" w:space="0"/>
            </w:tcBorders>
            <w:vAlign w:val="center"/>
          </w:tcPr>
          <w:p w14:paraId="37368272">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c>
          <w:tcPr>
            <w:tcW w:w="1374" w:type="dxa"/>
            <w:tcBorders>
              <w:top w:val="single" w:color="auto" w:sz="4" w:space="0"/>
              <w:left w:val="single" w:color="auto" w:sz="4" w:space="0"/>
              <w:bottom w:val="single" w:color="auto" w:sz="4" w:space="0"/>
              <w:right w:val="single" w:color="auto" w:sz="4" w:space="0"/>
            </w:tcBorders>
            <w:vAlign w:val="center"/>
          </w:tcPr>
          <w:p w14:paraId="2985D0CD">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r>
      <w:tr w14:paraId="37F4805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21" w:hRule="atLeast"/>
        </w:trPr>
        <w:tc>
          <w:tcPr>
            <w:tcW w:w="1542" w:type="dxa"/>
            <w:tcBorders>
              <w:top w:val="single" w:color="auto" w:sz="4" w:space="0"/>
              <w:left w:val="single" w:color="auto" w:sz="4" w:space="0"/>
              <w:bottom w:val="single" w:color="auto" w:sz="4" w:space="0"/>
              <w:right w:val="single" w:color="auto" w:sz="4" w:space="0"/>
            </w:tcBorders>
            <w:vAlign w:val="center"/>
          </w:tcPr>
          <w:p w14:paraId="0C7A008E">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经营范围</w:t>
            </w:r>
          </w:p>
        </w:tc>
        <w:tc>
          <w:tcPr>
            <w:tcW w:w="7737" w:type="dxa"/>
            <w:gridSpan w:val="5"/>
            <w:tcBorders>
              <w:top w:val="single" w:color="auto" w:sz="4" w:space="0"/>
              <w:left w:val="single" w:color="auto" w:sz="4" w:space="0"/>
              <w:bottom w:val="single" w:color="auto" w:sz="4" w:space="0"/>
              <w:right w:val="single" w:color="auto" w:sz="4" w:space="0"/>
            </w:tcBorders>
            <w:vAlign w:val="center"/>
          </w:tcPr>
          <w:p w14:paraId="7897C3CE">
            <w:pPr>
              <w:pStyle w:val="24"/>
              <w:keepNext w:val="0"/>
              <w:keepLines w:val="0"/>
              <w:pageBreakBefore w:val="0"/>
              <w:widowControl w:val="0"/>
              <w:tabs>
                <w:tab w:val="left" w:pos="1800"/>
                <w:tab w:val="left" w:pos="1980"/>
              </w:tabs>
              <w:kinsoku/>
              <w:wordWrap w:val="0"/>
              <w:overflowPunct/>
              <w:topLinePunct/>
              <w:autoSpaceDE/>
              <w:autoSpaceDN/>
              <w:bidi w:val="0"/>
              <w:adjustRightInd/>
              <w:snapToGrid/>
              <w:spacing w:before="0" w:beforeAutospacing="0" w:after="0" w:afterAutospacing="0" w:line="400" w:lineRule="exact"/>
              <w:jc w:val="center"/>
              <w:textAlignment w:val="auto"/>
              <w:outlineLvl w:val="9"/>
              <w:rPr>
                <w:rFonts w:hint="eastAsia" w:ascii="宋体" w:hAnsi="宋体" w:eastAsia="宋体" w:cs="宋体"/>
                <w:bCs/>
                <w:color w:val="auto"/>
                <w:kern w:val="2"/>
                <w:sz w:val="24"/>
                <w:szCs w:val="24"/>
                <w:highlight w:val="none"/>
                <w:lang w:bidi="ar"/>
              </w:rPr>
            </w:pPr>
          </w:p>
        </w:tc>
      </w:tr>
      <w:tr w14:paraId="49C214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9" w:hRule="atLeast"/>
        </w:trPr>
        <w:tc>
          <w:tcPr>
            <w:tcW w:w="1542" w:type="dxa"/>
            <w:tcBorders>
              <w:top w:val="single" w:color="auto" w:sz="4" w:space="0"/>
              <w:left w:val="single" w:color="auto" w:sz="4" w:space="0"/>
              <w:bottom w:val="single" w:color="auto" w:sz="4" w:space="0"/>
              <w:right w:val="single" w:color="auto" w:sz="4" w:space="0"/>
            </w:tcBorders>
            <w:vAlign w:val="center"/>
          </w:tcPr>
          <w:p w14:paraId="4F877EE7">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其他</w:t>
            </w:r>
          </w:p>
        </w:tc>
        <w:tc>
          <w:tcPr>
            <w:tcW w:w="7737" w:type="dxa"/>
            <w:gridSpan w:val="5"/>
            <w:tcBorders>
              <w:top w:val="single" w:color="auto" w:sz="4" w:space="0"/>
              <w:left w:val="single" w:color="auto" w:sz="4" w:space="0"/>
              <w:bottom w:val="single" w:color="auto" w:sz="4" w:space="0"/>
              <w:right w:val="single" w:color="auto" w:sz="4" w:space="0"/>
            </w:tcBorders>
            <w:vAlign w:val="center"/>
          </w:tcPr>
          <w:p w14:paraId="04F104BA">
            <w:pPr>
              <w:keepNext w:val="0"/>
              <w:keepLines w:val="0"/>
              <w:pageBreakBefore w:val="0"/>
              <w:widowControl w:val="0"/>
              <w:kinsoku/>
              <w:wordWrap w:val="0"/>
              <w:overflowPunct/>
              <w:topLinePunct/>
              <w:autoSpaceDE/>
              <w:autoSpaceDN/>
              <w:bidi w:val="0"/>
              <w:adjustRightInd/>
              <w:snapToGrid/>
              <w:spacing w:beforeAutospacing="0" w:afterAutospacing="0" w:line="400" w:lineRule="exact"/>
              <w:jc w:val="center"/>
              <w:textAlignment w:val="auto"/>
              <w:outlineLvl w:val="9"/>
              <w:rPr>
                <w:rFonts w:hint="eastAsia" w:ascii="宋体" w:hAnsi="宋体" w:eastAsia="宋体" w:cs="宋体"/>
                <w:bCs/>
                <w:color w:val="auto"/>
                <w:sz w:val="24"/>
                <w:szCs w:val="24"/>
                <w:highlight w:val="none"/>
                <w:lang w:bidi="ar"/>
              </w:rPr>
            </w:pPr>
          </w:p>
        </w:tc>
      </w:tr>
    </w:tbl>
    <w:p w14:paraId="338C2288">
      <w:pPr>
        <w:keepNext w:val="0"/>
        <w:keepLines w:val="0"/>
        <w:pageBreakBefore w:val="0"/>
        <w:widowControl w:val="0"/>
        <w:kinsoku/>
        <w:wordWrap w:val="0"/>
        <w:overflowPunct/>
        <w:topLinePunct/>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表格内容不够，可另附页。</w:t>
      </w:r>
    </w:p>
    <w:p w14:paraId="35ED882E">
      <w:pPr>
        <w:keepNext w:val="0"/>
        <w:keepLines w:val="0"/>
        <w:pageBreakBefore w:val="0"/>
        <w:widowControl w:val="0"/>
        <w:kinsoku/>
        <w:wordWrap w:val="0"/>
        <w:overflowPunct/>
        <w:topLinePunct/>
        <w:autoSpaceDE/>
        <w:autoSpaceDN/>
        <w:bidi w:val="0"/>
        <w:adjustRightInd/>
        <w:snapToGrid/>
        <w:spacing w:beforeAutospacing="0" w:afterAutospacing="0" w:line="240" w:lineRule="auto"/>
        <w:ind w:left="0" w:leftChars="0" w:right="0" w:rightChars="0" w:firstLine="480" w:firstLineChars="0"/>
        <w:jc w:val="both"/>
        <w:textAlignment w:val="auto"/>
        <w:outlineLvl w:val="9"/>
        <w:rPr>
          <w:rFonts w:hint="eastAsia"/>
          <w:color w:val="auto"/>
          <w:sz w:val="20"/>
          <w:szCs w:val="22"/>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所获认证证书、荣誉资料的复印件附后。</w:t>
      </w:r>
    </w:p>
    <w:p w14:paraId="67004C21">
      <w:pPr>
        <w:pStyle w:val="11"/>
        <w:keepNext w:val="0"/>
        <w:keepLines w:val="0"/>
        <w:pageBreakBefore w:val="0"/>
        <w:widowControl w:val="0"/>
        <w:kinsoku/>
        <w:wordWrap w:val="0"/>
        <w:overflowPunct/>
        <w:topLinePunct/>
        <w:autoSpaceDE/>
        <w:autoSpaceDN/>
        <w:bidi w:val="0"/>
        <w:adjustRightInd/>
        <w:snapToGrid/>
        <w:spacing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p>
    <w:p w14:paraId="32B473A9">
      <w:pPr>
        <w:pStyle w:val="11"/>
        <w:keepNext w:val="0"/>
        <w:keepLines w:val="0"/>
        <w:pageBreakBefore w:val="0"/>
        <w:widowControl w:val="0"/>
        <w:kinsoku/>
        <w:wordWrap w:val="0"/>
        <w:overflowPunct/>
        <w:topLinePunct/>
        <w:autoSpaceDE/>
        <w:autoSpaceDN/>
        <w:bidi w:val="0"/>
        <w:adjustRightInd/>
        <w:snapToGrid/>
        <w:spacing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A595CA2">
      <w:pPr>
        <w:pStyle w:val="11"/>
        <w:keepNext w:val="0"/>
        <w:keepLines w:val="0"/>
        <w:pageBreakBefore w:val="0"/>
        <w:widowControl w:val="0"/>
        <w:kinsoku/>
        <w:wordWrap w:val="0"/>
        <w:overflowPunct/>
        <w:topLinePunct/>
        <w:autoSpaceDE/>
        <w:autoSpaceDN/>
        <w:bidi w:val="0"/>
        <w:adjustRightInd/>
        <w:snapToGrid/>
        <w:spacing w:beforeAutospacing="0" w:after="0" w:afterAutospacing="0" w:line="400" w:lineRule="exact"/>
        <w:ind w:left="0" w:leftChars="0" w:firstLine="0" w:firstLineChars="0"/>
        <w:jc w:val="left"/>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7FDC517">
      <w:pPr>
        <w:keepNext w:val="0"/>
        <w:keepLines w:val="0"/>
        <w:pageBreakBefore w:val="0"/>
        <w:widowControl w:val="0"/>
        <w:shd w:val="clear"/>
        <w:kinsoku/>
        <w:wordWrap w:val="0"/>
        <w:overflowPunct/>
        <w:topLinePunct/>
        <w:autoSpaceDE/>
        <w:autoSpaceDN/>
        <w:bidi w:val="0"/>
        <w:snapToGrid w:val="0"/>
        <w:spacing w:beforeAutospacing="0" w:afterAutospacing="0"/>
        <w:rPr>
          <w:rFonts w:hint="eastAsia" w:ascii="宋体" w:hAnsi="宋体" w:eastAsia="宋体" w:cs="宋体"/>
          <w:color w:val="auto"/>
          <w:sz w:val="24"/>
          <w:szCs w:val="24"/>
          <w:highlight w:val="none"/>
        </w:rPr>
        <w:sectPr>
          <w:headerReference r:id="rId9" w:type="default"/>
          <w:footerReference r:id="rId10" w:type="default"/>
          <w:pgSz w:w="11906" w:h="16838"/>
          <w:pgMar w:top="1361" w:right="1361" w:bottom="1361" w:left="1361" w:header="851" w:footer="850"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color w:val="auto"/>
          <w:sz w:val="24"/>
          <w:szCs w:val="24"/>
          <w:highlight w:val="none"/>
          <w:u w:val="none"/>
          <w:lang w:eastAsia="zh-CN"/>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3E597C8">
      <w:pPr>
        <w:keepNext w:val="0"/>
        <w:keepLines w:val="0"/>
        <w:pageBreakBefore w:val="0"/>
        <w:widowControl w:val="0"/>
        <w:numPr>
          <w:ilvl w:val="0"/>
          <w:numId w:val="0"/>
        </w:numPr>
        <w:kinsoku/>
        <w:wordWrap w:val="0"/>
        <w:overflowPunct/>
        <w:topLinePunct/>
        <w:autoSpaceDE/>
        <w:autoSpaceDN/>
        <w:bidi w:val="0"/>
        <w:adjustRightInd/>
        <w:snapToGrid w:val="0"/>
        <w:spacing w:beforeAutospacing="0" w:afterAutospacing="0" w:line="360" w:lineRule="auto"/>
        <w:ind w:leftChars="0" w:right="0" w:rightChars="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4.同类项目业绩情况一览表格式：</w:t>
      </w:r>
    </w:p>
    <w:p w14:paraId="36D4C1B4">
      <w:pPr>
        <w:pStyle w:val="10"/>
        <w:keepNext w:val="0"/>
        <w:keepLines w:val="0"/>
        <w:pageBreakBefore w:val="0"/>
        <w:widowControl w:val="0"/>
        <w:numPr>
          <w:ilvl w:val="0"/>
          <w:numId w:val="0"/>
        </w:numPr>
        <w:kinsoku/>
        <w:wordWrap w:val="0"/>
        <w:overflowPunct/>
        <w:topLinePunct/>
        <w:autoSpaceDE/>
        <w:autoSpaceDN/>
        <w:bidi w:val="0"/>
        <w:spacing w:beforeAutospacing="0" w:after="0" w:afterAutospacing="0"/>
        <w:jc w:val="center"/>
        <w:rPr>
          <w:rFonts w:hint="default"/>
          <w:color w:val="auto"/>
          <w:sz w:val="32"/>
          <w:szCs w:val="28"/>
          <w:highlight w:val="none"/>
          <w:lang w:val="en-US"/>
        </w:rPr>
      </w:pPr>
      <w:r>
        <w:rPr>
          <w:rFonts w:hint="eastAsia" w:ascii="宋体" w:hAnsi="宋体" w:eastAsia="宋体" w:cs="宋体"/>
          <w:b/>
          <w:bCs/>
          <w:color w:val="auto"/>
          <w:sz w:val="28"/>
          <w:szCs w:val="28"/>
          <w:highlight w:val="none"/>
          <w:lang w:val="en-US" w:eastAsia="zh-CN"/>
        </w:rPr>
        <w:t>同类项目业绩情况一览表</w:t>
      </w:r>
    </w:p>
    <w:tbl>
      <w:tblPr>
        <w:tblStyle w:val="26"/>
        <w:tblW w:w="14052" w:type="dxa"/>
        <w:tblInd w:w="14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956"/>
        <w:gridCol w:w="1993"/>
        <w:gridCol w:w="1995"/>
        <w:gridCol w:w="1185"/>
        <w:gridCol w:w="1225"/>
        <w:gridCol w:w="812"/>
        <w:gridCol w:w="2445"/>
        <w:gridCol w:w="1708"/>
      </w:tblGrid>
      <w:tr w14:paraId="738F8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33" w:type="dxa"/>
            <w:vMerge w:val="restart"/>
            <w:tcBorders>
              <w:top w:val="single" w:color="auto" w:sz="4" w:space="0"/>
              <w:left w:val="single" w:color="auto" w:sz="4" w:space="0"/>
              <w:right w:val="single" w:color="auto" w:sz="4" w:space="0"/>
            </w:tcBorders>
            <w:shd w:val="clear" w:color="auto" w:fill="E7E6E6" w:themeFill="background2"/>
            <w:vAlign w:val="center"/>
          </w:tcPr>
          <w:p w14:paraId="0871D0AD">
            <w:pPr>
              <w:keepNext w:val="0"/>
              <w:keepLines w:val="0"/>
              <w:pageBreakBefore w:val="0"/>
              <w:widowControl w:val="0"/>
              <w:kinsoku/>
              <w:wordWrap w:val="0"/>
              <w:overflowPunct/>
              <w:topLinePunct/>
              <w:autoSpaceDE/>
              <w:autoSpaceDN/>
              <w:bidi w:val="0"/>
              <w:snapToGrid w:val="0"/>
              <w:spacing w:beforeAutospacing="0" w:afterAutospacing="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956" w:type="dxa"/>
            <w:vMerge w:val="restar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D1C0112">
            <w:pPr>
              <w:keepNext w:val="0"/>
              <w:keepLines w:val="0"/>
              <w:pageBreakBefore w:val="0"/>
              <w:widowControl w:val="0"/>
              <w:kinsoku/>
              <w:wordWrap w:val="0"/>
              <w:overflowPunct/>
              <w:topLinePunct/>
              <w:autoSpaceDE/>
              <w:autoSpaceDN/>
              <w:bidi w:val="0"/>
              <w:snapToGrid w:val="0"/>
              <w:spacing w:beforeAutospacing="0" w:afterAutospacing="0"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采购单位名称</w:t>
            </w:r>
          </w:p>
        </w:tc>
        <w:tc>
          <w:tcPr>
            <w:tcW w:w="1993" w:type="dxa"/>
            <w:vMerge w:val="restar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44AEFA0">
            <w:pPr>
              <w:keepNext w:val="0"/>
              <w:keepLines w:val="0"/>
              <w:pageBreakBefore w:val="0"/>
              <w:widowControl w:val="0"/>
              <w:kinsoku/>
              <w:wordWrap w:val="0"/>
              <w:overflowPunct/>
              <w:topLinePunct/>
              <w:autoSpaceDE/>
              <w:autoSpaceDN/>
              <w:bidi w:val="0"/>
              <w:snapToGrid w:val="0"/>
              <w:spacing w:beforeAutospacing="0" w:afterAutospacing="0" w:line="400" w:lineRule="exact"/>
              <w:ind w:firstLine="200" w:firstLineChars="83"/>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1995" w:type="dxa"/>
            <w:vMerge w:val="restart"/>
            <w:tcBorders>
              <w:top w:val="single" w:color="auto" w:sz="4" w:space="0"/>
              <w:left w:val="single" w:color="auto" w:sz="4" w:space="0"/>
              <w:right w:val="single" w:color="auto" w:sz="4" w:space="0"/>
            </w:tcBorders>
            <w:shd w:val="clear" w:color="auto" w:fill="E7E6E6" w:themeFill="background2"/>
            <w:vAlign w:val="center"/>
          </w:tcPr>
          <w:p w14:paraId="19882BD5">
            <w:pPr>
              <w:keepNext w:val="0"/>
              <w:keepLines w:val="0"/>
              <w:pageBreakBefore w:val="0"/>
              <w:widowControl w:val="0"/>
              <w:kinsoku/>
              <w:wordWrap w:val="0"/>
              <w:overflowPunct/>
              <w:topLinePunct/>
              <w:autoSpaceDE/>
              <w:autoSpaceDN/>
              <w:bidi w:val="0"/>
              <w:snapToGrid w:val="0"/>
              <w:spacing w:beforeAutospacing="0" w:afterAutospacing="0" w:line="400" w:lineRule="exact"/>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项目实施时间</w:t>
            </w:r>
          </w:p>
        </w:tc>
        <w:tc>
          <w:tcPr>
            <w:tcW w:w="1185" w:type="dxa"/>
            <w:vMerge w:val="restar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99B0651">
            <w:pPr>
              <w:keepNext w:val="0"/>
              <w:keepLines w:val="0"/>
              <w:pageBreakBefore w:val="0"/>
              <w:widowControl w:val="0"/>
              <w:kinsoku/>
              <w:wordWrap w:val="0"/>
              <w:overflowPunct/>
              <w:topLinePunct/>
              <w:autoSpaceDE/>
              <w:autoSpaceDN/>
              <w:bidi w:val="0"/>
              <w:snapToGrid w:val="0"/>
              <w:spacing w:beforeAutospacing="0" w:afterAutospacing="0"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合同金额（万元）</w:t>
            </w:r>
          </w:p>
        </w:tc>
        <w:tc>
          <w:tcPr>
            <w:tcW w:w="1225" w:type="dxa"/>
            <w:vMerge w:val="restart"/>
            <w:tcBorders>
              <w:top w:val="single" w:color="auto" w:sz="4" w:space="0"/>
              <w:left w:val="single" w:color="auto" w:sz="4" w:space="0"/>
            </w:tcBorders>
            <w:shd w:val="clear" w:color="auto" w:fill="E7E6E6" w:themeFill="background2"/>
            <w:vAlign w:val="center"/>
          </w:tcPr>
          <w:p w14:paraId="7B199272">
            <w:pPr>
              <w:keepNext w:val="0"/>
              <w:keepLines w:val="0"/>
              <w:pageBreakBefore w:val="0"/>
              <w:widowControl w:val="0"/>
              <w:kinsoku/>
              <w:wordWrap w:val="0"/>
              <w:overflowPunct/>
              <w:topLinePunct/>
              <w:autoSpaceDE/>
              <w:autoSpaceDN/>
              <w:bidi w:val="0"/>
              <w:snapToGrid w:val="0"/>
              <w:spacing w:beforeAutospacing="0" w:afterAutospacing="0"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项目完成情况</w:t>
            </w:r>
          </w:p>
        </w:tc>
        <w:tc>
          <w:tcPr>
            <w:tcW w:w="3257" w:type="dxa"/>
            <w:gridSpan w:val="2"/>
            <w:tcBorders>
              <w:top w:val="single" w:color="auto" w:sz="4" w:space="0"/>
              <w:left w:val="single" w:color="auto" w:sz="4" w:space="0"/>
              <w:bottom w:val="single" w:color="auto" w:sz="4" w:space="0"/>
            </w:tcBorders>
            <w:shd w:val="clear" w:color="auto" w:fill="E7E6E6" w:themeFill="background2"/>
            <w:vAlign w:val="center"/>
          </w:tcPr>
          <w:p w14:paraId="5C3E7683">
            <w:pPr>
              <w:keepNext w:val="0"/>
              <w:keepLines w:val="0"/>
              <w:pageBreakBefore w:val="0"/>
              <w:widowControl w:val="0"/>
              <w:kinsoku/>
              <w:wordWrap w:val="0"/>
              <w:overflowPunct/>
              <w:topLinePunct/>
              <w:autoSpaceDE/>
              <w:autoSpaceDN/>
              <w:bidi w:val="0"/>
              <w:snapToGrid w:val="0"/>
              <w:spacing w:beforeAutospacing="0" w:afterAutospacing="0" w:line="400" w:lineRule="exact"/>
              <w:ind w:firstLine="200" w:firstLineChars="83"/>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附件页码</w:t>
            </w:r>
          </w:p>
        </w:tc>
        <w:tc>
          <w:tcPr>
            <w:tcW w:w="1708" w:type="dxa"/>
            <w:vMerge w:val="restar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74BC142">
            <w:pPr>
              <w:keepNext w:val="0"/>
              <w:keepLines w:val="0"/>
              <w:pageBreakBefore w:val="0"/>
              <w:widowControl w:val="0"/>
              <w:kinsoku/>
              <w:wordWrap w:val="0"/>
              <w:overflowPunct/>
              <w:topLinePunct/>
              <w:autoSpaceDE/>
              <w:autoSpaceDN/>
              <w:bidi w:val="0"/>
              <w:snapToGrid w:val="0"/>
              <w:spacing w:beforeAutospacing="0" w:afterAutospacing="0" w:line="24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采购单位联系人及联系电话</w:t>
            </w:r>
          </w:p>
        </w:tc>
      </w:tr>
      <w:tr w14:paraId="1EE6C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733" w:type="dxa"/>
            <w:vMerge w:val="continue"/>
            <w:tcBorders>
              <w:left w:val="single" w:color="auto" w:sz="4" w:space="0"/>
              <w:bottom w:val="single" w:color="auto" w:sz="4" w:space="0"/>
              <w:right w:val="single" w:color="auto" w:sz="4" w:space="0"/>
            </w:tcBorders>
            <w:shd w:val="clear" w:color="auto" w:fill="E7E6E6" w:themeFill="background2"/>
            <w:vAlign w:val="center"/>
          </w:tcPr>
          <w:p w14:paraId="195D9CB5">
            <w:pPr>
              <w:keepNext w:val="0"/>
              <w:keepLines w:val="0"/>
              <w:pageBreakBefore w:val="0"/>
              <w:widowControl w:val="0"/>
              <w:kinsoku/>
              <w:wordWrap w:val="0"/>
              <w:overflowPunct/>
              <w:topLinePunct/>
              <w:autoSpaceDE/>
              <w:autoSpaceDN/>
              <w:bidi w:val="0"/>
              <w:spacing w:beforeAutospacing="0" w:afterAutospacing="0" w:line="400" w:lineRule="exact"/>
              <w:ind w:firstLine="480"/>
              <w:jc w:val="center"/>
              <w:rPr>
                <w:rFonts w:hint="eastAsia" w:ascii="宋体" w:hAnsi="宋体" w:eastAsia="宋体" w:cs="宋体"/>
                <w:b/>
                <w:bCs/>
                <w:color w:val="auto"/>
                <w:sz w:val="24"/>
                <w:highlight w:val="none"/>
              </w:rPr>
            </w:pPr>
          </w:p>
        </w:tc>
        <w:tc>
          <w:tcPr>
            <w:tcW w:w="1956" w:type="dxa"/>
            <w:vMerge w:val="continue"/>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96B5A27">
            <w:pPr>
              <w:keepNext w:val="0"/>
              <w:keepLines w:val="0"/>
              <w:pageBreakBefore w:val="0"/>
              <w:widowControl w:val="0"/>
              <w:kinsoku/>
              <w:wordWrap w:val="0"/>
              <w:overflowPunct/>
              <w:topLinePunct/>
              <w:autoSpaceDE/>
              <w:autoSpaceDN/>
              <w:bidi w:val="0"/>
              <w:spacing w:beforeAutospacing="0" w:afterAutospacing="0" w:line="400" w:lineRule="exact"/>
              <w:ind w:firstLine="480"/>
              <w:jc w:val="center"/>
              <w:rPr>
                <w:rFonts w:hint="eastAsia" w:ascii="宋体" w:hAnsi="宋体" w:eastAsia="宋体" w:cs="宋体"/>
                <w:b/>
                <w:bCs/>
                <w:color w:val="auto"/>
                <w:sz w:val="24"/>
                <w:highlight w:val="none"/>
              </w:rPr>
            </w:pPr>
          </w:p>
        </w:tc>
        <w:tc>
          <w:tcPr>
            <w:tcW w:w="1993" w:type="dxa"/>
            <w:vMerge w:val="continue"/>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1795D6F">
            <w:pPr>
              <w:keepNext w:val="0"/>
              <w:keepLines w:val="0"/>
              <w:pageBreakBefore w:val="0"/>
              <w:widowControl w:val="0"/>
              <w:kinsoku/>
              <w:wordWrap w:val="0"/>
              <w:overflowPunct/>
              <w:topLinePunct/>
              <w:autoSpaceDE/>
              <w:autoSpaceDN/>
              <w:bidi w:val="0"/>
              <w:spacing w:beforeAutospacing="0" w:afterAutospacing="0" w:line="400" w:lineRule="exact"/>
              <w:ind w:firstLine="480"/>
              <w:jc w:val="center"/>
              <w:rPr>
                <w:rFonts w:hint="eastAsia" w:ascii="宋体" w:hAnsi="宋体" w:eastAsia="宋体" w:cs="宋体"/>
                <w:b/>
                <w:bCs/>
                <w:color w:val="auto"/>
                <w:sz w:val="24"/>
                <w:highlight w:val="none"/>
              </w:rPr>
            </w:pPr>
          </w:p>
        </w:tc>
        <w:tc>
          <w:tcPr>
            <w:tcW w:w="1995" w:type="dxa"/>
            <w:vMerge w:val="continue"/>
            <w:tcBorders>
              <w:left w:val="single" w:color="auto" w:sz="4" w:space="0"/>
              <w:bottom w:val="single" w:color="auto" w:sz="4" w:space="0"/>
              <w:right w:val="single" w:color="auto" w:sz="4" w:space="0"/>
            </w:tcBorders>
            <w:shd w:val="clear" w:color="auto" w:fill="E7E6E6" w:themeFill="background2"/>
            <w:vAlign w:val="center"/>
          </w:tcPr>
          <w:p w14:paraId="2B117FD8">
            <w:pPr>
              <w:keepNext w:val="0"/>
              <w:keepLines w:val="0"/>
              <w:pageBreakBefore w:val="0"/>
              <w:widowControl w:val="0"/>
              <w:kinsoku/>
              <w:wordWrap w:val="0"/>
              <w:overflowPunct/>
              <w:topLinePunct/>
              <w:autoSpaceDE/>
              <w:autoSpaceDN/>
              <w:bidi w:val="0"/>
              <w:spacing w:beforeAutospacing="0" w:afterAutospacing="0" w:line="400" w:lineRule="exact"/>
              <w:ind w:firstLine="480"/>
              <w:jc w:val="center"/>
              <w:rPr>
                <w:rFonts w:hint="eastAsia" w:ascii="宋体" w:hAnsi="宋体" w:eastAsia="宋体" w:cs="宋体"/>
                <w:b/>
                <w:bCs/>
                <w:color w:val="auto"/>
                <w:sz w:val="24"/>
                <w:highlight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83B0724">
            <w:pPr>
              <w:keepNext w:val="0"/>
              <w:keepLines w:val="0"/>
              <w:pageBreakBefore w:val="0"/>
              <w:widowControl w:val="0"/>
              <w:kinsoku/>
              <w:wordWrap w:val="0"/>
              <w:overflowPunct/>
              <w:topLinePunct/>
              <w:autoSpaceDE/>
              <w:autoSpaceDN/>
              <w:bidi w:val="0"/>
              <w:spacing w:beforeAutospacing="0" w:afterAutospacing="0" w:line="400" w:lineRule="exact"/>
              <w:ind w:firstLine="480"/>
              <w:jc w:val="center"/>
              <w:rPr>
                <w:rFonts w:hint="eastAsia" w:ascii="宋体" w:hAnsi="宋体" w:eastAsia="宋体" w:cs="宋体"/>
                <w:b/>
                <w:bCs/>
                <w:color w:val="auto"/>
                <w:sz w:val="24"/>
                <w:highlight w:val="none"/>
              </w:rPr>
            </w:pPr>
          </w:p>
        </w:tc>
        <w:tc>
          <w:tcPr>
            <w:tcW w:w="1225" w:type="dxa"/>
            <w:vMerge w:val="continue"/>
            <w:tcBorders>
              <w:left w:val="single" w:color="auto" w:sz="4" w:space="0"/>
              <w:bottom w:val="single" w:color="auto" w:sz="4" w:space="0"/>
            </w:tcBorders>
            <w:shd w:val="clear" w:color="auto" w:fill="E7E6E6" w:themeFill="background2"/>
            <w:vAlign w:val="center"/>
          </w:tcPr>
          <w:p w14:paraId="278F9B12">
            <w:pPr>
              <w:keepNext w:val="0"/>
              <w:keepLines w:val="0"/>
              <w:pageBreakBefore w:val="0"/>
              <w:widowControl w:val="0"/>
              <w:kinsoku/>
              <w:wordWrap w:val="0"/>
              <w:overflowPunct/>
              <w:topLinePunct/>
              <w:autoSpaceDE/>
              <w:autoSpaceDN/>
              <w:bidi w:val="0"/>
              <w:spacing w:beforeAutospacing="0" w:afterAutospacing="0" w:line="400" w:lineRule="exact"/>
              <w:ind w:firstLine="480"/>
              <w:jc w:val="center"/>
              <w:rPr>
                <w:rFonts w:hint="eastAsia" w:ascii="宋体" w:hAnsi="宋体" w:eastAsia="宋体" w:cs="宋体"/>
                <w:b/>
                <w:bCs/>
                <w:color w:val="auto"/>
                <w:sz w:val="24"/>
                <w:highlight w:val="none"/>
              </w:rPr>
            </w:pPr>
          </w:p>
        </w:tc>
        <w:tc>
          <w:tcPr>
            <w:tcW w:w="812" w:type="dxa"/>
            <w:tcBorders>
              <w:top w:val="single" w:color="auto" w:sz="4" w:space="0"/>
              <w:left w:val="single" w:color="auto" w:sz="4" w:space="0"/>
              <w:bottom w:val="single" w:color="auto" w:sz="4" w:space="0"/>
            </w:tcBorders>
            <w:shd w:val="clear" w:color="auto" w:fill="E7E6E6" w:themeFill="background2"/>
            <w:vAlign w:val="center"/>
          </w:tcPr>
          <w:p w14:paraId="4F57221B">
            <w:pPr>
              <w:keepNext w:val="0"/>
              <w:keepLines w:val="0"/>
              <w:pageBreakBefore w:val="0"/>
              <w:widowControl w:val="0"/>
              <w:kinsoku/>
              <w:wordWrap w:val="0"/>
              <w:overflowPunct/>
              <w:topLinePunct/>
              <w:autoSpaceDE/>
              <w:autoSpaceDN/>
              <w:bidi w:val="0"/>
              <w:snapToGrid w:val="0"/>
              <w:spacing w:beforeAutospacing="0" w:afterAutospacing="0" w:line="400" w:lineRule="exact"/>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合同</w:t>
            </w:r>
          </w:p>
        </w:tc>
        <w:tc>
          <w:tcPr>
            <w:tcW w:w="24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151C664">
            <w:pPr>
              <w:keepNext w:val="0"/>
              <w:keepLines w:val="0"/>
              <w:pageBreakBefore w:val="0"/>
              <w:widowControl w:val="0"/>
              <w:kinsoku/>
              <w:wordWrap w:val="0"/>
              <w:overflowPunct/>
              <w:topLinePunct/>
              <w:autoSpaceDE/>
              <w:autoSpaceDN/>
              <w:bidi w:val="0"/>
              <w:snapToGrid w:val="0"/>
              <w:spacing w:beforeAutospacing="0" w:afterAutospacing="0" w:line="400" w:lineRule="exact"/>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采购人评价意见材料</w:t>
            </w:r>
          </w:p>
        </w:tc>
        <w:tc>
          <w:tcPr>
            <w:tcW w:w="1708" w:type="dxa"/>
            <w:vMerge w:val="continue"/>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6458BC5">
            <w:pPr>
              <w:keepNext w:val="0"/>
              <w:keepLines w:val="0"/>
              <w:pageBreakBefore w:val="0"/>
              <w:widowControl w:val="0"/>
              <w:kinsoku/>
              <w:wordWrap w:val="0"/>
              <w:overflowPunct/>
              <w:topLinePunct/>
              <w:autoSpaceDE/>
              <w:autoSpaceDN/>
              <w:bidi w:val="0"/>
              <w:spacing w:beforeAutospacing="0" w:afterAutospacing="0"/>
              <w:ind w:firstLine="480"/>
              <w:jc w:val="center"/>
              <w:rPr>
                <w:rFonts w:hint="eastAsia" w:ascii="宋体" w:hAnsi="宋体" w:eastAsia="宋体" w:cs="宋体"/>
                <w:color w:val="auto"/>
                <w:sz w:val="24"/>
                <w:highlight w:val="none"/>
              </w:rPr>
            </w:pPr>
          </w:p>
        </w:tc>
      </w:tr>
      <w:tr w14:paraId="3DCA1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33" w:type="dxa"/>
            <w:tcBorders>
              <w:top w:val="single" w:color="auto" w:sz="4" w:space="0"/>
              <w:left w:val="single" w:color="auto" w:sz="4" w:space="0"/>
              <w:bottom w:val="single" w:color="auto" w:sz="4" w:space="0"/>
              <w:right w:val="single" w:color="auto" w:sz="4" w:space="0"/>
            </w:tcBorders>
            <w:vAlign w:val="center"/>
          </w:tcPr>
          <w:p w14:paraId="494D150B">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left="0" w:leftChars="0" w:right="0" w:rightChars="0" w:firstLine="482" w:firstLineChars="0"/>
              <w:jc w:val="center"/>
              <w:textAlignment w:val="auto"/>
              <w:outlineLvl w:val="9"/>
              <w:rPr>
                <w:rFonts w:hint="eastAsia" w:ascii="宋体" w:hAnsi="宋体" w:eastAsia="宋体" w:cs="宋体"/>
                <w:color w:val="auto"/>
                <w:sz w:val="24"/>
                <w:highlight w:val="none"/>
              </w:rPr>
            </w:pPr>
          </w:p>
        </w:tc>
        <w:tc>
          <w:tcPr>
            <w:tcW w:w="1956" w:type="dxa"/>
            <w:tcBorders>
              <w:top w:val="single" w:color="auto" w:sz="4" w:space="0"/>
              <w:left w:val="single" w:color="auto" w:sz="4" w:space="0"/>
              <w:bottom w:val="single" w:color="auto" w:sz="4" w:space="0"/>
              <w:right w:val="single" w:color="auto" w:sz="4" w:space="0"/>
            </w:tcBorders>
            <w:vAlign w:val="center"/>
          </w:tcPr>
          <w:p w14:paraId="7C9B1F4D">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993" w:type="dxa"/>
            <w:tcBorders>
              <w:top w:val="single" w:color="auto" w:sz="4" w:space="0"/>
              <w:left w:val="single" w:color="auto" w:sz="4" w:space="0"/>
              <w:bottom w:val="single" w:color="auto" w:sz="4" w:space="0"/>
              <w:right w:val="single" w:color="auto" w:sz="4" w:space="0"/>
            </w:tcBorders>
            <w:vAlign w:val="center"/>
          </w:tcPr>
          <w:p w14:paraId="2A6AC310">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5F1F60F">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72D38C8E">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2139B205">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812" w:type="dxa"/>
            <w:tcBorders>
              <w:top w:val="single" w:color="auto" w:sz="4" w:space="0"/>
              <w:left w:val="single" w:color="auto" w:sz="4" w:space="0"/>
              <w:bottom w:val="single" w:color="auto" w:sz="4" w:space="0"/>
            </w:tcBorders>
            <w:vAlign w:val="center"/>
          </w:tcPr>
          <w:p w14:paraId="539A6C2F">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14:paraId="5B4C5F9C">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2ED14405">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r>
      <w:tr w14:paraId="18561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33" w:type="dxa"/>
            <w:tcBorders>
              <w:top w:val="single" w:color="auto" w:sz="4" w:space="0"/>
              <w:left w:val="single" w:color="auto" w:sz="4" w:space="0"/>
              <w:bottom w:val="single" w:color="auto" w:sz="4" w:space="0"/>
              <w:right w:val="single" w:color="auto" w:sz="4" w:space="0"/>
            </w:tcBorders>
            <w:vAlign w:val="center"/>
          </w:tcPr>
          <w:p w14:paraId="2897FED6">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left="0" w:leftChars="0" w:right="0" w:rightChars="0" w:firstLine="482" w:firstLineChars="0"/>
              <w:jc w:val="center"/>
              <w:textAlignment w:val="auto"/>
              <w:outlineLvl w:val="9"/>
              <w:rPr>
                <w:rFonts w:hint="eastAsia" w:ascii="宋体" w:hAnsi="宋体" w:eastAsia="宋体" w:cs="宋体"/>
                <w:color w:val="auto"/>
                <w:sz w:val="24"/>
                <w:highlight w:val="none"/>
              </w:rPr>
            </w:pPr>
          </w:p>
        </w:tc>
        <w:tc>
          <w:tcPr>
            <w:tcW w:w="1956" w:type="dxa"/>
            <w:tcBorders>
              <w:top w:val="single" w:color="auto" w:sz="4" w:space="0"/>
              <w:left w:val="single" w:color="auto" w:sz="4" w:space="0"/>
              <w:bottom w:val="single" w:color="auto" w:sz="4" w:space="0"/>
              <w:right w:val="single" w:color="auto" w:sz="4" w:space="0"/>
            </w:tcBorders>
            <w:vAlign w:val="center"/>
          </w:tcPr>
          <w:p w14:paraId="3924229A">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993" w:type="dxa"/>
            <w:tcBorders>
              <w:top w:val="single" w:color="auto" w:sz="4" w:space="0"/>
              <w:left w:val="single" w:color="auto" w:sz="4" w:space="0"/>
              <w:bottom w:val="single" w:color="auto" w:sz="4" w:space="0"/>
              <w:right w:val="single" w:color="auto" w:sz="4" w:space="0"/>
            </w:tcBorders>
            <w:vAlign w:val="center"/>
          </w:tcPr>
          <w:p w14:paraId="5EC3BF00">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54A22949">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1E0782B2">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799F4E52">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812" w:type="dxa"/>
            <w:tcBorders>
              <w:top w:val="single" w:color="auto" w:sz="4" w:space="0"/>
              <w:left w:val="single" w:color="auto" w:sz="4" w:space="0"/>
              <w:bottom w:val="single" w:color="auto" w:sz="4" w:space="0"/>
            </w:tcBorders>
            <w:vAlign w:val="center"/>
          </w:tcPr>
          <w:p w14:paraId="04FE4EE5">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14:paraId="67F1E49F">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01028907">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r>
      <w:tr w14:paraId="56CCAA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33" w:type="dxa"/>
            <w:tcBorders>
              <w:top w:val="single" w:color="auto" w:sz="4" w:space="0"/>
              <w:left w:val="single" w:color="auto" w:sz="4" w:space="0"/>
              <w:bottom w:val="single" w:color="auto" w:sz="4" w:space="0"/>
              <w:right w:val="single" w:color="auto" w:sz="4" w:space="0"/>
            </w:tcBorders>
            <w:vAlign w:val="center"/>
          </w:tcPr>
          <w:p w14:paraId="5C8F6FC9">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left="0" w:leftChars="0" w:right="0" w:rightChars="0" w:firstLine="482" w:firstLineChars="0"/>
              <w:jc w:val="center"/>
              <w:textAlignment w:val="auto"/>
              <w:outlineLvl w:val="9"/>
              <w:rPr>
                <w:rFonts w:hint="eastAsia" w:ascii="宋体" w:hAnsi="宋体" w:eastAsia="宋体" w:cs="宋体"/>
                <w:color w:val="auto"/>
                <w:sz w:val="24"/>
                <w:highlight w:val="none"/>
              </w:rPr>
            </w:pPr>
          </w:p>
        </w:tc>
        <w:tc>
          <w:tcPr>
            <w:tcW w:w="1956" w:type="dxa"/>
            <w:tcBorders>
              <w:top w:val="single" w:color="auto" w:sz="4" w:space="0"/>
              <w:left w:val="single" w:color="auto" w:sz="4" w:space="0"/>
              <w:bottom w:val="single" w:color="auto" w:sz="4" w:space="0"/>
              <w:right w:val="single" w:color="auto" w:sz="4" w:space="0"/>
            </w:tcBorders>
            <w:vAlign w:val="center"/>
          </w:tcPr>
          <w:p w14:paraId="63456921">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993" w:type="dxa"/>
            <w:tcBorders>
              <w:top w:val="single" w:color="auto" w:sz="4" w:space="0"/>
              <w:left w:val="single" w:color="auto" w:sz="4" w:space="0"/>
              <w:bottom w:val="single" w:color="auto" w:sz="4" w:space="0"/>
              <w:right w:val="single" w:color="auto" w:sz="4" w:space="0"/>
            </w:tcBorders>
            <w:vAlign w:val="center"/>
          </w:tcPr>
          <w:p w14:paraId="22AC2B0F">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47823D5D">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758969F">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2F2597B3">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812" w:type="dxa"/>
            <w:tcBorders>
              <w:top w:val="single" w:color="auto" w:sz="4" w:space="0"/>
              <w:left w:val="single" w:color="auto" w:sz="4" w:space="0"/>
              <w:bottom w:val="single" w:color="auto" w:sz="4" w:space="0"/>
            </w:tcBorders>
            <w:vAlign w:val="center"/>
          </w:tcPr>
          <w:p w14:paraId="518C9537">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14:paraId="722F66DD">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0051B0DC">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r>
      <w:tr w14:paraId="764AA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33" w:type="dxa"/>
            <w:tcBorders>
              <w:top w:val="single" w:color="auto" w:sz="4" w:space="0"/>
              <w:left w:val="single" w:color="auto" w:sz="4" w:space="0"/>
              <w:bottom w:val="single" w:color="auto" w:sz="4" w:space="0"/>
              <w:right w:val="single" w:color="auto" w:sz="4" w:space="0"/>
            </w:tcBorders>
            <w:vAlign w:val="center"/>
          </w:tcPr>
          <w:p w14:paraId="177A5D09">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left="0" w:leftChars="0" w:right="0" w:rightChars="0" w:firstLine="482" w:firstLineChars="0"/>
              <w:jc w:val="center"/>
              <w:textAlignment w:val="auto"/>
              <w:outlineLvl w:val="9"/>
              <w:rPr>
                <w:rFonts w:hint="eastAsia" w:ascii="宋体" w:hAnsi="宋体" w:eastAsia="宋体" w:cs="宋体"/>
                <w:color w:val="auto"/>
                <w:sz w:val="24"/>
                <w:highlight w:val="none"/>
              </w:rPr>
            </w:pPr>
          </w:p>
        </w:tc>
        <w:tc>
          <w:tcPr>
            <w:tcW w:w="1956" w:type="dxa"/>
            <w:tcBorders>
              <w:top w:val="single" w:color="auto" w:sz="4" w:space="0"/>
              <w:left w:val="single" w:color="auto" w:sz="4" w:space="0"/>
              <w:bottom w:val="single" w:color="auto" w:sz="4" w:space="0"/>
              <w:right w:val="single" w:color="auto" w:sz="4" w:space="0"/>
            </w:tcBorders>
            <w:vAlign w:val="center"/>
          </w:tcPr>
          <w:p w14:paraId="67E04677">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993" w:type="dxa"/>
            <w:tcBorders>
              <w:top w:val="single" w:color="auto" w:sz="4" w:space="0"/>
              <w:left w:val="single" w:color="auto" w:sz="4" w:space="0"/>
              <w:bottom w:val="single" w:color="auto" w:sz="4" w:space="0"/>
              <w:right w:val="single" w:color="auto" w:sz="4" w:space="0"/>
            </w:tcBorders>
            <w:vAlign w:val="center"/>
          </w:tcPr>
          <w:p w14:paraId="2B12FFEB">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289A1C83">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1A481F34">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03F9740E">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812" w:type="dxa"/>
            <w:tcBorders>
              <w:top w:val="single" w:color="auto" w:sz="4" w:space="0"/>
              <w:left w:val="single" w:color="auto" w:sz="4" w:space="0"/>
              <w:bottom w:val="single" w:color="auto" w:sz="4" w:space="0"/>
            </w:tcBorders>
            <w:vAlign w:val="center"/>
          </w:tcPr>
          <w:p w14:paraId="03F4AAE7">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14:paraId="605BE31D">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3B626F3E">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r>
      <w:tr w14:paraId="66BCE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33" w:type="dxa"/>
            <w:tcBorders>
              <w:top w:val="single" w:color="auto" w:sz="4" w:space="0"/>
              <w:left w:val="single" w:color="auto" w:sz="4" w:space="0"/>
              <w:bottom w:val="single" w:color="auto" w:sz="4" w:space="0"/>
              <w:right w:val="single" w:color="auto" w:sz="4" w:space="0"/>
            </w:tcBorders>
            <w:vAlign w:val="center"/>
          </w:tcPr>
          <w:p w14:paraId="6D65F277">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left="0" w:leftChars="0" w:right="0" w:rightChars="0" w:firstLine="482" w:firstLineChars="0"/>
              <w:jc w:val="center"/>
              <w:textAlignment w:val="auto"/>
              <w:outlineLvl w:val="9"/>
              <w:rPr>
                <w:rFonts w:hint="eastAsia" w:ascii="宋体" w:hAnsi="宋体" w:eastAsia="宋体" w:cs="宋体"/>
                <w:color w:val="auto"/>
                <w:sz w:val="24"/>
                <w:highlight w:val="none"/>
              </w:rPr>
            </w:pPr>
          </w:p>
        </w:tc>
        <w:tc>
          <w:tcPr>
            <w:tcW w:w="1956" w:type="dxa"/>
            <w:tcBorders>
              <w:top w:val="single" w:color="auto" w:sz="4" w:space="0"/>
              <w:left w:val="single" w:color="auto" w:sz="4" w:space="0"/>
              <w:bottom w:val="single" w:color="auto" w:sz="4" w:space="0"/>
              <w:right w:val="single" w:color="auto" w:sz="4" w:space="0"/>
            </w:tcBorders>
            <w:vAlign w:val="center"/>
          </w:tcPr>
          <w:p w14:paraId="40596DC9">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993" w:type="dxa"/>
            <w:tcBorders>
              <w:top w:val="single" w:color="auto" w:sz="4" w:space="0"/>
              <w:left w:val="single" w:color="auto" w:sz="4" w:space="0"/>
              <w:bottom w:val="single" w:color="auto" w:sz="4" w:space="0"/>
              <w:right w:val="single" w:color="auto" w:sz="4" w:space="0"/>
            </w:tcBorders>
            <w:vAlign w:val="center"/>
          </w:tcPr>
          <w:p w14:paraId="64772C6E">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3D505E4F">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DBC7D10">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733D602E">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812" w:type="dxa"/>
            <w:tcBorders>
              <w:top w:val="single" w:color="auto" w:sz="4" w:space="0"/>
              <w:left w:val="single" w:color="auto" w:sz="4" w:space="0"/>
              <w:bottom w:val="single" w:color="auto" w:sz="4" w:space="0"/>
            </w:tcBorders>
            <w:vAlign w:val="center"/>
          </w:tcPr>
          <w:p w14:paraId="75194E8B">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14:paraId="3FE74FEF">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27038D41">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r>
      <w:tr w14:paraId="2345D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33" w:type="dxa"/>
            <w:tcBorders>
              <w:top w:val="single" w:color="auto" w:sz="4" w:space="0"/>
              <w:left w:val="single" w:color="auto" w:sz="4" w:space="0"/>
              <w:bottom w:val="single" w:color="auto" w:sz="4" w:space="0"/>
              <w:right w:val="single" w:color="auto" w:sz="4" w:space="0"/>
            </w:tcBorders>
            <w:vAlign w:val="center"/>
          </w:tcPr>
          <w:p w14:paraId="4E06CF09">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left="0" w:leftChars="0" w:right="0" w:rightChars="0" w:firstLine="482" w:firstLineChars="0"/>
              <w:jc w:val="center"/>
              <w:textAlignment w:val="auto"/>
              <w:outlineLvl w:val="9"/>
              <w:rPr>
                <w:rFonts w:hint="eastAsia" w:ascii="宋体" w:hAnsi="宋体" w:eastAsia="宋体" w:cs="宋体"/>
                <w:color w:val="auto"/>
                <w:sz w:val="24"/>
                <w:highlight w:val="none"/>
              </w:rPr>
            </w:pPr>
          </w:p>
        </w:tc>
        <w:tc>
          <w:tcPr>
            <w:tcW w:w="1956" w:type="dxa"/>
            <w:tcBorders>
              <w:top w:val="single" w:color="auto" w:sz="4" w:space="0"/>
              <w:left w:val="single" w:color="auto" w:sz="4" w:space="0"/>
              <w:bottom w:val="single" w:color="auto" w:sz="4" w:space="0"/>
              <w:right w:val="single" w:color="auto" w:sz="4" w:space="0"/>
            </w:tcBorders>
            <w:vAlign w:val="center"/>
          </w:tcPr>
          <w:p w14:paraId="25AEFECF">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993" w:type="dxa"/>
            <w:tcBorders>
              <w:top w:val="single" w:color="auto" w:sz="4" w:space="0"/>
              <w:left w:val="single" w:color="auto" w:sz="4" w:space="0"/>
              <w:bottom w:val="single" w:color="auto" w:sz="4" w:space="0"/>
              <w:right w:val="single" w:color="auto" w:sz="4" w:space="0"/>
            </w:tcBorders>
            <w:vAlign w:val="center"/>
          </w:tcPr>
          <w:p w14:paraId="0D554D27">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19E4AA19">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3ADBE5F1">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252499B7">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812" w:type="dxa"/>
            <w:tcBorders>
              <w:top w:val="single" w:color="auto" w:sz="4" w:space="0"/>
              <w:left w:val="single" w:color="auto" w:sz="4" w:space="0"/>
              <w:bottom w:val="single" w:color="auto" w:sz="4" w:space="0"/>
            </w:tcBorders>
            <w:vAlign w:val="center"/>
          </w:tcPr>
          <w:p w14:paraId="5B5F9D90">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14:paraId="21F5E445">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643680B4">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r>
      <w:tr w14:paraId="78C11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33" w:type="dxa"/>
            <w:tcBorders>
              <w:top w:val="single" w:color="auto" w:sz="4" w:space="0"/>
              <w:left w:val="single" w:color="auto" w:sz="4" w:space="0"/>
              <w:bottom w:val="single" w:color="auto" w:sz="4" w:space="0"/>
              <w:right w:val="single" w:color="auto" w:sz="4" w:space="0"/>
            </w:tcBorders>
            <w:vAlign w:val="center"/>
          </w:tcPr>
          <w:p w14:paraId="731E7B19">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left="0" w:leftChars="0" w:right="0" w:rightChars="0" w:firstLine="482" w:firstLineChars="0"/>
              <w:jc w:val="center"/>
              <w:textAlignment w:val="auto"/>
              <w:outlineLvl w:val="9"/>
              <w:rPr>
                <w:rFonts w:hint="eastAsia" w:ascii="宋体" w:hAnsi="宋体" w:eastAsia="宋体" w:cs="宋体"/>
                <w:color w:val="auto"/>
                <w:sz w:val="24"/>
                <w:highlight w:val="none"/>
              </w:rPr>
            </w:pPr>
          </w:p>
        </w:tc>
        <w:tc>
          <w:tcPr>
            <w:tcW w:w="1956" w:type="dxa"/>
            <w:tcBorders>
              <w:top w:val="single" w:color="auto" w:sz="4" w:space="0"/>
              <w:left w:val="single" w:color="auto" w:sz="4" w:space="0"/>
              <w:bottom w:val="single" w:color="auto" w:sz="4" w:space="0"/>
              <w:right w:val="single" w:color="auto" w:sz="4" w:space="0"/>
            </w:tcBorders>
            <w:vAlign w:val="center"/>
          </w:tcPr>
          <w:p w14:paraId="554C618A">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993" w:type="dxa"/>
            <w:tcBorders>
              <w:top w:val="single" w:color="auto" w:sz="4" w:space="0"/>
              <w:left w:val="single" w:color="auto" w:sz="4" w:space="0"/>
              <w:bottom w:val="single" w:color="auto" w:sz="4" w:space="0"/>
              <w:right w:val="single" w:color="auto" w:sz="4" w:space="0"/>
            </w:tcBorders>
            <w:vAlign w:val="center"/>
          </w:tcPr>
          <w:p w14:paraId="373A3E83">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0817FF42">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F8FB169">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651C344F">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812" w:type="dxa"/>
            <w:tcBorders>
              <w:top w:val="single" w:color="auto" w:sz="4" w:space="0"/>
              <w:left w:val="single" w:color="auto" w:sz="4" w:space="0"/>
              <w:bottom w:val="single" w:color="auto" w:sz="4" w:space="0"/>
            </w:tcBorders>
            <w:vAlign w:val="center"/>
          </w:tcPr>
          <w:p w14:paraId="12FC68B0">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14:paraId="0EA9439B">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0608B52B">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r>
      <w:tr w14:paraId="1EB63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33" w:type="dxa"/>
            <w:tcBorders>
              <w:top w:val="single" w:color="auto" w:sz="4" w:space="0"/>
              <w:left w:val="single" w:color="auto" w:sz="4" w:space="0"/>
              <w:bottom w:val="single" w:color="auto" w:sz="4" w:space="0"/>
              <w:right w:val="single" w:color="auto" w:sz="4" w:space="0"/>
            </w:tcBorders>
            <w:vAlign w:val="center"/>
          </w:tcPr>
          <w:p w14:paraId="686BE3A4">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left="0" w:leftChars="0" w:right="0" w:rightChars="0" w:firstLine="482" w:firstLineChars="0"/>
              <w:jc w:val="center"/>
              <w:textAlignment w:val="auto"/>
              <w:outlineLvl w:val="9"/>
              <w:rPr>
                <w:rFonts w:hint="eastAsia" w:ascii="宋体" w:hAnsi="宋体" w:eastAsia="宋体" w:cs="宋体"/>
                <w:color w:val="auto"/>
                <w:sz w:val="24"/>
                <w:highlight w:val="none"/>
              </w:rPr>
            </w:pPr>
          </w:p>
        </w:tc>
        <w:tc>
          <w:tcPr>
            <w:tcW w:w="1956" w:type="dxa"/>
            <w:tcBorders>
              <w:top w:val="single" w:color="auto" w:sz="4" w:space="0"/>
              <w:left w:val="single" w:color="auto" w:sz="4" w:space="0"/>
              <w:bottom w:val="single" w:color="auto" w:sz="4" w:space="0"/>
              <w:right w:val="single" w:color="auto" w:sz="4" w:space="0"/>
            </w:tcBorders>
            <w:vAlign w:val="center"/>
          </w:tcPr>
          <w:p w14:paraId="58666FF9">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993" w:type="dxa"/>
            <w:tcBorders>
              <w:top w:val="single" w:color="auto" w:sz="4" w:space="0"/>
              <w:left w:val="single" w:color="auto" w:sz="4" w:space="0"/>
              <w:bottom w:val="single" w:color="auto" w:sz="4" w:space="0"/>
              <w:right w:val="single" w:color="auto" w:sz="4" w:space="0"/>
            </w:tcBorders>
            <w:vAlign w:val="center"/>
          </w:tcPr>
          <w:p w14:paraId="2DCB00C2">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3C711D4F">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45813954">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4E0BFF37">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812" w:type="dxa"/>
            <w:tcBorders>
              <w:top w:val="single" w:color="auto" w:sz="4" w:space="0"/>
              <w:left w:val="single" w:color="auto" w:sz="4" w:space="0"/>
              <w:bottom w:val="single" w:color="auto" w:sz="4" w:space="0"/>
            </w:tcBorders>
            <w:vAlign w:val="center"/>
          </w:tcPr>
          <w:p w14:paraId="236E55DD">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14:paraId="0CD36C3D">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3C0B4144">
            <w:pPr>
              <w:keepNext w:val="0"/>
              <w:keepLines w:val="0"/>
              <w:pageBreakBefore w:val="0"/>
              <w:widowControl w:val="0"/>
              <w:kinsoku/>
              <w:wordWrap w:val="0"/>
              <w:overflowPunct/>
              <w:topLinePunct/>
              <w:autoSpaceDE/>
              <w:autoSpaceDN/>
              <w:bidi w:val="0"/>
              <w:adjustRightInd/>
              <w:snapToGrid w:val="0"/>
              <w:spacing w:beforeAutospacing="0" w:afterAutospacing="0" w:line="600" w:lineRule="exact"/>
              <w:ind w:firstLine="482"/>
              <w:jc w:val="center"/>
              <w:textAlignment w:val="auto"/>
              <w:rPr>
                <w:rFonts w:hint="eastAsia" w:ascii="宋体" w:hAnsi="宋体" w:eastAsia="宋体" w:cs="宋体"/>
                <w:color w:val="auto"/>
                <w:sz w:val="24"/>
                <w:highlight w:val="none"/>
              </w:rPr>
            </w:pPr>
          </w:p>
        </w:tc>
      </w:tr>
    </w:tbl>
    <w:p w14:paraId="6E19D1CB">
      <w:pPr>
        <w:pStyle w:val="22"/>
        <w:keepNext w:val="0"/>
        <w:keepLines w:val="0"/>
        <w:pageBreakBefore w:val="0"/>
        <w:widowControl w:val="0"/>
        <w:kinsoku/>
        <w:wordWrap w:val="0"/>
        <w:overflowPunct/>
        <w:topLinePunct/>
        <w:autoSpaceDE/>
        <w:autoSpaceDN/>
        <w:bidi w:val="0"/>
        <w:adjustRightInd/>
        <w:snapToGrid w:val="0"/>
        <w:spacing w:beforeAutospacing="0" w:afterAutospacing="0" w:line="400" w:lineRule="exact"/>
        <w:ind w:left="0" w:leftChars="0" w:right="0" w:rightChars="0" w:firstLine="0" w:firstLineChars="0"/>
        <w:jc w:val="both"/>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附：合同、</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评价意见</w:t>
      </w:r>
      <w:r>
        <w:rPr>
          <w:rFonts w:hint="eastAsia" w:ascii="宋体" w:hAnsi="宋体" w:eastAsia="宋体" w:cs="宋体"/>
          <w:color w:val="auto"/>
          <w:sz w:val="24"/>
          <w:highlight w:val="none"/>
          <w:lang w:val="en-US" w:eastAsia="zh-CN"/>
        </w:rPr>
        <w:t>材料。</w:t>
      </w:r>
    </w:p>
    <w:p w14:paraId="44BD68FA">
      <w:pPr>
        <w:keepNext w:val="0"/>
        <w:keepLines w:val="0"/>
        <w:pageBreakBefore w:val="0"/>
        <w:widowControl w:val="0"/>
        <w:kinsoku/>
        <w:wordWrap w:val="0"/>
        <w:overflowPunct/>
        <w:topLinePunct/>
        <w:autoSpaceDE/>
        <w:autoSpaceDN/>
        <w:bidi w:val="0"/>
        <w:adjustRightInd/>
        <w:snapToGrid/>
        <w:spacing w:beforeAutospacing="0" w:afterAutospacing="0" w:line="480" w:lineRule="exact"/>
        <w:ind w:left="0" w:leftChars="0" w:right="0" w:rightChars="0" w:firstLine="480" w:firstLineChars="0"/>
        <w:jc w:val="lef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bidi="ar"/>
        </w:rPr>
        <w:t xml:space="preserve">                                                                         </w:t>
      </w:r>
      <w:r>
        <w:rPr>
          <w:rFonts w:hint="eastAsia" w:ascii="宋体" w:hAnsi="宋体" w:eastAsia="宋体" w:cs="宋体"/>
          <w:color w:val="auto"/>
          <w:sz w:val="24"/>
          <w:highlight w:val="none"/>
          <w:lang w:eastAsia="zh-CN" w:bidi="ar"/>
        </w:rPr>
        <w:t>供应商</w:t>
      </w:r>
      <w:r>
        <w:rPr>
          <w:rFonts w:hint="eastAsia" w:ascii="宋体" w:hAnsi="宋体" w:eastAsia="宋体" w:cs="宋体"/>
          <w:color w:val="auto"/>
          <w:sz w:val="24"/>
          <w:highlight w:val="none"/>
          <w:lang w:bidi="ar"/>
        </w:rPr>
        <w:t>（公章）：</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u w:val="single"/>
          <w:lang w:val="en-US" w:eastAsia="zh-CN" w:bidi="ar"/>
        </w:rPr>
        <w:t xml:space="preserve">       </w:t>
      </w:r>
    </w:p>
    <w:p w14:paraId="74AAE789">
      <w:pPr>
        <w:keepNext w:val="0"/>
        <w:keepLines w:val="0"/>
        <w:pageBreakBefore w:val="0"/>
        <w:widowControl w:val="0"/>
        <w:kinsoku/>
        <w:wordWrap w:val="0"/>
        <w:overflowPunct/>
        <w:topLinePunct/>
        <w:autoSpaceDE/>
        <w:autoSpaceDN/>
        <w:bidi w:val="0"/>
        <w:adjustRightInd/>
        <w:snapToGrid/>
        <w:spacing w:beforeAutospacing="0" w:afterAutospacing="0" w:line="480" w:lineRule="exact"/>
        <w:ind w:left="0" w:leftChars="0" w:right="0" w:rightChars="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法定代表人或被授权人签字（或盖章）：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lang w:bidi="ar"/>
        </w:rPr>
        <w:t>日期：</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日</w:t>
      </w:r>
    </w:p>
    <w:p w14:paraId="780A59B3">
      <w:pPr>
        <w:keepNext w:val="0"/>
        <w:keepLines w:val="0"/>
        <w:pageBreakBefore w:val="0"/>
        <w:widowControl w:val="0"/>
        <w:shd w:val="clear"/>
        <w:kinsoku/>
        <w:wordWrap w:val="0"/>
        <w:overflowPunct/>
        <w:topLinePunct/>
        <w:autoSpaceDE/>
        <w:autoSpaceDN/>
        <w:bidi w:val="0"/>
        <w:snapToGrid w:val="0"/>
        <w:spacing w:beforeAutospacing="0" w:afterAutospacing="0"/>
        <w:ind w:firstLine="420"/>
        <w:rPr>
          <w:rFonts w:hint="eastAsia" w:ascii="宋体" w:hAnsi="宋体" w:eastAsia="宋体" w:cs="宋体"/>
          <w:color w:val="auto"/>
          <w:highlight w:val="none"/>
        </w:rPr>
        <w:sectPr>
          <w:pgSz w:w="16838" w:h="11906" w:orient="landscape"/>
          <w:pgMar w:top="1361" w:right="1361" w:bottom="1361" w:left="1361"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p w14:paraId="2A509198">
      <w:pPr>
        <w:keepNext w:val="0"/>
        <w:keepLines w:val="0"/>
        <w:pageBreakBefore w:val="0"/>
        <w:widowControl w:val="0"/>
        <w:shd w:val="clear"/>
        <w:kinsoku/>
        <w:wordWrap w:val="0"/>
        <w:overflowPunct/>
        <w:topLinePunct/>
        <w:autoSpaceDE/>
        <w:autoSpaceDN/>
        <w:bidi w:val="0"/>
        <w:snapToGrid w:val="0"/>
        <w:spacing w:beforeAutospacing="0" w:afterAutospacing="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商务响应表格式：</w:t>
      </w:r>
    </w:p>
    <w:p w14:paraId="2959B0FE">
      <w:pPr>
        <w:pStyle w:val="39"/>
        <w:keepNext w:val="0"/>
        <w:keepLines w:val="0"/>
        <w:pageBreakBefore w:val="0"/>
        <w:widowControl w:val="0"/>
        <w:shd w:val="clear"/>
        <w:kinsoku/>
        <w:wordWrap w:val="0"/>
        <w:overflowPunct/>
        <w:topLinePunct/>
        <w:autoSpaceDE/>
        <w:autoSpaceDN/>
        <w:bidi w:val="0"/>
        <w:spacing w:beforeAutospacing="0" w:afterAutospacing="0" w:line="276"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商务响应表</w:t>
      </w:r>
    </w:p>
    <w:tbl>
      <w:tblPr>
        <w:tblStyle w:val="26"/>
        <w:tblW w:w="8997" w:type="dxa"/>
        <w:tblInd w:w="27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2468"/>
        <w:gridCol w:w="2468"/>
        <w:gridCol w:w="1998"/>
        <w:gridCol w:w="1335"/>
      </w:tblGrid>
      <w:tr w14:paraId="78634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728" w:type="dxa"/>
            <w:tcBorders>
              <w:tl2br w:val="nil"/>
              <w:tr2bl w:val="nil"/>
            </w:tcBorders>
            <w:shd w:val="clear" w:color="auto" w:fill="E7E6E6" w:themeFill="background2"/>
            <w:vAlign w:val="top"/>
          </w:tcPr>
          <w:p w14:paraId="5BB4EEEB">
            <w:pPr>
              <w:pageBreakBefore w:val="0"/>
              <w:widowControl w:val="0"/>
              <w:kinsoku/>
              <w:overflowPunct w:val="0"/>
              <w:topLinePunct w:val="0"/>
              <w:bidi w:val="0"/>
              <w:spacing w:before="240" w:after="24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468" w:type="dxa"/>
            <w:tcBorders>
              <w:tl2br w:val="nil"/>
              <w:tr2bl w:val="nil"/>
            </w:tcBorders>
            <w:shd w:val="clear" w:color="auto" w:fill="E7E6E6" w:themeFill="background2"/>
            <w:vAlign w:val="top"/>
          </w:tcPr>
          <w:p w14:paraId="024A4A19">
            <w:pPr>
              <w:pageBreakBefore w:val="0"/>
              <w:widowControl w:val="0"/>
              <w:kinsoku/>
              <w:overflowPunct w:val="0"/>
              <w:topLinePunct w:val="0"/>
              <w:bidi w:val="0"/>
              <w:spacing w:before="240" w:after="240"/>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内容</w:t>
            </w:r>
          </w:p>
        </w:tc>
        <w:tc>
          <w:tcPr>
            <w:tcW w:w="2468" w:type="dxa"/>
            <w:tcBorders>
              <w:tl2br w:val="nil"/>
              <w:tr2bl w:val="nil"/>
            </w:tcBorders>
            <w:shd w:val="clear" w:color="auto" w:fill="E7E6E6" w:themeFill="background2"/>
            <w:vAlign w:val="top"/>
          </w:tcPr>
          <w:p w14:paraId="4674CE5D">
            <w:pPr>
              <w:pageBreakBefore w:val="0"/>
              <w:widowControl w:val="0"/>
              <w:kinsoku/>
              <w:overflowPunct w:val="0"/>
              <w:topLinePunct w:val="0"/>
              <w:bidi w:val="0"/>
              <w:spacing w:before="240" w:after="24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采购文件的规定</w:t>
            </w:r>
          </w:p>
        </w:tc>
        <w:tc>
          <w:tcPr>
            <w:tcW w:w="1998" w:type="dxa"/>
            <w:tcBorders>
              <w:tl2br w:val="nil"/>
              <w:tr2bl w:val="nil"/>
            </w:tcBorders>
            <w:shd w:val="clear" w:color="auto" w:fill="E7E6E6" w:themeFill="background2"/>
            <w:vAlign w:val="top"/>
          </w:tcPr>
          <w:p w14:paraId="3231C2FE">
            <w:pPr>
              <w:pageBreakBefore w:val="0"/>
              <w:widowControl w:val="0"/>
              <w:kinsoku/>
              <w:overflowPunct w:val="0"/>
              <w:topLinePunct w:val="0"/>
              <w:bidi w:val="0"/>
              <w:spacing w:before="240" w:after="24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文件的响应</w:t>
            </w:r>
          </w:p>
        </w:tc>
        <w:tc>
          <w:tcPr>
            <w:tcW w:w="1335" w:type="dxa"/>
            <w:tcBorders>
              <w:tl2br w:val="nil"/>
              <w:tr2bl w:val="nil"/>
            </w:tcBorders>
            <w:shd w:val="clear" w:color="auto" w:fill="E7E6E6" w:themeFill="background2"/>
            <w:vAlign w:val="top"/>
          </w:tcPr>
          <w:p w14:paraId="767EDD7D">
            <w:pPr>
              <w:pageBreakBefore w:val="0"/>
              <w:widowControl w:val="0"/>
              <w:kinsoku/>
              <w:overflowPunct w:val="0"/>
              <w:topLinePunct w:val="0"/>
              <w:bidi w:val="0"/>
              <w:spacing w:before="240" w:after="24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2C205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28" w:type="dxa"/>
            <w:tcBorders>
              <w:tl2br w:val="nil"/>
              <w:tr2bl w:val="nil"/>
            </w:tcBorders>
            <w:vAlign w:val="top"/>
          </w:tcPr>
          <w:p w14:paraId="4D30FE05">
            <w:pPr>
              <w:pageBreakBefore w:val="0"/>
              <w:widowControl w:val="0"/>
              <w:kinsoku/>
              <w:overflowPunct w:val="0"/>
              <w:topLinePunct w:val="0"/>
              <w:bidi w:val="0"/>
              <w:spacing w:before="156" w:beforeLines="50" w:after="156" w:afterLines="50"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468" w:type="dxa"/>
            <w:tcBorders>
              <w:tl2br w:val="nil"/>
              <w:tr2bl w:val="nil"/>
            </w:tcBorders>
            <w:vAlign w:val="center"/>
          </w:tcPr>
          <w:p w14:paraId="52D05341">
            <w:pPr>
              <w:pageBreakBefore w:val="0"/>
              <w:widowControl w:val="0"/>
              <w:kinsoku/>
              <w:overflowPunct w:val="0"/>
              <w:topLinePunct w:val="0"/>
              <w:bidi w:val="0"/>
              <w:spacing w:before="156" w:beforeLines="50" w:after="156" w:afterLines="50" w:line="276" w:lineRule="auto"/>
              <w:jc w:val="center"/>
              <w:rPr>
                <w:rFonts w:hint="eastAsia" w:ascii="宋体" w:hAnsi="宋体" w:eastAsia="宋体" w:cs="宋体"/>
                <w:color w:val="auto"/>
                <w:sz w:val="24"/>
                <w:highlight w:val="none"/>
                <w:lang w:eastAsia="zh-CN"/>
              </w:rPr>
            </w:pPr>
          </w:p>
        </w:tc>
        <w:tc>
          <w:tcPr>
            <w:tcW w:w="2468" w:type="dxa"/>
            <w:tcBorders>
              <w:tl2br w:val="nil"/>
              <w:tr2bl w:val="nil"/>
            </w:tcBorders>
            <w:vAlign w:val="center"/>
          </w:tcPr>
          <w:p w14:paraId="63C2518E">
            <w:pPr>
              <w:pageBreakBefore w:val="0"/>
              <w:widowControl w:val="0"/>
              <w:kinsoku/>
              <w:overflowPunct w:val="0"/>
              <w:topLinePunct w:val="0"/>
              <w:bidi w:val="0"/>
              <w:spacing w:before="156" w:beforeLines="50" w:after="156" w:afterLines="50" w:line="300" w:lineRule="auto"/>
              <w:jc w:val="center"/>
              <w:rPr>
                <w:rFonts w:hint="eastAsia" w:ascii="宋体" w:hAnsi="宋体" w:eastAsia="宋体" w:cs="宋体"/>
                <w:color w:val="auto"/>
                <w:sz w:val="24"/>
                <w:highlight w:val="none"/>
              </w:rPr>
            </w:pPr>
          </w:p>
        </w:tc>
        <w:tc>
          <w:tcPr>
            <w:tcW w:w="1998" w:type="dxa"/>
            <w:tcBorders>
              <w:tl2br w:val="nil"/>
              <w:tr2bl w:val="nil"/>
            </w:tcBorders>
            <w:vAlign w:val="top"/>
          </w:tcPr>
          <w:p w14:paraId="0D3186D3">
            <w:pPr>
              <w:pageBreakBefore w:val="0"/>
              <w:widowControl w:val="0"/>
              <w:kinsoku/>
              <w:overflowPunct w:val="0"/>
              <w:topLinePunct w:val="0"/>
              <w:bidi w:val="0"/>
              <w:spacing w:before="156" w:beforeLines="50" w:after="156" w:afterLines="50" w:line="276" w:lineRule="auto"/>
              <w:ind w:firstLine="480"/>
              <w:rPr>
                <w:rFonts w:hint="eastAsia" w:ascii="宋体" w:hAnsi="宋体" w:eastAsia="宋体" w:cs="宋体"/>
                <w:color w:val="auto"/>
                <w:sz w:val="24"/>
                <w:highlight w:val="none"/>
              </w:rPr>
            </w:pPr>
          </w:p>
        </w:tc>
        <w:tc>
          <w:tcPr>
            <w:tcW w:w="1335" w:type="dxa"/>
            <w:tcBorders>
              <w:tl2br w:val="nil"/>
              <w:tr2bl w:val="nil"/>
            </w:tcBorders>
            <w:vAlign w:val="top"/>
          </w:tcPr>
          <w:p w14:paraId="1232E3B5">
            <w:pPr>
              <w:pageBreakBefore w:val="0"/>
              <w:widowControl w:val="0"/>
              <w:kinsoku/>
              <w:overflowPunct w:val="0"/>
              <w:topLinePunct w:val="0"/>
              <w:bidi w:val="0"/>
              <w:spacing w:before="156" w:beforeLines="50" w:after="156" w:afterLines="50" w:line="276" w:lineRule="auto"/>
              <w:ind w:firstLine="480"/>
              <w:rPr>
                <w:rFonts w:hint="eastAsia" w:ascii="宋体" w:hAnsi="宋体" w:eastAsia="宋体" w:cs="宋体"/>
                <w:color w:val="auto"/>
                <w:sz w:val="24"/>
                <w:highlight w:val="none"/>
              </w:rPr>
            </w:pPr>
          </w:p>
        </w:tc>
      </w:tr>
      <w:tr w14:paraId="137CB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728" w:type="dxa"/>
            <w:tcBorders>
              <w:tl2br w:val="nil"/>
              <w:tr2bl w:val="nil"/>
            </w:tcBorders>
            <w:vAlign w:val="top"/>
          </w:tcPr>
          <w:p w14:paraId="5AF75F9F">
            <w:pPr>
              <w:pageBreakBefore w:val="0"/>
              <w:widowControl w:val="0"/>
              <w:kinsoku/>
              <w:overflowPunct w:val="0"/>
              <w:topLinePunct w:val="0"/>
              <w:bidi w:val="0"/>
              <w:spacing w:before="156" w:beforeLines="50" w:after="156" w:afterLines="50"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468" w:type="dxa"/>
            <w:tcBorders>
              <w:tl2br w:val="nil"/>
              <w:tr2bl w:val="nil"/>
            </w:tcBorders>
            <w:vAlign w:val="center"/>
          </w:tcPr>
          <w:p w14:paraId="341DF7AD">
            <w:pPr>
              <w:pageBreakBefore w:val="0"/>
              <w:widowControl w:val="0"/>
              <w:kinsoku/>
              <w:overflowPunct w:val="0"/>
              <w:topLinePunct w:val="0"/>
              <w:bidi w:val="0"/>
              <w:spacing w:before="156" w:beforeLines="50" w:after="156" w:afterLines="50" w:line="276" w:lineRule="auto"/>
              <w:jc w:val="center"/>
              <w:rPr>
                <w:rFonts w:hint="eastAsia" w:ascii="宋体" w:hAnsi="宋体" w:eastAsia="宋体" w:cs="宋体"/>
                <w:color w:val="auto"/>
                <w:sz w:val="24"/>
                <w:highlight w:val="none"/>
                <w:lang w:eastAsia="zh-CN"/>
              </w:rPr>
            </w:pPr>
          </w:p>
        </w:tc>
        <w:tc>
          <w:tcPr>
            <w:tcW w:w="2468" w:type="dxa"/>
            <w:tcBorders>
              <w:tl2br w:val="nil"/>
              <w:tr2bl w:val="nil"/>
            </w:tcBorders>
            <w:vAlign w:val="center"/>
          </w:tcPr>
          <w:p w14:paraId="12685E37">
            <w:pPr>
              <w:pageBreakBefore w:val="0"/>
              <w:widowControl w:val="0"/>
              <w:kinsoku/>
              <w:overflowPunct w:val="0"/>
              <w:topLinePunct w:val="0"/>
              <w:bidi w:val="0"/>
              <w:spacing w:before="156" w:beforeLines="50" w:after="156" w:afterLines="50" w:line="300" w:lineRule="auto"/>
              <w:jc w:val="center"/>
              <w:rPr>
                <w:rFonts w:hint="eastAsia" w:ascii="宋体" w:hAnsi="宋体" w:eastAsia="宋体" w:cs="宋体"/>
                <w:color w:val="auto"/>
                <w:sz w:val="24"/>
                <w:highlight w:val="none"/>
              </w:rPr>
            </w:pPr>
          </w:p>
        </w:tc>
        <w:tc>
          <w:tcPr>
            <w:tcW w:w="1998" w:type="dxa"/>
            <w:tcBorders>
              <w:tl2br w:val="nil"/>
              <w:tr2bl w:val="nil"/>
            </w:tcBorders>
            <w:vAlign w:val="top"/>
          </w:tcPr>
          <w:p w14:paraId="000B3BDA">
            <w:pPr>
              <w:pageBreakBefore w:val="0"/>
              <w:widowControl w:val="0"/>
              <w:kinsoku/>
              <w:overflowPunct w:val="0"/>
              <w:topLinePunct w:val="0"/>
              <w:bidi w:val="0"/>
              <w:spacing w:before="156" w:beforeLines="50" w:after="156" w:afterLines="50" w:line="276" w:lineRule="auto"/>
              <w:ind w:firstLine="480"/>
              <w:rPr>
                <w:rFonts w:hint="eastAsia" w:ascii="宋体" w:hAnsi="宋体" w:eastAsia="宋体" w:cs="宋体"/>
                <w:color w:val="auto"/>
                <w:sz w:val="24"/>
                <w:highlight w:val="none"/>
              </w:rPr>
            </w:pPr>
          </w:p>
        </w:tc>
        <w:tc>
          <w:tcPr>
            <w:tcW w:w="1335" w:type="dxa"/>
            <w:tcBorders>
              <w:tl2br w:val="nil"/>
              <w:tr2bl w:val="nil"/>
            </w:tcBorders>
            <w:vAlign w:val="top"/>
          </w:tcPr>
          <w:p w14:paraId="4320AA54">
            <w:pPr>
              <w:pageBreakBefore w:val="0"/>
              <w:widowControl w:val="0"/>
              <w:kinsoku/>
              <w:overflowPunct w:val="0"/>
              <w:topLinePunct w:val="0"/>
              <w:bidi w:val="0"/>
              <w:spacing w:before="156" w:beforeLines="50" w:after="156" w:afterLines="50" w:line="276" w:lineRule="auto"/>
              <w:ind w:firstLine="480"/>
              <w:rPr>
                <w:rFonts w:hint="eastAsia" w:ascii="宋体" w:hAnsi="宋体" w:eastAsia="宋体" w:cs="宋体"/>
                <w:color w:val="auto"/>
                <w:sz w:val="24"/>
                <w:highlight w:val="none"/>
              </w:rPr>
            </w:pPr>
          </w:p>
        </w:tc>
      </w:tr>
      <w:tr w14:paraId="32BA7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28" w:type="dxa"/>
            <w:tcBorders>
              <w:tl2br w:val="nil"/>
              <w:tr2bl w:val="nil"/>
            </w:tcBorders>
            <w:vAlign w:val="top"/>
          </w:tcPr>
          <w:p w14:paraId="49A1B895">
            <w:pPr>
              <w:pageBreakBefore w:val="0"/>
              <w:widowControl w:val="0"/>
              <w:kinsoku/>
              <w:overflowPunct w:val="0"/>
              <w:topLinePunct w:val="0"/>
              <w:bidi w:val="0"/>
              <w:spacing w:before="156" w:beforeLines="50" w:after="156" w:afterLines="50" w:line="276"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2468" w:type="dxa"/>
            <w:tcBorders>
              <w:tl2br w:val="nil"/>
              <w:tr2bl w:val="nil"/>
            </w:tcBorders>
            <w:vAlign w:val="top"/>
          </w:tcPr>
          <w:p w14:paraId="256D4C22">
            <w:pPr>
              <w:pageBreakBefore w:val="0"/>
              <w:widowControl w:val="0"/>
              <w:kinsoku/>
              <w:overflowPunct w:val="0"/>
              <w:topLinePunct w:val="0"/>
              <w:bidi w:val="0"/>
              <w:spacing w:before="156" w:beforeLines="50" w:after="156" w:afterLines="50" w:line="276" w:lineRule="auto"/>
              <w:ind w:firstLine="480"/>
              <w:rPr>
                <w:rFonts w:hint="eastAsia" w:ascii="宋体" w:hAnsi="宋体" w:eastAsia="宋体" w:cs="宋体"/>
                <w:color w:val="auto"/>
                <w:sz w:val="24"/>
                <w:highlight w:val="none"/>
              </w:rPr>
            </w:pPr>
          </w:p>
        </w:tc>
        <w:tc>
          <w:tcPr>
            <w:tcW w:w="2468" w:type="dxa"/>
            <w:tcBorders>
              <w:tl2br w:val="nil"/>
              <w:tr2bl w:val="nil"/>
            </w:tcBorders>
            <w:vAlign w:val="top"/>
          </w:tcPr>
          <w:p w14:paraId="3663E88D">
            <w:pPr>
              <w:pageBreakBefore w:val="0"/>
              <w:widowControl w:val="0"/>
              <w:kinsoku/>
              <w:overflowPunct w:val="0"/>
              <w:topLinePunct w:val="0"/>
              <w:bidi w:val="0"/>
              <w:spacing w:before="156" w:beforeLines="50" w:after="156" w:afterLines="50" w:line="276" w:lineRule="auto"/>
              <w:ind w:firstLine="480"/>
              <w:rPr>
                <w:rFonts w:hint="eastAsia" w:ascii="宋体" w:hAnsi="宋体" w:eastAsia="宋体" w:cs="宋体"/>
                <w:color w:val="auto"/>
                <w:sz w:val="24"/>
                <w:highlight w:val="none"/>
              </w:rPr>
            </w:pPr>
          </w:p>
        </w:tc>
        <w:tc>
          <w:tcPr>
            <w:tcW w:w="1998" w:type="dxa"/>
            <w:tcBorders>
              <w:tl2br w:val="nil"/>
              <w:tr2bl w:val="nil"/>
            </w:tcBorders>
            <w:vAlign w:val="top"/>
          </w:tcPr>
          <w:p w14:paraId="5F22DE19">
            <w:pPr>
              <w:pageBreakBefore w:val="0"/>
              <w:widowControl w:val="0"/>
              <w:kinsoku/>
              <w:overflowPunct w:val="0"/>
              <w:topLinePunct w:val="0"/>
              <w:bidi w:val="0"/>
              <w:spacing w:before="156" w:beforeLines="50" w:after="156" w:afterLines="50" w:line="276" w:lineRule="auto"/>
              <w:ind w:firstLine="480"/>
              <w:rPr>
                <w:rFonts w:hint="eastAsia" w:ascii="宋体" w:hAnsi="宋体" w:eastAsia="宋体" w:cs="宋体"/>
                <w:color w:val="auto"/>
                <w:sz w:val="24"/>
                <w:highlight w:val="none"/>
              </w:rPr>
            </w:pPr>
          </w:p>
        </w:tc>
        <w:tc>
          <w:tcPr>
            <w:tcW w:w="1335" w:type="dxa"/>
            <w:tcBorders>
              <w:tl2br w:val="nil"/>
              <w:tr2bl w:val="nil"/>
            </w:tcBorders>
            <w:vAlign w:val="top"/>
          </w:tcPr>
          <w:p w14:paraId="47441F90">
            <w:pPr>
              <w:pageBreakBefore w:val="0"/>
              <w:widowControl w:val="0"/>
              <w:kinsoku/>
              <w:overflowPunct w:val="0"/>
              <w:topLinePunct w:val="0"/>
              <w:bidi w:val="0"/>
              <w:spacing w:before="156" w:beforeLines="50" w:after="156" w:afterLines="50" w:line="276" w:lineRule="auto"/>
              <w:ind w:firstLine="480"/>
              <w:rPr>
                <w:rFonts w:hint="eastAsia" w:ascii="宋体" w:hAnsi="宋体" w:eastAsia="宋体" w:cs="宋体"/>
                <w:color w:val="auto"/>
                <w:sz w:val="24"/>
                <w:highlight w:val="none"/>
              </w:rPr>
            </w:pPr>
          </w:p>
        </w:tc>
      </w:tr>
      <w:tr w14:paraId="0AA90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28" w:type="dxa"/>
            <w:tcBorders>
              <w:tl2br w:val="nil"/>
              <w:tr2bl w:val="nil"/>
            </w:tcBorders>
            <w:vAlign w:val="top"/>
          </w:tcPr>
          <w:p w14:paraId="52744ECC">
            <w:pPr>
              <w:pageBreakBefore w:val="0"/>
              <w:widowControl w:val="0"/>
              <w:kinsoku/>
              <w:overflowPunct w:val="0"/>
              <w:topLinePunct w:val="0"/>
              <w:bidi w:val="0"/>
              <w:spacing w:before="156" w:beforeLines="50" w:after="156" w:afterLines="50" w:line="276" w:lineRule="auto"/>
              <w:ind w:firstLine="480"/>
              <w:rPr>
                <w:rFonts w:hint="eastAsia" w:ascii="宋体" w:hAnsi="宋体" w:eastAsia="宋体" w:cs="宋体"/>
                <w:color w:val="auto"/>
                <w:sz w:val="24"/>
                <w:highlight w:val="none"/>
              </w:rPr>
            </w:pPr>
          </w:p>
        </w:tc>
        <w:tc>
          <w:tcPr>
            <w:tcW w:w="2468" w:type="dxa"/>
            <w:tcBorders>
              <w:tl2br w:val="nil"/>
              <w:tr2bl w:val="nil"/>
            </w:tcBorders>
            <w:vAlign w:val="top"/>
          </w:tcPr>
          <w:p w14:paraId="2246C0CC">
            <w:pPr>
              <w:pageBreakBefore w:val="0"/>
              <w:widowControl w:val="0"/>
              <w:kinsoku/>
              <w:overflowPunct w:val="0"/>
              <w:topLinePunct w:val="0"/>
              <w:bidi w:val="0"/>
              <w:spacing w:before="156" w:beforeLines="50" w:after="156" w:afterLines="50" w:line="276" w:lineRule="auto"/>
              <w:ind w:firstLine="480"/>
              <w:rPr>
                <w:rFonts w:hint="eastAsia" w:ascii="宋体" w:hAnsi="宋体" w:eastAsia="宋体" w:cs="宋体"/>
                <w:color w:val="auto"/>
                <w:sz w:val="24"/>
                <w:highlight w:val="none"/>
              </w:rPr>
            </w:pPr>
          </w:p>
        </w:tc>
        <w:tc>
          <w:tcPr>
            <w:tcW w:w="2468" w:type="dxa"/>
            <w:tcBorders>
              <w:tl2br w:val="nil"/>
              <w:tr2bl w:val="nil"/>
            </w:tcBorders>
            <w:vAlign w:val="top"/>
          </w:tcPr>
          <w:p w14:paraId="56AB475F">
            <w:pPr>
              <w:pageBreakBefore w:val="0"/>
              <w:widowControl w:val="0"/>
              <w:kinsoku/>
              <w:overflowPunct w:val="0"/>
              <w:topLinePunct w:val="0"/>
              <w:bidi w:val="0"/>
              <w:spacing w:before="156" w:beforeLines="50" w:after="156" w:afterLines="50" w:line="276" w:lineRule="auto"/>
              <w:ind w:firstLine="480"/>
              <w:rPr>
                <w:rFonts w:hint="eastAsia" w:ascii="宋体" w:hAnsi="宋体" w:eastAsia="宋体" w:cs="宋体"/>
                <w:color w:val="auto"/>
                <w:sz w:val="24"/>
                <w:highlight w:val="none"/>
              </w:rPr>
            </w:pPr>
          </w:p>
        </w:tc>
        <w:tc>
          <w:tcPr>
            <w:tcW w:w="1998" w:type="dxa"/>
            <w:tcBorders>
              <w:tl2br w:val="nil"/>
              <w:tr2bl w:val="nil"/>
            </w:tcBorders>
            <w:vAlign w:val="top"/>
          </w:tcPr>
          <w:p w14:paraId="3BE9A0F6">
            <w:pPr>
              <w:pageBreakBefore w:val="0"/>
              <w:widowControl w:val="0"/>
              <w:kinsoku/>
              <w:overflowPunct w:val="0"/>
              <w:topLinePunct w:val="0"/>
              <w:bidi w:val="0"/>
              <w:spacing w:before="156" w:beforeLines="50" w:after="156" w:afterLines="50" w:line="276" w:lineRule="auto"/>
              <w:ind w:firstLine="480"/>
              <w:rPr>
                <w:rFonts w:hint="eastAsia" w:ascii="宋体" w:hAnsi="宋体" w:eastAsia="宋体" w:cs="宋体"/>
                <w:color w:val="auto"/>
                <w:sz w:val="24"/>
                <w:highlight w:val="none"/>
              </w:rPr>
            </w:pPr>
          </w:p>
        </w:tc>
        <w:tc>
          <w:tcPr>
            <w:tcW w:w="1335" w:type="dxa"/>
            <w:tcBorders>
              <w:tl2br w:val="nil"/>
              <w:tr2bl w:val="nil"/>
            </w:tcBorders>
            <w:vAlign w:val="top"/>
          </w:tcPr>
          <w:p w14:paraId="670503D1">
            <w:pPr>
              <w:pageBreakBefore w:val="0"/>
              <w:widowControl w:val="0"/>
              <w:kinsoku/>
              <w:overflowPunct w:val="0"/>
              <w:topLinePunct w:val="0"/>
              <w:bidi w:val="0"/>
              <w:spacing w:before="156" w:beforeLines="50" w:after="156" w:afterLines="50" w:line="276" w:lineRule="auto"/>
              <w:ind w:firstLine="480"/>
              <w:rPr>
                <w:rFonts w:hint="eastAsia" w:ascii="宋体" w:hAnsi="宋体" w:eastAsia="宋体" w:cs="宋体"/>
                <w:color w:val="auto"/>
                <w:sz w:val="24"/>
                <w:highlight w:val="none"/>
              </w:rPr>
            </w:pPr>
          </w:p>
        </w:tc>
      </w:tr>
      <w:tr w14:paraId="336BB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28" w:type="dxa"/>
            <w:tcBorders>
              <w:tl2br w:val="nil"/>
              <w:tr2bl w:val="nil"/>
            </w:tcBorders>
            <w:vAlign w:val="center"/>
          </w:tcPr>
          <w:p w14:paraId="3C404C8A">
            <w:pPr>
              <w:pageBreakBefore w:val="0"/>
              <w:widowControl w:val="0"/>
              <w:kinsoku/>
              <w:overflowPunct w:val="0"/>
              <w:topLinePunct w:val="0"/>
              <w:bidi w:val="0"/>
              <w:spacing w:before="156" w:beforeLines="50" w:after="156" w:afterLines="50"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468" w:type="dxa"/>
            <w:tcBorders>
              <w:tl2br w:val="nil"/>
              <w:tr2bl w:val="nil"/>
            </w:tcBorders>
            <w:vAlign w:val="center"/>
          </w:tcPr>
          <w:p w14:paraId="2562DD04">
            <w:pPr>
              <w:pageBreakBefore w:val="0"/>
              <w:widowControl w:val="0"/>
              <w:kinsoku/>
              <w:overflowPunct w:val="0"/>
              <w:topLinePunct w:val="0"/>
              <w:bidi w:val="0"/>
              <w:spacing w:before="156" w:beforeLines="50" w:after="156" w:afterLines="50" w:line="276" w:lineRule="auto"/>
              <w:jc w:val="center"/>
              <w:rPr>
                <w:rFonts w:hint="eastAsia" w:ascii="宋体" w:hAnsi="宋体" w:eastAsia="宋体" w:cs="宋体"/>
                <w:color w:val="auto"/>
                <w:sz w:val="24"/>
                <w:highlight w:val="none"/>
              </w:rPr>
            </w:pPr>
          </w:p>
        </w:tc>
        <w:tc>
          <w:tcPr>
            <w:tcW w:w="2468" w:type="dxa"/>
            <w:tcBorders>
              <w:tl2br w:val="nil"/>
              <w:tr2bl w:val="nil"/>
            </w:tcBorders>
            <w:vAlign w:val="center"/>
          </w:tcPr>
          <w:p w14:paraId="33075B56">
            <w:pPr>
              <w:pageBreakBefore w:val="0"/>
              <w:widowControl w:val="0"/>
              <w:kinsoku/>
              <w:overflowPunct w:val="0"/>
              <w:topLinePunct w:val="0"/>
              <w:bidi w:val="0"/>
              <w:spacing w:before="156" w:beforeLines="50" w:after="156" w:afterLines="50"/>
              <w:jc w:val="center"/>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1998" w:type="dxa"/>
            <w:tcBorders>
              <w:tl2br w:val="nil"/>
              <w:tr2bl w:val="nil"/>
            </w:tcBorders>
            <w:vAlign w:val="center"/>
          </w:tcPr>
          <w:p w14:paraId="7E67BF20">
            <w:pPr>
              <w:pageBreakBefore w:val="0"/>
              <w:widowControl w:val="0"/>
              <w:kinsoku/>
              <w:overflowPunct w:val="0"/>
              <w:topLinePunct w:val="0"/>
              <w:bidi w:val="0"/>
              <w:spacing w:before="156" w:beforeLines="50" w:after="156" w:afterLines="50"/>
              <w:jc w:val="center"/>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1335" w:type="dxa"/>
            <w:tcBorders>
              <w:tl2br w:val="nil"/>
              <w:tr2bl w:val="nil"/>
            </w:tcBorders>
            <w:vAlign w:val="center"/>
          </w:tcPr>
          <w:p w14:paraId="4843FCF4">
            <w:pPr>
              <w:pageBreakBefore w:val="0"/>
              <w:widowControl w:val="0"/>
              <w:kinsoku/>
              <w:overflowPunct w:val="0"/>
              <w:topLinePunct w:val="0"/>
              <w:bidi w:val="0"/>
              <w:spacing w:before="156" w:beforeLines="50" w:after="156" w:afterLines="50"/>
              <w:jc w:val="center"/>
              <w:rPr>
                <w:rFonts w:hint="eastAsia" w:ascii="宋体" w:hAnsi="宋体" w:eastAsia="宋体" w:cs="宋体"/>
                <w:color w:val="auto"/>
                <w:highlight w:val="none"/>
              </w:rPr>
            </w:pPr>
            <w:r>
              <w:rPr>
                <w:rFonts w:hint="eastAsia" w:ascii="宋体" w:hAnsi="宋体" w:eastAsia="宋体" w:cs="宋体"/>
                <w:color w:val="auto"/>
                <w:sz w:val="24"/>
                <w:highlight w:val="none"/>
              </w:rPr>
              <w:t>…</w:t>
            </w:r>
          </w:p>
        </w:tc>
      </w:tr>
    </w:tbl>
    <w:p w14:paraId="2462B0A3">
      <w:pPr>
        <w:keepNext w:val="0"/>
        <w:keepLines w:val="0"/>
        <w:pageBreakBefore w:val="0"/>
        <w:widowControl w:val="0"/>
        <w:shd w:val="clear"/>
        <w:kinsoku/>
        <w:wordWrap w:val="0"/>
        <w:overflowPunct/>
        <w:topLinePunct/>
        <w:autoSpaceDE/>
        <w:autoSpaceDN/>
        <w:bidi w:val="0"/>
        <w:adjustRightInd/>
        <w:snapToGrid/>
        <w:spacing w:beforeAutospacing="0" w:afterAutospacing="0" w:line="360" w:lineRule="exact"/>
        <w:ind w:firstLine="482"/>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注：供应商的响应文件（除技术规格部分）与采购文件之规定存在偏离的，应在此表中如实说明。未在上表中说明的，将被认为完全响应采购文件的规定。</w:t>
      </w:r>
    </w:p>
    <w:p w14:paraId="3D8327DB">
      <w:pPr>
        <w:keepNext w:val="0"/>
        <w:keepLines w:val="0"/>
        <w:pageBreakBefore w:val="0"/>
        <w:widowControl w:val="0"/>
        <w:shd w:val="clear"/>
        <w:kinsoku/>
        <w:wordWrap w:val="0"/>
        <w:overflowPunct/>
        <w:topLinePunct/>
        <w:autoSpaceDE/>
        <w:autoSpaceDN/>
        <w:bidi w:val="0"/>
        <w:spacing w:beforeAutospacing="0" w:afterAutospacing="0" w:line="360" w:lineRule="auto"/>
        <w:ind w:firstLine="482"/>
        <w:rPr>
          <w:rFonts w:hint="eastAsia" w:ascii="宋体" w:hAnsi="宋体" w:eastAsia="宋体" w:cs="宋体"/>
          <w:b/>
          <w:color w:val="auto"/>
          <w:sz w:val="24"/>
          <w:highlight w:val="none"/>
        </w:rPr>
      </w:pPr>
    </w:p>
    <w:p w14:paraId="28656785">
      <w:pPr>
        <w:keepNext w:val="0"/>
        <w:keepLines w:val="0"/>
        <w:pageBreakBefore w:val="0"/>
        <w:widowControl w:val="0"/>
        <w:shd w:val="clear"/>
        <w:tabs>
          <w:tab w:val="left" w:pos="5760"/>
        </w:tabs>
        <w:kinsoku/>
        <w:wordWrap w:val="0"/>
        <w:overflowPunct/>
        <w:topLinePunct/>
        <w:autoSpaceDE/>
        <w:autoSpaceDN/>
        <w:bidi w:val="0"/>
        <w:adjustRightInd/>
        <w:snapToGrid/>
        <w:spacing w:beforeAutospacing="0" w:afterAutospacing="0" w:line="480" w:lineRule="exact"/>
        <w:ind w:left="0" w:leftChars="0" w:right="482" w:rightChars="0" w:firstLine="0" w:firstLineChars="0"/>
        <w:jc w:val="lef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1DE92436">
      <w:pPr>
        <w:keepNext w:val="0"/>
        <w:keepLines w:val="0"/>
        <w:pageBreakBefore w:val="0"/>
        <w:widowControl w:val="0"/>
        <w:shd w:val="clear"/>
        <w:kinsoku/>
        <w:wordWrap w:val="0"/>
        <w:overflowPunct/>
        <w:topLinePunct/>
        <w:autoSpaceDE/>
        <w:autoSpaceDN/>
        <w:bidi w:val="0"/>
        <w:adjustRightInd w:val="0"/>
        <w:snapToGrid w:val="0"/>
        <w:spacing w:beforeAutospacing="0" w:afterAutospacing="0" w:line="480" w:lineRule="exact"/>
        <w:ind w:left="0" w:leftChars="0" w:firstLine="0"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法定代表人或授权代表人签字（或盖章）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14:paraId="30DF9250">
      <w:pPr>
        <w:keepNext w:val="0"/>
        <w:keepLines w:val="0"/>
        <w:pageBreakBefore w:val="0"/>
        <w:widowControl w:val="0"/>
        <w:shd w:val="clear"/>
        <w:kinsoku/>
        <w:wordWrap w:val="0"/>
        <w:overflowPunct/>
        <w:topLinePunct/>
        <w:autoSpaceDE/>
        <w:autoSpaceDN/>
        <w:bidi w:val="0"/>
        <w:adjustRightInd w:val="0"/>
        <w:snapToGrid w:val="0"/>
        <w:spacing w:beforeAutospacing="0" w:afterAutospacing="0" w:line="480" w:lineRule="exact"/>
        <w:ind w:left="0" w:leftChars="0" w:firstLine="0" w:firstLineChars="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eastAsia="zh-CN"/>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05417BB">
      <w:pPr>
        <w:pStyle w:val="10"/>
        <w:rPr>
          <w:rFonts w:hint="eastAsia" w:ascii="宋体" w:hAnsi="宋体" w:eastAsia="宋体" w:cs="宋体"/>
          <w:color w:val="auto"/>
          <w:sz w:val="24"/>
          <w:highlight w:val="none"/>
        </w:rPr>
      </w:pPr>
    </w:p>
    <w:p w14:paraId="6FD06302">
      <w:pPr>
        <w:pStyle w:val="11"/>
        <w:rPr>
          <w:rFonts w:hint="eastAsia" w:ascii="宋体" w:hAnsi="宋体" w:eastAsia="宋体" w:cs="宋体"/>
          <w:color w:val="auto"/>
          <w:sz w:val="24"/>
          <w:highlight w:val="none"/>
        </w:rPr>
      </w:pPr>
    </w:p>
    <w:p w14:paraId="3A7A2A70">
      <w:pPr>
        <w:rPr>
          <w:rFonts w:hint="eastAsia" w:ascii="宋体" w:hAnsi="宋体" w:eastAsia="宋体" w:cs="宋体"/>
          <w:color w:val="auto"/>
          <w:sz w:val="24"/>
          <w:highlight w:val="none"/>
        </w:rPr>
      </w:pPr>
    </w:p>
    <w:p w14:paraId="63DCAA44">
      <w:pPr>
        <w:pStyle w:val="10"/>
        <w:rPr>
          <w:rFonts w:hint="eastAsia" w:ascii="宋体" w:hAnsi="宋体" w:eastAsia="宋体" w:cs="宋体"/>
          <w:color w:val="auto"/>
          <w:sz w:val="24"/>
          <w:highlight w:val="none"/>
        </w:rPr>
      </w:pPr>
    </w:p>
    <w:p w14:paraId="52F7EB5B">
      <w:pPr>
        <w:pStyle w:val="11"/>
        <w:rPr>
          <w:rFonts w:hint="eastAsia" w:ascii="宋体" w:hAnsi="宋体" w:eastAsia="宋体" w:cs="宋体"/>
          <w:color w:val="auto"/>
          <w:sz w:val="24"/>
          <w:highlight w:val="none"/>
        </w:rPr>
      </w:pPr>
    </w:p>
    <w:p w14:paraId="701BE4A1">
      <w:pPr>
        <w:rPr>
          <w:rFonts w:hint="eastAsia" w:ascii="宋体" w:hAnsi="宋体" w:eastAsia="宋体" w:cs="宋体"/>
          <w:color w:val="auto"/>
          <w:sz w:val="24"/>
          <w:highlight w:val="none"/>
        </w:rPr>
      </w:pPr>
    </w:p>
    <w:p w14:paraId="6FF5F9BE">
      <w:pPr>
        <w:pStyle w:val="10"/>
        <w:rPr>
          <w:rFonts w:hint="eastAsia"/>
          <w:color w:val="auto"/>
        </w:rPr>
      </w:pPr>
    </w:p>
    <w:p w14:paraId="119AAFCB">
      <w:pPr>
        <w:keepNext w:val="0"/>
        <w:keepLines w:val="0"/>
        <w:pageBreakBefore w:val="0"/>
        <w:widowControl w:val="0"/>
        <w:shd w:val="clear"/>
        <w:kinsoku/>
        <w:wordWrap w:val="0"/>
        <w:overflowPunct/>
        <w:topLinePunct/>
        <w:autoSpaceDE/>
        <w:autoSpaceDN/>
        <w:bidi w:val="0"/>
        <w:snapToGrid w:val="0"/>
        <w:spacing w:beforeAutospacing="0" w:afterAutospacing="0"/>
        <w:rPr>
          <w:rFonts w:hint="eastAsia" w:ascii="宋体" w:hAnsi="宋体" w:eastAsia="宋体" w:cs="宋体"/>
          <w:b/>
          <w:color w:val="auto"/>
          <w:sz w:val="24"/>
          <w:highlight w:val="none"/>
          <w:lang w:val="en-US" w:eastAsia="zh-CN"/>
        </w:rPr>
      </w:pPr>
    </w:p>
    <w:p w14:paraId="712BA812">
      <w:pPr>
        <w:keepNext w:val="0"/>
        <w:keepLines w:val="0"/>
        <w:pageBreakBefore w:val="0"/>
        <w:widowControl w:val="0"/>
        <w:shd w:val="clear"/>
        <w:kinsoku/>
        <w:wordWrap w:val="0"/>
        <w:overflowPunct/>
        <w:topLinePunct/>
        <w:autoSpaceDE/>
        <w:autoSpaceDN/>
        <w:bidi w:val="0"/>
        <w:snapToGrid w:val="0"/>
        <w:spacing w:beforeAutospacing="0" w:afterAutospacing="0"/>
        <w:rPr>
          <w:rFonts w:hint="eastAsia" w:ascii="宋体" w:hAnsi="宋体" w:eastAsia="宋体" w:cs="宋体"/>
          <w:b/>
          <w:color w:val="auto"/>
          <w:sz w:val="24"/>
          <w:highlight w:val="none"/>
          <w:lang w:val="en-US" w:eastAsia="zh-CN"/>
        </w:rPr>
      </w:pPr>
    </w:p>
    <w:p w14:paraId="52B3986D">
      <w:pPr>
        <w:keepNext w:val="0"/>
        <w:keepLines w:val="0"/>
        <w:pageBreakBefore w:val="0"/>
        <w:widowControl w:val="0"/>
        <w:shd w:val="clear"/>
        <w:kinsoku/>
        <w:wordWrap w:val="0"/>
        <w:overflowPunct/>
        <w:topLinePunct/>
        <w:autoSpaceDE/>
        <w:autoSpaceDN/>
        <w:bidi w:val="0"/>
        <w:snapToGrid w:val="0"/>
        <w:spacing w:beforeAutospacing="0" w:afterAutospacing="0"/>
        <w:rPr>
          <w:rFonts w:hint="eastAsia" w:ascii="宋体" w:hAnsi="宋体" w:eastAsia="宋体" w:cs="宋体"/>
          <w:b/>
          <w:color w:val="auto"/>
          <w:sz w:val="24"/>
          <w:highlight w:val="none"/>
          <w:lang w:val="en-US" w:eastAsia="zh-CN"/>
        </w:rPr>
      </w:pPr>
    </w:p>
    <w:p w14:paraId="7F6C6318">
      <w:pPr>
        <w:keepNext w:val="0"/>
        <w:keepLines w:val="0"/>
        <w:pageBreakBefore w:val="0"/>
        <w:widowControl w:val="0"/>
        <w:shd w:val="clear"/>
        <w:kinsoku/>
        <w:wordWrap w:val="0"/>
        <w:overflowPunct/>
        <w:topLinePunct/>
        <w:autoSpaceDE/>
        <w:autoSpaceDN/>
        <w:bidi w:val="0"/>
        <w:snapToGrid w:val="0"/>
        <w:spacing w:beforeAutospacing="0" w:afterAutospacing="0"/>
        <w:rPr>
          <w:rFonts w:hint="eastAsia" w:ascii="宋体" w:hAnsi="宋体" w:eastAsia="宋体" w:cs="宋体"/>
          <w:b/>
          <w:color w:val="auto"/>
          <w:sz w:val="24"/>
          <w:highlight w:val="none"/>
          <w:lang w:val="en-US" w:eastAsia="zh-CN"/>
        </w:rPr>
      </w:pPr>
    </w:p>
    <w:p w14:paraId="1EE4A415">
      <w:pPr>
        <w:keepNext w:val="0"/>
        <w:keepLines w:val="0"/>
        <w:pageBreakBefore w:val="0"/>
        <w:widowControl w:val="0"/>
        <w:shd w:val="clear"/>
        <w:kinsoku/>
        <w:wordWrap w:val="0"/>
        <w:overflowPunct/>
        <w:topLinePunct/>
        <w:autoSpaceDE/>
        <w:autoSpaceDN/>
        <w:bidi w:val="0"/>
        <w:snapToGrid w:val="0"/>
        <w:spacing w:beforeAutospacing="0" w:afterAutospacing="0"/>
        <w:rPr>
          <w:rFonts w:hint="eastAsia" w:ascii="宋体" w:hAnsi="宋体" w:eastAsia="宋体" w:cs="宋体"/>
          <w:b/>
          <w:color w:val="auto"/>
          <w:sz w:val="24"/>
          <w:highlight w:val="none"/>
        </w:rPr>
      </w:pPr>
    </w:p>
    <w:p w14:paraId="13FD0DA3">
      <w:pPr>
        <w:keepNext w:val="0"/>
        <w:keepLines w:val="0"/>
        <w:pageBreakBefore w:val="0"/>
        <w:widowControl w:val="0"/>
        <w:shd w:val="clear"/>
        <w:kinsoku/>
        <w:wordWrap w:val="0"/>
        <w:overflowPunct/>
        <w:topLinePunct/>
        <w:autoSpaceDE/>
        <w:autoSpaceDN/>
        <w:bidi w:val="0"/>
        <w:snapToGrid w:val="0"/>
        <w:spacing w:beforeAutospacing="0" w:afterAutospacing="0"/>
        <w:rPr>
          <w:rFonts w:hint="eastAsia" w:ascii="宋体" w:hAnsi="宋体" w:eastAsia="宋体" w:cs="宋体"/>
          <w:b/>
          <w:color w:val="auto"/>
          <w:sz w:val="24"/>
          <w:highlight w:val="none"/>
        </w:rPr>
      </w:pPr>
    </w:p>
    <w:p w14:paraId="3DF2563C">
      <w:pPr>
        <w:keepNext w:val="0"/>
        <w:keepLines w:val="0"/>
        <w:pageBreakBefore w:val="0"/>
        <w:widowControl w:val="0"/>
        <w:shd w:val="clear"/>
        <w:kinsoku/>
        <w:wordWrap w:val="0"/>
        <w:overflowPunct/>
        <w:topLinePunct/>
        <w:autoSpaceDE/>
        <w:autoSpaceDN/>
        <w:bidi w:val="0"/>
        <w:snapToGrid w:val="0"/>
        <w:spacing w:beforeAutospacing="0" w:afterAutospacing="0"/>
        <w:rPr>
          <w:rFonts w:hint="eastAsia" w:ascii="宋体" w:hAnsi="宋体" w:eastAsia="宋体" w:cs="宋体"/>
          <w:b/>
          <w:color w:val="auto"/>
          <w:sz w:val="24"/>
          <w:highlight w:val="none"/>
        </w:rPr>
      </w:pPr>
    </w:p>
    <w:p w14:paraId="5928CFA7">
      <w:pPr>
        <w:keepNext w:val="0"/>
        <w:keepLines w:val="0"/>
        <w:pageBreakBefore w:val="0"/>
        <w:widowControl w:val="0"/>
        <w:shd w:val="clear"/>
        <w:kinsoku/>
        <w:wordWrap w:val="0"/>
        <w:overflowPunct/>
        <w:topLinePunct/>
        <w:autoSpaceDE/>
        <w:autoSpaceDN/>
        <w:bidi w:val="0"/>
        <w:snapToGrid w:val="0"/>
        <w:spacing w:beforeAutospacing="0" w:afterAutospacing="0"/>
        <w:rPr>
          <w:rFonts w:hint="eastAsia" w:ascii="宋体" w:hAnsi="宋体" w:eastAsia="宋体" w:cs="宋体"/>
          <w:b/>
          <w:color w:val="auto"/>
          <w:sz w:val="24"/>
          <w:highlight w:val="none"/>
        </w:rPr>
      </w:pPr>
    </w:p>
    <w:p w14:paraId="5D792C33">
      <w:pPr>
        <w:keepNext w:val="0"/>
        <w:keepLines w:val="0"/>
        <w:pageBreakBefore w:val="0"/>
        <w:widowControl w:val="0"/>
        <w:kinsoku/>
        <w:wordWrap w:val="0"/>
        <w:overflowPunct w:val="0"/>
        <w:topLinePunct w:val="0"/>
        <w:autoSpaceDE w:val="0"/>
        <w:autoSpaceDN w:val="0"/>
        <w:bidi w:val="0"/>
        <w:snapToGrid w:val="0"/>
        <w:spacing w:before="50" w:after="156" w:afterLines="50"/>
        <w:rPr>
          <w:rFonts w:hint="eastAsia" w:ascii="宋体" w:hAnsi="宋体" w:eastAsia="宋体" w:cs="宋体"/>
          <w:b/>
          <w:color w:val="auto"/>
          <w:sz w:val="24"/>
          <w:highlight w:val="none"/>
          <w:lang w:val="en-US" w:eastAsia="zh-CN"/>
        </w:rPr>
        <w:sectPr>
          <w:pgSz w:w="11906" w:h="16838"/>
          <w:pgMar w:top="1361" w:right="1361" w:bottom="1361" w:left="1361"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p w14:paraId="7AE4F956">
      <w:pPr>
        <w:keepNext w:val="0"/>
        <w:keepLines w:val="0"/>
        <w:pageBreakBefore w:val="0"/>
        <w:widowControl w:val="0"/>
        <w:kinsoku/>
        <w:wordWrap w:val="0"/>
        <w:overflowPunct/>
        <w:topLinePunct/>
        <w:autoSpaceDE/>
        <w:autoSpaceDN/>
        <w:bidi w:val="0"/>
        <w:snapToGrid w:val="0"/>
        <w:spacing w:before="50" w:after="156" w:afterLines="50"/>
        <w:rPr>
          <w:rFonts w:hint="default"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6.拟投入本项目的人员配备表格式：</w:t>
      </w:r>
    </w:p>
    <w:p w14:paraId="49688481">
      <w:pPr>
        <w:pStyle w:val="39"/>
        <w:pageBreakBefore w:val="0"/>
        <w:widowControl w:val="0"/>
        <w:shd w:val="clear" w:color="auto" w:fill="auto"/>
        <w:kinsoku/>
        <w:overflowPunct w:val="0"/>
        <w:topLinePunct w:val="0"/>
        <w:bidi w:val="0"/>
        <w:spacing w:line="360" w:lineRule="auto"/>
        <w:ind w:firstLine="562"/>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人员配备</w:t>
      </w:r>
      <w:r>
        <w:rPr>
          <w:rFonts w:hint="eastAsia" w:ascii="宋体" w:hAnsi="宋体" w:eastAsia="宋体" w:cs="宋体"/>
          <w:b/>
          <w:color w:val="000000" w:themeColor="text1"/>
          <w:sz w:val="28"/>
          <w:szCs w:val="28"/>
          <w:highlight w:val="none"/>
          <w14:textFill>
            <w14:solidFill>
              <w14:schemeClr w14:val="tx1"/>
            </w14:solidFill>
          </w14:textFill>
        </w:rPr>
        <w:t>表</w:t>
      </w:r>
    </w:p>
    <w:tbl>
      <w:tblPr>
        <w:tblStyle w:val="26"/>
        <w:tblW w:w="14155" w:type="dxa"/>
        <w:tblInd w:w="7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560"/>
        <w:gridCol w:w="1845"/>
        <w:gridCol w:w="1845"/>
        <w:gridCol w:w="1845"/>
        <w:gridCol w:w="2010"/>
        <w:gridCol w:w="2512"/>
        <w:gridCol w:w="1803"/>
      </w:tblGrid>
      <w:tr w14:paraId="79449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73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4BE9D0F">
            <w:pPr>
              <w:pStyle w:val="18"/>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156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84C1CBE">
            <w:pPr>
              <w:pStyle w:val="18"/>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姓名</w:t>
            </w:r>
          </w:p>
        </w:tc>
        <w:tc>
          <w:tcPr>
            <w:tcW w:w="18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563B084">
            <w:pPr>
              <w:pStyle w:val="18"/>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年龄</w:t>
            </w:r>
          </w:p>
        </w:tc>
        <w:tc>
          <w:tcPr>
            <w:tcW w:w="18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2587A97">
            <w:pPr>
              <w:pStyle w:val="18"/>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jc w:val="center"/>
              <w:textAlignment w:val="auto"/>
              <w:outlineLvl w:val="9"/>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学历</w:t>
            </w:r>
          </w:p>
        </w:tc>
        <w:tc>
          <w:tcPr>
            <w:tcW w:w="18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2DC2A2B">
            <w:pPr>
              <w:pStyle w:val="18"/>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职称</w:t>
            </w:r>
          </w:p>
        </w:tc>
        <w:tc>
          <w:tcPr>
            <w:tcW w:w="201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428E75A">
            <w:pPr>
              <w:pStyle w:val="18"/>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专业技术资格</w:t>
            </w:r>
          </w:p>
        </w:tc>
        <w:tc>
          <w:tcPr>
            <w:tcW w:w="2512"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3D85DF5">
            <w:pPr>
              <w:pStyle w:val="18"/>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从事本工作时间</w:t>
            </w:r>
          </w:p>
        </w:tc>
        <w:tc>
          <w:tcPr>
            <w:tcW w:w="180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86459C5">
            <w:pPr>
              <w:pStyle w:val="18"/>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项目工作经验</w:t>
            </w:r>
          </w:p>
        </w:tc>
      </w:tr>
      <w:tr w14:paraId="02D53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735" w:type="dxa"/>
            <w:tcBorders>
              <w:top w:val="single" w:color="auto" w:sz="4" w:space="0"/>
              <w:left w:val="single" w:color="auto" w:sz="4" w:space="0"/>
              <w:bottom w:val="single" w:color="auto" w:sz="4" w:space="0"/>
              <w:right w:val="single" w:color="auto" w:sz="4" w:space="0"/>
            </w:tcBorders>
            <w:vAlign w:val="center"/>
          </w:tcPr>
          <w:p w14:paraId="5EC5228D">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60" w:type="dxa"/>
            <w:tcBorders>
              <w:top w:val="single" w:color="auto" w:sz="4" w:space="0"/>
              <w:left w:val="single" w:color="auto" w:sz="4" w:space="0"/>
              <w:bottom w:val="single" w:color="auto" w:sz="4" w:space="0"/>
              <w:right w:val="single" w:color="auto" w:sz="4" w:space="0"/>
            </w:tcBorders>
            <w:vAlign w:val="center"/>
          </w:tcPr>
          <w:p w14:paraId="7A11DD87">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3C7EDAEB">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0AA551A7">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7079A635">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1F64EBE3">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2512" w:type="dxa"/>
            <w:tcBorders>
              <w:top w:val="single" w:color="auto" w:sz="4" w:space="0"/>
              <w:left w:val="single" w:color="auto" w:sz="4" w:space="0"/>
              <w:bottom w:val="single" w:color="auto" w:sz="4" w:space="0"/>
              <w:right w:val="single" w:color="auto" w:sz="4" w:space="0"/>
            </w:tcBorders>
            <w:vAlign w:val="center"/>
          </w:tcPr>
          <w:p w14:paraId="03F85AFD">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03" w:type="dxa"/>
            <w:tcBorders>
              <w:top w:val="single" w:color="auto" w:sz="4" w:space="0"/>
              <w:left w:val="single" w:color="auto" w:sz="4" w:space="0"/>
              <w:bottom w:val="single" w:color="auto" w:sz="4" w:space="0"/>
              <w:right w:val="single" w:color="auto" w:sz="4" w:space="0"/>
            </w:tcBorders>
            <w:vAlign w:val="center"/>
          </w:tcPr>
          <w:p w14:paraId="64313743">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r>
      <w:tr w14:paraId="2A493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735" w:type="dxa"/>
            <w:tcBorders>
              <w:top w:val="single" w:color="auto" w:sz="4" w:space="0"/>
              <w:left w:val="single" w:color="auto" w:sz="4" w:space="0"/>
              <w:bottom w:val="single" w:color="auto" w:sz="4" w:space="0"/>
              <w:right w:val="single" w:color="auto" w:sz="4" w:space="0"/>
            </w:tcBorders>
            <w:vAlign w:val="center"/>
          </w:tcPr>
          <w:p w14:paraId="5D796317">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60" w:type="dxa"/>
            <w:tcBorders>
              <w:top w:val="single" w:color="auto" w:sz="4" w:space="0"/>
              <w:left w:val="single" w:color="auto" w:sz="4" w:space="0"/>
              <w:bottom w:val="single" w:color="auto" w:sz="4" w:space="0"/>
              <w:right w:val="single" w:color="auto" w:sz="4" w:space="0"/>
            </w:tcBorders>
            <w:vAlign w:val="center"/>
          </w:tcPr>
          <w:p w14:paraId="47C73698">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6606C541">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21E08F02">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6C8F67A0">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20BF717B">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2512" w:type="dxa"/>
            <w:tcBorders>
              <w:top w:val="single" w:color="auto" w:sz="4" w:space="0"/>
              <w:left w:val="single" w:color="auto" w:sz="4" w:space="0"/>
              <w:bottom w:val="single" w:color="auto" w:sz="4" w:space="0"/>
              <w:right w:val="single" w:color="auto" w:sz="4" w:space="0"/>
            </w:tcBorders>
            <w:vAlign w:val="center"/>
          </w:tcPr>
          <w:p w14:paraId="29EF3ACA">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03" w:type="dxa"/>
            <w:tcBorders>
              <w:top w:val="single" w:color="auto" w:sz="4" w:space="0"/>
              <w:left w:val="single" w:color="auto" w:sz="4" w:space="0"/>
              <w:bottom w:val="single" w:color="auto" w:sz="4" w:space="0"/>
              <w:right w:val="single" w:color="auto" w:sz="4" w:space="0"/>
            </w:tcBorders>
            <w:vAlign w:val="center"/>
          </w:tcPr>
          <w:p w14:paraId="1E0D4580">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r>
      <w:tr w14:paraId="11CC4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735" w:type="dxa"/>
            <w:tcBorders>
              <w:top w:val="single" w:color="auto" w:sz="4" w:space="0"/>
              <w:left w:val="single" w:color="auto" w:sz="4" w:space="0"/>
              <w:bottom w:val="single" w:color="auto" w:sz="4" w:space="0"/>
              <w:right w:val="single" w:color="auto" w:sz="4" w:space="0"/>
            </w:tcBorders>
            <w:vAlign w:val="center"/>
          </w:tcPr>
          <w:p w14:paraId="383DAD91">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60" w:type="dxa"/>
            <w:tcBorders>
              <w:top w:val="single" w:color="auto" w:sz="4" w:space="0"/>
              <w:left w:val="single" w:color="auto" w:sz="4" w:space="0"/>
              <w:bottom w:val="single" w:color="auto" w:sz="4" w:space="0"/>
              <w:right w:val="single" w:color="auto" w:sz="4" w:space="0"/>
            </w:tcBorders>
            <w:vAlign w:val="center"/>
          </w:tcPr>
          <w:p w14:paraId="2E0CACF2">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64AAB448">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78157C9F">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7692CA02">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2E7E63C8">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2512" w:type="dxa"/>
            <w:tcBorders>
              <w:top w:val="single" w:color="auto" w:sz="4" w:space="0"/>
              <w:left w:val="single" w:color="auto" w:sz="4" w:space="0"/>
              <w:bottom w:val="single" w:color="auto" w:sz="4" w:space="0"/>
              <w:right w:val="single" w:color="auto" w:sz="4" w:space="0"/>
            </w:tcBorders>
            <w:vAlign w:val="center"/>
          </w:tcPr>
          <w:p w14:paraId="11CC7B00">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03" w:type="dxa"/>
            <w:tcBorders>
              <w:top w:val="single" w:color="auto" w:sz="4" w:space="0"/>
              <w:left w:val="single" w:color="auto" w:sz="4" w:space="0"/>
              <w:bottom w:val="single" w:color="auto" w:sz="4" w:space="0"/>
              <w:right w:val="single" w:color="auto" w:sz="4" w:space="0"/>
            </w:tcBorders>
            <w:vAlign w:val="center"/>
          </w:tcPr>
          <w:p w14:paraId="428A571F">
            <w:pPr>
              <w:pStyle w:val="18"/>
              <w:keepNext w:val="0"/>
              <w:keepLines w:val="0"/>
              <w:pageBreakBefore w:val="0"/>
              <w:widowControl w:val="0"/>
              <w:shd w:val="clear" w:color="auto" w:fill="auto"/>
              <w:kinsoku/>
              <w:wordWrap/>
              <w:overflowPunct w:val="0"/>
              <w:topLinePunct w:val="0"/>
              <w:autoSpaceDE/>
              <w:autoSpaceDN/>
              <w:bidi w:val="0"/>
              <w:adjustRightInd/>
              <w:snapToGrid/>
              <w:spacing w:line="48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r>
      <w:tr w14:paraId="4D407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vAlign w:val="center"/>
          </w:tcPr>
          <w:p w14:paraId="49DE1072">
            <w:pPr>
              <w:pStyle w:val="18"/>
              <w:keepNext w:val="0"/>
              <w:keepLines w:val="0"/>
              <w:pageBreakBefore w:val="0"/>
              <w:widowControl w:val="0"/>
              <w:shd w:val="clear" w:color="auto" w:fill="auto"/>
              <w:kinsoku/>
              <w:wordWrap/>
              <w:overflowPunct w:val="0"/>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74942A6D">
            <w:pPr>
              <w:pStyle w:val="18"/>
              <w:keepNext w:val="0"/>
              <w:keepLines w:val="0"/>
              <w:pageBreakBefore w:val="0"/>
              <w:widowControl w:val="0"/>
              <w:shd w:val="clear" w:color="auto" w:fill="auto"/>
              <w:kinsoku/>
              <w:wordWrap/>
              <w:overflowPunct w:val="0"/>
              <w:topLinePunct w:val="0"/>
              <w:autoSpaceDE/>
              <w:autoSpaceDN/>
              <w:bidi w:val="0"/>
              <w:adjustRightInd/>
              <w:snapToGrid/>
              <w:spacing w:line="36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4DFB60B8">
            <w:pPr>
              <w:pStyle w:val="18"/>
              <w:keepNext w:val="0"/>
              <w:keepLines w:val="0"/>
              <w:pageBreakBefore w:val="0"/>
              <w:widowControl w:val="0"/>
              <w:shd w:val="clear" w:color="auto" w:fill="auto"/>
              <w:kinsoku/>
              <w:wordWrap/>
              <w:overflowPunct w:val="0"/>
              <w:topLinePunct w:val="0"/>
              <w:autoSpaceDE/>
              <w:autoSpaceDN/>
              <w:bidi w:val="0"/>
              <w:adjustRightInd/>
              <w:snapToGrid/>
              <w:spacing w:line="36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49D9BF4E">
            <w:pPr>
              <w:pStyle w:val="18"/>
              <w:keepNext w:val="0"/>
              <w:keepLines w:val="0"/>
              <w:pageBreakBefore w:val="0"/>
              <w:widowControl w:val="0"/>
              <w:shd w:val="clear" w:color="auto" w:fill="auto"/>
              <w:kinsoku/>
              <w:wordWrap/>
              <w:overflowPunct w:val="0"/>
              <w:topLinePunct w:val="0"/>
              <w:autoSpaceDE/>
              <w:autoSpaceDN/>
              <w:bidi w:val="0"/>
              <w:adjustRightInd/>
              <w:snapToGrid/>
              <w:spacing w:line="36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6B6DBCEC">
            <w:pPr>
              <w:pStyle w:val="18"/>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230914B4">
            <w:pPr>
              <w:pStyle w:val="18"/>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2512" w:type="dxa"/>
            <w:tcBorders>
              <w:top w:val="single" w:color="auto" w:sz="4" w:space="0"/>
              <w:left w:val="single" w:color="auto" w:sz="4" w:space="0"/>
              <w:bottom w:val="single" w:color="auto" w:sz="4" w:space="0"/>
              <w:right w:val="single" w:color="auto" w:sz="4" w:space="0"/>
            </w:tcBorders>
            <w:vAlign w:val="center"/>
          </w:tcPr>
          <w:p w14:paraId="1F9276BF">
            <w:pPr>
              <w:pStyle w:val="18"/>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03" w:type="dxa"/>
            <w:tcBorders>
              <w:top w:val="single" w:color="auto" w:sz="4" w:space="0"/>
              <w:left w:val="single" w:color="auto" w:sz="4" w:space="0"/>
              <w:bottom w:val="single" w:color="auto" w:sz="4" w:space="0"/>
              <w:right w:val="single" w:color="auto" w:sz="4" w:space="0"/>
            </w:tcBorders>
            <w:vAlign w:val="center"/>
          </w:tcPr>
          <w:p w14:paraId="59826442">
            <w:pPr>
              <w:pStyle w:val="18"/>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r>
      <w:tr w14:paraId="58B7A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735" w:type="dxa"/>
            <w:tcBorders>
              <w:top w:val="single" w:color="auto" w:sz="4" w:space="0"/>
              <w:left w:val="single" w:color="auto" w:sz="4" w:space="0"/>
              <w:bottom w:val="single" w:color="auto" w:sz="4" w:space="0"/>
              <w:right w:val="single" w:color="auto" w:sz="4" w:space="0"/>
            </w:tcBorders>
            <w:vAlign w:val="center"/>
          </w:tcPr>
          <w:p w14:paraId="1698D4CF">
            <w:pPr>
              <w:keepNext w:val="0"/>
              <w:keepLines w:val="0"/>
              <w:pageBreakBefore w:val="0"/>
              <w:widowControl w:val="0"/>
              <w:shd w:val="clear" w:color="auto" w:fill="auto"/>
              <w:kinsoku/>
              <w:wordWrap/>
              <w:overflowPunct w:val="0"/>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60" w:type="dxa"/>
            <w:tcBorders>
              <w:top w:val="single" w:color="auto" w:sz="4" w:space="0"/>
              <w:left w:val="single" w:color="auto" w:sz="4" w:space="0"/>
              <w:bottom w:val="single" w:color="auto" w:sz="4" w:space="0"/>
              <w:right w:val="single" w:color="auto" w:sz="4" w:space="0"/>
            </w:tcBorders>
            <w:vAlign w:val="center"/>
          </w:tcPr>
          <w:p w14:paraId="1E8160C7">
            <w:pPr>
              <w:keepNext w:val="0"/>
              <w:keepLines w:val="0"/>
              <w:pageBreakBefore w:val="0"/>
              <w:widowControl w:val="0"/>
              <w:shd w:val="clear" w:color="auto" w:fill="auto"/>
              <w:kinsoku/>
              <w:wordWrap/>
              <w:overflowPunct w:val="0"/>
              <w:topLinePunct w:val="0"/>
              <w:autoSpaceDE/>
              <w:autoSpaceDN/>
              <w:bidi w:val="0"/>
              <w:adjustRightInd/>
              <w:snapToGrid/>
              <w:spacing w:line="36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7AA09E26">
            <w:pPr>
              <w:keepNext w:val="0"/>
              <w:keepLines w:val="0"/>
              <w:pageBreakBefore w:val="0"/>
              <w:widowControl w:val="0"/>
              <w:shd w:val="clear" w:color="auto" w:fill="auto"/>
              <w:kinsoku/>
              <w:wordWrap/>
              <w:overflowPunct w:val="0"/>
              <w:topLinePunct w:val="0"/>
              <w:autoSpaceDE/>
              <w:autoSpaceDN/>
              <w:bidi w:val="0"/>
              <w:adjustRightInd/>
              <w:snapToGrid/>
              <w:spacing w:line="36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4DF7DE77">
            <w:pPr>
              <w:keepNext w:val="0"/>
              <w:keepLines w:val="0"/>
              <w:pageBreakBefore w:val="0"/>
              <w:widowControl w:val="0"/>
              <w:shd w:val="clear" w:color="auto" w:fill="auto"/>
              <w:kinsoku/>
              <w:wordWrap/>
              <w:overflowPunct w:val="0"/>
              <w:topLinePunct w:val="0"/>
              <w:autoSpaceDE/>
              <w:autoSpaceDN/>
              <w:bidi w:val="0"/>
              <w:adjustRightInd/>
              <w:snapToGrid/>
              <w:spacing w:line="36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00D3FE6C">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1FE76B4F">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2512" w:type="dxa"/>
            <w:tcBorders>
              <w:top w:val="single" w:color="auto" w:sz="4" w:space="0"/>
              <w:left w:val="single" w:color="auto" w:sz="4" w:space="0"/>
              <w:bottom w:val="single" w:color="auto" w:sz="4" w:space="0"/>
              <w:right w:val="single" w:color="auto" w:sz="4" w:space="0"/>
            </w:tcBorders>
            <w:vAlign w:val="center"/>
          </w:tcPr>
          <w:p w14:paraId="4580816E">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03" w:type="dxa"/>
            <w:tcBorders>
              <w:top w:val="single" w:color="auto" w:sz="4" w:space="0"/>
              <w:left w:val="single" w:color="auto" w:sz="4" w:space="0"/>
              <w:bottom w:val="single" w:color="auto" w:sz="4" w:space="0"/>
              <w:right w:val="single" w:color="auto" w:sz="4" w:space="0"/>
            </w:tcBorders>
            <w:vAlign w:val="center"/>
          </w:tcPr>
          <w:p w14:paraId="06D0C7BC">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r>
      <w:tr w14:paraId="53A73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735" w:type="dxa"/>
            <w:tcBorders>
              <w:top w:val="single" w:color="auto" w:sz="4" w:space="0"/>
              <w:left w:val="single" w:color="auto" w:sz="4" w:space="0"/>
              <w:bottom w:val="single" w:color="auto" w:sz="4" w:space="0"/>
              <w:right w:val="single" w:color="auto" w:sz="4" w:space="0"/>
            </w:tcBorders>
            <w:vAlign w:val="center"/>
          </w:tcPr>
          <w:p w14:paraId="69EC3250">
            <w:pPr>
              <w:keepNext w:val="0"/>
              <w:keepLines w:val="0"/>
              <w:pageBreakBefore w:val="0"/>
              <w:widowControl w:val="0"/>
              <w:shd w:val="clear" w:color="auto" w:fill="auto"/>
              <w:kinsoku/>
              <w:wordWrap/>
              <w:overflowPunct w:val="0"/>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10023A9">
            <w:pPr>
              <w:keepNext w:val="0"/>
              <w:keepLines w:val="0"/>
              <w:pageBreakBefore w:val="0"/>
              <w:widowControl w:val="0"/>
              <w:shd w:val="clear" w:color="auto" w:fill="auto"/>
              <w:kinsoku/>
              <w:wordWrap/>
              <w:overflowPunct w:val="0"/>
              <w:topLinePunct w:val="0"/>
              <w:autoSpaceDE/>
              <w:autoSpaceDN/>
              <w:bidi w:val="0"/>
              <w:adjustRightInd/>
              <w:snapToGrid/>
              <w:spacing w:line="36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14B81662">
            <w:pPr>
              <w:keepNext w:val="0"/>
              <w:keepLines w:val="0"/>
              <w:pageBreakBefore w:val="0"/>
              <w:widowControl w:val="0"/>
              <w:shd w:val="clear" w:color="auto" w:fill="auto"/>
              <w:kinsoku/>
              <w:wordWrap/>
              <w:overflowPunct w:val="0"/>
              <w:topLinePunct w:val="0"/>
              <w:autoSpaceDE/>
              <w:autoSpaceDN/>
              <w:bidi w:val="0"/>
              <w:adjustRightInd/>
              <w:snapToGrid/>
              <w:spacing w:line="36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077CBA52">
            <w:pPr>
              <w:keepNext w:val="0"/>
              <w:keepLines w:val="0"/>
              <w:pageBreakBefore w:val="0"/>
              <w:widowControl w:val="0"/>
              <w:shd w:val="clear" w:color="auto" w:fill="auto"/>
              <w:kinsoku/>
              <w:wordWrap/>
              <w:overflowPunct w:val="0"/>
              <w:topLinePunct w:val="0"/>
              <w:autoSpaceDE/>
              <w:autoSpaceDN/>
              <w:bidi w:val="0"/>
              <w:adjustRightInd/>
              <w:snapToGrid/>
              <w:spacing w:line="36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620027DE">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1D43D4B6">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2512" w:type="dxa"/>
            <w:tcBorders>
              <w:top w:val="single" w:color="auto" w:sz="4" w:space="0"/>
              <w:left w:val="single" w:color="auto" w:sz="4" w:space="0"/>
              <w:bottom w:val="single" w:color="auto" w:sz="4" w:space="0"/>
              <w:right w:val="single" w:color="auto" w:sz="4" w:space="0"/>
            </w:tcBorders>
            <w:vAlign w:val="center"/>
          </w:tcPr>
          <w:p w14:paraId="1C275910">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03" w:type="dxa"/>
            <w:tcBorders>
              <w:top w:val="single" w:color="auto" w:sz="4" w:space="0"/>
              <w:left w:val="single" w:color="auto" w:sz="4" w:space="0"/>
              <w:bottom w:val="single" w:color="auto" w:sz="4" w:space="0"/>
              <w:right w:val="single" w:color="auto" w:sz="4" w:space="0"/>
            </w:tcBorders>
            <w:vAlign w:val="center"/>
          </w:tcPr>
          <w:p w14:paraId="7C4D6632">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r>
      <w:tr w14:paraId="27C13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735" w:type="dxa"/>
            <w:tcBorders>
              <w:top w:val="single" w:color="auto" w:sz="4" w:space="0"/>
              <w:left w:val="single" w:color="auto" w:sz="4" w:space="0"/>
              <w:bottom w:val="single" w:color="auto" w:sz="4" w:space="0"/>
              <w:right w:val="single" w:color="auto" w:sz="4" w:space="0"/>
            </w:tcBorders>
            <w:vAlign w:val="center"/>
          </w:tcPr>
          <w:p w14:paraId="6E7DBA68">
            <w:pPr>
              <w:keepNext w:val="0"/>
              <w:keepLines w:val="0"/>
              <w:pageBreakBefore w:val="0"/>
              <w:widowControl w:val="0"/>
              <w:shd w:val="clear" w:color="auto" w:fill="auto"/>
              <w:kinsoku/>
              <w:wordWrap/>
              <w:overflowPunct w:val="0"/>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CB55E1D">
            <w:pPr>
              <w:keepNext w:val="0"/>
              <w:keepLines w:val="0"/>
              <w:pageBreakBefore w:val="0"/>
              <w:widowControl w:val="0"/>
              <w:shd w:val="clear" w:color="auto" w:fill="auto"/>
              <w:kinsoku/>
              <w:wordWrap/>
              <w:overflowPunct w:val="0"/>
              <w:topLinePunct w:val="0"/>
              <w:autoSpaceDE/>
              <w:autoSpaceDN/>
              <w:bidi w:val="0"/>
              <w:adjustRightInd/>
              <w:snapToGrid/>
              <w:spacing w:line="36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30EF63EA">
            <w:pPr>
              <w:keepNext w:val="0"/>
              <w:keepLines w:val="0"/>
              <w:pageBreakBefore w:val="0"/>
              <w:widowControl w:val="0"/>
              <w:shd w:val="clear" w:color="auto" w:fill="auto"/>
              <w:kinsoku/>
              <w:wordWrap/>
              <w:overflowPunct w:val="0"/>
              <w:topLinePunct w:val="0"/>
              <w:autoSpaceDE/>
              <w:autoSpaceDN/>
              <w:bidi w:val="0"/>
              <w:adjustRightInd/>
              <w:snapToGrid/>
              <w:spacing w:line="36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17D7C9AF">
            <w:pPr>
              <w:keepNext w:val="0"/>
              <w:keepLines w:val="0"/>
              <w:pageBreakBefore w:val="0"/>
              <w:widowControl w:val="0"/>
              <w:shd w:val="clear" w:color="auto" w:fill="auto"/>
              <w:kinsoku/>
              <w:wordWrap/>
              <w:overflowPunct w:val="0"/>
              <w:topLinePunct w:val="0"/>
              <w:autoSpaceDE/>
              <w:autoSpaceDN/>
              <w:bidi w:val="0"/>
              <w:adjustRightInd/>
              <w:snapToGrid/>
              <w:spacing w:line="36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2C5589AF">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4F9BA831">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2512" w:type="dxa"/>
            <w:tcBorders>
              <w:top w:val="single" w:color="auto" w:sz="4" w:space="0"/>
              <w:left w:val="single" w:color="auto" w:sz="4" w:space="0"/>
              <w:bottom w:val="single" w:color="auto" w:sz="4" w:space="0"/>
              <w:right w:val="single" w:color="auto" w:sz="4" w:space="0"/>
            </w:tcBorders>
            <w:vAlign w:val="center"/>
          </w:tcPr>
          <w:p w14:paraId="7CA1DF20">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03" w:type="dxa"/>
            <w:tcBorders>
              <w:top w:val="single" w:color="auto" w:sz="4" w:space="0"/>
              <w:left w:val="single" w:color="auto" w:sz="4" w:space="0"/>
              <w:bottom w:val="single" w:color="auto" w:sz="4" w:space="0"/>
              <w:right w:val="single" w:color="auto" w:sz="4" w:space="0"/>
            </w:tcBorders>
            <w:vAlign w:val="center"/>
          </w:tcPr>
          <w:p w14:paraId="7AB667E8">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r>
      <w:tr w14:paraId="49A37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735" w:type="dxa"/>
            <w:tcBorders>
              <w:top w:val="single" w:color="auto" w:sz="4" w:space="0"/>
              <w:left w:val="single" w:color="auto" w:sz="4" w:space="0"/>
              <w:bottom w:val="single" w:color="auto" w:sz="4" w:space="0"/>
              <w:right w:val="single" w:color="auto" w:sz="4" w:space="0"/>
            </w:tcBorders>
            <w:vAlign w:val="center"/>
          </w:tcPr>
          <w:p w14:paraId="4AD04653">
            <w:pPr>
              <w:keepNext w:val="0"/>
              <w:keepLines w:val="0"/>
              <w:pageBreakBefore w:val="0"/>
              <w:widowControl w:val="0"/>
              <w:shd w:val="clear" w:color="auto" w:fill="auto"/>
              <w:kinsoku/>
              <w:wordWrap/>
              <w:overflowPunct w:val="0"/>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FD51E6C">
            <w:pPr>
              <w:keepNext w:val="0"/>
              <w:keepLines w:val="0"/>
              <w:pageBreakBefore w:val="0"/>
              <w:widowControl w:val="0"/>
              <w:shd w:val="clear" w:color="auto" w:fill="auto"/>
              <w:kinsoku/>
              <w:wordWrap/>
              <w:overflowPunct w:val="0"/>
              <w:topLinePunct w:val="0"/>
              <w:autoSpaceDE/>
              <w:autoSpaceDN/>
              <w:bidi w:val="0"/>
              <w:adjustRightInd/>
              <w:snapToGrid/>
              <w:spacing w:line="36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02225301">
            <w:pPr>
              <w:keepNext w:val="0"/>
              <w:keepLines w:val="0"/>
              <w:pageBreakBefore w:val="0"/>
              <w:widowControl w:val="0"/>
              <w:shd w:val="clear" w:color="auto" w:fill="auto"/>
              <w:kinsoku/>
              <w:wordWrap/>
              <w:overflowPunct w:val="0"/>
              <w:topLinePunct w:val="0"/>
              <w:autoSpaceDE/>
              <w:autoSpaceDN/>
              <w:bidi w:val="0"/>
              <w:adjustRightInd/>
              <w:snapToGrid/>
              <w:spacing w:line="36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4DECDACB">
            <w:pPr>
              <w:keepNext w:val="0"/>
              <w:keepLines w:val="0"/>
              <w:pageBreakBefore w:val="0"/>
              <w:widowControl w:val="0"/>
              <w:shd w:val="clear" w:color="auto" w:fill="auto"/>
              <w:kinsoku/>
              <w:wordWrap/>
              <w:overflowPunct w:val="0"/>
              <w:topLinePunct w:val="0"/>
              <w:autoSpaceDE/>
              <w:autoSpaceDN/>
              <w:bidi w:val="0"/>
              <w:adjustRightInd/>
              <w:snapToGrid/>
              <w:spacing w:line="360" w:lineRule="auto"/>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71462C2C">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3902324D">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2512" w:type="dxa"/>
            <w:tcBorders>
              <w:top w:val="single" w:color="auto" w:sz="4" w:space="0"/>
              <w:left w:val="single" w:color="auto" w:sz="4" w:space="0"/>
              <w:bottom w:val="single" w:color="auto" w:sz="4" w:space="0"/>
              <w:right w:val="single" w:color="auto" w:sz="4" w:space="0"/>
            </w:tcBorders>
            <w:vAlign w:val="center"/>
          </w:tcPr>
          <w:p w14:paraId="69275940">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c>
          <w:tcPr>
            <w:tcW w:w="1803" w:type="dxa"/>
            <w:tcBorders>
              <w:top w:val="single" w:color="auto" w:sz="4" w:space="0"/>
              <w:left w:val="single" w:color="auto" w:sz="4" w:space="0"/>
              <w:bottom w:val="single" w:color="auto" w:sz="4" w:space="0"/>
              <w:right w:val="single" w:color="auto" w:sz="4" w:space="0"/>
            </w:tcBorders>
            <w:vAlign w:val="center"/>
          </w:tcPr>
          <w:p w14:paraId="45FD306A">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left="0" w:leftChars="0" w:right="0" w:rightChars="0" w:firstLine="480"/>
              <w:jc w:val="center"/>
              <w:textAlignment w:val="auto"/>
              <w:outlineLvl w:val="9"/>
              <w:rPr>
                <w:rFonts w:hint="eastAsia" w:ascii="宋体" w:hAnsi="宋体" w:eastAsia="宋体" w:cs="宋体"/>
                <w:color w:val="auto"/>
                <w:sz w:val="24"/>
                <w:szCs w:val="24"/>
                <w:highlight w:val="none"/>
              </w:rPr>
            </w:pPr>
          </w:p>
        </w:tc>
      </w:tr>
    </w:tbl>
    <w:p w14:paraId="619F94C2">
      <w:pPr>
        <w:pageBreakBefore w:val="0"/>
        <w:widowControl w:val="0"/>
        <w:shd w:val="clear" w:color="auto" w:fill="auto"/>
        <w:kinsoku/>
        <w:wordWrap w:val="0"/>
        <w:overflowPunct w:val="0"/>
        <w:topLinePunct w:val="0"/>
        <w:bidi w:val="0"/>
        <w:snapToGrid w:val="0"/>
        <w:spacing w:before="120" w:beforeLines="50" w:line="400" w:lineRule="exact"/>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法定代表人或被授权人签字（或盖章）：</w:t>
      </w:r>
      <w:r>
        <w:rPr>
          <w:rFonts w:hint="eastAsia" w:ascii="宋体" w:hAnsi="宋体" w:eastAsia="宋体" w:cs="宋体"/>
          <w:color w:val="auto"/>
          <w:sz w:val="24"/>
          <w:highlight w:val="none"/>
          <w:u w:val="single"/>
        </w:rPr>
        <w:t xml:space="preserve">             </w:t>
      </w:r>
    </w:p>
    <w:p w14:paraId="204CFD49">
      <w:pPr>
        <w:pageBreakBefore w:val="0"/>
        <w:widowControl w:val="0"/>
        <w:shd w:val="clear" w:color="auto" w:fill="auto"/>
        <w:kinsoku/>
        <w:wordWrap w:val="0"/>
        <w:overflowPunct w:val="0"/>
        <w:topLinePunct w:val="0"/>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 xml:space="preserve">公章：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88FA297">
      <w:pPr>
        <w:pageBreakBefore w:val="0"/>
        <w:widowControl w:val="0"/>
        <w:shd w:val="clear" w:color="auto" w:fill="auto"/>
        <w:kinsoku/>
        <w:wordWrap w:val="0"/>
        <w:overflowPunct w:val="0"/>
        <w:topLinePunct w:val="0"/>
        <w:bidi w:val="0"/>
        <w:spacing w:line="360" w:lineRule="auto"/>
        <w:ind w:firstLine="480"/>
        <w:rPr>
          <w:rFonts w:hint="eastAsia"/>
          <w:lang w:val="en-US" w:eastAsia="zh-CN"/>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7E40432">
      <w:pP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br w:type="page"/>
      </w:r>
    </w:p>
    <w:p w14:paraId="574EB0F6">
      <w:pPr>
        <w:keepNext w:val="0"/>
        <w:keepLines w:val="0"/>
        <w:pageBreakBefore w:val="0"/>
        <w:widowControl w:val="0"/>
        <w:numPr>
          <w:ilvl w:val="0"/>
          <w:numId w:val="0"/>
        </w:numPr>
        <w:kinsoku/>
        <w:wordWrap w:val="0"/>
        <w:overflowPunct/>
        <w:topLinePunct/>
        <w:autoSpaceDE/>
        <w:autoSpaceDN/>
        <w:bidi w:val="0"/>
        <w:snapToGrid w:val="0"/>
        <w:spacing w:before="156" w:beforeLines="50" w:after="50" w:line="360" w:lineRule="auto"/>
        <w:outlineLvl w:val="1"/>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7.拟投入本项目的设备配备情况表格式：</w:t>
      </w:r>
    </w:p>
    <w:p w14:paraId="4D6AB32A">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设备配置情况表</w:t>
      </w:r>
    </w:p>
    <w:tbl>
      <w:tblPr>
        <w:tblStyle w:val="27"/>
        <w:tblW w:w="14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450"/>
        <w:gridCol w:w="1575"/>
        <w:gridCol w:w="1725"/>
        <w:gridCol w:w="2955"/>
        <w:gridCol w:w="2685"/>
        <w:gridCol w:w="2055"/>
      </w:tblGrid>
      <w:tr w14:paraId="2520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14" w:type="dxa"/>
            <w:shd w:val="clear" w:color="auto" w:fill="E7E6E6" w:themeFill="background2"/>
            <w:vAlign w:val="center"/>
          </w:tcPr>
          <w:p w14:paraId="0E2603D1">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序号</w:t>
            </w:r>
          </w:p>
        </w:tc>
        <w:tc>
          <w:tcPr>
            <w:tcW w:w="2450" w:type="dxa"/>
            <w:shd w:val="clear" w:color="auto" w:fill="E7E6E6" w:themeFill="background2"/>
            <w:vAlign w:val="center"/>
          </w:tcPr>
          <w:p w14:paraId="68A89037">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名称</w:t>
            </w:r>
          </w:p>
        </w:tc>
        <w:tc>
          <w:tcPr>
            <w:tcW w:w="1575" w:type="dxa"/>
            <w:shd w:val="clear" w:color="auto" w:fill="E7E6E6" w:themeFill="background2"/>
            <w:vAlign w:val="center"/>
          </w:tcPr>
          <w:p w14:paraId="3A74D346">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型号规格</w:t>
            </w:r>
          </w:p>
        </w:tc>
        <w:tc>
          <w:tcPr>
            <w:tcW w:w="1725" w:type="dxa"/>
            <w:shd w:val="clear" w:color="auto" w:fill="E7E6E6" w:themeFill="background2"/>
            <w:vAlign w:val="center"/>
          </w:tcPr>
          <w:p w14:paraId="6C79940E">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数量及单位</w:t>
            </w:r>
          </w:p>
        </w:tc>
        <w:tc>
          <w:tcPr>
            <w:tcW w:w="2955" w:type="dxa"/>
            <w:shd w:val="clear" w:color="auto" w:fill="E7E6E6" w:themeFill="background2"/>
            <w:vAlign w:val="center"/>
          </w:tcPr>
          <w:p w14:paraId="1FD2964B">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品牌</w:t>
            </w:r>
          </w:p>
        </w:tc>
        <w:tc>
          <w:tcPr>
            <w:tcW w:w="2685" w:type="dxa"/>
            <w:shd w:val="clear" w:color="auto" w:fill="E7E6E6" w:themeFill="background2"/>
            <w:vAlign w:val="center"/>
          </w:tcPr>
          <w:p w14:paraId="6C61F908">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用途</w:t>
            </w:r>
          </w:p>
        </w:tc>
        <w:tc>
          <w:tcPr>
            <w:tcW w:w="2055" w:type="dxa"/>
            <w:shd w:val="clear" w:color="auto" w:fill="E7E6E6" w:themeFill="background2"/>
            <w:vAlign w:val="center"/>
          </w:tcPr>
          <w:p w14:paraId="04349774">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shd w:val="clear" w:color="auto" w:fill="auto"/>
                <w:lang w:val="en-US" w:eastAsia="zh-CN"/>
              </w:rPr>
              <w:t>发票等证明材料</w:t>
            </w:r>
          </w:p>
        </w:tc>
      </w:tr>
      <w:tr w14:paraId="2CAB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top"/>
          </w:tcPr>
          <w:p w14:paraId="4A5B619B">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450" w:type="dxa"/>
            <w:vAlign w:val="top"/>
          </w:tcPr>
          <w:p w14:paraId="7F5E942B">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575" w:type="dxa"/>
            <w:vAlign w:val="top"/>
          </w:tcPr>
          <w:p w14:paraId="4B4D2D9A">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725" w:type="dxa"/>
            <w:vAlign w:val="top"/>
          </w:tcPr>
          <w:p w14:paraId="0D1749C8">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955" w:type="dxa"/>
            <w:vAlign w:val="top"/>
          </w:tcPr>
          <w:p w14:paraId="39D00D6F">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685" w:type="dxa"/>
            <w:vAlign w:val="top"/>
          </w:tcPr>
          <w:p w14:paraId="123C3B89">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055" w:type="dxa"/>
            <w:vAlign w:val="top"/>
          </w:tcPr>
          <w:p w14:paraId="6D4B2FAE">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r>
      <w:tr w14:paraId="2C09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top"/>
          </w:tcPr>
          <w:p w14:paraId="0168E7E5">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450" w:type="dxa"/>
            <w:vAlign w:val="top"/>
          </w:tcPr>
          <w:p w14:paraId="3367C8A2">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575" w:type="dxa"/>
            <w:vAlign w:val="top"/>
          </w:tcPr>
          <w:p w14:paraId="0A3E6D62">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725" w:type="dxa"/>
            <w:vAlign w:val="top"/>
          </w:tcPr>
          <w:p w14:paraId="285948E8">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955" w:type="dxa"/>
            <w:vAlign w:val="top"/>
          </w:tcPr>
          <w:p w14:paraId="3DDAFD01">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685" w:type="dxa"/>
            <w:vAlign w:val="top"/>
          </w:tcPr>
          <w:p w14:paraId="14B06277">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055" w:type="dxa"/>
            <w:vAlign w:val="top"/>
          </w:tcPr>
          <w:p w14:paraId="70FF17A7">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r>
      <w:tr w14:paraId="2732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top"/>
          </w:tcPr>
          <w:p w14:paraId="12477B14">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450" w:type="dxa"/>
            <w:vAlign w:val="top"/>
          </w:tcPr>
          <w:p w14:paraId="53D190CB">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575" w:type="dxa"/>
            <w:vAlign w:val="top"/>
          </w:tcPr>
          <w:p w14:paraId="092D329E">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725" w:type="dxa"/>
            <w:vAlign w:val="top"/>
          </w:tcPr>
          <w:p w14:paraId="2FE6A803">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955" w:type="dxa"/>
            <w:vAlign w:val="top"/>
          </w:tcPr>
          <w:p w14:paraId="45A4EC8E">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685" w:type="dxa"/>
            <w:vAlign w:val="top"/>
          </w:tcPr>
          <w:p w14:paraId="67458468">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055" w:type="dxa"/>
            <w:vAlign w:val="top"/>
          </w:tcPr>
          <w:p w14:paraId="60FB44E2">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r>
      <w:tr w14:paraId="62C1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top"/>
          </w:tcPr>
          <w:p w14:paraId="6C8FDC47">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450" w:type="dxa"/>
            <w:vAlign w:val="top"/>
          </w:tcPr>
          <w:p w14:paraId="6478748F">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575" w:type="dxa"/>
            <w:vAlign w:val="top"/>
          </w:tcPr>
          <w:p w14:paraId="39601969">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725" w:type="dxa"/>
            <w:vAlign w:val="top"/>
          </w:tcPr>
          <w:p w14:paraId="7A4CD100">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955" w:type="dxa"/>
            <w:vAlign w:val="top"/>
          </w:tcPr>
          <w:p w14:paraId="21D30DEF">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685" w:type="dxa"/>
            <w:vAlign w:val="top"/>
          </w:tcPr>
          <w:p w14:paraId="7DD241D0">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055" w:type="dxa"/>
            <w:vAlign w:val="top"/>
          </w:tcPr>
          <w:p w14:paraId="66520484">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r>
      <w:tr w14:paraId="7217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top"/>
          </w:tcPr>
          <w:p w14:paraId="3672B32B">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450" w:type="dxa"/>
            <w:vAlign w:val="top"/>
          </w:tcPr>
          <w:p w14:paraId="46D165CE">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575" w:type="dxa"/>
            <w:vAlign w:val="top"/>
          </w:tcPr>
          <w:p w14:paraId="6C07B89B">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725" w:type="dxa"/>
            <w:vAlign w:val="top"/>
          </w:tcPr>
          <w:p w14:paraId="346078C3">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955" w:type="dxa"/>
            <w:vAlign w:val="top"/>
          </w:tcPr>
          <w:p w14:paraId="720A6D22">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685" w:type="dxa"/>
            <w:vAlign w:val="top"/>
          </w:tcPr>
          <w:p w14:paraId="60DC790B">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055" w:type="dxa"/>
            <w:vAlign w:val="top"/>
          </w:tcPr>
          <w:p w14:paraId="19C661B3">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r>
      <w:tr w14:paraId="2C5C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top"/>
          </w:tcPr>
          <w:p w14:paraId="078832CA">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450" w:type="dxa"/>
            <w:vAlign w:val="top"/>
          </w:tcPr>
          <w:p w14:paraId="4C67E949">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575" w:type="dxa"/>
            <w:vAlign w:val="top"/>
          </w:tcPr>
          <w:p w14:paraId="25BCAF4A">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725" w:type="dxa"/>
            <w:vAlign w:val="top"/>
          </w:tcPr>
          <w:p w14:paraId="1F7D9472">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955" w:type="dxa"/>
            <w:vAlign w:val="top"/>
          </w:tcPr>
          <w:p w14:paraId="1FEA843D">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685" w:type="dxa"/>
            <w:vAlign w:val="top"/>
          </w:tcPr>
          <w:p w14:paraId="55BAEE60">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055" w:type="dxa"/>
            <w:vAlign w:val="top"/>
          </w:tcPr>
          <w:p w14:paraId="73E6E4BD">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r>
      <w:tr w14:paraId="7311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top"/>
          </w:tcPr>
          <w:p w14:paraId="12ABA17F">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450" w:type="dxa"/>
            <w:vAlign w:val="top"/>
          </w:tcPr>
          <w:p w14:paraId="08C9FB94">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575" w:type="dxa"/>
            <w:vAlign w:val="top"/>
          </w:tcPr>
          <w:p w14:paraId="21C31889">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725" w:type="dxa"/>
            <w:vAlign w:val="top"/>
          </w:tcPr>
          <w:p w14:paraId="72C3FA4E">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955" w:type="dxa"/>
            <w:vAlign w:val="top"/>
          </w:tcPr>
          <w:p w14:paraId="21947170">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685" w:type="dxa"/>
            <w:vAlign w:val="top"/>
          </w:tcPr>
          <w:p w14:paraId="00AD0E60">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055" w:type="dxa"/>
            <w:vAlign w:val="top"/>
          </w:tcPr>
          <w:p w14:paraId="6943227E">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r>
      <w:tr w14:paraId="7D78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top"/>
          </w:tcPr>
          <w:p w14:paraId="749A72B2">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450" w:type="dxa"/>
            <w:vAlign w:val="top"/>
          </w:tcPr>
          <w:p w14:paraId="451F1315">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575" w:type="dxa"/>
            <w:vAlign w:val="top"/>
          </w:tcPr>
          <w:p w14:paraId="1A7B5EAA">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725" w:type="dxa"/>
            <w:vAlign w:val="top"/>
          </w:tcPr>
          <w:p w14:paraId="474597BE">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955" w:type="dxa"/>
            <w:vAlign w:val="top"/>
          </w:tcPr>
          <w:p w14:paraId="50C501AB">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685" w:type="dxa"/>
            <w:vAlign w:val="top"/>
          </w:tcPr>
          <w:p w14:paraId="6991D632">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055" w:type="dxa"/>
            <w:vAlign w:val="top"/>
          </w:tcPr>
          <w:p w14:paraId="261FE1B1">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r>
      <w:tr w14:paraId="200C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top"/>
          </w:tcPr>
          <w:p w14:paraId="70ED0073">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450" w:type="dxa"/>
            <w:vAlign w:val="top"/>
          </w:tcPr>
          <w:p w14:paraId="23ED3CBC">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575" w:type="dxa"/>
            <w:vAlign w:val="top"/>
          </w:tcPr>
          <w:p w14:paraId="26C100DE">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725" w:type="dxa"/>
            <w:vAlign w:val="top"/>
          </w:tcPr>
          <w:p w14:paraId="265411AD">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955" w:type="dxa"/>
            <w:vAlign w:val="top"/>
          </w:tcPr>
          <w:p w14:paraId="60EA9E4F">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685" w:type="dxa"/>
            <w:vAlign w:val="top"/>
          </w:tcPr>
          <w:p w14:paraId="1F4CE427">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055" w:type="dxa"/>
            <w:vAlign w:val="top"/>
          </w:tcPr>
          <w:p w14:paraId="06D9C52A">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r>
      <w:tr w14:paraId="7C92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top"/>
          </w:tcPr>
          <w:p w14:paraId="74DCA1CF">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450" w:type="dxa"/>
            <w:vAlign w:val="top"/>
          </w:tcPr>
          <w:p w14:paraId="75EF59FF">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575" w:type="dxa"/>
            <w:vAlign w:val="top"/>
          </w:tcPr>
          <w:p w14:paraId="55FB3375">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725" w:type="dxa"/>
            <w:vAlign w:val="top"/>
          </w:tcPr>
          <w:p w14:paraId="363D58C6">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955" w:type="dxa"/>
            <w:vAlign w:val="top"/>
          </w:tcPr>
          <w:p w14:paraId="0DD499E6">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685" w:type="dxa"/>
            <w:vAlign w:val="top"/>
          </w:tcPr>
          <w:p w14:paraId="693082BD">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055" w:type="dxa"/>
            <w:vAlign w:val="top"/>
          </w:tcPr>
          <w:p w14:paraId="1C673E13">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r>
      <w:tr w14:paraId="20CB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top"/>
          </w:tcPr>
          <w:p w14:paraId="5267ECE8">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450" w:type="dxa"/>
            <w:vAlign w:val="top"/>
          </w:tcPr>
          <w:p w14:paraId="1A4DF727">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575" w:type="dxa"/>
            <w:vAlign w:val="top"/>
          </w:tcPr>
          <w:p w14:paraId="05F4215C">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1725" w:type="dxa"/>
            <w:vAlign w:val="top"/>
          </w:tcPr>
          <w:p w14:paraId="1FA44A05">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955" w:type="dxa"/>
            <w:vAlign w:val="top"/>
          </w:tcPr>
          <w:p w14:paraId="5CB5C741">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685" w:type="dxa"/>
            <w:vAlign w:val="top"/>
          </w:tcPr>
          <w:p w14:paraId="0A66AF6F">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c>
          <w:tcPr>
            <w:tcW w:w="2055" w:type="dxa"/>
            <w:vAlign w:val="top"/>
          </w:tcPr>
          <w:p w14:paraId="16151313">
            <w:pPr>
              <w:pStyle w:val="4"/>
              <w:keepNext w:val="0"/>
              <w:keepLines w:val="0"/>
              <w:pageBreakBefore w:val="0"/>
              <w:widowControl w:val="0"/>
              <w:kinsoku/>
              <w:wordWrap w:val="0"/>
              <w:overflowPunct/>
              <w:topLinePunct/>
              <w:autoSpaceDE/>
              <w:autoSpaceDN/>
              <w:bidi w:val="0"/>
              <w:adjustRightInd/>
              <w:snapToGrid/>
              <w:spacing w:before="0" w:after="0" w:line="440" w:lineRule="exact"/>
              <w:ind w:left="0" w:leftChars="0" w:right="0" w:rightChars="0" w:firstLine="0" w:firstLineChars="0"/>
              <w:jc w:val="both"/>
              <w:textAlignment w:val="auto"/>
              <w:outlineLvl w:val="1"/>
              <w:rPr>
                <w:rFonts w:hint="eastAsia" w:ascii="宋体" w:hAnsi="宋体" w:eastAsia="宋体" w:cs="宋体"/>
                <w:color w:val="auto"/>
                <w:sz w:val="24"/>
                <w:szCs w:val="24"/>
                <w:highlight w:val="none"/>
                <w:vertAlign w:val="baseline"/>
                <w:lang w:val="en-US" w:eastAsia="zh-CN"/>
              </w:rPr>
            </w:pPr>
          </w:p>
        </w:tc>
      </w:tr>
    </w:tbl>
    <w:p w14:paraId="36E64505">
      <w:pPr>
        <w:keepNext w:val="0"/>
        <w:keepLines w:val="0"/>
        <w:pageBreakBefore w:val="0"/>
        <w:widowControl w:val="0"/>
        <w:kinsoku/>
        <w:wordWrap w:val="0"/>
        <w:overflowPunct/>
        <w:topLinePunct/>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注：表格如不够，可按同样格式扩展。</w:t>
      </w:r>
    </w:p>
    <w:p w14:paraId="24D91481">
      <w:pPr>
        <w:pStyle w:val="11"/>
        <w:keepNext w:val="0"/>
        <w:keepLines w:val="0"/>
        <w:pageBreakBefore w:val="0"/>
        <w:widowControl w:val="0"/>
        <w:kinsoku/>
        <w:wordWrap w:val="0"/>
        <w:overflowPunct/>
        <w:topLinePunct/>
        <w:autoSpaceDE/>
        <w:autoSpaceDN/>
        <w:bidi w:val="0"/>
        <w:adjustRightInd/>
        <w:snapToGrid/>
        <w:spacing w:after="0" w:line="400" w:lineRule="exact"/>
        <w:ind w:left="0" w:leftChars="0" w:firstLine="0" w:firstLineChars="0"/>
        <w:jc w:val="left"/>
        <w:textAlignment w:val="auto"/>
        <w:outlineLvl w:val="9"/>
        <w:rPr>
          <w:rFonts w:hint="eastAsia" w:ascii="宋体" w:hAnsi="宋体" w:eastAsia="宋体" w:cs="宋体"/>
          <w:color w:val="auto"/>
          <w:sz w:val="24"/>
          <w:szCs w:val="24"/>
          <w:highlight w:val="none"/>
        </w:rPr>
      </w:pPr>
    </w:p>
    <w:p w14:paraId="563F32CC">
      <w:pPr>
        <w:pStyle w:val="11"/>
        <w:keepNext w:val="0"/>
        <w:keepLines w:val="0"/>
        <w:pageBreakBefore w:val="0"/>
        <w:widowControl w:val="0"/>
        <w:kinsoku/>
        <w:wordWrap w:val="0"/>
        <w:overflowPunct/>
        <w:topLinePunct/>
        <w:autoSpaceDE/>
        <w:autoSpaceDN/>
        <w:bidi w:val="0"/>
        <w:adjustRightInd/>
        <w:snapToGrid/>
        <w:spacing w:after="0" w:line="400" w:lineRule="exact"/>
        <w:ind w:left="0" w:leftChars="0" w:firstLine="0" w:firstLineChars="0"/>
        <w:jc w:val="left"/>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6E7EA587">
      <w:pPr>
        <w:pStyle w:val="11"/>
        <w:keepNext w:val="0"/>
        <w:keepLines w:val="0"/>
        <w:pageBreakBefore w:val="0"/>
        <w:widowControl w:val="0"/>
        <w:kinsoku/>
        <w:wordWrap w:val="0"/>
        <w:overflowPunct/>
        <w:topLinePunct/>
        <w:autoSpaceDE/>
        <w:autoSpaceDN/>
        <w:bidi w:val="0"/>
        <w:adjustRightInd/>
        <w:snapToGrid/>
        <w:spacing w:after="0" w:line="400" w:lineRule="exact"/>
        <w:ind w:left="0" w:leftChars="0" w:firstLine="0" w:firstLineChars="0"/>
        <w:jc w:val="left"/>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158D828">
      <w:pPr>
        <w:rPr>
          <w:rFonts w:hint="eastAsia"/>
          <w:color w:val="auto"/>
          <w:highlight w:val="none"/>
        </w:rPr>
        <w:sectPr>
          <w:pgSz w:w="16838" w:h="11906" w:orient="landscape"/>
          <w:pgMar w:top="1361" w:right="1361" w:bottom="1361" w:left="1361" w:header="851" w:footer="850" w:gutter="0"/>
          <w:pgNumType w:fmt="decimal"/>
          <w:cols w:space="0" w:num="1"/>
          <w:rtlGutter w:val="0"/>
          <w:docGrid w:linePitch="312" w:charSpace="0"/>
        </w:sectPr>
      </w:pPr>
      <w:r>
        <w:rPr>
          <w:rFonts w:hint="eastAsia" w:ascii="宋体" w:hAnsi="宋体" w:eastAsia="宋体" w:cs="宋体"/>
          <w:color w:val="auto"/>
          <w:sz w:val="24"/>
          <w:szCs w:val="24"/>
          <w:highlight w:val="none"/>
          <w:u w:val="none"/>
          <w:lang w:eastAsia="zh-CN"/>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bookmarkEnd w:id="51"/>
    <w:bookmarkEnd w:id="52"/>
    <w:p w14:paraId="67182432">
      <w:pPr>
        <w:keepNext w:val="0"/>
        <w:keepLines w:val="0"/>
        <w:pageBreakBefore w:val="0"/>
        <w:widowControl w:val="0"/>
        <w:shd w:val="clear"/>
        <w:kinsoku/>
        <w:wordWrap w:val="0"/>
        <w:overflowPunct/>
        <w:topLinePunct/>
        <w:autoSpaceDE/>
        <w:autoSpaceDN/>
        <w:bidi w:val="0"/>
        <w:snapToGrid w:val="0"/>
        <w:spacing w:beforeAutospacing="0" w:afterAutospacing="0"/>
        <w:jc w:val="both"/>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eastAsia="zh-CN"/>
        </w:rPr>
        <w:t>报价</w:t>
      </w:r>
      <w:r>
        <w:rPr>
          <w:rFonts w:hint="eastAsia" w:ascii="宋体" w:hAnsi="宋体" w:eastAsia="宋体" w:cs="宋体"/>
          <w:b/>
          <w:bCs/>
          <w:color w:val="auto"/>
          <w:sz w:val="32"/>
          <w:szCs w:val="32"/>
          <w:highlight w:val="none"/>
        </w:rPr>
        <w:t>文件格式：</w:t>
      </w:r>
    </w:p>
    <w:p w14:paraId="349754DD">
      <w:pPr>
        <w:keepNext w:val="0"/>
        <w:keepLines w:val="0"/>
        <w:pageBreakBefore w:val="0"/>
        <w:widowControl w:val="0"/>
        <w:shd w:val="clear"/>
        <w:kinsoku/>
        <w:wordWrap w:val="0"/>
        <w:overflowPunct/>
        <w:topLinePunct/>
        <w:autoSpaceDE/>
        <w:autoSpaceDN/>
        <w:bidi w:val="0"/>
        <w:snapToGrid w:val="0"/>
        <w:spacing w:beforeAutospacing="0" w:afterAutospacing="0" w:line="360" w:lineRule="auto"/>
        <w:outlineLvl w:val="1"/>
        <w:rPr>
          <w:rFonts w:hint="eastAsia" w:ascii="宋体" w:hAnsi="宋体" w:eastAsia="宋体" w:cs="宋体"/>
          <w:b/>
          <w:bCs/>
          <w:color w:val="auto"/>
          <w:sz w:val="24"/>
          <w:highlight w:val="none"/>
        </w:rPr>
      </w:pPr>
    </w:p>
    <w:p w14:paraId="37D0EFFA">
      <w:pPr>
        <w:pStyle w:val="10"/>
        <w:rPr>
          <w:rFonts w:hint="eastAsia" w:ascii="宋体" w:hAnsi="宋体" w:eastAsia="宋体" w:cs="宋体"/>
          <w:b/>
          <w:bCs/>
          <w:color w:val="auto"/>
          <w:sz w:val="24"/>
          <w:highlight w:val="none"/>
        </w:rPr>
      </w:pPr>
    </w:p>
    <w:p w14:paraId="26CF4CDC">
      <w:pPr>
        <w:pStyle w:val="11"/>
        <w:rPr>
          <w:rFonts w:hint="eastAsia"/>
          <w:color w:val="auto"/>
        </w:rPr>
      </w:pPr>
    </w:p>
    <w:p w14:paraId="08C4100D">
      <w:pPr>
        <w:keepNext w:val="0"/>
        <w:keepLines w:val="0"/>
        <w:pageBreakBefore w:val="0"/>
        <w:widowControl w:val="0"/>
        <w:shd w:val="clear"/>
        <w:kinsoku/>
        <w:wordWrap w:val="0"/>
        <w:overflowPunct/>
        <w:topLinePunct/>
        <w:autoSpaceDE/>
        <w:autoSpaceDN/>
        <w:bidi w:val="0"/>
        <w:snapToGrid w:val="0"/>
        <w:spacing w:beforeAutospacing="0" w:afterAutospacing="0"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 报价文件封面格式： </w:t>
      </w:r>
    </w:p>
    <w:p w14:paraId="34716B05">
      <w:pPr>
        <w:keepNext w:val="0"/>
        <w:keepLines w:val="0"/>
        <w:pageBreakBefore w:val="0"/>
        <w:widowControl w:val="0"/>
        <w:shd w:val="clear"/>
        <w:kinsoku/>
        <w:wordWrap w:val="0"/>
        <w:overflowPunct/>
        <w:topLinePunct/>
        <w:autoSpaceDE/>
        <w:autoSpaceDN/>
        <w:bidi w:val="0"/>
        <w:snapToGrid w:val="0"/>
        <w:spacing w:beforeAutospacing="0" w:afterAutospacing="0" w:line="360" w:lineRule="auto"/>
        <w:ind w:firstLine="480"/>
        <w:outlineLvl w:val="1"/>
        <w:rPr>
          <w:rFonts w:hint="eastAsia" w:ascii="宋体" w:hAnsi="宋体" w:eastAsia="宋体" w:cs="宋体"/>
          <w:b/>
          <w:bCs/>
          <w:color w:val="auto"/>
          <w:sz w:val="32"/>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 xml:space="preserve">   </w:t>
      </w:r>
    </w:p>
    <w:p w14:paraId="7238429C">
      <w:pPr>
        <w:keepNext w:val="0"/>
        <w:keepLines w:val="0"/>
        <w:pageBreakBefore w:val="0"/>
        <w:widowControl w:val="0"/>
        <w:shd w:val="clear"/>
        <w:kinsoku/>
        <w:wordWrap w:val="0"/>
        <w:overflowPunct/>
        <w:topLinePunct/>
        <w:autoSpaceDE/>
        <w:autoSpaceDN/>
        <w:bidi w:val="0"/>
        <w:snapToGrid w:val="0"/>
        <w:spacing w:beforeAutospacing="0" w:afterAutospacing="0" w:line="360" w:lineRule="auto"/>
        <w:ind w:firstLine="643"/>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w:t>
      </w:r>
    </w:p>
    <w:p w14:paraId="2AAAFA0C">
      <w:pPr>
        <w:keepNext w:val="0"/>
        <w:keepLines w:val="0"/>
        <w:pageBreakBefore w:val="0"/>
        <w:widowControl w:val="0"/>
        <w:shd w:val="clear"/>
        <w:kinsoku/>
        <w:wordWrap w:val="0"/>
        <w:overflowPunct/>
        <w:topLinePunct/>
        <w:autoSpaceDE/>
        <w:autoSpaceDN/>
        <w:bidi w:val="0"/>
        <w:snapToGrid w:val="0"/>
        <w:spacing w:beforeAutospacing="0" w:afterAutospacing="0" w:line="360" w:lineRule="auto"/>
        <w:ind w:firstLine="1200" w:firstLineChars="5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3B31AD88">
      <w:pPr>
        <w:keepNext w:val="0"/>
        <w:keepLines w:val="0"/>
        <w:pageBreakBefore w:val="0"/>
        <w:widowControl w:val="0"/>
        <w:shd w:val="clear"/>
        <w:kinsoku/>
        <w:wordWrap w:val="0"/>
        <w:overflowPunct/>
        <w:topLinePunct/>
        <w:autoSpaceDE/>
        <w:autoSpaceDN/>
        <w:bidi w:val="0"/>
        <w:snapToGrid w:val="0"/>
        <w:spacing w:beforeAutospacing="0" w:afterAutospacing="0" w:line="360" w:lineRule="auto"/>
        <w:ind w:firstLine="1200" w:firstLineChars="5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14F0F411">
      <w:pPr>
        <w:pStyle w:val="6"/>
        <w:keepNext w:val="0"/>
        <w:keepLines w:val="0"/>
        <w:pageBreakBefore w:val="0"/>
        <w:widowControl w:val="0"/>
        <w:shd w:val="clear"/>
        <w:kinsoku/>
        <w:wordWrap w:val="0"/>
        <w:overflowPunct/>
        <w:topLinePunct/>
        <w:autoSpaceDE/>
        <w:autoSpaceDN/>
        <w:bidi w:val="0"/>
        <w:snapToGrid w:val="0"/>
        <w:spacing w:beforeAutospacing="0" w:afterAutospacing="0" w:line="360" w:lineRule="auto"/>
        <w:ind w:firstLine="1200" w:firstLineChars="5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79DA6D67">
      <w:pPr>
        <w:pStyle w:val="6"/>
        <w:keepNext w:val="0"/>
        <w:keepLines w:val="0"/>
        <w:pageBreakBefore w:val="0"/>
        <w:widowControl w:val="0"/>
        <w:shd w:val="clear"/>
        <w:kinsoku/>
        <w:wordWrap w:val="0"/>
        <w:overflowPunct/>
        <w:topLinePunct/>
        <w:autoSpaceDE/>
        <w:autoSpaceDN/>
        <w:bidi w:val="0"/>
        <w:snapToGrid w:val="0"/>
        <w:spacing w:beforeAutospacing="0" w:afterAutospacing="0" w:line="360" w:lineRule="auto"/>
        <w:ind w:firstLine="1200" w:firstLineChars="5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26D9A372">
      <w:pPr>
        <w:keepNext w:val="0"/>
        <w:keepLines w:val="0"/>
        <w:pageBreakBefore w:val="0"/>
        <w:widowControl w:val="0"/>
        <w:shd w:val="clear"/>
        <w:kinsoku/>
        <w:wordWrap w:val="0"/>
        <w:overflowPunct/>
        <w:topLinePunct/>
        <w:autoSpaceDE/>
        <w:autoSpaceDN/>
        <w:bidi w:val="0"/>
        <w:snapToGrid w:val="0"/>
        <w:spacing w:beforeAutospacing="0" w:afterAutospacing="0" w:line="360" w:lineRule="auto"/>
        <w:ind w:firstLine="4080" w:firstLineChars="1700"/>
        <w:rPr>
          <w:rFonts w:hint="eastAsia" w:ascii="宋体" w:hAnsi="宋体" w:eastAsia="宋体" w:cs="宋体"/>
          <w:color w:val="auto"/>
          <w:sz w:val="24"/>
          <w:highlight w:val="none"/>
        </w:rPr>
      </w:pPr>
    </w:p>
    <w:p w14:paraId="49CE3E50">
      <w:pPr>
        <w:keepNext w:val="0"/>
        <w:keepLines w:val="0"/>
        <w:pageBreakBefore w:val="0"/>
        <w:widowControl w:val="0"/>
        <w:shd w:val="clear"/>
        <w:kinsoku/>
        <w:wordWrap w:val="0"/>
        <w:overflowPunct/>
        <w:topLinePunct/>
        <w:autoSpaceDE/>
        <w:autoSpaceDN/>
        <w:bidi w:val="0"/>
        <w:snapToGrid w:val="0"/>
        <w:spacing w:beforeAutospacing="0" w:afterAutospacing="0" w:line="360" w:lineRule="auto"/>
        <w:ind w:firstLine="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52AD04E1">
      <w:pPr>
        <w:keepNext w:val="0"/>
        <w:keepLines w:val="0"/>
        <w:pageBreakBefore w:val="0"/>
        <w:widowControl w:val="0"/>
        <w:shd w:val="clear"/>
        <w:kinsoku/>
        <w:wordWrap w:val="0"/>
        <w:overflowPunct/>
        <w:topLinePunct/>
        <w:autoSpaceDE/>
        <w:autoSpaceDN/>
        <w:bidi w:val="0"/>
        <w:snapToGrid w:val="0"/>
        <w:spacing w:beforeAutospacing="0" w:afterAutospacing="0" w:line="360" w:lineRule="auto"/>
        <w:rPr>
          <w:rFonts w:hint="eastAsia" w:ascii="宋体" w:hAnsi="宋体" w:eastAsia="宋体" w:cs="宋体"/>
          <w:color w:val="auto"/>
          <w:sz w:val="24"/>
          <w:highlight w:val="none"/>
        </w:rPr>
      </w:pPr>
    </w:p>
    <w:p w14:paraId="7E922127">
      <w:pPr>
        <w:pStyle w:val="11"/>
        <w:keepNext w:val="0"/>
        <w:keepLines w:val="0"/>
        <w:pageBreakBefore w:val="0"/>
        <w:widowControl w:val="0"/>
        <w:shd w:val="clear"/>
        <w:kinsoku/>
        <w:wordWrap w:val="0"/>
        <w:overflowPunct/>
        <w:topLinePunct/>
        <w:autoSpaceDE/>
        <w:autoSpaceDN/>
        <w:bidi w:val="0"/>
        <w:spacing w:beforeAutospacing="0" w:after="0" w:afterAutospacing="0" w:line="360" w:lineRule="auto"/>
        <w:ind w:firstLine="240"/>
        <w:rPr>
          <w:rFonts w:hint="eastAsia" w:ascii="宋体" w:hAnsi="宋体" w:eastAsia="宋体" w:cs="宋体"/>
          <w:color w:val="auto"/>
          <w:sz w:val="24"/>
          <w:highlight w:val="none"/>
        </w:rPr>
      </w:pPr>
    </w:p>
    <w:p w14:paraId="1EA86905">
      <w:pPr>
        <w:pStyle w:val="11"/>
        <w:keepNext w:val="0"/>
        <w:keepLines w:val="0"/>
        <w:pageBreakBefore w:val="0"/>
        <w:widowControl w:val="0"/>
        <w:shd w:val="clear"/>
        <w:kinsoku/>
        <w:wordWrap w:val="0"/>
        <w:overflowPunct/>
        <w:topLinePunct/>
        <w:autoSpaceDE/>
        <w:autoSpaceDN/>
        <w:bidi w:val="0"/>
        <w:spacing w:beforeAutospacing="0" w:after="0" w:afterAutospacing="0" w:line="360" w:lineRule="auto"/>
        <w:ind w:left="0" w:leftChars="0" w:firstLine="0" w:firstLineChars="0"/>
        <w:rPr>
          <w:rFonts w:hint="eastAsia" w:ascii="宋体" w:hAnsi="宋体" w:eastAsia="宋体" w:cs="宋体"/>
          <w:color w:val="auto"/>
          <w:sz w:val="24"/>
          <w:highlight w:val="none"/>
        </w:rPr>
      </w:pPr>
    </w:p>
    <w:p w14:paraId="2107E018">
      <w:pPr>
        <w:keepNext w:val="0"/>
        <w:keepLines w:val="0"/>
        <w:pageBreakBefore w:val="0"/>
        <w:widowControl w:val="0"/>
        <w:shd w:val="clear"/>
        <w:kinsoku/>
        <w:wordWrap w:val="0"/>
        <w:overflowPunct/>
        <w:topLinePunct/>
        <w:autoSpaceDE/>
        <w:autoSpaceDN/>
        <w:bidi w:val="0"/>
        <w:snapToGrid w:val="0"/>
        <w:spacing w:beforeAutospacing="0" w:afterAutospacing="0" w:line="360" w:lineRule="auto"/>
        <w:ind w:firstLine="480"/>
        <w:jc w:val="center"/>
        <w:rPr>
          <w:rFonts w:hint="eastAsia" w:ascii="宋体" w:hAnsi="宋体" w:eastAsia="宋体" w:cs="宋体"/>
          <w:color w:val="auto"/>
          <w:sz w:val="24"/>
          <w:highlight w:val="none"/>
        </w:rPr>
      </w:pPr>
    </w:p>
    <w:p w14:paraId="6B41E9DE">
      <w:pPr>
        <w:keepNext w:val="0"/>
        <w:keepLines w:val="0"/>
        <w:pageBreakBefore w:val="0"/>
        <w:widowControl w:val="0"/>
        <w:shd w:val="clear"/>
        <w:kinsoku/>
        <w:wordWrap w:val="0"/>
        <w:overflowPunct/>
        <w:topLinePunct/>
        <w:autoSpaceDE/>
        <w:autoSpaceDN/>
        <w:bidi w:val="0"/>
        <w:snapToGrid w:val="0"/>
        <w:spacing w:beforeAutospacing="0" w:afterAutospacing="0"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2.报价文件目录</w:t>
      </w:r>
    </w:p>
    <w:p w14:paraId="5B1148C8">
      <w:pPr>
        <w:keepNext w:val="0"/>
        <w:keepLines w:val="0"/>
        <w:pageBreakBefore w:val="0"/>
        <w:widowControl w:val="0"/>
        <w:shd w:val="clear"/>
        <w:kinsoku/>
        <w:wordWrap w:val="0"/>
        <w:overflowPunct/>
        <w:topLinePunct/>
        <w:autoSpaceDE/>
        <w:autoSpaceDN/>
        <w:bidi w:val="0"/>
        <w:snapToGrid w:val="0"/>
        <w:spacing w:beforeAutospacing="0" w:afterAutospacing="0"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（请按照“第三章投标人须知，三、投标文件的编制”的顺序，结合评标办法自行编制目录）</w:t>
      </w:r>
    </w:p>
    <w:p w14:paraId="0959C6FC">
      <w:pPr>
        <w:keepNext w:val="0"/>
        <w:keepLines w:val="0"/>
        <w:pageBreakBefore w:val="0"/>
        <w:widowControl w:val="0"/>
        <w:shd w:val="clear"/>
        <w:kinsoku/>
        <w:wordWrap w:val="0"/>
        <w:overflowPunct/>
        <w:topLinePunct/>
        <w:autoSpaceDE/>
        <w:autoSpaceDN/>
        <w:bidi w:val="0"/>
        <w:adjustRightInd/>
        <w:snapToGrid w:val="0"/>
        <w:spacing w:beforeAutospacing="0" w:afterAutospacing="0" w:line="400" w:lineRule="exact"/>
        <w:ind w:left="0" w:leftChars="0" w:right="0" w:rightChars="0"/>
        <w:jc w:val="both"/>
        <w:textAlignment w:val="auto"/>
        <w:outlineLvl w:val="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例如：（1）投标函————————————————————————（页码）</w:t>
      </w:r>
    </w:p>
    <w:p w14:paraId="2681E52C">
      <w:pPr>
        <w:keepNext w:val="0"/>
        <w:keepLines w:val="0"/>
        <w:pageBreakBefore w:val="0"/>
        <w:widowControl w:val="0"/>
        <w:shd w:val="clear"/>
        <w:kinsoku/>
        <w:wordWrap w:val="0"/>
        <w:overflowPunct/>
        <w:topLinePunct/>
        <w:autoSpaceDE/>
        <w:autoSpaceDN/>
        <w:bidi w:val="0"/>
        <w:adjustRightInd/>
        <w:snapToGrid w:val="0"/>
        <w:spacing w:beforeAutospacing="0" w:afterAutospacing="0" w:line="400" w:lineRule="exact"/>
        <w:ind w:left="0" w:leftChars="0" w:right="0" w:rightChars="0"/>
        <w:jc w:val="both"/>
        <w:textAlignment w:val="auto"/>
        <w:outlineLvl w:val="1"/>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lang w:eastAsia="zh-CN"/>
        </w:rPr>
        <w:t>）开标一览表</w:t>
      </w:r>
      <w:r>
        <w:rPr>
          <w:rFonts w:hint="eastAsia" w:ascii="宋体" w:hAnsi="宋体" w:eastAsia="宋体" w:cs="宋体"/>
          <w:bCs/>
          <w:color w:val="auto"/>
          <w:sz w:val="24"/>
          <w:highlight w:val="none"/>
        </w:rPr>
        <w:t>——————————————————————（页码）</w:t>
      </w:r>
    </w:p>
    <w:p w14:paraId="3FFF6504">
      <w:pPr>
        <w:keepNext w:val="0"/>
        <w:keepLines w:val="0"/>
        <w:pageBreakBefore w:val="0"/>
        <w:widowControl w:val="0"/>
        <w:shd w:val="clear"/>
        <w:kinsoku/>
        <w:wordWrap w:val="0"/>
        <w:overflowPunct/>
        <w:topLinePunct/>
        <w:autoSpaceDE/>
        <w:autoSpaceDN/>
        <w:bidi w:val="0"/>
        <w:snapToGrid w:val="0"/>
        <w:spacing w:beforeAutospacing="0" w:afterAutospacing="0" w:line="360" w:lineRule="auto"/>
        <w:ind w:firstLine="482"/>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p>
    <w:p w14:paraId="5EE9824A">
      <w:pPr>
        <w:pStyle w:val="2"/>
        <w:rPr>
          <w:rFonts w:hint="eastAsia"/>
        </w:rPr>
      </w:pPr>
    </w:p>
    <w:p w14:paraId="33EA6646">
      <w:pPr>
        <w:keepNext w:val="0"/>
        <w:keepLines w:val="0"/>
        <w:pageBreakBefore w:val="0"/>
        <w:widowControl w:val="0"/>
        <w:shd w:val="clear"/>
        <w:kinsoku/>
        <w:wordWrap w:val="0"/>
        <w:overflowPunct/>
        <w:topLinePunct/>
        <w:autoSpaceDE/>
        <w:autoSpaceDN/>
        <w:bidi w:val="0"/>
        <w:snapToGrid w:val="0"/>
        <w:spacing w:beforeAutospacing="0" w:afterAutospacing="0" w:line="360" w:lineRule="auto"/>
        <w:ind w:firstLine="482"/>
        <w:outlineLvl w:val="1"/>
        <w:rPr>
          <w:rFonts w:hint="eastAsia" w:ascii="宋体" w:hAnsi="宋体" w:eastAsia="宋体" w:cs="宋体"/>
          <w:b/>
          <w:bCs/>
          <w:color w:val="auto"/>
          <w:sz w:val="24"/>
          <w:highlight w:val="none"/>
        </w:rPr>
      </w:pPr>
    </w:p>
    <w:p w14:paraId="1831742B">
      <w:pPr>
        <w:pStyle w:val="36"/>
        <w:keepNext w:val="0"/>
        <w:keepLines w:val="0"/>
        <w:pageBreakBefore w:val="0"/>
        <w:widowControl w:val="0"/>
        <w:kinsoku/>
        <w:wordWrap w:val="0"/>
        <w:overflowPunct/>
        <w:topLinePunct/>
        <w:autoSpaceDE/>
        <w:autoSpaceDN/>
        <w:bidi w:val="0"/>
        <w:rPr>
          <w:rFonts w:hint="eastAsia" w:ascii="宋体" w:hAnsi="宋体" w:eastAsia="宋体" w:cs="宋体"/>
          <w:b/>
          <w:bCs/>
          <w:color w:val="auto"/>
          <w:sz w:val="24"/>
          <w:highlight w:val="none"/>
        </w:rPr>
      </w:pPr>
    </w:p>
    <w:p w14:paraId="0A3A1FE6">
      <w:pPr>
        <w:keepNext w:val="0"/>
        <w:keepLines w:val="0"/>
        <w:pageBreakBefore w:val="0"/>
        <w:widowControl w:val="0"/>
        <w:kinsoku/>
        <w:wordWrap w:val="0"/>
        <w:overflowPunct/>
        <w:topLinePunct/>
        <w:autoSpaceDE/>
        <w:autoSpaceDN/>
        <w:bidi w:val="0"/>
        <w:rPr>
          <w:rFonts w:hint="eastAsia" w:ascii="宋体" w:hAnsi="宋体" w:eastAsia="宋体" w:cs="宋体"/>
          <w:b/>
          <w:bCs/>
          <w:color w:val="auto"/>
          <w:sz w:val="24"/>
          <w:highlight w:val="none"/>
        </w:rPr>
      </w:pPr>
    </w:p>
    <w:p w14:paraId="40931308">
      <w:pPr>
        <w:keepNext w:val="0"/>
        <w:keepLines w:val="0"/>
        <w:pageBreakBefore w:val="0"/>
        <w:widowControl w:val="0"/>
        <w:shd w:val="clear"/>
        <w:kinsoku/>
        <w:wordWrap w:val="0"/>
        <w:overflowPunct/>
        <w:topLinePunct/>
        <w:autoSpaceDE/>
        <w:autoSpaceDN/>
        <w:bidi w:val="0"/>
        <w:snapToGrid w:val="0"/>
        <w:spacing w:beforeAutospacing="0" w:afterAutospacing="0" w:line="360" w:lineRule="auto"/>
        <w:rPr>
          <w:rFonts w:hint="eastAsia" w:ascii="宋体" w:hAnsi="宋体" w:eastAsia="宋体" w:cs="宋体"/>
          <w:b/>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color w:val="auto"/>
          <w:sz w:val="24"/>
          <w:highlight w:val="none"/>
        </w:rPr>
        <w:t>投标函格式：</w:t>
      </w:r>
    </w:p>
    <w:p w14:paraId="5D2F83BB">
      <w:pPr>
        <w:keepNext w:val="0"/>
        <w:keepLines w:val="0"/>
        <w:pageBreakBefore w:val="0"/>
        <w:widowControl w:val="0"/>
        <w:shd w:val="clear"/>
        <w:kinsoku/>
        <w:wordWrap w:val="0"/>
        <w:overflowPunct/>
        <w:topLinePunct/>
        <w:autoSpaceDE/>
        <w:autoSpaceDN/>
        <w:bidi w:val="0"/>
        <w:snapToGrid w:val="0"/>
        <w:spacing w:beforeAutospacing="0" w:afterAutospacing="0" w:line="360" w:lineRule="auto"/>
        <w:ind w:firstLine="56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 标 函</w:t>
      </w:r>
    </w:p>
    <w:p w14:paraId="12BAE562">
      <w:pPr>
        <w:keepNext w:val="0"/>
        <w:keepLines w:val="0"/>
        <w:pageBreakBefore w:val="0"/>
        <w:widowControl w:val="0"/>
        <w:shd w:val="clear"/>
        <w:kinsoku/>
        <w:wordWrap w:val="0"/>
        <w:overflowPunct/>
        <w:topLinePunct/>
        <w:autoSpaceDE/>
        <w:autoSpaceDN/>
        <w:bidi w:val="0"/>
        <w:snapToGrid w:val="0"/>
        <w:spacing w:beforeAutospacing="0" w:afterAutospacing="0" w:line="360" w:lineRule="auto"/>
        <w:ind w:firstLine="482"/>
        <w:jc w:val="center"/>
        <w:rPr>
          <w:rFonts w:hint="eastAsia" w:ascii="宋体" w:hAnsi="宋体" w:eastAsia="宋体" w:cs="宋体"/>
          <w:b/>
          <w:color w:val="auto"/>
          <w:sz w:val="24"/>
          <w:highlight w:val="none"/>
        </w:rPr>
      </w:pPr>
    </w:p>
    <w:p w14:paraId="08F4207B">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（采购单位</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采购代理机构</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w:t>
      </w:r>
    </w:p>
    <w:p w14:paraId="2D4AEF02">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项目的招标公告/投标邀请书（项目编号：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），签字代表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（全名）经正式授权并代表投标人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（投标人名称）提交</w:t>
      </w:r>
      <w:r>
        <w:rPr>
          <w:rFonts w:hint="eastAsia" w:ascii="宋体" w:hAnsi="宋体" w:eastAsia="宋体" w:cs="宋体"/>
          <w:color w:val="auto"/>
          <w:sz w:val="24"/>
          <w:highlight w:val="none"/>
          <w:lang w:eastAsia="zh-CN"/>
        </w:rPr>
        <w:t>资格文件、商务技术文件</w:t>
      </w:r>
      <w:r>
        <w:rPr>
          <w:rFonts w:hint="eastAsia" w:ascii="宋体" w:hAnsi="宋体" w:eastAsia="宋体" w:cs="宋体"/>
          <w:color w:val="auto"/>
          <w:sz w:val="24"/>
          <w:highlight w:val="none"/>
        </w:rPr>
        <w:t>、报价文件正本各一份。</w:t>
      </w:r>
    </w:p>
    <w:p w14:paraId="29B652B4">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001C9430">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1.投标人已详细审查全部“</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”，包括修改文件（如有的话）以及全部参考资料和有关附件，已经了解我方对于</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、采购过程、采购结果有依法进行询问、质疑、投诉的权利及相关渠道和要求。</w:t>
      </w:r>
    </w:p>
    <w:p w14:paraId="7617E497">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2.投标人在投标之前已经与贵方进行了充分的沟通，完全理解并接受</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的各项规定和要求，对</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的合理性、合法性不再有异议。</w:t>
      </w:r>
    </w:p>
    <w:p w14:paraId="40C9D868">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3.本投标有效期自开标日起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90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eastAsia="zh-CN"/>
        </w:rPr>
        <w:t>历天</w:t>
      </w:r>
      <w:r>
        <w:rPr>
          <w:rFonts w:hint="eastAsia" w:ascii="宋体" w:hAnsi="宋体" w:eastAsia="宋体" w:cs="宋体"/>
          <w:color w:val="auto"/>
          <w:sz w:val="24"/>
          <w:highlight w:val="none"/>
        </w:rPr>
        <w:t>。</w:t>
      </w:r>
    </w:p>
    <w:p w14:paraId="0CBD47F3">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4.如中标，本投标文件至本项目合同履行完毕止均保持有效，本投标人将按“</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”及政府采购法律、法规的规定履行合同责任和义务。</w:t>
      </w:r>
    </w:p>
    <w:p w14:paraId="57A6E9CA">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5.投标人同意按照贵方要求提供与投标有关的一切数据或资料。</w:t>
      </w:r>
    </w:p>
    <w:p w14:paraId="651F867B">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6.与本投标有关的一切正式往来信函请寄：</w:t>
      </w:r>
    </w:p>
    <w:p w14:paraId="1F50468F">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电话：</w:t>
      </w:r>
      <w:r>
        <w:rPr>
          <w:rFonts w:hint="eastAsia" w:ascii="宋体" w:hAnsi="宋体" w:eastAsia="宋体" w:cs="宋体"/>
          <w:color w:val="auto"/>
          <w:sz w:val="24"/>
          <w:highlight w:val="none"/>
          <w:u w:val="single"/>
        </w:rPr>
        <w:t xml:space="preserve">                  </w:t>
      </w:r>
    </w:p>
    <w:p w14:paraId="5AEA7F7E">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投标人代表姓名：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50F2B9AF">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投标人名称(公章):</w:t>
      </w:r>
      <w:r>
        <w:rPr>
          <w:rFonts w:hint="eastAsia" w:ascii="宋体" w:hAnsi="宋体" w:eastAsia="宋体" w:cs="宋体"/>
          <w:color w:val="auto"/>
          <w:sz w:val="24"/>
          <w:highlight w:val="none"/>
          <w:u w:val="single"/>
        </w:rPr>
        <w:t xml:space="preserve">                 </w:t>
      </w:r>
    </w:p>
    <w:p w14:paraId="677B82C0">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银行帐号：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5EB29B7">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p>
    <w:p w14:paraId="6B6A7CC1">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p>
    <w:p w14:paraId="49DFC594">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签字（或盖章）:</w:t>
      </w:r>
      <w:r>
        <w:rPr>
          <w:rFonts w:hint="eastAsia" w:ascii="宋体" w:hAnsi="宋体" w:eastAsia="宋体" w:cs="宋体"/>
          <w:color w:val="auto"/>
          <w:sz w:val="24"/>
          <w:highlight w:val="none"/>
          <w:u w:val="single"/>
        </w:rPr>
        <w:t xml:space="preserve">                 </w:t>
      </w:r>
    </w:p>
    <w:p w14:paraId="3105BA73">
      <w:pPr>
        <w:keepNext w:val="0"/>
        <w:keepLines w:val="0"/>
        <w:pageBreakBefore w:val="0"/>
        <w:widowControl w:val="0"/>
        <w:kinsoku/>
        <w:wordWrap w:val="0"/>
        <w:overflowPunct/>
        <w:topLinePunct/>
        <w:autoSpaceDE/>
        <w:autoSpaceDN/>
        <w:bidi w:val="0"/>
        <w:snapToGrid w:val="0"/>
        <w:spacing w:beforeAutospacing="0" w:afterAutospacing="0" w:line="360" w:lineRule="auto"/>
        <w:ind w:firstLine="480"/>
        <w:jc w:val="left"/>
        <w:rPr>
          <w:rFonts w:hint="eastAsia" w:ascii="宋体" w:hAnsi="宋体" w:eastAsia="宋体" w:cs="宋体"/>
          <w:b/>
          <w:color w:val="auto"/>
          <w:highlight w:val="none"/>
        </w:rPr>
      </w:pPr>
      <w:r>
        <w:rPr>
          <w:rFonts w:hint="eastAsia" w:ascii="宋体" w:hAnsi="宋体" w:eastAsia="宋体" w:cs="宋体"/>
          <w:color w:val="auto"/>
          <w:sz w:val="24"/>
          <w:highlight w:val="none"/>
        </w:rPr>
        <w:t>日期:_____年___月___日</w:t>
      </w:r>
    </w:p>
    <w:p w14:paraId="6002F6A7">
      <w:pPr>
        <w:pStyle w:val="11"/>
        <w:keepNext w:val="0"/>
        <w:keepLines w:val="0"/>
        <w:pageBreakBefore w:val="0"/>
        <w:widowControl w:val="0"/>
        <w:numPr>
          <w:ilvl w:val="0"/>
          <w:numId w:val="0"/>
        </w:numPr>
        <w:shd w:val="clear"/>
        <w:kinsoku/>
        <w:wordWrap w:val="0"/>
        <w:overflowPunct/>
        <w:topLinePunct/>
        <w:autoSpaceDE/>
        <w:autoSpaceDN/>
        <w:bidi w:val="0"/>
        <w:spacing w:beforeAutospacing="0" w:after="0" w:afterAutospacing="0" w:line="360" w:lineRule="auto"/>
        <w:rPr>
          <w:rFonts w:hint="eastAsia" w:ascii="宋体" w:hAnsi="宋体" w:eastAsia="宋体" w:cs="宋体"/>
          <w:b/>
          <w:color w:val="auto"/>
          <w:sz w:val="24"/>
          <w:highlight w:val="none"/>
          <w:lang w:val="en-US" w:eastAsia="zh-CN"/>
        </w:rPr>
      </w:pPr>
    </w:p>
    <w:p w14:paraId="1A775EE3">
      <w:pPr>
        <w:pStyle w:val="11"/>
        <w:keepNext w:val="0"/>
        <w:keepLines w:val="0"/>
        <w:pageBreakBefore w:val="0"/>
        <w:widowControl w:val="0"/>
        <w:numPr>
          <w:ilvl w:val="0"/>
          <w:numId w:val="0"/>
        </w:numPr>
        <w:shd w:val="clear"/>
        <w:kinsoku/>
        <w:wordWrap w:val="0"/>
        <w:overflowPunct/>
        <w:topLinePunct/>
        <w:autoSpaceDE/>
        <w:autoSpaceDN/>
        <w:bidi w:val="0"/>
        <w:spacing w:beforeAutospacing="0" w:after="0" w:afterAutospacing="0" w:line="360" w:lineRule="auto"/>
        <w:rPr>
          <w:rFonts w:hint="eastAsia" w:ascii="宋体" w:hAnsi="宋体" w:eastAsia="宋体" w:cs="宋体"/>
          <w:b/>
          <w:color w:val="auto"/>
          <w:sz w:val="24"/>
          <w:highlight w:val="none"/>
          <w:lang w:val="en-US" w:eastAsia="zh-CN"/>
        </w:rPr>
        <w:sectPr>
          <w:pgSz w:w="11906" w:h="16838"/>
          <w:pgMar w:top="1361" w:right="1361" w:bottom="1361" w:left="1361"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p w14:paraId="7AD553F9">
      <w:pPr>
        <w:pStyle w:val="11"/>
        <w:keepNext w:val="0"/>
        <w:keepLines w:val="0"/>
        <w:pageBreakBefore w:val="0"/>
        <w:widowControl w:val="0"/>
        <w:numPr>
          <w:ilvl w:val="0"/>
          <w:numId w:val="0"/>
        </w:numPr>
        <w:shd w:val="clear"/>
        <w:kinsoku/>
        <w:wordWrap/>
        <w:overflowPunct w:val="0"/>
        <w:topLinePunct/>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开标一览表</w:t>
      </w:r>
    </w:p>
    <w:p w14:paraId="0CB12EE5">
      <w:pPr>
        <w:keepNext w:val="0"/>
        <w:keepLines w:val="0"/>
        <w:pageBreakBefore w:val="0"/>
        <w:widowControl w:val="0"/>
        <w:shd w:val="clear"/>
        <w:kinsoku/>
        <w:wordWrap/>
        <w:overflowPunct w:val="0"/>
        <w:topLinePunct/>
        <w:autoSpaceDE w:val="0"/>
        <w:autoSpaceDN w:val="0"/>
        <w:bidi w:val="0"/>
        <w:snapToGrid w:val="0"/>
        <w:spacing w:before="10" w:after="10" w:line="360" w:lineRule="auto"/>
        <w:ind w:firstLine="643"/>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开标一览表</w:t>
      </w:r>
    </w:p>
    <w:p w14:paraId="22771561">
      <w:pPr>
        <w:keepNext w:val="0"/>
        <w:keepLines w:val="0"/>
        <w:pageBreakBefore w:val="0"/>
        <w:widowControl w:val="0"/>
        <w:shd w:val="clear"/>
        <w:kinsoku/>
        <w:wordWrap/>
        <w:overflowPunct w:val="0"/>
        <w:topLinePunct/>
        <w:autoSpaceDE w:val="0"/>
        <w:autoSpaceDN w:val="0"/>
        <w:bidi w:val="0"/>
        <w:adjustRightInd/>
        <w:snapToGrid w:val="0"/>
        <w:spacing w:line="360" w:lineRule="auto"/>
        <w:ind w:right="0" w:rightChars="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p>
    <w:p w14:paraId="4CA392A1">
      <w:pPr>
        <w:keepNext w:val="0"/>
        <w:keepLines w:val="0"/>
        <w:pageBreakBefore w:val="0"/>
        <w:widowControl w:val="0"/>
        <w:shd w:val="clear"/>
        <w:kinsoku/>
        <w:wordWrap/>
        <w:overflowPunct w:val="0"/>
        <w:topLinePunct/>
        <w:autoSpaceDE w:val="0"/>
        <w:autoSpaceDN w:val="0"/>
        <w:bidi w:val="0"/>
        <w:adjustRightInd/>
        <w:snapToGrid w:val="0"/>
        <w:spacing w:line="360" w:lineRule="auto"/>
        <w:ind w:right="0" w:rightChars="0"/>
        <w:jc w:val="both"/>
        <w:textAlignment w:val="auto"/>
        <w:outlineLvl w:val="9"/>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 xml:space="preserve">    </w:t>
      </w:r>
    </w:p>
    <w:p w14:paraId="050BE284">
      <w:pPr>
        <w:keepNext w:val="0"/>
        <w:keepLines w:val="0"/>
        <w:pageBreakBefore w:val="0"/>
        <w:widowControl w:val="0"/>
        <w:shd w:val="clear"/>
        <w:kinsoku/>
        <w:wordWrap/>
        <w:overflowPunct w:val="0"/>
        <w:topLinePunct/>
        <w:autoSpaceDE w:val="0"/>
        <w:autoSpaceDN w:val="0"/>
        <w:bidi w:val="0"/>
        <w:adjustRightInd/>
        <w:snapToGrid w:val="0"/>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CAD238C">
      <w:pPr>
        <w:keepNext w:val="0"/>
        <w:keepLines w:val="0"/>
        <w:pageBreakBefore w:val="0"/>
        <w:widowControl w:val="0"/>
        <w:shd w:val="clear"/>
        <w:kinsoku/>
        <w:wordWrap/>
        <w:overflowPunct w:val="0"/>
        <w:topLinePunct/>
        <w:autoSpaceDE w:val="0"/>
        <w:autoSpaceDN w:val="0"/>
        <w:bidi w:val="0"/>
        <w:adjustRightInd/>
        <w:snapToGrid w:val="0"/>
        <w:spacing w:line="360" w:lineRule="auto"/>
        <w:ind w:left="0" w:leftChars="0" w:right="0" w:rightChars="0" w:firstLine="480" w:firstLineChars="0"/>
        <w:jc w:val="righ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金额单位：人民币（元）</w:t>
      </w:r>
    </w:p>
    <w:tbl>
      <w:tblPr>
        <w:tblStyle w:val="27"/>
        <w:tblW w:w="9022"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384"/>
        <w:gridCol w:w="5850"/>
      </w:tblGrid>
      <w:tr w14:paraId="3C53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EEECE1"/>
            <w:vAlign w:val="center"/>
          </w:tcPr>
          <w:p w14:paraId="2C361E65">
            <w:pPr>
              <w:pStyle w:val="11"/>
              <w:keepNext w:val="0"/>
              <w:keepLines w:val="0"/>
              <w:pageBreakBefore w:val="0"/>
              <w:widowControl w:val="0"/>
              <w:kinsoku/>
              <w:wordWrap w:val="0"/>
              <w:overflowPunct w:val="0"/>
              <w:topLinePunct w:val="0"/>
              <w:autoSpaceDE w:val="0"/>
              <w:autoSpaceDN w:val="0"/>
              <w:bidi w:val="0"/>
              <w:adjustRightInd/>
              <w:snapToGrid/>
              <w:spacing w:before="157" w:beforeLines="50" w:after="157" w:afterLines="50" w:line="400" w:lineRule="exact"/>
              <w:ind w:left="0" w:leftChars="0" w:right="0" w:rightChars="0" w:firstLine="0" w:firstLineChars="0"/>
              <w:jc w:val="center"/>
              <w:textAlignment w:val="auto"/>
              <w:outlineLvl w:val="9"/>
              <w:rPr>
                <w:rFonts w:hint="eastAsia" w:ascii="宋体" w:hAnsi="宋体" w:eastAsia="宋体" w:cs="宋体"/>
                <w:b/>
                <w:bCs w:val="0"/>
                <w:color w:val="auto"/>
                <w:sz w:val="24"/>
                <w:highlight w:val="none"/>
                <w:vertAlign w:val="baseline"/>
                <w:lang w:val="en-US" w:eastAsia="zh-CN"/>
              </w:rPr>
            </w:pPr>
            <w:r>
              <w:rPr>
                <w:rFonts w:hint="eastAsia" w:ascii="宋体" w:hAnsi="宋体" w:eastAsia="宋体" w:cs="宋体"/>
                <w:b/>
                <w:bCs w:val="0"/>
                <w:color w:val="auto"/>
                <w:sz w:val="24"/>
                <w:highlight w:val="none"/>
                <w:vertAlign w:val="baseline"/>
                <w:lang w:val="en-US" w:eastAsia="zh-CN"/>
              </w:rPr>
              <w:t>序号</w:t>
            </w:r>
          </w:p>
        </w:tc>
        <w:tc>
          <w:tcPr>
            <w:tcW w:w="2384" w:type="dxa"/>
            <w:shd w:val="clear" w:color="auto" w:fill="EEECE1"/>
            <w:vAlign w:val="center"/>
          </w:tcPr>
          <w:p w14:paraId="4E450FA1">
            <w:pPr>
              <w:pStyle w:val="11"/>
              <w:keepNext w:val="0"/>
              <w:keepLines w:val="0"/>
              <w:pageBreakBefore w:val="0"/>
              <w:widowControl w:val="0"/>
              <w:kinsoku/>
              <w:wordWrap w:val="0"/>
              <w:overflowPunct w:val="0"/>
              <w:topLinePunct w:val="0"/>
              <w:autoSpaceDE w:val="0"/>
              <w:autoSpaceDN w:val="0"/>
              <w:bidi w:val="0"/>
              <w:adjustRightInd/>
              <w:snapToGrid/>
              <w:spacing w:before="157" w:beforeLines="50" w:after="157" w:afterLines="50" w:line="400" w:lineRule="exact"/>
              <w:ind w:left="0" w:leftChars="0" w:right="0" w:rightChars="0" w:firstLine="0" w:firstLineChars="0"/>
              <w:jc w:val="center"/>
              <w:textAlignment w:val="auto"/>
              <w:outlineLvl w:val="9"/>
              <w:rPr>
                <w:rFonts w:hint="eastAsia" w:ascii="宋体" w:hAnsi="宋体" w:eastAsia="宋体" w:cs="宋体"/>
                <w:b/>
                <w:bCs w:val="0"/>
                <w:color w:val="auto"/>
                <w:sz w:val="24"/>
                <w:highlight w:val="none"/>
                <w:vertAlign w:val="baseline"/>
                <w:lang w:val="en-US" w:eastAsia="zh-CN"/>
              </w:rPr>
            </w:pPr>
            <w:r>
              <w:rPr>
                <w:rFonts w:hint="eastAsia" w:ascii="宋体" w:hAnsi="宋体" w:eastAsia="宋体" w:cs="宋体"/>
                <w:b/>
                <w:bCs w:val="0"/>
                <w:color w:val="auto"/>
                <w:sz w:val="24"/>
                <w:highlight w:val="none"/>
                <w:vertAlign w:val="baseline"/>
                <w:lang w:val="en-US" w:eastAsia="zh-CN"/>
              </w:rPr>
              <w:t>项目</w:t>
            </w:r>
          </w:p>
        </w:tc>
        <w:tc>
          <w:tcPr>
            <w:tcW w:w="5850" w:type="dxa"/>
            <w:shd w:val="clear" w:color="auto" w:fill="EEECE1"/>
            <w:vAlign w:val="top"/>
          </w:tcPr>
          <w:p w14:paraId="79FCAEE4">
            <w:pPr>
              <w:pStyle w:val="11"/>
              <w:keepNext w:val="0"/>
              <w:keepLines w:val="0"/>
              <w:pageBreakBefore w:val="0"/>
              <w:widowControl w:val="0"/>
              <w:kinsoku/>
              <w:wordWrap w:val="0"/>
              <w:overflowPunct w:val="0"/>
              <w:topLinePunct w:val="0"/>
              <w:autoSpaceDE w:val="0"/>
              <w:autoSpaceDN w:val="0"/>
              <w:bidi w:val="0"/>
              <w:adjustRightInd/>
              <w:snapToGrid/>
              <w:spacing w:before="157" w:beforeLines="50" w:after="157" w:afterLines="50" w:line="400" w:lineRule="exact"/>
              <w:ind w:left="0" w:leftChars="0" w:right="0" w:rightChars="0" w:firstLine="0" w:firstLineChars="0"/>
              <w:jc w:val="center"/>
              <w:textAlignment w:val="auto"/>
              <w:outlineLvl w:val="9"/>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bCs w:val="0"/>
                <w:color w:val="auto"/>
                <w:sz w:val="24"/>
                <w:highlight w:val="none"/>
                <w:vertAlign w:val="baseline"/>
                <w:lang w:val="en-US" w:eastAsia="zh-CN"/>
              </w:rPr>
              <w:t>内容</w:t>
            </w:r>
          </w:p>
        </w:tc>
      </w:tr>
      <w:tr w14:paraId="6D3A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restart"/>
            <w:vAlign w:val="center"/>
          </w:tcPr>
          <w:p w14:paraId="67C844C3">
            <w:pPr>
              <w:pStyle w:val="11"/>
              <w:keepNext w:val="0"/>
              <w:keepLines w:val="0"/>
              <w:pageBreakBefore w:val="0"/>
              <w:widowControl w:val="0"/>
              <w:kinsoku/>
              <w:wordWrap w:val="0"/>
              <w:overflowPunct w:val="0"/>
              <w:topLinePunct w:val="0"/>
              <w:autoSpaceDE w:val="0"/>
              <w:autoSpaceDN w:val="0"/>
              <w:bidi w:val="0"/>
              <w:adjustRightInd/>
              <w:snapToGrid/>
              <w:spacing w:before="157" w:beforeLines="50" w:after="157" w:afterLines="50" w:line="400" w:lineRule="exact"/>
              <w:ind w:left="0" w:leftChars="0" w:right="0" w:rightChars="0" w:firstLine="0" w:firstLineChars="0"/>
              <w:jc w:val="center"/>
              <w:textAlignment w:val="auto"/>
              <w:outlineLvl w:val="9"/>
              <w:rPr>
                <w:rFonts w:hint="eastAsia" w:ascii="宋体" w:hAnsi="宋体" w:eastAsia="宋体" w:cs="宋体"/>
                <w:b/>
                <w:bCs w:val="0"/>
                <w:color w:val="auto"/>
                <w:sz w:val="24"/>
                <w:highlight w:val="none"/>
                <w:vertAlign w:val="baseline"/>
                <w:lang w:val="en-US" w:eastAsia="zh-CN"/>
              </w:rPr>
            </w:pPr>
            <w:r>
              <w:rPr>
                <w:rFonts w:hint="eastAsia" w:ascii="宋体" w:hAnsi="宋体" w:eastAsia="宋体" w:cs="宋体"/>
                <w:b/>
                <w:bCs w:val="0"/>
                <w:color w:val="auto"/>
                <w:sz w:val="24"/>
                <w:highlight w:val="none"/>
                <w:vertAlign w:val="baseline"/>
                <w:lang w:val="en-US" w:eastAsia="zh-CN"/>
              </w:rPr>
              <w:t>1</w:t>
            </w:r>
          </w:p>
        </w:tc>
        <w:tc>
          <w:tcPr>
            <w:tcW w:w="2384" w:type="dxa"/>
            <w:vMerge w:val="restart"/>
            <w:vAlign w:val="center"/>
          </w:tcPr>
          <w:p w14:paraId="7027FC27">
            <w:pPr>
              <w:keepNext w:val="0"/>
              <w:keepLines w:val="0"/>
              <w:pageBreakBefore w:val="0"/>
              <w:widowControl w:val="0"/>
              <w:kinsoku/>
              <w:wordWrap w:val="0"/>
              <w:overflowPunct w:val="0"/>
              <w:topLinePunct w:val="0"/>
              <w:autoSpaceDE w:val="0"/>
              <w:autoSpaceDN w:val="0"/>
              <w:bidi w:val="0"/>
              <w:adjustRightInd w:val="0"/>
              <w:spacing w:line="400" w:lineRule="exact"/>
              <w:jc w:val="center"/>
              <w:rPr>
                <w:rFonts w:hint="eastAsia" w:ascii="宋体" w:hAnsi="宋体" w:eastAsia="宋体" w:cs="宋体"/>
                <w:b/>
                <w:bCs w:val="0"/>
                <w:color w:val="auto"/>
                <w:sz w:val="24"/>
                <w:highlight w:val="none"/>
                <w:vertAlign w:val="baseline"/>
                <w:lang w:val="en-US" w:eastAsia="zh-CN"/>
              </w:rPr>
            </w:pPr>
            <w:r>
              <w:rPr>
                <w:rFonts w:hint="eastAsia" w:ascii="宋体" w:hAnsi="宋体" w:eastAsia="宋体" w:cs="宋体"/>
                <w:b/>
                <w:bCs w:val="0"/>
                <w:color w:val="auto"/>
                <w:sz w:val="24"/>
                <w:szCs w:val="22"/>
                <w:highlight w:val="none"/>
                <w:lang w:val="en-US" w:eastAsia="zh-CN"/>
              </w:rPr>
              <w:t>投标报价</w:t>
            </w:r>
          </w:p>
        </w:tc>
        <w:tc>
          <w:tcPr>
            <w:tcW w:w="5850" w:type="dxa"/>
            <w:vAlign w:val="top"/>
          </w:tcPr>
          <w:p w14:paraId="43630144">
            <w:pPr>
              <w:pStyle w:val="11"/>
              <w:keepNext w:val="0"/>
              <w:keepLines w:val="0"/>
              <w:pageBreakBefore w:val="0"/>
              <w:widowControl w:val="0"/>
              <w:kinsoku/>
              <w:wordWrap w:val="0"/>
              <w:overflowPunct w:val="0"/>
              <w:topLinePunct w:val="0"/>
              <w:autoSpaceDE w:val="0"/>
              <w:autoSpaceDN w:val="0"/>
              <w:bidi w:val="0"/>
              <w:adjustRightInd/>
              <w:snapToGrid/>
              <w:spacing w:before="313" w:beforeLines="100" w:after="157" w:afterLines="50" w:line="400" w:lineRule="exact"/>
              <w:ind w:left="0" w:leftChars="0" w:right="0" w:rightChars="0" w:firstLine="0" w:firstLineChars="0"/>
              <w:jc w:val="both"/>
              <w:textAlignment w:val="auto"/>
              <w:outlineLvl w:val="9"/>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bCs/>
                <w:color w:val="auto"/>
                <w:sz w:val="24"/>
                <w:szCs w:val="22"/>
                <w:highlight w:val="none"/>
                <w:lang w:eastAsia="zh-CN"/>
              </w:rPr>
              <w:t>人民币小写</w:t>
            </w:r>
            <w:r>
              <w:rPr>
                <w:rFonts w:hint="eastAsia" w:ascii="宋体" w:hAnsi="宋体" w:eastAsia="宋体" w:cs="宋体"/>
                <w:b/>
                <w:bCs/>
                <w:color w:val="auto"/>
                <w:sz w:val="24"/>
                <w:szCs w:val="22"/>
                <w:highlight w:val="none"/>
              </w:rPr>
              <w:t>：</w:t>
            </w:r>
            <w:r>
              <w:rPr>
                <w:rFonts w:hint="eastAsia" w:ascii="宋体" w:hAnsi="宋体" w:eastAsia="宋体" w:cs="宋体"/>
                <w:b/>
                <w:bCs/>
                <w:color w:val="auto"/>
                <w:sz w:val="24"/>
                <w:szCs w:val="22"/>
                <w:highlight w:val="none"/>
                <w:u w:val="single"/>
              </w:rPr>
              <w:t xml:space="preserve">                     </w:t>
            </w:r>
            <w:r>
              <w:rPr>
                <w:rFonts w:hint="eastAsia" w:ascii="宋体" w:hAnsi="宋体" w:eastAsia="宋体" w:cs="宋体"/>
                <w:b/>
                <w:bCs/>
                <w:color w:val="auto"/>
                <w:sz w:val="24"/>
                <w:szCs w:val="22"/>
                <w:highlight w:val="none"/>
                <w:u w:val="single"/>
                <w:lang w:val="en-US" w:eastAsia="zh-CN"/>
              </w:rPr>
              <w:t xml:space="preserve">   </w:t>
            </w:r>
            <w:r>
              <w:rPr>
                <w:rFonts w:hint="eastAsia" w:ascii="宋体" w:hAnsi="宋体" w:eastAsia="宋体" w:cs="宋体"/>
                <w:b/>
                <w:bCs/>
                <w:color w:val="auto"/>
                <w:sz w:val="24"/>
                <w:szCs w:val="22"/>
                <w:highlight w:val="none"/>
                <w:u w:val="single"/>
              </w:rPr>
              <w:t xml:space="preserve"> </w:t>
            </w:r>
          </w:p>
        </w:tc>
      </w:tr>
      <w:tr w14:paraId="4011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1423100E">
            <w:pPr>
              <w:pStyle w:val="11"/>
              <w:keepNext w:val="0"/>
              <w:keepLines w:val="0"/>
              <w:pageBreakBefore w:val="0"/>
              <w:widowControl w:val="0"/>
              <w:kinsoku/>
              <w:wordWrap w:val="0"/>
              <w:overflowPunct w:val="0"/>
              <w:topLinePunct w:val="0"/>
              <w:autoSpaceDE w:val="0"/>
              <w:autoSpaceDN w:val="0"/>
              <w:bidi w:val="0"/>
              <w:adjustRightInd/>
              <w:snapToGrid/>
              <w:spacing w:after="0" w:line="400" w:lineRule="exact"/>
              <w:ind w:left="0" w:leftChars="0" w:right="0" w:rightChars="0" w:firstLine="241" w:firstLineChars="100"/>
              <w:jc w:val="center"/>
              <w:textAlignment w:val="auto"/>
              <w:outlineLvl w:val="9"/>
              <w:rPr>
                <w:rFonts w:hint="eastAsia" w:ascii="宋体" w:hAnsi="宋体" w:eastAsia="宋体" w:cs="宋体"/>
                <w:b/>
                <w:bCs w:val="0"/>
                <w:color w:val="auto"/>
                <w:sz w:val="24"/>
                <w:highlight w:val="none"/>
                <w:vertAlign w:val="baseline"/>
                <w:lang w:val="en-US" w:eastAsia="zh-CN"/>
              </w:rPr>
            </w:pPr>
          </w:p>
        </w:tc>
        <w:tc>
          <w:tcPr>
            <w:tcW w:w="2384" w:type="dxa"/>
            <w:vMerge w:val="continue"/>
            <w:vAlign w:val="center"/>
          </w:tcPr>
          <w:p w14:paraId="5DECFBFF">
            <w:pPr>
              <w:pStyle w:val="11"/>
              <w:keepNext w:val="0"/>
              <w:keepLines w:val="0"/>
              <w:pageBreakBefore w:val="0"/>
              <w:widowControl w:val="0"/>
              <w:kinsoku/>
              <w:wordWrap w:val="0"/>
              <w:overflowPunct w:val="0"/>
              <w:topLinePunct w:val="0"/>
              <w:autoSpaceDE w:val="0"/>
              <w:autoSpaceDN w:val="0"/>
              <w:bidi w:val="0"/>
              <w:adjustRightInd/>
              <w:snapToGrid/>
              <w:spacing w:after="0" w:line="400" w:lineRule="exact"/>
              <w:ind w:left="0" w:leftChars="0" w:right="0" w:rightChars="0" w:firstLine="241" w:firstLineChars="100"/>
              <w:jc w:val="center"/>
              <w:textAlignment w:val="auto"/>
              <w:outlineLvl w:val="9"/>
              <w:rPr>
                <w:rFonts w:hint="eastAsia" w:ascii="宋体" w:hAnsi="宋体" w:eastAsia="宋体" w:cs="宋体"/>
                <w:b/>
                <w:bCs w:val="0"/>
                <w:color w:val="auto"/>
                <w:sz w:val="24"/>
                <w:highlight w:val="none"/>
                <w:vertAlign w:val="baseline"/>
                <w:lang w:val="en-US" w:eastAsia="zh-CN"/>
              </w:rPr>
            </w:pPr>
          </w:p>
        </w:tc>
        <w:tc>
          <w:tcPr>
            <w:tcW w:w="5850" w:type="dxa"/>
            <w:vAlign w:val="top"/>
          </w:tcPr>
          <w:p w14:paraId="16BE1D3B">
            <w:pPr>
              <w:pStyle w:val="11"/>
              <w:keepNext w:val="0"/>
              <w:keepLines w:val="0"/>
              <w:pageBreakBefore w:val="0"/>
              <w:widowControl w:val="0"/>
              <w:kinsoku/>
              <w:wordWrap w:val="0"/>
              <w:overflowPunct w:val="0"/>
              <w:topLinePunct w:val="0"/>
              <w:autoSpaceDE w:val="0"/>
              <w:autoSpaceDN w:val="0"/>
              <w:bidi w:val="0"/>
              <w:adjustRightInd/>
              <w:snapToGrid/>
              <w:spacing w:before="313" w:beforeLines="100" w:after="157" w:afterLines="50" w:line="400" w:lineRule="exact"/>
              <w:ind w:left="0" w:leftChars="0" w:right="0" w:rightChars="0" w:firstLine="0" w:firstLineChars="0"/>
              <w:jc w:val="both"/>
              <w:textAlignment w:val="auto"/>
              <w:outlineLvl w:val="9"/>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bCs/>
                <w:color w:val="auto"/>
                <w:sz w:val="24"/>
                <w:szCs w:val="22"/>
                <w:highlight w:val="none"/>
                <w:lang w:eastAsia="zh-CN"/>
              </w:rPr>
              <w:t>人民币大写</w:t>
            </w:r>
            <w:r>
              <w:rPr>
                <w:rFonts w:hint="eastAsia" w:ascii="宋体" w:hAnsi="宋体" w:eastAsia="宋体" w:cs="宋体"/>
                <w:b/>
                <w:bCs/>
                <w:color w:val="auto"/>
                <w:sz w:val="24"/>
                <w:szCs w:val="22"/>
                <w:highlight w:val="none"/>
              </w:rPr>
              <w:t>：</w:t>
            </w:r>
            <w:r>
              <w:rPr>
                <w:rFonts w:hint="eastAsia" w:ascii="宋体" w:hAnsi="宋体" w:eastAsia="宋体" w:cs="宋体"/>
                <w:b/>
                <w:bCs/>
                <w:color w:val="auto"/>
                <w:sz w:val="24"/>
                <w:szCs w:val="22"/>
                <w:highlight w:val="none"/>
                <w:u w:val="single"/>
              </w:rPr>
              <w:t xml:space="preserve">                   </w:t>
            </w:r>
            <w:r>
              <w:rPr>
                <w:rFonts w:hint="eastAsia" w:ascii="宋体" w:hAnsi="宋体" w:eastAsia="宋体" w:cs="宋体"/>
                <w:b/>
                <w:bCs/>
                <w:color w:val="auto"/>
                <w:sz w:val="24"/>
                <w:szCs w:val="22"/>
                <w:highlight w:val="none"/>
                <w:u w:val="single"/>
                <w:lang w:val="en-US" w:eastAsia="zh-CN"/>
              </w:rPr>
              <w:t xml:space="preserve">     </w:t>
            </w:r>
            <w:r>
              <w:rPr>
                <w:rFonts w:hint="eastAsia" w:ascii="宋体" w:hAnsi="宋体" w:eastAsia="宋体" w:cs="宋体"/>
                <w:b/>
                <w:bCs/>
                <w:color w:val="auto"/>
                <w:sz w:val="24"/>
                <w:szCs w:val="22"/>
                <w:highlight w:val="none"/>
                <w:u w:val="single"/>
              </w:rPr>
              <w:t xml:space="preserve"> </w:t>
            </w:r>
          </w:p>
        </w:tc>
      </w:tr>
      <w:tr w14:paraId="3987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788" w:type="dxa"/>
            <w:vAlign w:val="center"/>
          </w:tcPr>
          <w:p w14:paraId="19C3DE57">
            <w:pPr>
              <w:pStyle w:val="11"/>
              <w:keepNext w:val="0"/>
              <w:keepLines w:val="0"/>
              <w:pageBreakBefore w:val="0"/>
              <w:widowControl w:val="0"/>
              <w:kinsoku/>
              <w:wordWrap w:val="0"/>
              <w:overflowPunct w:val="0"/>
              <w:topLinePunct w:val="0"/>
              <w:autoSpaceDE w:val="0"/>
              <w:autoSpaceDN w:val="0"/>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b/>
                <w:bCs w:val="0"/>
                <w:color w:val="auto"/>
                <w:sz w:val="24"/>
                <w:highlight w:val="none"/>
                <w:vertAlign w:val="baseline"/>
                <w:lang w:val="en-US" w:eastAsia="zh-CN"/>
              </w:rPr>
            </w:pPr>
            <w:r>
              <w:rPr>
                <w:rFonts w:hint="eastAsia" w:ascii="宋体" w:hAnsi="宋体" w:eastAsia="宋体" w:cs="宋体"/>
                <w:b/>
                <w:bCs w:val="0"/>
                <w:color w:val="auto"/>
                <w:sz w:val="24"/>
                <w:highlight w:val="none"/>
                <w:vertAlign w:val="baseline"/>
                <w:lang w:val="en-US" w:eastAsia="zh-CN"/>
              </w:rPr>
              <w:t>2</w:t>
            </w:r>
          </w:p>
        </w:tc>
        <w:tc>
          <w:tcPr>
            <w:tcW w:w="2384" w:type="dxa"/>
            <w:vAlign w:val="center"/>
          </w:tcPr>
          <w:p w14:paraId="14648BB1">
            <w:pPr>
              <w:pStyle w:val="11"/>
              <w:keepNext w:val="0"/>
              <w:keepLines w:val="0"/>
              <w:pageBreakBefore w:val="0"/>
              <w:widowControl w:val="0"/>
              <w:kinsoku/>
              <w:wordWrap w:val="0"/>
              <w:overflowPunct w:val="0"/>
              <w:topLinePunct w:val="0"/>
              <w:autoSpaceDE w:val="0"/>
              <w:autoSpaceDN w:val="0"/>
              <w:bidi w:val="0"/>
              <w:adjustRightInd/>
              <w:snapToGrid/>
              <w:spacing w:after="0" w:line="400" w:lineRule="exact"/>
              <w:ind w:left="0" w:leftChars="0" w:right="0" w:rightChars="0" w:firstLine="241" w:firstLineChars="100"/>
              <w:jc w:val="center"/>
              <w:textAlignment w:val="auto"/>
              <w:outlineLvl w:val="9"/>
              <w:rPr>
                <w:rFonts w:hint="eastAsia" w:ascii="宋体" w:hAnsi="宋体" w:eastAsia="宋体" w:cs="宋体"/>
                <w:b/>
                <w:bCs w:val="0"/>
                <w:color w:val="auto"/>
                <w:sz w:val="24"/>
                <w:highlight w:val="none"/>
                <w:vertAlign w:val="baseline"/>
                <w:lang w:val="en-US" w:eastAsia="zh-CN"/>
              </w:rPr>
            </w:pPr>
            <w:r>
              <w:rPr>
                <w:rFonts w:hint="eastAsia" w:ascii="宋体" w:hAnsi="宋体" w:eastAsia="宋体" w:cs="宋体"/>
                <w:b/>
                <w:bCs w:val="0"/>
                <w:color w:val="auto"/>
                <w:sz w:val="24"/>
                <w:highlight w:val="none"/>
                <w:vertAlign w:val="baseline"/>
                <w:lang w:val="en-US" w:eastAsia="zh-CN"/>
              </w:rPr>
              <w:t>合同履约期限</w:t>
            </w:r>
          </w:p>
        </w:tc>
        <w:tc>
          <w:tcPr>
            <w:tcW w:w="5850" w:type="dxa"/>
            <w:vAlign w:val="top"/>
          </w:tcPr>
          <w:p w14:paraId="2E0D3B68">
            <w:pPr>
              <w:pStyle w:val="11"/>
              <w:keepNext w:val="0"/>
              <w:keepLines w:val="0"/>
              <w:pageBreakBefore w:val="0"/>
              <w:widowControl w:val="0"/>
              <w:kinsoku/>
              <w:wordWrap w:val="0"/>
              <w:overflowPunct w:val="0"/>
              <w:topLinePunct w:val="0"/>
              <w:autoSpaceDE w:val="0"/>
              <w:autoSpaceDN w:val="0"/>
              <w:bidi w:val="0"/>
              <w:adjustRightInd/>
              <w:snapToGrid/>
              <w:spacing w:before="313" w:beforeLines="100" w:after="157" w:afterLines="50"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2"/>
                <w:highlight w:val="none"/>
                <w:lang w:eastAsia="zh-CN"/>
              </w:rPr>
            </w:pPr>
          </w:p>
        </w:tc>
      </w:tr>
      <w:tr w14:paraId="5E3F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3CAB8F5">
            <w:pPr>
              <w:pStyle w:val="11"/>
              <w:keepNext w:val="0"/>
              <w:keepLines w:val="0"/>
              <w:pageBreakBefore w:val="0"/>
              <w:widowControl w:val="0"/>
              <w:kinsoku/>
              <w:wordWrap w:val="0"/>
              <w:overflowPunct w:val="0"/>
              <w:topLinePunct w:val="0"/>
              <w:autoSpaceDE w:val="0"/>
              <w:autoSpaceDN w:val="0"/>
              <w:bidi w:val="0"/>
              <w:adjustRightInd/>
              <w:snapToGrid/>
              <w:spacing w:before="157" w:beforeLines="50" w:after="157" w:afterLines="50" w:line="400" w:lineRule="exact"/>
              <w:ind w:left="0" w:leftChars="0" w:right="0" w:rightChars="0" w:firstLine="0" w:firstLineChars="0"/>
              <w:jc w:val="center"/>
              <w:textAlignment w:val="auto"/>
              <w:outlineLvl w:val="9"/>
              <w:rPr>
                <w:rFonts w:hint="eastAsia" w:ascii="宋体" w:hAnsi="宋体" w:eastAsia="宋体" w:cs="宋体"/>
                <w:b/>
                <w:bCs w:val="0"/>
                <w:color w:val="auto"/>
                <w:sz w:val="24"/>
                <w:highlight w:val="none"/>
                <w:vertAlign w:val="baseline"/>
                <w:lang w:val="en-US" w:eastAsia="zh-CN"/>
              </w:rPr>
            </w:pPr>
            <w:r>
              <w:rPr>
                <w:rFonts w:hint="eastAsia" w:ascii="宋体" w:hAnsi="宋体" w:eastAsia="宋体" w:cs="宋体"/>
                <w:b/>
                <w:bCs w:val="0"/>
                <w:color w:val="auto"/>
                <w:sz w:val="24"/>
                <w:highlight w:val="none"/>
                <w:vertAlign w:val="baseline"/>
                <w:lang w:val="en-US" w:eastAsia="zh-CN"/>
              </w:rPr>
              <w:t>3</w:t>
            </w:r>
          </w:p>
        </w:tc>
        <w:tc>
          <w:tcPr>
            <w:tcW w:w="2384" w:type="dxa"/>
            <w:vAlign w:val="center"/>
          </w:tcPr>
          <w:p w14:paraId="484FDA4C">
            <w:pPr>
              <w:pStyle w:val="11"/>
              <w:keepNext w:val="0"/>
              <w:keepLines w:val="0"/>
              <w:pageBreakBefore w:val="0"/>
              <w:widowControl w:val="0"/>
              <w:kinsoku/>
              <w:wordWrap w:val="0"/>
              <w:overflowPunct w:val="0"/>
              <w:topLinePunct w:val="0"/>
              <w:autoSpaceDE w:val="0"/>
              <w:autoSpaceDN w:val="0"/>
              <w:bidi w:val="0"/>
              <w:adjustRightInd/>
              <w:snapToGrid/>
              <w:spacing w:after="0" w:line="400" w:lineRule="exact"/>
              <w:ind w:left="0" w:leftChars="0" w:right="0" w:rightChars="0" w:firstLine="241" w:firstLineChars="100"/>
              <w:jc w:val="center"/>
              <w:textAlignment w:val="auto"/>
              <w:outlineLvl w:val="9"/>
              <w:rPr>
                <w:rFonts w:hint="eastAsia" w:ascii="宋体" w:hAnsi="宋体" w:eastAsia="宋体" w:cs="宋体"/>
                <w:b/>
                <w:bCs w:val="0"/>
                <w:color w:val="auto"/>
                <w:sz w:val="24"/>
                <w:highlight w:val="none"/>
                <w:vertAlign w:val="baseline"/>
                <w:lang w:val="en-US" w:eastAsia="zh-CN"/>
              </w:rPr>
            </w:pPr>
            <w:r>
              <w:rPr>
                <w:rFonts w:hint="eastAsia" w:ascii="宋体" w:hAnsi="宋体" w:eastAsia="宋体" w:cs="宋体"/>
                <w:b/>
                <w:bCs w:val="0"/>
                <w:color w:val="auto"/>
                <w:sz w:val="24"/>
                <w:highlight w:val="none"/>
                <w:vertAlign w:val="baseline"/>
                <w:lang w:val="en-US" w:eastAsia="zh-CN"/>
              </w:rPr>
              <w:t>项目负责人</w:t>
            </w:r>
          </w:p>
        </w:tc>
        <w:tc>
          <w:tcPr>
            <w:tcW w:w="5850" w:type="dxa"/>
            <w:vAlign w:val="top"/>
          </w:tcPr>
          <w:p w14:paraId="5D450BA7">
            <w:pPr>
              <w:pStyle w:val="11"/>
              <w:keepNext w:val="0"/>
              <w:keepLines w:val="0"/>
              <w:pageBreakBefore w:val="0"/>
              <w:widowControl w:val="0"/>
              <w:kinsoku/>
              <w:wordWrap w:val="0"/>
              <w:overflowPunct w:val="0"/>
              <w:topLinePunct w:val="0"/>
              <w:autoSpaceDE w:val="0"/>
              <w:autoSpaceDN w:val="0"/>
              <w:bidi w:val="0"/>
              <w:adjustRightInd/>
              <w:snapToGrid/>
              <w:spacing w:before="157" w:beforeLines="50" w:after="157" w:afterLines="50" w:line="400" w:lineRule="exact"/>
              <w:ind w:left="0" w:leftChars="0" w:right="0" w:rightChars="0" w:firstLine="240" w:firstLineChars="100"/>
              <w:jc w:val="both"/>
              <w:textAlignment w:val="auto"/>
              <w:outlineLvl w:val="9"/>
              <w:rPr>
                <w:rFonts w:hint="eastAsia" w:ascii="宋体" w:hAnsi="宋体" w:eastAsia="宋体" w:cs="宋体"/>
                <w:b w:val="0"/>
                <w:bCs/>
                <w:color w:val="auto"/>
                <w:sz w:val="24"/>
                <w:highlight w:val="none"/>
                <w:vertAlign w:val="baseline"/>
                <w:lang w:val="en-US" w:eastAsia="zh-CN"/>
              </w:rPr>
            </w:pPr>
          </w:p>
        </w:tc>
      </w:tr>
      <w:tr w14:paraId="11B6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8" w:type="dxa"/>
            <w:vAlign w:val="center"/>
          </w:tcPr>
          <w:p w14:paraId="0B5D01F7">
            <w:pPr>
              <w:pStyle w:val="11"/>
              <w:keepNext w:val="0"/>
              <w:keepLines w:val="0"/>
              <w:pageBreakBefore w:val="0"/>
              <w:widowControl w:val="0"/>
              <w:kinsoku/>
              <w:wordWrap w:val="0"/>
              <w:overflowPunct w:val="0"/>
              <w:topLinePunct w:val="0"/>
              <w:autoSpaceDE w:val="0"/>
              <w:autoSpaceDN w:val="0"/>
              <w:bidi w:val="0"/>
              <w:adjustRightInd/>
              <w:snapToGrid/>
              <w:spacing w:before="157" w:beforeLines="50" w:after="157" w:afterLines="50" w:line="400" w:lineRule="exact"/>
              <w:ind w:left="0" w:leftChars="0" w:right="0" w:rightChars="0" w:firstLine="0" w:firstLineChars="0"/>
              <w:jc w:val="center"/>
              <w:textAlignment w:val="auto"/>
              <w:outlineLvl w:val="9"/>
              <w:rPr>
                <w:rFonts w:hint="default" w:ascii="宋体" w:hAnsi="宋体" w:eastAsia="宋体" w:cs="宋体"/>
                <w:b/>
                <w:bCs w:val="0"/>
                <w:color w:val="auto"/>
                <w:sz w:val="24"/>
                <w:highlight w:val="none"/>
                <w:vertAlign w:val="baseline"/>
                <w:lang w:val="en-US" w:eastAsia="zh-CN"/>
              </w:rPr>
            </w:pPr>
            <w:r>
              <w:rPr>
                <w:rFonts w:hint="eastAsia" w:ascii="宋体" w:hAnsi="宋体" w:eastAsia="宋体" w:cs="宋体"/>
                <w:b/>
                <w:bCs w:val="0"/>
                <w:color w:val="auto"/>
                <w:sz w:val="24"/>
                <w:highlight w:val="none"/>
                <w:vertAlign w:val="baseline"/>
                <w:lang w:val="en-US" w:eastAsia="zh-CN"/>
              </w:rPr>
              <w:t>4</w:t>
            </w:r>
          </w:p>
        </w:tc>
        <w:tc>
          <w:tcPr>
            <w:tcW w:w="2384" w:type="dxa"/>
            <w:vAlign w:val="center"/>
          </w:tcPr>
          <w:p w14:paraId="6B1B7963">
            <w:pPr>
              <w:pStyle w:val="11"/>
              <w:keepNext w:val="0"/>
              <w:keepLines w:val="0"/>
              <w:pageBreakBefore w:val="0"/>
              <w:widowControl w:val="0"/>
              <w:kinsoku/>
              <w:wordWrap w:val="0"/>
              <w:overflowPunct w:val="0"/>
              <w:topLinePunct w:val="0"/>
              <w:autoSpaceDE w:val="0"/>
              <w:autoSpaceDN w:val="0"/>
              <w:bidi w:val="0"/>
              <w:adjustRightInd/>
              <w:snapToGrid/>
              <w:spacing w:after="0" w:line="400" w:lineRule="exact"/>
              <w:ind w:left="0" w:leftChars="0" w:right="0" w:rightChars="0" w:firstLine="241" w:firstLineChars="100"/>
              <w:jc w:val="center"/>
              <w:textAlignment w:val="auto"/>
              <w:outlineLvl w:val="9"/>
              <w:rPr>
                <w:rFonts w:hint="eastAsia" w:ascii="宋体" w:hAnsi="宋体" w:eastAsia="宋体" w:cs="宋体"/>
                <w:b/>
                <w:bCs w:val="0"/>
                <w:color w:val="auto"/>
                <w:sz w:val="24"/>
                <w:highlight w:val="none"/>
                <w:vertAlign w:val="baseline"/>
                <w:lang w:val="en-US" w:eastAsia="zh-CN"/>
              </w:rPr>
            </w:pPr>
            <w:r>
              <w:rPr>
                <w:rFonts w:hint="eastAsia" w:ascii="宋体" w:hAnsi="宋体" w:eastAsia="宋体" w:cs="宋体"/>
                <w:b/>
                <w:bCs w:val="0"/>
                <w:color w:val="auto"/>
                <w:sz w:val="24"/>
                <w:highlight w:val="none"/>
                <w:vertAlign w:val="baseline"/>
                <w:lang w:val="en-US" w:eastAsia="zh-CN"/>
              </w:rPr>
              <w:t>备注</w:t>
            </w:r>
          </w:p>
        </w:tc>
        <w:tc>
          <w:tcPr>
            <w:tcW w:w="5850" w:type="dxa"/>
            <w:vAlign w:val="top"/>
          </w:tcPr>
          <w:p w14:paraId="38C34929">
            <w:pPr>
              <w:pStyle w:val="11"/>
              <w:keepNext w:val="0"/>
              <w:keepLines w:val="0"/>
              <w:pageBreakBefore w:val="0"/>
              <w:widowControl w:val="0"/>
              <w:kinsoku/>
              <w:wordWrap w:val="0"/>
              <w:overflowPunct w:val="0"/>
              <w:topLinePunct w:val="0"/>
              <w:autoSpaceDE w:val="0"/>
              <w:autoSpaceDN w:val="0"/>
              <w:bidi w:val="0"/>
              <w:adjustRightInd/>
              <w:snapToGrid/>
              <w:spacing w:before="157" w:beforeLines="50" w:after="157" w:afterLines="50" w:line="400" w:lineRule="exact"/>
              <w:ind w:left="0" w:leftChars="0" w:right="0" w:rightChars="0" w:firstLine="240" w:firstLineChars="100"/>
              <w:jc w:val="both"/>
              <w:textAlignment w:val="auto"/>
              <w:outlineLvl w:val="9"/>
              <w:rPr>
                <w:rFonts w:hint="eastAsia" w:ascii="宋体" w:hAnsi="宋体" w:eastAsia="宋体" w:cs="宋体"/>
                <w:b w:val="0"/>
                <w:bCs/>
                <w:color w:val="auto"/>
                <w:sz w:val="24"/>
                <w:highlight w:val="none"/>
                <w:vertAlign w:val="baseline"/>
                <w:lang w:val="en-US" w:eastAsia="zh-CN"/>
              </w:rPr>
            </w:pPr>
          </w:p>
        </w:tc>
      </w:tr>
    </w:tbl>
    <w:p w14:paraId="33C0E58D">
      <w:pPr>
        <w:keepNext w:val="0"/>
        <w:keepLines w:val="0"/>
        <w:pageBreakBefore w:val="0"/>
        <w:widowControl w:val="0"/>
        <w:shd w:val="clear"/>
        <w:kinsoku/>
        <w:wordWrap/>
        <w:overflowPunct w:val="0"/>
        <w:topLinePunct/>
        <w:autoSpaceDE w:val="0"/>
        <w:autoSpaceDN w:val="0"/>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  </w:t>
      </w:r>
    </w:p>
    <w:p w14:paraId="74BC90AF">
      <w:pPr>
        <w:keepNext w:val="0"/>
        <w:keepLines w:val="0"/>
        <w:pageBreakBefore w:val="0"/>
        <w:widowControl w:val="0"/>
        <w:shd w:val="clear"/>
        <w:kinsoku/>
        <w:wordWrap/>
        <w:overflowPunct w:val="0"/>
        <w:topLinePunct/>
        <w:autoSpaceDE w:val="0"/>
        <w:autoSpaceDN w:val="0"/>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填写此表时不得改变表格的形式。</w:t>
      </w:r>
    </w:p>
    <w:p w14:paraId="38FCAA02">
      <w:pPr>
        <w:keepNext w:val="0"/>
        <w:keepLines w:val="0"/>
        <w:pageBreakBefore w:val="0"/>
        <w:widowControl w:val="0"/>
        <w:shd w:val="clear"/>
        <w:kinsoku/>
        <w:wordWrap/>
        <w:overflowPunct w:val="0"/>
        <w:topLinePunct/>
        <w:autoSpaceDE w:val="0"/>
        <w:autoSpaceDN w:val="0"/>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报价一经涂改，应在涂改处加盖单位公章或者由法定代表人或授权委托人签字或盖章，否则将作无效响应处理。</w:t>
      </w:r>
    </w:p>
    <w:p w14:paraId="46BB853B">
      <w:pPr>
        <w:keepNext w:val="0"/>
        <w:keepLines w:val="0"/>
        <w:pageBreakBefore w:val="0"/>
        <w:widowControl w:val="0"/>
        <w:shd w:val="clear"/>
        <w:kinsoku/>
        <w:wordWrap/>
        <w:overflowPunct w:val="0"/>
        <w:topLinePunct/>
        <w:autoSpaceDE w:val="0"/>
        <w:autoSpaceDN w:val="0"/>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是履行合同的最终价格，应包括完成本招标项下全部工作所需的一切费用，包括但不限于应包括有关本项目实施所需的人员工资及保险、设备、办公用材、交通、差旅、利润、管理费、税金、培训、技术指导、服务、其他费用等完成招标内容及要求所提供的服务过程中涉及的一切费用（含税费）。</w:t>
      </w:r>
    </w:p>
    <w:p w14:paraId="4CE4DF26">
      <w:pPr>
        <w:keepNext w:val="0"/>
        <w:keepLines w:val="0"/>
        <w:pageBreakBefore w:val="0"/>
        <w:widowControl w:val="0"/>
        <w:shd w:val="clear"/>
        <w:kinsoku/>
        <w:wordWrap/>
        <w:overflowPunct w:val="0"/>
        <w:topLinePunct/>
        <w:autoSpaceDE w:val="0"/>
        <w:autoSpaceDN w:val="0"/>
        <w:bidi w:val="0"/>
        <w:adjustRightInd/>
        <w:snapToGrid w:val="0"/>
        <w:spacing w:line="400" w:lineRule="exact"/>
        <w:ind w:firstLine="480"/>
        <w:textAlignment w:val="auto"/>
        <w:rPr>
          <w:rFonts w:hint="eastAsia" w:ascii="宋体" w:hAnsi="宋体" w:eastAsia="宋体" w:cs="宋体"/>
          <w:color w:val="auto"/>
          <w:sz w:val="24"/>
          <w:szCs w:val="24"/>
          <w:highlight w:val="none"/>
        </w:rPr>
      </w:pPr>
    </w:p>
    <w:p w14:paraId="03EC1584">
      <w:pPr>
        <w:pStyle w:val="16"/>
        <w:widowControl w:val="0"/>
        <w:numPr>
          <w:ilvl w:val="0"/>
          <w:numId w:val="0"/>
        </w:numPr>
        <w:jc w:val="both"/>
        <w:rPr>
          <w:rFonts w:hint="eastAsia"/>
          <w:color w:val="auto"/>
          <w:highlight w:val="none"/>
        </w:rPr>
      </w:pPr>
    </w:p>
    <w:p w14:paraId="7C12DD2A">
      <w:pPr>
        <w:keepNext w:val="0"/>
        <w:keepLines w:val="0"/>
        <w:pageBreakBefore w:val="0"/>
        <w:widowControl w:val="0"/>
        <w:shd w:val="clear"/>
        <w:tabs>
          <w:tab w:val="left" w:pos="5760"/>
        </w:tabs>
        <w:kinsoku/>
        <w:wordWrap/>
        <w:overflowPunct w:val="0"/>
        <w:topLinePunct/>
        <w:autoSpaceDE w:val="0"/>
        <w:autoSpaceDN w:val="0"/>
        <w:bidi w:val="0"/>
        <w:adjustRightInd/>
        <w:snapToGrid/>
        <w:spacing w:before="157" w:beforeLines="50" w:line="400" w:lineRule="exact"/>
        <w:ind w:left="0" w:leftChars="0" w:right="482" w:rightChars="0" w:firstLine="0" w:firstLineChars="0"/>
        <w:jc w:val="left"/>
        <w:textAlignment w:val="auto"/>
        <w:outlineLvl w:val="9"/>
        <w:rPr>
          <w:rFonts w:hint="eastAsia" w:ascii="宋体" w:hAnsi="宋体" w:eastAsia="宋体" w:cs="宋体"/>
          <w:color w:val="auto"/>
          <w:sz w:val="24"/>
          <w:szCs w:val="24"/>
          <w:highlight w:val="none"/>
          <w:u w:val="single"/>
        </w:rPr>
      </w:pPr>
      <w:bookmarkStart w:id="53" w:name="OLE_LINK7"/>
      <w:r>
        <w:rPr>
          <w:rFonts w:hint="eastAsia" w:ascii="宋体" w:hAnsi="宋体" w:eastAsia="宋体" w:cs="宋体"/>
          <w:color w:val="auto"/>
          <w:sz w:val="24"/>
          <w:szCs w:val="24"/>
          <w:highlight w:val="none"/>
        </w:rPr>
        <w:t>供应商（盖章）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C2CD0F4">
      <w:pPr>
        <w:pStyle w:val="11"/>
        <w:keepNext w:val="0"/>
        <w:keepLines w:val="0"/>
        <w:pageBreakBefore w:val="0"/>
        <w:widowControl w:val="0"/>
        <w:shd w:val="clear"/>
        <w:kinsoku/>
        <w:wordWrap/>
        <w:overflowPunct w:val="0"/>
        <w:topLinePunct/>
        <w:autoSpaceDE w:val="0"/>
        <w:autoSpaceDN w:val="0"/>
        <w:bidi w:val="0"/>
        <w:adjustRightInd/>
        <w:snapToGrid/>
        <w:spacing w:before="157" w:beforeLines="50" w:after="0" w:line="4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86427BD">
      <w:pPr>
        <w:pStyle w:val="11"/>
        <w:keepNext w:val="0"/>
        <w:keepLines w:val="0"/>
        <w:pageBreakBefore w:val="0"/>
        <w:widowControl w:val="0"/>
        <w:shd w:val="clear"/>
        <w:kinsoku/>
        <w:wordWrap/>
        <w:overflowPunct w:val="0"/>
        <w:topLinePunct/>
        <w:autoSpaceDE w:val="0"/>
        <w:autoSpaceDN w:val="0"/>
        <w:bidi w:val="0"/>
        <w:adjustRightInd/>
        <w:snapToGrid/>
        <w:spacing w:before="157" w:beforeLines="50" w:after="0" w:line="4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eastAsia="zh-CN"/>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bookmarkEnd w:id="53"/>
    <w:p w14:paraId="33A5BCA3">
      <w:pPr>
        <w:rPr>
          <w:rFonts w:hint="eastAsia" w:ascii="宋体" w:hAnsi="宋体" w:eastAsia="宋体" w:cs="宋体"/>
          <w:color w:val="auto"/>
          <w:sz w:val="24"/>
          <w:szCs w:val="24"/>
          <w:highlight w:val="none"/>
        </w:rPr>
        <w:sectPr>
          <w:footerReference r:id="rId11" w:type="default"/>
          <w:pgSz w:w="11906" w:h="16838"/>
          <w:pgMar w:top="1361" w:right="1361" w:bottom="1361" w:left="1361"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p w14:paraId="5157D649">
      <w:pPr>
        <w:pStyle w:val="11"/>
        <w:keepNext w:val="0"/>
        <w:keepLines w:val="0"/>
        <w:pageBreakBefore w:val="0"/>
        <w:widowControl w:val="0"/>
        <w:shd w:val="clear"/>
        <w:kinsoku/>
        <w:wordWrap/>
        <w:overflowPunct w:val="0"/>
        <w:topLinePunct/>
        <w:autoSpaceDE w:val="0"/>
        <w:autoSpaceDN w:val="0"/>
        <w:bidi w:val="0"/>
        <w:adjustRightInd/>
        <w:snapToGrid/>
        <w:spacing w:before="157" w:beforeLines="50" w:after="0" w:line="400" w:lineRule="exact"/>
        <w:ind w:left="0" w:leftChars="0" w:right="0" w:rightChars="0" w:firstLine="0" w:firstLineChars="0"/>
        <w:jc w:val="both"/>
        <w:textAlignment w:val="auto"/>
        <w:outlineLvl w:val="9"/>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5.中小企业声明函、监狱和戒毒企业或残疾人福利性单位声明函格式：</w:t>
      </w:r>
    </w:p>
    <w:p w14:paraId="6B270500">
      <w:pPr>
        <w:pStyle w:val="17"/>
        <w:keepNext w:val="0"/>
        <w:keepLines w:val="0"/>
        <w:pageBreakBefore w:val="0"/>
        <w:widowControl w:val="0"/>
        <w:numPr>
          <w:ilvl w:val="0"/>
          <w:numId w:val="0"/>
        </w:numPr>
        <w:shd w:val="clear"/>
        <w:kinsoku/>
        <w:wordWrap/>
        <w:overflowPunct w:val="0"/>
        <w:topLinePunct/>
        <w:autoSpaceDE w:val="0"/>
        <w:autoSpaceDN w:val="0"/>
        <w:bidi w:val="0"/>
        <w:adjustRightInd/>
        <w:snapToGrid w:val="0"/>
        <w:spacing w:before="0" w:beforeLines="0" w:after="0" w:afterLines="0" w:line="360" w:lineRule="auto"/>
        <w:textAlignment w:val="auto"/>
        <w:rPr>
          <w:rFonts w:hint="eastAsia"/>
          <w:color w:val="000000" w:themeColor="text1"/>
          <w:highlight w:val="none"/>
          <w14:textFill>
            <w14:solidFill>
              <w14:schemeClr w14:val="tx1"/>
            </w14:solidFill>
          </w14:textFill>
        </w:rPr>
      </w:pPr>
      <w:r>
        <w:rPr>
          <w:rFonts w:hint="eastAsia" w:hAnsi="宋体" w:eastAsia="宋体" w:cs="宋体"/>
          <w:b/>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.1中小企业声明函格式：</w:t>
      </w:r>
    </w:p>
    <w:p w14:paraId="293387AF">
      <w:pPr>
        <w:keepNext w:val="0"/>
        <w:keepLines w:val="0"/>
        <w:pageBreakBefore w:val="0"/>
        <w:widowControl w:val="0"/>
        <w:shd w:val="clear"/>
        <w:kinsoku/>
        <w:wordWrap/>
        <w:overflowPunct w:val="0"/>
        <w:topLinePunct/>
        <w:autoSpaceDE w:val="0"/>
        <w:autoSpaceDN w:val="0"/>
        <w:bidi w:val="0"/>
        <w:rPr>
          <w:rFonts w:hint="eastAsia" w:ascii="宋体" w:hAnsi="宋体" w:eastAsia="宋体" w:cs="宋体"/>
          <w:color w:val="000000" w:themeColor="text1"/>
          <w:sz w:val="24"/>
          <w:szCs w:val="24"/>
          <w:highlight w:val="none"/>
          <w14:textFill>
            <w14:solidFill>
              <w14:schemeClr w14:val="tx1"/>
            </w14:solidFill>
          </w14:textFill>
        </w:rPr>
      </w:pPr>
    </w:p>
    <w:p w14:paraId="4410CD73">
      <w:pPr>
        <w:keepNext w:val="0"/>
        <w:keepLines w:val="0"/>
        <w:pageBreakBefore w:val="0"/>
        <w:widowControl w:val="0"/>
        <w:kinsoku/>
        <w:wordWrap w:val="0"/>
        <w:overflowPunct/>
        <w:topLinePunct/>
        <w:autoSpaceDE/>
        <w:autoSpaceDN/>
        <w:bidi w:val="0"/>
        <w:snapToGrid w:val="0"/>
        <w:spacing w:before="50" w:after="156" w:afterLines="50" w:line="360" w:lineRule="auto"/>
        <w:ind w:firstLine="321" w:firstLineChars="100"/>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中小企业声明函</w:t>
      </w:r>
      <w:r>
        <w:rPr>
          <w:rFonts w:hint="eastAsia" w:ascii="宋体" w:hAnsi="宋体" w:eastAsia="宋体" w:cs="宋体"/>
          <w:b/>
          <w:bCs/>
          <w:color w:val="000000" w:themeColor="text1"/>
          <w:sz w:val="32"/>
          <w:szCs w:val="32"/>
          <w:highlight w:val="none"/>
          <w:lang w:eastAsia="zh-CN"/>
          <w14:textFill>
            <w14:solidFill>
              <w14:schemeClr w14:val="tx1"/>
            </w14:solidFill>
          </w14:textFill>
        </w:rPr>
        <w:t>（服务）</w:t>
      </w:r>
    </w:p>
    <w:p w14:paraId="7535B1EC">
      <w:pPr>
        <w:pStyle w:val="19"/>
        <w:rPr>
          <w:rFonts w:hint="eastAsia"/>
          <w:color w:val="000000" w:themeColor="text1"/>
          <w:highlight w:val="none"/>
          <w14:textFill>
            <w14:solidFill>
              <w14:schemeClr w14:val="tx1"/>
            </w14:solidFill>
          </w14:textFill>
        </w:rPr>
      </w:pPr>
    </w:p>
    <w:p w14:paraId="0CF0CCFD">
      <w:pPr>
        <w:keepNext w:val="0"/>
        <w:keepLines w:val="0"/>
        <w:pageBreakBefore w:val="0"/>
        <w:widowControl w:val="0"/>
        <w:kinsoku/>
        <w:wordWrap w:val="0"/>
        <w:overflowPunct/>
        <w:topLinePunct/>
        <w:autoSpaceDE/>
        <w:autoSpaceDN/>
        <w:bidi w:val="0"/>
        <w:adjustRightInd/>
        <w:snapToGrid/>
        <w:spacing w:before="95" w:beforeLines="30" w:after="157" w:afterLines="50" w:line="480" w:lineRule="exact"/>
        <w:ind w:left="0" w:leftChars="0" w:right="0" w:rightChars="0" w:firstLine="48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海盐县农业农村局 </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2026年海盐县高标准农田管护保险项目</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w:t>
      </w:r>
      <w:r>
        <w:rPr>
          <w:rFonts w:hint="eastAsia" w:ascii="宋体" w:hAnsi="宋体" w:eastAsia="宋体" w:cs="宋体"/>
          <w:color w:val="000000" w:themeColor="text1"/>
          <w:sz w:val="24"/>
          <w:szCs w:val="24"/>
          <w:highlight w:val="none"/>
          <w14:textFill>
            <w14:solidFill>
              <w14:schemeClr w14:val="tx1"/>
            </w14:solidFill>
          </w14:textFill>
        </w:rPr>
        <w:t xml:space="preserve">具体情况如下：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43E479DC">
      <w:pPr>
        <w:keepNext w:val="0"/>
        <w:keepLines w:val="0"/>
        <w:pageBreakBefore w:val="0"/>
        <w:widowControl w:val="0"/>
        <w:numPr>
          <w:ilvl w:val="0"/>
          <w:numId w:val="0"/>
        </w:numPr>
        <w:kinsoku/>
        <w:wordWrap w:val="0"/>
        <w:overflowPunct/>
        <w:topLinePunct/>
        <w:autoSpaceDE/>
        <w:autoSpaceDN/>
        <w:bidi w:val="0"/>
        <w:adjustRightInd/>
        <w:snapToGrid/>
        <w:spacing w:before="157" w:beforeLines="50" w:after="157" w:afterLines="50" w:line="480" w:lineRule="exact"/>
        <w:ind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2026年海盐县高标准农田管护保险项目 </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租赁和商务服务业</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承建（承接）企业为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（企业名称）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 ，属于</w:t>
      </w:r>
      <w:r>
        <w:rPr>
          <w:rFonts w:hint="eastAsia"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14:textFill>
            <w14:solidFill>
              <w14:schemeClr w14:val="tx1"/>
            </w14:solidFill>
          </w14:textFill>
        </w:rPr>
        <w:t>；</w:t>
      </w:r>
    </w:p>
    <w:p w14:paraId="3B02D585">
      <w:pPr>
        <w:keepNext w:val="0"/>
        <w:keepLines w:val="0"/>
        <w:pageBreakBefore w:val="0"/>
        <w:widowControl w:val="0"/>
        <w:kinsoku/>
        <w:wordWrap w:val="0"/>
        <w:overflowPunct/>
        <w:topLinePunct/>
        <w:autoSpaceDE/>
        <w:autoSpaceDN/>
        <w:bidi w:val="0"/>
        <w:adjustRightInd/>
        <w:snapToGrid/>
        <w:spacing w:before="95" w:beforeLines="30" w:after="157" w:afterLines="50" w:line="480" w:lineRule="exact"/>
        <w:ind w:left="0" w:leftChars="0" w:right="0" w:rightChars="0" w:firstLine="48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以上企业，不属于大企业的分支机构，不存在控股股东为大企业的情形，也不存在与大企业的负责人为同一人的情形。 </w:t>
      </w:r>
    </w:p>
    <w:p w14:paraId="1332FAB6">
      <w:pPr>
        <w:pStyle w:val="3"/>
        <w:keepNext w:val="0"/>
        <w:keepLines w:val="0"/>
        <w:pageBreakBefore w:val="0"/>
        <w:widowControl w:val="0"/>
        <w:shd w:val="clear"/>
        <w:kinsoku/>
        <w:wordWrap/>
        <w:overflowPunct w:val="0"/>
        <w:topLinePunct/>
        <w:autoSpaceDE w:val="0"/>
        <w:autoSpaceDN w:val="0"/>
        <w:bidi w:val="0"/>
        <w:rPr>
          <w:rFonts w:hint="eastAsia" w:ascii="宋体" w:hAnsi="宋体" w:eastAsia="宋体" w:cs="宋体"/>
          <w:b/>
          <w:bCs/>
          <w:color w:val="000000" w:themeColor="text1"/>
          <w:sz w:val="24"/>
          <w:szCs w:val="24"/>
          <w:highlight w:val="none"/>
          <w14:textFill>
            <w14:solidFill>
              <w14:schemeClr w14:val="tx1"/>
            </w14:solidFill>
          </w14:textFill>
        </w:rPr>
      </w:pPr>
      <w:bookmarkStart w:id="54" w:name="_Toc28520"/>
      <w:r>
        <w:rPr>
          <w:rFonts w:hint="eastAsia" w:ascii="宋体" w:hAnsi="宋体" w:eastAsia="宋体" w:cs="宋体"/>
          <w:b/>
          <w:bCs/>
          <w:color w:val="000000" w:themeColor="text1"/>
          <w:sz w:val="24"/>
          <w:szCs w:val="24"/>
          <w:highlight w:val="none"/>
          <w14:textFill>
            <w14:solidFill>
              <w14:schemeClr w14:val="tx1"/>
            </w14:solidFill>
          </w14:textFill>
        </w:rPr>
        <w:t>本企业对上述声明内容的真实性负责。如有虚假，将依法承担相应责任。</w:t>
      </w:r>
      <w:bookmarkEnd w:id="54"/>
    </w:p>
    <w:p w14:paraId="42F5EFA2">
      <w:pPr>
        <w:keepNext w:val="0"/>
        <w:keepLines w:val="0"/>
        <w:pageBreakBefore w:val="0"/>
        <w:widowControl w:val="0"/>
        <w:kinsoku/>
        <w:wordWrap w:val="0"/>
        <w:overflowPunct w:val="0"/>
        <w:topLinePunct w:val="0"/>
        <w:autoSpaceDE w:val="0"/>
        <w:autoSpaceDN w:val="0"/>
        <w:bidi w:val="0"/>
        <w:adjustRightInd/>
        <w:snapToGrid/>
        <w:spacing w:before="157" w:beforeLines="50" w:line="400" w:lineRule="exact"/>
        <w:ind w:left="0" w:leftChars="0"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7FF3A9D">
      <w:pPr>
        <w:keepNext w:val="0"/>
        <w:keepLines w:val="0"/>
        <w:pageBreakBefore w:val="0"/>
        <w:widowControl w:val="0"/>
        <w:kinsoku/>
        <w:wordWrap w:val="0"/>
        <w:overflowPunct w:val="0"/>
        <w:topLinePunct w:val="0"/>
        <w:autoSpaceDE w:val="0"/>
        <w:autoSpaceDN w:val="0"/>
        <w:bidi w:val="0"/>
        <w:adjustRightInd/>
        <w:snapToGrid/>
        <w:spacing w:before="157" w:beforeLines="50" w:line="400" w:lineRule="exact"/>
        <w:ind w:left="0" w:leftChars="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企业名称（盖章）：</w:t>
      </w:r>
    </w:p>
    <w:p w14:paraId="4BB323A7">
      <w:pPr>
        <w:keepNext w:val="0"/>
        <w:keepLines w:val="0"/>
        <w:pageBreakBefore w:val="0"/>
        <w:widowControl w:val="0"/>
        <w:kinsoku/>
        <w:wordWrap w:val="0"/>
        <w:overflowPunct w:val="0"/>
        <w:topLinePunct w:val="0"/>
        <w:autoSpaceDE w:val="0"/>
        <w:autoSpaceDN w:val="0"/>
        <w:bidi w:val="0"/>
        <w:adjustRightInd/>
        <w:snapToGrid/>
        <w:spacing w:before="157" w:beforeLines="50" w:line="400" w:lineRule="exact"/>
        <w:ind w:left="0" w:leftChars="0" w:right="0" w:rightChars="0"/>
        <w:jc w:val="center"/>
        <w:textAlignment w:val="auto"/>
        <w:outlineLvl w:val="9"/>
        <w:rPr>
          <w:rFonts w:hint="eastAsia" w:ascii="宋体" w:hAnsi="宋体" w:eastAsia="宋体" w:cs="宋体"/>
          <w:b/>
          <w:bCs w:val="0"/>
          <w:color w:val="auto"/>
          <w:sz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b/>
          <w:bCs w:val="0"/>
          <w:color w:val="auto"/>
          <w:sz w:val="24"/>
          <w:highlight w:val="none"/>
          <w:lang w:val="en-US" w:eastAsia="zh-CN"/>
        </w:rPr>
        <w:t xml:space="preserve">  </w:t>
      </w:r>
    </w:p>
    <w:p w14:paraId="7AE481B9">
      <w:pPr>
        <w:pStyle w:val="25"/>
        <w:rPr>
          <w:rFonts w:hint="eastAsia" w:ascii="宋体" w:hAnsi="宋体" w:eastAsia="宋体" w:cs="宋体"/>
          <w:b/>
          <w:bCs w:val="0"/>
          <w:color w:val="auto"/>
          <w:sz w:val="24"/>
          <w:highlight w:val="none"/>
          <w:lang w:val="en-US" w:eastAsia="zh-CN"/>
        </w:rPr>
      </w:pPr>
    </w:p>
    <w:p w14:paraId="1110C48F">
      <w:pPr>
        <w:rPr>
          <w:rFonts w:hint="eastAsia"/>
          <w:color w:val="auto"/>
          <w:lang w:val="en-US" w:eastAsia="zh-CN"/>
        </w:rPr>
      </w:pPr>
    </w:p>
    <w:p w14:paraId="5564CC0D">
      <w:pPr>
        <w:keepNext w:val="0"/>
        <w:keepLines w:val="0"/>
        <w:widowControl/>
        <w:suppressLineNumbers w:val="0"/>
        <w:shd w:val="clear" w:color="auto" w:fill="FFFFFF"/>
        <w:spacing w:before="100" w:beforeAutospacing="1" w:after="100" w:afterAutospacing="1" w:line="435" w:lineRule="atLeast"/>
        <w:ind w:left="0" w:right="0" w:firstLine="0"/>
        <w:jc w:val="left"/>
        <w:rPr>
          <w:rFonts w:hint="default" w:ascii="Arial" w:hAnsi="Arial" w:cs="Arial"/>
          <w:i w:val="0"/>
          <w:caps w:val="0"/>
          <w:color w:val="auto"/>
          <w:spacing w:val="0"/>
          <w:sz w:val="21"/>
          <w:szCs w:val="21"/>
        </w:rPr>
      </w:pPr>
      <w:r>
        <w:rPr>
          <w:rFonts w:hint="eastAsia" w:ascii="宋体" w:hAnsi="宋体" w:eastAsia="宋体" w:cs="宋体"/>
          <w:i w:val="0"/>
          <w:caps w:val="0"/>
          <w:color w:val="auto"/>
          <w:spacing w:val="0"/>
          <w:kern w:val="0"/>
          <w:sz w:val="24"/>
          <w:szCs w:val="24"/>
          <w:u w:val="single"/>
          <w:shd w:val="clear" w:color="auto" w:fill="FFFFFF"/>
          <w:lang w:val="en-US" w:eastAsia="zh-CN" w:bidi="ar"/>
        </w:rPr>
        <w:t>              </w:t>
      </w:r>
    </w:p>
    <w:p w14:paraId="1B21B2D4">
      <w:pPr>
        <w:keepNext w:val="0"/>
        <w:keepLines w:val="0"/>
        <w:widowControl/>
        <w:suppressLineNumbers w:val="0"/>
        <w:shd w:val="clear" w:color="auto" w:fill="FFFFFF"/>
        <w:spacing w:before="100" w:beforeAutospacing="1" w:after="100" w:afterAutospacing="1" w:line="435" w:lineRule="atLeast"/>
        <w:ind w:left="0" w:right="0" w:firstLine="0"/>
        <w:jc w:val="left"/>
        <w:rPr>
          <w:rFonts w:hint="default" w:ascii="Arial" w:hAnsi="Arial" w:cs="Arial"/>
          <w:b/>
          <w:bCs/>
          <w:i w:val="0"/>
          <w:caps w:val="0"/>
          <w:color w:val="auto"/>
          <w:spacing w:val="0"/>
          <w:sz w:val="24"/>
          <w:szCs w:val="24"/>
        </w:rPr>
      </w:pPr>
      <w:r>
        <w:rPr>
          <w:rFonts w:hint="eastAsia" w:ascii="宋体" w:hAnsi="宋体" w:eastAsia="宋体" w:cs="宋体"/>
          <w:b/>
          <w:bCs/>
          <w:i w:val="0"/>
          <w:caps w:val="0"/>
          <w:color w:val="auto"/>
          <w:spacing w:val="0"/>
          <w:kern w:val="0"/>
          <w:sz w:val="24"/>
          <w:szCs w:val="24"/>
          <w:shd w:val="clear" w:color="auto" w:fill="FFFFFF"/>
          <w:vertAlign w:val="superscript"/>
          <w:lang w:val="en-US" w:eastAsia="zh-CN" w:bidi="ar"/>
        </w:rPr>
        <w:t>1</w:t>
      </w:r>
      <w:r>
        <w:rPr>
          <w:rFonts w:hint="eastAsia" w:ascii="宋体" w:hAnsi="宋体" w:eastAsia="宋体" w:cs="宋体"/>
          <w:b/>
          <w:bCs/>
          <w:i w:val="0"/>
          <w:caps w:val="0"/>
          <w:color w:val="auto"/>
          <w:spacing w:val="0"/>
          <w:kern w:val="0"/>
          <w:sz w:val="24"/>
          <w:szCs w:val="24"/>
          <w:shd w:val="clear" w:color="auto" w:fill="FFFFFF"/>
          <w:lang w:val="en-US" w:eastAsia="zh-CN" w:bidi="ar"/>
        </w:rPr>
        <w:t>从业人员、营业收入、资产总额填报上一年度数据，无上一年度数据的新成立企业可不填报。</w:t>
      </w:r>
    </w:p>
    <w:p w14:paraId="43170D03">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ind w:firstLine="480" w:firstLineChars="200"/>
        <w:jc w:val="left"/>
        <w:textAlignment w:val="auto"/>
        <w:outlineLvl w:val="9"/>
        <w:rPr>
          <w:rFonts w:hint="eastAsia" w:hAnsi="宋体" w:eastAsia="宋体" w:cs="宋体"/>
          <w:color w:val="auto"/>
          <w:sz w:val="24"/>
          <w:szCs w:val="24"/>
          <w:highlight w:val="none"/>
          <w:lang w:val="en-US" w:eastAsia="zh-CN"/>
        </w:rPr>
      </w:pPr>
    </w:p>
    <w:p w14:paraId="025007CE">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ind w:firstLine="480" w:firstLineChars="200"/>
        <w:jc w:val="left"/>
        <w:textAlignment w:val="auto"/>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注：</w:t>
      </w:r>
    </w:p>
    <w:p w14:paraId="7083FF29">
      <w:pPr>
        <w:pStyle w:val="17"/>
        <w:keepNext w:val="0"/>
        <w:keepLines w:val="0"/>
        <w:pageBreakBefore w:val="0"/>
        <w:widowControl w:val="0"/>
        <w:kinsoku/>
        <w:wordWrap w:val="0"/>
        <w:overflowPunct w:val="0"/>
        <w:topLinePunct w:val="0"/>
        <w:autoSpaceDE w:val="0"/>
        <w:autoSpaceDN w:val="0"/>
        <w:bidi w:val="0"/>
        <w:adjustRightInd/>
        <w:snapToGrid w:val="0"/>
        <w:spacing w:before="0" w:beforeLines="0" w:after="0" w:afterLines="0"/>
        <w:ind w:firstLine="480" w:firstLineChars="200"/>
        <w:jc w:val="left"/>
        <w:textAlignment w:val="auto"/>
        <w:outlineLvl w:val="9"/>
        <w:rPr>
          <w:rFonts w:hint="eastAsia" w:ascii="宋体" w:hAnsi="宋体" w:eastAsia="宋体" w:cs="宋体"/>
          <w:color w:val="auto"/>
          <w:sz w:val="24"/>
          <w:szCs w:val="24"/>
          <w:highlight w:val="yellow"/>
          <w:u w:val="single"/>
          <w:lang w:eastAsia="zh-CN"/>
        </w:rPr>
      </w:pPr>
      <w:r>
        <w:rPr>
          <w:rFonts w:hint="eastAsia"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中小企业划型标准</w:t>
      </w:r>
      <w:r>
        <w:rPr>
          <w:rFonts w:hint="eastAsia" w:ascii="宋体" w:hAnsi="宋体" w:eastAsia="宋体" w:cs="宋体"/>
          <w:color w:val="auto"/>
          <w:sz w:val="24"/>
          <w:szCs w:val="24"/>
          <w:highlight w:val="none"/>
          <w:lang w:eastAsia="zh-CN"/>
        </w:rPr>
        <w:t>请按照《中小企业划型标准规定》（</w:t>
      </w:r>
      <w:r>
        <w:rPr>
          <w:rFonts w:hint="eastAsia" w:ascii="宋体" w:hAnsi="宋体" w:eastAsia="宋体" w:cs="宋体"/>
          <w:color w:val="auto"/>
          <w:sz w:val="24"/>
          <w:szCs w:val="24"/>
          <w:highlight w:val="none"/>
        </w:rPr>
        <w:t>工信部联企业〔2011〕300号</w:t>
      </w:r>
      <w:r>
        <w:rPr>
          <w:rFonts w:hint="eastAsia" w:ascii="宋体" w:hAnsi="宋体" w:eastAsia="宋体" w:cs="宋体"/>
          <w:color w:val="auto"/>
          <w:sz w:val="24"/>
          <w:szCs w:val="24"/>
          <w:highlight w:val="none"/>
          <w:lang w:eastAsia="zh-CN"/>
        </w:rPr>
        <w:t>）之</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十五）租赁和商务服务业。从业人员300人以下或资产总额12000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D15EF4D">
      <w:pPr>
        <w:keepNext w:val="0"/>
        <w:keepLines w:val="0"/>
        <w:pageBreakBefore w:val="0"/>
        <w:widowControl w:val="0"/>
        <w:kinsoku/>
        <w:wordWrap w:val="0"/>
        <w:overflowPunct w:val="0"/>
        <w:topLinePunct w:val="0"/>
        <w:autoSpaceDE w:val="0"/>
        <w:autoSpaceDN w:val="0"/>
        <w:bidi w:val="0"/>
        <w:adjustRightInd/>
        <w:snapToGrid w:val="0"/>
        <w:spacing w:after="0" w:afterLines="0" w:line="400" w:lineRule="exact"/>
        <w:ind w:firstLine="482" w:firstLineChars="0"/>
        <w:textAlignment w:val="auto"/>
        <w:rPr>
          <w:rFonts w:hint="eastAsia" w:ascii="宋体" w:hAnsi="宋体" w:eastAsia="宋体" w:cs="宋体"/>
          <w:b/>
          <w:color w:val="auto"/>
          <w:sz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根据财库〔2020〕46号、财库〔2022〕19号、浙财采监〔2022〕8号文件的相关规定：中标、成交供应商享受本办法规定的中小企业扶持政策的，采购人、采购代理机构应当随中标、成交结果公开中标、成交供应商的《中小企业声明函》。供应商按照本办法规定提供声明函内容不实的，属于提供虚假材料谋取中标、成交，依照《中华人民共和国政府采购法》等国家有关规定追究相应责任。</w:t>
      </w:r>
    </w:p>
    <w:p w14:paraId="6C7C4480">
      <w:pPr>
        <w:rPr>
          <w:rFonts w:hint="eastAsia"/>
          <w:color w:val="auto"/>
        </w:rPr>
      </w:pPr>
    </w:p>
    <w:p w14:paraId="05A070C4">
      <w:pPr>
        <w:keepNext w:val="0"/>
        <w:keepLines w:val="0"/>
        <w:pageBreakBefore w:val="0"/>
        <w:widowControl w:val="0"/>
        <w:shd w:val="clear"/>
        <w:kinsoku/>
        <w:wordWrap/>
        <w:overflowPunct w:val="0"/>
        <w:topLinePunct/>
        <w:autoSpaceDE w:val="0"/>
        <w:autoSpaceDN w:val="0"/>
        <w:bidi w:val="0"/>
        <w:rPr>
          <w:rFonts w:hint="eastAsia" w:ascii="宋体" w:hAnsi="宋体" w:eastAsia="宋体" w:cs="宋体"/>
          <w:color w:val="auto"/>
          <w:sz w:val="24"/>
          <w:szCs w:val="24"/>
          <w:highlight w:val="none"/>
        </w:rPr>
      </w:pPr>
    </w:p>
    <w:p w14:paraId="4B38AB03">
      <w:pPr>
        <w:pStyle w:val="19"/>
        <w:rPr>
          <w:rFonts w:hint="eastAsia" w:ascii="宋体" w:hAnsi="宋体" w:eastAsia="宋体" w:cs="宋体"/>
          <w:color w:val="auto"/>
          <w:sz w:val="24"/>
          <w:szCs w:val="24"/>
          <w:highlight w:val="none"/>
        </w:rPr>
      </w:pPr>
    </w:p>
    <w:p w14:paraId="0F635083">
      <w:pPr>
        <w:pStyle w:val="19"/>
        <w:rPr>
          <w:rFonts w:hint="eastAsia" w:ascii="宋体" w:hAnsi="宋体" w:eastAsia="宋体" w:cs="宋体"/>
          <w:color w:val="auto"/>
          <w:sz w:val="24"/>
          <w:szCs w:val="24"/>
          <w:highlight w:val="none"/>
        </w:rPr>
      </w:pPr>
    </w:p>
    <w:p w14:paraId="413F432D">
      <w:pPr>
        <w:pStyle w:val="19"/>
        <w:rPr>
          <w:rFonts w:hint="eastAsia" w:ascii="宋体" w:hAnsi="宋体" w:eastAsia="宋体" w:cs="宋体"/>
          <w:color w:val="auto"/>
          <w:sz w:val="24"/>
          <w:szCs w:val="24"/>
          <w:highlight w:val="none"/>
        </w:rPr>
      </w:pPr>
    </w:p>
    <w:p w14:paraId="10E1B26A">
      <w:pPr>
        <w:pStyle w:val="19"/>
        <w:rPr>
          <w:rFonts w:hint="eastAsia" w:ascii="宋体" w:hAnsi="宋体" w:eastAsia="宋体" w:cs="宋体"/>
          <w:color w:val="auto"/>
          <w:sz w:val="24"/>
          <w:szCs w:val="24"/>
          <w:highlight w:val="none"/>
        </w:rPr>
      </w:pPr>
    </w:p>
    <w:p w14:paraId="2492E2E8">
      <w:pPr>
        <w:pStyle w:val="19"/>
        <w:rPr>
          <w:rFonts w:hint="eastAsia" w:ascii="宋体" w:hAnsi="宋体" w:eastAsia="宋体" w:cs="宋体"/>
          <w:color w:val="auto"/>
          <w:sz w:val="24"/>
          <w:szCs w:val="24"/>
          <w:highlight w:val="none"/>
        </w:rPr>
      </w:pPr>
    </w:p>
    <w:p w14:paraId="0D92A638">
      <w:pPr>
        <w:pStyle w:val="17"/>
        <w:keepNext w:val="0"/>
        <w:keepLines w:val="0"/>
        <w:pageBreakBefore w:val="0"/>
        <w:widowControl w:val="0"/>
        <w:numPr>
          <w:ilvl w:val="0"/>
          <w:numId w:val="0"/>
        </w:numPr>
        <w:shd w:val="clear"/>
        <w:kinsoku/>
        <w:wordWrap/>
        <w:overflowPunct w:val="0"/>
        <w:topLinePunct/>
        <w:autoSpaceDE w:val="0"/>
        <w:autoSpaceDN w:val="0"/>
        <w:bidi w:val="0"/>
        <w:adjustRightInd/>
        <w:snapToGrid w:val="0"/>
        <w:spacing w:before="0" w:beforeLines="0" w:after="0" w:afterLines="0" w:line="360" w:lineRule="auto"/>
        <w:textAlignment w:val="auto"/>
        <w:rPr>
          <w:rFonts w:hint="eastAsia" w:ascii="宋体" w:hAnsi="宋体" w:eastAsia="宋体" w:cs="宋体"/>
          <w:b/>
          <w:color w:val="auto"/>
          <w:highlight w:val="none"/>
        </w:rPr>
      </w:pPr>
      <w:r>
        <w:rPr>
          <w:rFonts w:hint="eastAsia" w:hAnsi="宋体" w:eastAsia="宋体" w:cs="宋体"/>
          <w:b/>
          <w:color w:val="auto"/>
          <w:highlight w:val="none"/>
          <w:lang w:val="en-US" w:eastAsia="zh-CN"/>
        </w:rPr>
        <w:t>5</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rPr>
        <w:t>2残疾人福利性单位声明函</w:t>
      </w:r>
    </w:p>
    <w:p w14:paraId="6B1322DA">
      <w:pPr>
        <w:keepNext w:val="0"/>
        <w:keepLines w:val="0"/>
        <w:pageBreakBefore w:val="0"/>
        <w:widowControl w:val="0"/>
        <w:kinsoku/>
        <w:wordWrap w:val="0"/>
        <w:overflowPunct w:val="0"/>
        <w:topLinePunct w:val="0"/>
        <w:autoSpaceDE w:val="0"/>
        <w:autoSpaceDN w:val="0"/>
        <w:bidi w:val="0"/>
        <w:snapToGrid w:val="0"/>
        <w:spacing w:before="50" w:after="156" w:afterLines="50" w:line="360" w:lineRule="auto"/>
        <w:ind w:firstLine="241" w:firstLineChars="100"/>
        <w:rPr>
          <w:rFonts w:hint="eastAsia" w:ascii="宋体" w:hAnsi="宋体" w:eastAsia="宋体" w:cs="宋体"/>
          <w:b/>
          <w:color w:val="auto"/>
          <w:sz w:val="24"/>
          <w:highlight w:val="none"/>
        </w:rPr>
      </w:pPr>
    </w:p>
    <w:p w14:paraId="2F94CDC9">
      <w:pPr>
        <w:keepNext w:val="0"/>
        <w:keepLines w:val="0"/>
        <w:pageBreakBefore w:val="0"/>
        <w:widowControl w:val="0"/>
        <w:kinsoku/>
        <w:wordWrap w:val="0"/>
        <w:overflowPunct w:val="0"/>
        <w:topLinePunct w:val="0"/>
        <w:autoSpaceDE w:val="0"/>
        <w:autoSpaceDN w:val="0"/>
        <w:bidi w:val="0"/>
        <w:spacing w:before="156" w:beforeLines="50" w:line="360" w:lineRule="auto"/>
        <w:ind w:firstLine="56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w:t>
      </w:r>
    </w:p>
    <w:p w14:paraId="24E93E13">
      <w:pPr>
        <w:keepNext w:val="0"/>
        <w:keepLines w:val="0"/>
        <w:pageBreakBefore w:val="0"/>
        <w:widowControl w:val="0"/>
        <w:kinsoku/>
        <w:wordWrap w:val="0"/>
        <w:overflowPunct w:val="0"/>
        <w:topLinePunct w:val="0"/>
        <w:autoSpaceDE w:val="0"/>
        <w:autoSpaceDN w:val="0"/>
        <w:bidi w:val="0"/>
        <w:spacing w:line="360" w:lineRule="auto"/>
        <w:jc w:val="center"/>
        <w:textAlignment w:val="top"/>
        <w:rPr>
          <w:rStyle w:val="29"/>
          <w:rFonts w:hint="eastAsia" w:ascii="宋体" w:hAnsi="宋体" w:eastAsia="宋体" w:cs="宋体"/>
          <w:color w:val="auto"/>
          <w:kern w:val="0"/>
          <w:sz w:val="36"/>
          <w:highlight w:val="none"/>
          <w:lang w:bidi="ar"/>
        </w:rPr>
      </w:pPr>
    </w:p>
    <w:p w14:paraId="465BD957">
      <w:pPr>
        <w:keepNext w:val="0"/>
        <w:keepLines w:val="0"/>
        <w:pageBreakBefore w:val="0"/>
        <w:widowControl w:val="0"/>
        <w:kinsoku/>
        <w:wordWrap w:val="0"/>
        <w:overflowPunct w:val="0"/>
        <w:topLinePunct w:val="0"/>
        <w:autoSpaceDE w:val="0"/>
        <w:autoSpaceDN w:val="0"/>
        <w:bidi w:val="0"/>
        <w:snapToGrid w:val="0"/>
        <w:spacing w:line="360" w:lineRule="auto"/>
        <w:ind w:firstLine="600" w:firstLineChars="25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lang w:bidi="ar"/>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单位的</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项目采购活动提供本单位制造的货物（由本单位承担工程/提供服务），或者提供其他残疾人福利性单位制造的货物（不包括使用非残疾人福利性单位注册商标的货物）。</w:t>
      </w:r>
      <w:r>
        <w:rPr>
          <w:rFonts w:hint="eastAsia" w:ascii="宋体" w:hAnsi="宋体" w:eastAsia="宋体" w:cs="宋体"/>
          <w:color w:val="auto"/>
          <w:sz w:val="24"/>
          <w:highlight w:val="none"/>
          <w:lang w:bidi="ar"/>
        </w:rPr>
        <w:br w:type="textWrapping"/>
      </w:r>
      <w:r>
        <w:rPr>
          <w:rFonts w:hint="eastAsia" w:ascii="宋体" w:hAnsi="宋体" w:eastAsia="宋体" w:cs="宋体"/>
          <w:color w:val="auto"/>
          <w:sz w:val="24"/>
          <w:highlight w:val="none"/>
          <w:lang w:bidi="ar"/>
        </w:rPr>
        <w:t xml:space="preserve">    </w:t>
      </w:r>
      <w:r>
        <w:rPr>
          <w:rFonts w:hint="eastAsia" w:ascii="宋体" w:hAnsi="宋体" w:eastAsia="宋体" w:cs="宋体"/>
          <w:b/>
          <w:bCs/>
          <w:color w:val="auto"/>
          <w:sz w:val="24"/>
          <w:highlight w:val="none"/>
          <w:lang w:bidi="ar"/>
        </w:rPr>
        <w:t>本单位对上述声明的真实性负责。如有虚假，将依法承担相应责任。</w:t>
      </w:r>
    </w:p>
    <w:p w14:paraId="59290F10">
      <w:pPr>
        <w:keepNext w:val="0"/>
        <w:keepLines w:val="0"/>
        <w:pageBreakBefore w:val="0"/>
        <w:widowControl w:val="0"/>
        <w:kinsoku/>
        <w:wordWrap w:val="0"/>
        <w:overflowPunct w:val="0"/>
        <w:topLinePunct w:val="0"/>
        <w:autoSpaceDE w:val="0"/>
        <w:autoSpaceDN w:val="0"/>
        <w:bidi w:val="0"/>
        <w:snapToGrid w:val="0"/>
        <w:spacing w:before="50" w:after="156" w:afterLines="50" w:line="360" w:lineRule="auto"/>
        <w:ind w:firstLine="241" w:firstLineChars="100"/>
        <w:rPr>
          <w:rFonts w:hint="eastAsia" w:ascii="宋体" w:hAnsi="宋体" w:eastAsia="宋体" w:cs="宋体"/>
          <w:b/>
          <w:color w:val="auto"/>
          <w:sz w:val="24"/>
          <w:highlight w:val="none"/>
        </w:rPr>
      </w:pPr>
    </w:p>
    <w:p w14:paraId="7C035DFC">
      <w:pPr>
        <w:keepNext w:val="0"/>
        <w:keepLines w:val="0"/>
        <w:pageBreakBefore w:val="0"/>
        <w:widowControl w:val="0"/>
        <w:kinsoku/>
        <w:wordWrap w:val="0"/>
        <w:overflowPunct w:val="0"/>
        <w:topLinePunct w:val="0"/>
        <w:autoSpaceDE w:val="0"/>
        <w:autoSpaceDN w:val="0"/>
        <w:bidi w:val="0"/>
        <w:snapToGrid w:val="0"/>
        <w:spacing w:line="360" w:lineRule="auto"/>
        <w:ind w:firstLine="5040" w:firstLineChars="21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单位名称（盖章）：</w:t>
      </w:r>
    </w:p>
    <w:p w14:paraId="782EF24C">
      <w:pPr>
        <w:pStyle w:val="19"/>
        <w:ind w:firstLine="6240" w:firstLineChars="2600"/>
      </w:pPr>
      <w:r>
        <w:rPr>
          <w:rFonts w:hint="eastAsia" w:ascii="宋体" w:hAnsi="宋体" w:eastAsia="宋体" w:cs="宋体"/>
          <w:color w:val="auto"/>
          <w:sz w:val="24"/>
          <w:highlight w:val="none"/>
        </w:rPr>
        <w:t>日　期：</w:t>
      </w:r>
    </w:p>
    <w:sectPr>
      <w:headerReference r:id="rId12" w:type="default"/>
      <w:footerReference r:id="rId13" w:type="default"/>
      <w:pgSz w:w="11906" w:h="16838"/>
      <w:pgMar w:top="1361" w:right="1361" w:bottom="1361" w:left="1361" w:header="851" w:footer="850"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Gothic">
    <w:altName w:val="Meiryo UI"/>
    <w:panose1 w:val="020B0609070205080204"/>
    <w:charset w:val="80"/>
    <w:family w:val="swiss"/>
    <w:pitch w:val="default"/>
    <w:sig w:usb0="00000000" w:usb1="00000000" w:usb2="00000012" w:usb3="00000000" w:csb0="4002009F" w:csb1="DFD70000"/>
  </w:font>
  <w:font w:name="Meiryo UI">
    <w:panose1 w:val="020B0604030504040204"/>
    <w:charset w:val="80"/>
    <w:family w:val="auto"/>
    <w:pitch w:val="default"/>
    <w:sig w:usb0="E10102FF" w:usb1="EAC7FFFF" w:usb2="00010012" w:usb3="00000000" w:csb0="6002009F" w:csb1="DFD70000"/>
  </w:font>
  <w:font w:name="MS Mincho">
    <w:altName w:val="Meiryo UI"/>
    <w:panose1 w:val="02020609040205080304"/>
    <w:charset w:val="80"/>
    <w:family w:val="swiss"/>
    <w:pitch w:val="default"/>
    <w:sig w:usb0="00000000" w:usb1="00000000" w:usb2="00000012" w:usb3="00000000" w:csb0="4002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A241E">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1EE35">
    <w:pPr>
      <w:pStyle w:val="19"/>
      <w:framePr w:wrap="around" w:vAnchor="text" w:hAnchor="margin" w:xAlign="outside" w:y="1"/>
      <w:rPr>
        <w:rStyle w:val="30"/>
      </w:rPr>
    </w:pPr>
    <w:r>
      <w:fldChar w:fldCharType="begin"/>
    </w:r>
    <w:r>
      <w:rPr>
        <w:rStyle w:val="30"/>
      </w:rPr>
      <w:instrText xml:space="preserve">PAGE  </w:instrText>
    </w:r>
    <w:r>
      <w:fldChar w:fldCharType="end"/>
    </w:r>
  </w:p>
  <w:p w14:paraId="699A7DD6">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5BDB">
    <w:pPr>
      <w:pStyle w:val="19"/>
      <w:jc w:val="right"/>
      <w:rPr>
        <w:rFonts w:ascii="宋体" w:hAnsi="宋体"/>
        <w:sz w:val="28"/>
        <w:szCs w:val="28"/>
      </w:rPr>
    </w:pPr>
  </w:p>
  <w:p w14:paraId="40708BC2">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E7551">
    <w:pPr>
      <w:pStyle w:val="19"/>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A84DC">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1EA84DC">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p w14:paraId="4FC646C8">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52545">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6D626">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436D626">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6</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1B316">
    <w:pPr>
      <w:pStyle w:val="19"/>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91707">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63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2891707">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63</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9F532">
    <w:pPr>
      <w:pStyle w:val="19"/>
      <w:ind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14:paraId="4023BFB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48</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Osqg8fUAQAArAMAAA4AAAAAAAAAAQAgAAAAHgEA&#10;AGRycy9lMm9Eb2MueG1sUEsFBgAAAAAGAAYAWQEAAGQFAAAAAA==&#10;">
              <v:fill on="f" focussize="0,0"/>
              <v:stroke on="f" joinstyle="miter"/>
              <v:imagedata o:title=""/>
              <o:lock v:ext="edit" aspectratio="f"/>
              <v:textbox inset="0mm,0mm,0mm,0mm" style="mso-fit-shape-to-text:t;">
                <w:txbxContent>
                  <w:p w14:paraId="4023BFB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48</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A5C51">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89703">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19A33">
    <w:pPr>
      <w:pStyle w:val="20"/>
      <w:pBdr>
        <w:bottom w:val="none" w:color="auto" w:sz="0" w:space="1"/>
      </w:pBdr>
      <w:jc w:val="left"/>
      <w:rPr>
        <w:rFonts w:hint="eastAsia" w:eastAsia="等线"/>
        <w:b/>
        <w:sz w:val="28"/>
        <w:szCs w:val="2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DE4A6">
    <w:pPr>
      <w:pStyle w:val="2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F3A8D"/>
    <w:multiLevelType w:val="singleLevel"/>
    <w:tmpl w:val="366F3A8D"/>
    <w:lvl w:ilvl="0" w:tentative="0">
      <w:start w:val="1"/>
      <w:numFmt w:val="bullet"/>
      <w:pStyle w:val="16"/>
      <w:lvlText w:val=""/>
      <w:lvlJc w:val="left"/>
      <w:pPr>
        <w:tabs>
          <w:tab w:val="left" w:pos="780"/>
        </w:tabs>
        <w:ind w:left="780" w:hanging="360"/>
      </w:pPr>
      <w:rPr>
        <w:rFonts w:hint="default" w:ascii="Wingdings" w:hAnsi="Wingdings"/>
      </w:rPr>
    </w:lvl>
  </w:abstractNum>
  <w:abstractNum w:abstractNumId="1">
    <w:nsid w:val="39BA4778"/>
    <w:multiLevelType w:val="singleLevel"/>
    <w:tmpl w:val="39BA4778"/>
    <w:lvl w:ilvl="0" w:tentative="0">
      <w:start w:val="1"/>
      <w:numFmt w:val="chineseCounting"/>
      <w:suff w:val="space"/>
      <w:lvlText w:val="第%1章"/>
      <w:lvlJc w:val="left"/>
      <w:rPr>
        <w:rFonts w:hint="eastAsia"/>
      </w:rPr>
    </w:lvl>
  </w:abstractNum>
  <w:abstractNum w:abstractNumId="2">
    <w:nsid w:val="5D804826"/>
    <w:multiLevelType w:val="singleLevel"/>
    <w:tmpl w:val="5D804826"/>
    <w:lvl w:ilvl="0" w:tentative="0">
      <w:start w:val="1"/>
      <w:numFmt w:val="decimal"/>
      <w:suff w:val="nothing"/>
      <w:lvlText w:val="%1."/>
      <w:lvlJc w:val="left"/>
    </w:lvl>
  </w:abstractNum>
  <w:abstractNum w:abstractNumId="3">
    <w:nsid w:val="6059986B"/>
    <w:multiLevelType w:val="singleLevel"/>
    <w:tmpl w:val="6059986B"/>
    <w:lvl w:ilvl="0" w:tentative="0">
      <w:start w:val="1"/>
      <w:numFmt w:val="decimal"/>
      <w:pStyle w:val="7"/>
      <w:lvlText w:val="%1."/>
      <w:lvlJc w:val="left"/>
      <w:pPr>
        <w:tabs>
          <w:tab w:val="left" w:pos="360"/>
        </w:tabs>
        <w:ind w:left="300" w:hanging="360"/>
      </w:pPr>
    </w:lvl>
  </w:abstractNum>
  <w:abstractNum w:abstractNumId="4">
    <w:nsid w:val="62D62D51"/>
    <w:multiLevelType w:val="singleLevel"/>
    <w:tmpl w:val="62D62D51"/>
    <w:lvl w:ilvl="0" w:tentative="0">
      <w:start w:val="1"/>
      <w:numFmt w:val="decimal"/>
      <w:suff w:val="space"/>
      <w:lvlText w:val="%1."/>
      <w:lvlJc w:val="left"/>
    </w:lvl>
  </w:abstractNum>
  <w:abstractNum w:abstractNumId="5">
    <w:nsid w:val="66D6BB72"/>
    <w:multiLevelType w:val="singleLevel"/>
    <w:tmpl w:val="66D6BB72"/>
    <w:lvl w:ilvl="0" w:tentative="0">
      <w:start w:val="2"/>
      <w:numFmt w:val="chineseCounting"/>
      <w:suff w:val="nothing"/>
      <w:lvlText w:val="%1、"/>
      <w:lvlJc w:val="left"/>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4F30"/>
    <w:rsid w:val="00145DAE"/>
    <w:rsid w:val="00295D54"/>
    <w:rsid w:val="00336663"/>
    <w:rsid w:val="0053281C"/>
    <w:rsid w:val="005F29AA"/>
    <w:rsid w:val="007A0FD6"/>
    <w:rsid w:val="00952E84"/>
    <w:rsid w:val="00A5789B"/>
    <w:rsid w:val="00B633B9"/>
    <w:rsid w:val="00BC74C1"/>
    <w:rsid w:val="00C86B57"/>
    <w:rsid w:val="00DE5227"/>
    <w:rsid w:val="00E371FE"/>
    <w:rsid w:val="00E42C03"/>
    <w:rsid w:val="00E66107"/>
    <w:rsid w:val="00F9004A"/>
    <w:rsid w:val="00FF4AB2"/>
    <w:rsid w:val="01027C35"/>
    <w:rsid w:val="010334B8"/>
    <w:rsid w:val="011A52DC"/>
    <w:rsid w:val="011B0B5F"/>
    <w:rsid w:val="011F1C42"/>
    <w:rsid w:val="01292073"/>
    <w:rsid w:val="01374C0C"/>
    <w:rsid w:val="01376E0A"/>
    <w:rsid w:val="013C6B15"/>
    <w:rsid w:val="01511039"/>
    <w:rsid w:val="015441BC"/>
    <w:rsid w:val="016145A6"/>
    <w:rsid w:val="01757F74"/>
    <w:rsid w:val="017C78FF"/>
    <w:rsid w:val="017F0884"/>
    <w:rsid w:val="01806305"/>
    <w:rsid w:val="0185278D"/>
    <w:rsid w:val="019C45B0"/>
    <w:rsid w:val="019D41A2"/>
    <w:rsid w:val="01AA227B"/>
    <w:rsid w:val="01B24556"/>
    <w:rsid w:val="01C70C78"/>
    <w:rsid w:val="01D3250C"/>
    <w:rsid w:val="01D86994"/>
    <w:rsid w:val="01F42A41"/>
    <w:rsid w:val="01F65F44"/>
    <w:rsid w:val="0205655E"/>
    <w:rsid w:val="020C3FF2"/>
    <w:rsid w:val="0221260B"/>
    <w:rsid w:val="02223D56"/>
    <w:rsid w:val="024B6CD3"/>
    <w:rsid w:val="024F56D9"/>
    <w:rsid w:val="025340DF"/>
    <w:rsid w:val="02623D19"/>
    <w:rsid w:val="02780A9B"/>
    <w:rsid w:val="027A5940"/>
    <w:rsid w:val="02863634"/>
    <w:rsid w:val="029119C5"/>
    <w:rsid w:val="02980763"/>
    <w:rsid w:val="02A602E6"/>
    <w:rsid w:val="02C14713"/>
    <w:rsid w:val="02C50B9B"/>
    <w:rsid w:val="02C81B1F"/>
    <w:rsid w:val="02CA5022"/>
    <w:rsid w:val="02D149AD"/>
    <w:rsid w:val="02E14C48"/>
    <w:rsid w:val="02FA7D70"/>
    <w:rsid w:val="02FC4FF1"/>
    <w:rsid w:val="030F4492"/>
    <w:rsid w:val="03254437"/>
    <w:rsid w:val="03275AC4"/>
    <w:rsid w:val="032F27C8"/>
    <w:rsid w:val="03350E4E"/>
    <w:rsid w:val="0364199E"/>
    <w:rsid w:val="03822CFE"/>
    <w:rsid w:val="03832252"/>
    <w:rsid w:val="038A19B7"/>
    <w:rsid w:val="039830F1"/>
    <w:rsid w:val="03986975"/>
    <w:rsid w:val="03A72764"/>
    <w:rsid w:val="03D06ACE"/>
    <w:rsid w:val="03DF70E9"/>
    <w:rsid w:val="03E05C76"/>
    <w:rsid w:val="03F7698E"/>
    <w:rsid w:val="041078B8"/>
    <w:rsid w:val="041901C7"/>
    <w:rsid w:val="04354274"/>
    <w:rsid w:val="04375579"/>
    <w:rsid w:val="044F2C20"/>
    <w:rsid w:val="04510321"/>
    <w:rsid w:val="045E1BB5"/>
    <w:rsid w:val="045F2EBA"/>
    <w:rsid w:val="04654DC4"/>
    <w:rsid w:val="047475DC"/>
    <w:rsid w:val="048F148B"/>
    <w:rsid w:val="04922410"/>
    <w:rsid w:val="049C2D1F"/>
    <w:rsid w:val="04A113A5"/>
    <w:rsid w:val="04AE6738"/>
    <w:rsid w:val="04B7134B"/>
    <w:rsid w:val="04B73549"/>
    <w:rsid w:val="04BA7D51"/>
    <w:rsid w:val="04CB7FEB"/>
    <w:rsid w:val="0510745B"/>
    <w:rsid w:val="05157166"/>
    <w:rsid w:val="0539061F"/>
    <w:rsid w:val="054753B6"/>
    <w:rsid w:val="0548094B"/>
    <w:rsid w:val="05515527"/>
    <w:rsid w:val="05590B54"/>
    <w:rsid w:val="055943D7"/>
    <w:rsid w:val="057D6BA7"/>
    <w:rsid w:val="05823F16"/>
    <w:rsid w:val="05910CAE"/>
    <w:rsid w:val="05A50AF7"/>
    <w:rsid w:val="05BA56F5"/>
    <w:rsid w:val="05BF5F0B"/>
    <w:rsid w:val="05CB7B8E"/>
    <w:rsid w:val="05CE0B13"/>
    <w:rsid w:val="05D32A1C"/>
    <w:rsid w:val="05E30AB8"/>
    <w:rsid w:val="05E530D0"/>
    <w:rsid w:val="05F30D52"/>
    <w:rsid w:val="05FD48BE"/>
    <w:rsid w:val="060B0977"/>
    <w:rsid w:val="061D04E0"/>
    <w:rsid w:val="063407DD"/>
    <w:rsid w:val="063D244B"/>
    <w:rsid w:val="06493CDF"/>
    <w:rsid w:val="064A5EDE"/>
    <w:rsid w:val="064E7B98"/>
    <w:rsid w:val="06580A77"/>
    <w:rsid w:val="065C4EFE"/>
    <w:rsid w:val="0687274F"/>
    <w:rsid w:val="06887047"/>
    <w:rsid w:val="06904454"/>
    <w:rsid w:val="069074E0"/>
    <w:rsid w:val="06945058"/>
    <w:rsid w:val="069A6F62"/>
    <w:rsid w:val="06B5558D"/>
    <w:rsid w:val="06BD621D"/>
    <w:rsid w:val="06F20C75"/>
    <w:rsid w:val="06F832D7"/>
    <w:rsid w:val="06F90833"/>
    <w:rsid w:val="07092259"/>
    <w:rsid w:val="071333A8"/>
    <w:rsid w:val="071B4038"/>
    <w:rsid w:val="073C456C"/>
    <w:rsid w:val="07484D47"/>
    <w:rsid w:val="07534192"/>
    <w:rsid w:val="07616D2B"/>
    <w:rsid w:val="076808B4"/>
    <w:rsid w:val="07752148"/>
    <w:rsid w:val="077559CB"/>
    <w:rsid w:val="078139DC"/>
    <w:rsid w:val="078A686A"/>
    <w:rsid w:val="07A73C1C"/>
    <w:rsid w:val="07BE70C4"/>
    <w:rsid w:val="07C84A57"/>
    <w:rsid w:val="07FB36A6"/>
    <w:rsid w:val="08036419"/>
    <w:rsid w:val="081A4FED"/>
    <w:rsid w:val="08315D7E"/>
    <w:rsid w:val="08383488"/>
    <w:rsid w:val="083F0917"/>
    <w:rsid w:val="084D7C2D"/>
    <w:rsid w:val="08543E5F"/>
    <w:rsid w:val="085E20C5"/>
    <w:rsid w:val="086D5802"/>
    <w:rsid w:val="08793F74"/>
    <w:rsid w:val="08832305"/>
    <w:rsid w:val="088E3F19"/>
    <w:rsid w:val="08934B1E"/>
    <w:rsid w:val="089A7D2C"/>
    <w:rsid w:val="089D2EAF"/>
    <w:rsid w:val="089D4136"/>
    <w:rsid w:val="08A4283A"/>
    <w:rsid w:val="08AC7C46"/>
    <w:rsid w:val="08C17D6D"/>
    <w:rsid w:val="08C83CF3"/>
    <w:rsid w:val="08D12404"/>
    <w:rsid w:val="08D33389"/>
    <w:rsid w:val="08DD29D1"/>
    <w:rsid w:val="08ED1D35"/>
    <w:rsid w:val="090573DB"/>
    <w:rsid w:val="09093863"/>
    <w:rsid w:val="091F1572"/>
    <w:rsid w:val="092B5F96"/>
    <w:rsid w:val="092E279E"/>
    <w:rsid w:val="092F0220"/>
    <w:rsid w:val="09440A55"/>
    <w:rsid w:val="09505127"/>
    <w:rsid w:val="095A2369"/>
    <w:rsid w:val="095B4567"/>
    <w:rsid w:val="09627775"/>
    <w:rsid w:val="09682E8E"/>
    <w:rsid w:val="09742F12"/>
    <w:rsid w:val="09764A45"/>
    <w:rsid w:val="097B289D"/>
    <w:rsid w:val="098A50B6"/>
    <w:rsid w:val="098D27B7"/>
    <w:rsid w:val="09A920E8"/>
    <w:rsid w:val="09B40479"/>
    <w:rsid w:val="09BD0D88"/>
    <w:rsid w:val="09BF208D"/>
    <w:rsid w:val="09DA0636"/>
    <w:rsid w:val="09EB63D4"/>
    <w:rsid w:val="09F621E7"/>
    <w:rsid w:val="0A0C438A"/>
    <w:rsid w:val="0A0E67F0"/>
    <w:rsid w:val="0A1C2427"/>
    <w:rsid w:val="0A2475B2"/>
    <w:rsid w:val="0A2A23F7"/>
    <w:rsid w:val="0A2E2341"/>
    <w:rsid w:val="0A3372A4"/>
    <w:rsid w:val="0A347ACD"/>
    <w:rsid w:val="0A3C1656"/>
    <w:rsid w:val="0A4557E9"/>
    <w:rsid w:val="0A681221"/>
    <w:rsid w:val="0A9D03F6"/>
    <w:rsid w:val="0AA55803"/>
    <w:rsid w:val="0AB944A3"/>
    <w:rsid w:val="0AC460B7"/>
    <w:rsid w:val="0AC52D31"/>
    <w:rsid w:val="0ADF4592"/>
    <w:rsid w:val="0AE578F1"/>
    <w:rsid w:val="0AF05C82"/>
    <w:rsid w:val="0AF44688"/>
    <w:rsid w:val="0AF90DF4"/>
    <w:rsid w:val="0B0645A2"/>
    <w:rsid w:val="0B300C6A"/>
    <w:rsid w:val="0B5F5F36"/>
    <w:rsid w:val="0B7A2363"/>
    <w:rsid w:val="0B832C72"/>
    <w:rsid w:val="0B9D381C"/>
    <w:rsid w:val="0BB56CC5"/>
    <w:rsid w:val="0BCA33E7"/>
    <w:rsid w:val="0BCD656A"/>
    <w:rsid w:val="0BE75F50"/>
    <w:rsid w:val="0BF6772E"/>
    <w:rsid w:val="0C1110C3"/>
    <w:rsid w:val="0C1B1EEC"/>
    <w:rsid w:val="0C354C94"/>
    <w:rsid w:val="0C3B2421"/>
    <w:rsid w:val="0C4068A9"/>
    <w:rsid w:val="0C410AA7"/>
    <w:rsid w:val="0C4729B0"/>
    <w:rsid w:val="0C485EB3"/>
    <w:rsid w:val="0C4D013D"/>
    <w:rsid w:val="0C73257B"/>
    <w:rsid w:val="0C86379A"/>
    <w:rsid w:val="0C8F6628"/>
    <w:rsid w:val="0C93502E"/>
    <w:rsid w:val="0C9814B6"/>
    <w:rsid w:val="0C9A2F62"/>
    <w:rsid w:val="0CA238F0"/>
    <w:rsid w:val="0CA27874"/>
    <w:rsid w:val="0CB06B5C"/>
    <w:rsid w:val="0CB258E3"/>
    <w:rsid w:val="0CC222FA"/>
    <w:rsid w:val="0CDD41A8"/>
    <w:rsid w:val="0CDE4D4F"/>
    <w:rsid w:val="0CE9383E"/>
    <w:rsid w:val="0CED2245"/>
    <w:rsid w:val="0CF550D2"/>
    <w:rsid w:val="0CF73EC1"/>
    <w:rsid w:val="0CFA5CD7"/>
    <w:rsid w:val="0D2F072F"/>
    <w:rsid w:val="0D3F09CA"/>
    <w:rsid w:val="0D5818F4"/>
    <w:rsid w:val="0D5C24F8"/>
    <w:rsid w:val="0D6A180E"/>
    <w:rsid w:val="0D976E5A"/>
    <w:rsid w:val="0DB8738F"/>
    <w:rsid w:val="0DC2712F"/>
    <w:rsid w:val="0DC950AB"/>
    <w:rsid w:val="0DD27F39"/>
    <w:rsid w:val="0E241F41"/>
    <w:rsid w:val="0E2624D8"/>
    <w:rsid w:val="0E2E2851"/>
    <w:rsid w:val="0E464928"/>
    <w:rsid w:val="0E482FB7"/>
    <w:rsid w:val="0E4D3106"/>
    <w:rsid w:val="0E547103"/>
    <w:rsid w:val="0E8954E9"/>
    <w:rsid w:val="0E947667"/>
    <w:rsid w:val="0EA43B14"/>
    <w:rsid w:val="0EB32AAA"/>
    <w:rsid w:val="0EB65BB3"/>
    <w:rsid w:val="0EE7044C"/>
    <w:rsid w:val="0F4B55A7"/>
    <w:rsid w:val="0F4C5227"/>
    <w:rsid w:val="0F5613B9"/>
    <w:rsid w:val="0F5735B8"/>
    <w:rsid w:val="0F5F6446"/>
    <w:rsid w:val="0FA035E2"/>
    <w:rsid w:val="0FAD6545"/>
    <w:rsid w:val="0FC92E5D"/>
    <w:rsid w:val="0FCF7D7E"/>
    <w:rsid w:val="0FD15480"/>
    <w:rsid w:val="0FD35650"/>
    <w:rsid w:val="0FF90BC3"/>
    <w:rsid w:val="10386129"/>
    <w:rsid w:val="10466E61"/>
    <w:rsid w:val="104D284B"/>
    <w:rsid w:val="106E6603"/>
    <w:rsid w:val="10702D8A"/>
    <w:rsid w:val="107C5919"/>
    <w:rsid w:val="10807BA2"/>
    <w:rsid w:val="10892A30"/>
    <w:rsid w:val="108F23BB"/>
    <w:rsid w:val="109664C2"/>
    <w:rsid w:val="109777C7"/>
    <w:rsid w:val="109A5D46"/>
    <w:rsid w:val="109B4C39"/>
    <w:rsid w:val="10BA31FF"/>
    <w:rsid w:val="10BB2E7F"/>
    <w:rsid w:val="10C763EA"/>
    <w:rsid w:val="10DC6C37"/>
    <w:rsid w:val="10E44043"/>
    <w:rsid w:val="10ED4953"/>
    <w:rsid w:val="10F20DDB"/>
    <w:rsid w:val="10F93FE9"/>
    <w:rsid w:val="10FF266F"/>
    <w:rsid w:val="11044578"/>
    <w:rsid w:val="111F4DDA"/>
    <w:rsid w:val="114A726B"/>
    <w:rsid w:val="115135FC"/>
    <w:rsid w:val="115B080A"/>
    <w:rsid w:val="115E178F"/>
    <w:rsid w:val="11655896"/>
    <w:rsid w:val="11755B31"/>
    <w:rsid w:val="11786AB5"/>
    <w:rsid w:val="118328C8"/>
    <w:rsid w:val="11905EA6"/>
    <w:rsid w:val="11C90E3E"/>
    <w:rsid w:val="11DC45DB"/>
    <w:rsid w:val="12041F1C"/>
    <w:rsid w:val="122E65E4"/>
    <w:rsid w:val="12313CE5"/>
    <w:rsid w:val="123F0A7C"/>
    <w:rsid w:val="124064FE"/>
    <w:rsid w:val="12435284"/>
    <w:rsid w:val="124B0112"/>
    <w:rsid w:val="127647DA"/>
    <w:rsid w:val="127B0C62"/>
    <w:rsid w:val="129E6898"/>
    <w:rsid w:val="12B56410"/>
    <w:rsid w:val="12E263CE"/>
    <w:rsid w:val="12E5288F"/>
    <w:rsid w:val="12F37627"/>
    <w:rsid w:val="130378C1"/>
    <w:rsid w:val="131577DB"/>
    <w:rsid w:val="134A0035"/>
    <w:rsid w:val="134C5737"/>
    <w:rsid w:val="135C37D3"/>
    <w:rsid w:val="13611E59"/>
    <w:rsid w:val="1365085F"/>
    <w:rsid w:val="136A056A"/>
    <w:rsid w:val="136D5DED"/>
    <w:rsid w:val="136F49F2"/>
    <w:rsid w:val="13833692"/>
    <w:rsid w:val="13860D94"/>
    <w:rsid w:val="13A9392F"/>
    <w:rsid w:val="13AF57DB"/>
    <w:rsid w:val="140D5ACB"/>
    <w:rsid w:val="14206D94"/>
    <w:rsid w:val="142B7A80"/>
    <w:rsid w:val="143534B6"/>
    <w:rsid w:val="14732F9B"/>
    <w:rsid w:val="149B08DC"/>
    <w:rsid w:val="149E1860"/>
    <w:rsid w:val="14AA0EF6"/>
    <w:rsid w:val="14CF7E31"/>
    <w:rsid w:val="14D20DB6"/>
    <w:rsid w:val="14D95BC0"/>
    <w:rsid w:val="14DA0B86"/>
    <w:rsid w:val="14E36AD2"/>
    <w:rsid w:val="1508348E"/>
    <w:rsid w:val="15185189"/>
    <w:rsid w:val="151C7F30"/>
    <w:rsid w:val="153220D4"/>
    <w:rsid w:val="153455D7"/>
    <w:rsid w:val="15597D95"/>
    <w:rsid w:val="15767345"/>
    <w:rsid w:val="15823158"/>
    <w:rsid w:val="15894CE1"/>
    <w:rsid w:val="15B25EA5"/>
    <w:rsid w:val="15C00A3E"/>
    <w:rsid w:val="15C23F41"/>
    <w:rsid w:val="15C95ACB"/>
    <w:rsid w:val="15D07FC7"/>
    <w:rsid w:val="15D95D65"/>
    <w:rsid w:val="15DD7FEE"/>
    <w:rsid w:val="15E675F9"/>
    <w:rsid w:val="16057EAE"/>
    <w:rsid w:val="160C5E96"/>
    <w:rsid w:val="16176ECF"/>
    <w:rsid w:val="161A45D0"/>
    <w:rsid w:val="161F0A58"/>
    <w:rsid w:val="162E6AF4"/>
    <w:rsid w:val="16346553"/>
    <w:rsid w:val="16404810"/>
    <w:rsid w:val="16437993"/>
    <w:rsid w:val="1659407E"/>
    <w:rsid w:val="16620247"/>
    <w:rsid w:val="16797E6D"/>
    <w:rsid w:val="168E3310"/>
    <w:rsid w:val="169F4829"/>
    <w:rsid w:val="16AA643D"/>
    <w:rsid w:val="16AD15C0"/>
    <w:rsid w:val="16AD19E8"/>
    <w:rsid w:val="16B41D43"/>
    <w:rsid w:val="16C624EA"/>
    <w:rsid w:val="16DD5993"/>
    <w:rsid w:val="16DF5613"/>
    <w:rsid w:val="16E91E8E"/>
    <w:rsid w:val="16F615E1"/>
    <w:rsid w:val="16F65238"/>
    <w:rsid w:val="16FA16C0"/>
    <w:rsid w:val="16FF13CB"/>
    <w:rsid w:val="17101665"/>
    <w:rsid w:val="171B5478"/>
    <w:rsid w:val="171D097B"/>
    <w:rsid w:val="1727128A"/>
    <w:rsid w:val="17392E4E"/>
    <w:rsid w:val="173E1B56"/>
    <w:rsid w:val="173F21B4"/>
    <w:rsid w:val="174662BC"/>
    <w:rsid w:val="174F244F"/>
    <w:rsid w:val="175C44D4"/>
    <w:rsid w:val="177A5491"/>
    <w:rsid w:val="177C0994"/>
    <w:rsid w:val="17AB57DD"/>
    <w:rsid w:val="17AC7EF2"/>
    <w:rsid w:val="17AD6F65"/>
    <w:rsid w:val="17C96895"/>
    <w:rsid w:val="17CF598E"/>
    <w:rsid w:val="17D06220"/>
    <w:rsid w:val="17DF51B5"/>
    <w:rsid w:val="17E22689"/>
    <w:rsid w:val="18037974"/>
    <w:rsid w:val="180A4C18"/>
    <w:rsid w:val="180C6085"/>
    <w:rsid w:val="1812308C"/>
    <w:rsid w:val="181C089E"/>
    <w:rsid w:val="18214D25"/>
    <w:rsid w:val="18276F2D"/>
    <w:rsid w:val="1839691D"/>
    <w:rsid w:val="184F676E"/>
    <w:rsid w:val="185041F0"/>
    <w:rsid w:val="185D1307"/>
    <w:rsid w:val="1876442F"/>
    <w:rsid w:val="187B08B7"/>
    <w:rsid w:val="187E183C"/>
    <w:rsid w:val="187F378E"/>
    <w:rsid w:val="18B57797"/>
    <w:rsid w:val="18B8291A"/>
    <w:rsid w:val="18BB7122"/>
    <w:rsid w:val="18C26AAD"/>
    <w:rsid w:val="18C809B6"/>
    <w:rsid w:val="18D05DC3"/>
    <w:rsid w:val="18DC2EDA"/>
    <w:rsid w:val="18E524E5"/>
    <w:rsid w:val="18E536CA"/>
    <w:rsid w:val="18ED3174"/>
    <w:rsid w:val="18EF6677"/>
    <w:rsid w:val="18F13D79"/>
    <w:rsid w:val="18F44CFE"/>
    <w:rsid w:val="190E112B"/>
    <w:rsid w:val="190E7B7A"/>
    <w:rsid w:val="19162CB4"/>
    <w:rsid w:val="192E3BDE"/>
    <w:rsid w:val="19414DFD"/>
    <w:rsid w:val="194A350E"/>
    <w:rsid w:val="194D0C0F"/>
    <w:rsid w:val="1953639C"/>
    <w:rsid w:val="1954059A"/>
    <w:rsid w:val="195C3428"/>
    <w:rsid w:val="19640835"/>
    <w:rsid w:val="19690540"/>
    <w:rsid w:val="1988776F"/>
    <w:rsid w:val="199D299C"/>
    <w:rsid w:val="19A2611B"/>
    <w:rsid w:val="19AB2041"/>
    <w:rsid w:val="19AC22AE"/>
    <w:rsid w:val="19C575D4"/>
    <w:rsid w:val="19CD517D"/>
    <w:rsid w:val="19CE2462"/>
    <w:rsid w:val="19D630F2"/>
    <w:rsid w:val="19E31DE4"/>
    <w:rsid w:val="19E7558B"/>
    <w:rsid w:val="19FB318A"/>
    <w:rsid w:val="1A0F674F"/>
    <w:rsid w:val="1A1815DD"/>
    <w:rsid w:val="1A1A2C13"/>
    <w:rsid w:val="1A1F0F68"/>
    <w:rsid w:val="1A1F47EB"/>
    <w:rsid w:val="1A3630EF"/>
    <w:rsid w:val="1A364410"/>
    <w:rsid w:val="1A435CA4"/>
    <w:rsid w:val="1A4511A7"/>
    <w:rsid w:val="1A4D07B2"/>
    <w:rsid w:val="1A597E48"/>
    <w:rsid w:val="1A915A23"/>
    <w:rsid w:val="1AA13ABF"/>
    <w:rsid w:val="1AA72145"/>
    <w:rsid w:val="1AB062D8"/>
    <w:rsid w:val="1ABA6BE8"/>
    <w:rsid w:val="1AD065F9"/>
    <w:rsid w:val="1AF9414E"/>
    <w:rsid w:val="1B003AD9"/>
    <w:rsid w:val="1B045D62"/>
    <w:rsid w:val="1B0A7C6C"/>
    <w:rsid w:val="1B0B56ED"/>
    <w:rsid w:val="1B127276"/>
    <w:rsid w:val="1B184A03"/>
    <w:rsid w:val="1B221A8F"/>
    <w:rsid w:val="1B27179A"/>
    <w:rsid w:val="1B2D2F62"/>
    <w:rsid w:val="1B487750"/>
    <w:rsid w:val="1B50295E"/>
    <w:rsid w:val="1B6260FC"/>
    <w:rsid w:val="1B753202"/>
    <w:rsid w:val="1B784A1C"/>
    <w:rsid w:val="1B7D5355"/>
    <w:rsid w:val="1B8B14BF"/>
    <w:rsid w:val="1B9368CB"/>
    <w:rsid w:val="1B9907D4"/>
    <w:rsid w:val="1BA445E7"/>
    <w:rsid w:val="1BB9268F"/>
    <w:rsid w:val="1BBA3D9E"/>
    <w:rsid w:val="1BC81323"/>
    <w:rsid w:val="1BCE542B"/>
    <w:rsid w:val="1BE03147"/>
    <w:rsid w:val="1BF91AF2"/>
    <w:rsid w:val="1C0F4F37"/>
    <w:rsid w:val="1C212852"/>
    <w:rsid w:val="1C357F42"/>
    <w:rsid w:val="1C3853FE"/>
    <w:rsid w:val="1C3B7FDD"/>
    <w:rsid w:val="1C546989"/>
    <w:rsid w:val="1C58538F"/>
    <w:rsid w:val="1C676138"/>
    <w:rsid w:val="1C8755B4"/>
    <w:rsid w:val="1C9551F4"/>
    <w:rsid w:val="1CB02232"/>
    <w:rsid w:val="1CB369A2"/>
    <w:rsid w:val="1CBB3B15"/>
    <w:rsid w:val="1D001020"/>
    <w:rsid w:val="1D0432AA"/>
    <w:rsid w:val="1D0F3839"/>
    <w:rsid w:val="1D3614FA"/>
    <w:rsid w:val="1D3C0585"/>
    <w:rsid w:val="1D461794"/>
    <w:rsid w:val="1D582D34"/>
    <w:rsid w:val="1D6A64D1"/>
    <w:rsid w:val="1D7238DD"/>
    <w:rsid w:val="1D790CEA"/>
    <w:rsid w:val="1D7C63EB"/>
    <w:rsid w:val="1D7E18EE"/>
    <w:rsid w:val="1D99379D"/>
    <w:rsid w:val="1D9D21A3"/>
    <w:rsid w:val="1DA41B2E"/>
    <w:rsid w:val="1DAF5941"/>
    <w:rsid w:val="1DBB7D72"/>
    <w:rsid w:val="1DCD4EF1"/>
    <w:rsid w:val="1DDC550B"/>
    <w:rsid w:val="1E0508CE"/>
    <w:rsid w:val="1E077654"/>
    <w:rsid w:val="1E1046E0"/>
    <w:rsid w:val="1E17406B"/>
    <w:rsid w:val="1E2D620F"/>
    <w:rsid w:val="1E322697"/>
    <w:rsid w:val="1E34141D"/>
    <w:rsid w:val="1E376B4B"/>
    <w:rsid w:val="1E422931"/>
    <w:rsid w:val="1E5113F5"/>
    <w:rsid w:val="1E5176C8"/>
    <w:rsid w:val="1E53644F"/>
    <w:rsid w:val="1E5D5BA2"/>
    <w:rsid w:val="1E6366E9"/>
    <w:rsid w:val="1E6750EF"/>
    <w:rsid w:val="1E77318B"/>
    <w:rsid w:val="1E782E0B"/>
    <w:rsid w:val="1E7F6019"/>
    <w:rsid w:val="1E931436"/>
    <w:rsid w:val="1E95155E"/>
    <w:rsid w:val="1E996BC3"/>
    <w:rsid w:val="1E9B6843"/>
    <w:rsid w:val="1E9F0ACC"/>
    <w:rsid w:val="1ED31E98"/>
    <w:rsid w:val="1EE943C4"/>
    <w:rsid w:val="1EEB23D0"/>
    <w:rsid w:val="1EEE40CF"/>
    <w:rsid w:val="1EEF1B50"/>
    <w:rsid w:val="1EFB5963"/>
    <w:rsid w:val="1F38710A"/>
    <w:rsid w:val="1F3B41CE"/>
    <w:rsid w:val="1F3C63CC"/>
    <w:rsid w:val="1F554D78"/>
    <w:rsid w:val="1F5F5687"/>
    <w:rsid w:val="1F62660C"/>
    <w:rsid w:val="1F6A149A"/>
    <w:rsid w:val="1F710E25"/>
    <w:rsid w:val="1F7650BA"/>
    <w:rsid w:val="1F7807AF"/>
    <w:rsid w:val="1F8904AC"/>
    <w:rsid w:val="1FE55560"/>
    <w:rsid w:val="1FE91D68"/>
    <w:rsid w:val="20101C28"/>
    <w:rsid w:val="20163B31"/>
    <w:rsid w:val="201725C8"/>
    <w:rsid w:val="20207CC4"/>
    <w:rsid w:val="202F6C59"/>
    <w:rsid w:val="203330E1"/>
    <w:rsid w:val="204D1A8C"/>
    <w:rsid w:val="206E1DA5"/>
    <w:rsid w:val="2072424B"/>
    <w:rsid w:val="207B2B57"/>
    <w:rsid w:val="207D47DA"/>
    <w:rsid w:val="20885B36"/>
    <w:rsid w:val="209E2790"/>
    <w:rsid w:val="20DC38FA"/>
    <w:rsid w:val="20E9190B"/>
    <w:rsid w:val="213E269A"/>
    <w:rsid w:val="214210A0"/>
    <w:rsid w:val="215138B9"/>
    <w:rsid w:val="2152133A"/>
    <w:rsid w:val="2157215C"/>
    <w:rsid w:val="215A6747"/>
    <w:rsid w:val="21625D51"/>
    <w:rsid w:val="21637056"/>
    <w:rsid w:val="21675C94"/>
    <w:rsid w:val="217E1DFE"/>
    <w:rsid w:val="218B1C72"/>
    <w:rsid w:val="219F5BB6"/>
    <w:rsid w:val="21B26DD5"/>
    <w:rsid w:val="21BE2BE8"/>
    <w:rsid w:val="21CB366A"/>
    <w:rsid w:val="21D56090"/>
    <w:rsid w:val="21DC5A1B"/>
    <w:rsid w:val="21E25E3C"/>
    <w:rsid w:val="21FA1BA9"/>
    <w:rsid w:val="221D6484"/>
    <w:rsid w:val="22380333"/>
    <w:rsid w:val="22392531"/>
    <w:rsid w:val="223F3DE9"/>
    <w:rsid w:val="224772C9"/>
    <w:rsid w:val="2251345B"/>
    <w:rsid w:val="225D726E"/>
    <w:rsid w:val="225F2771"/>
    <w:rsid w:val="22937748"/>
    <w:rsid w:val="22941CAE"/>
    <w:rsid w:val="22985DCE"/>
    <w:rsid w:val="22A73283"/>
    <w:rsid w:val="22AC2870"/>
    <w:rsid w:val="22BE03D1"/>
    <w:rsid w:val="22D55C33"/>
    <w:rsid w:val="22E84C54"/>
    <w:rsid w:val="22F42C65"/>
    <w:rsid w:val="22FB0071"/>
    <w:rsid w:val="230A4E08"/>
    <w:rsid w:val="232102B1"/>
    <w:rsid w:val="23294AEC"/>
    <w:rsid w:val="232B0BC0"/>
    <w:rsid w:val="233D730C"/>
    <w:rsid w:val="23443CE8"/>
    <w:rsid w:val="23616034"/>
    <w:rsid w:val="23682C23"/>
    <w:rsid w:val="238F08E5"/>
    <w:rsid w:val="23977791"/>
    <w:rsid w:val="23AE5916"/>
    <w:rsid w:val="23B37820"/>
    <w:rsid w:val="23D0134E"/>
    <w:rsid w:val="23DC5161"/>
    <w:rsid w:val="23F7700F"/>
    <w:rsid w:val="23FA1FE5"/>
    <w:rsid w:val="23FA7F94"/>
    <w:rsid w:val="2401791F"/>
    <w:rsid w:val="24117BB9"/>
    <w:rsid w:val="242C1A68"/>
    <w:rsid w:val="24304BEB"/>
    <w:rsid w:val="24371FF7"/>
    <w:rsid w:val="243B67FF"/>
    <w:rsid w:val="243D7784"/>
    <w:rsid w:val="244C451B"/>
    <w:rsid w:val="24533EA6"/>
    <w:rsid w:val="24554E2A"/>
    <w:rsid w:val="24863EDD"/>
    <w:rsid w:val="249C779D"/>
    <w:rsid w:val="249E0AA2"/>
    <w:rsid w:val="24A37128"/>
    <w:rsid w:val="24A600AD"/>
    <w:rsid w:val="24B11CC1"/>
    <w:rsid w:val="24B66149"/>
    <w:rsid w:val="24D6447F"/>
    <w:rsid w:val="24EA3120"/>
    <w:rsid w:val="24EF6A99"/>
    <w:rsid w:val="24F1163A"/>
    <w:rsid w:val="24FA33BA"/>
    <w:rsid w:val="25074C4E"/>
    <w:rsid w:val="250B3654"/>
    <w:rsid w:val="253B63A2"/>
    <w:rsid w:val="254F5754"/>
    <w:rsid w:val="255A0E55"/>
    <w:rsid w:val="255D565D"/>
    <w:rsid w:val="255D7BDB"/>
    <w:rsid w:val="256839EE"/>
    <w:rsid w:val="25695BEC"/>
    <w:rsid w:val="25702FF9"/>
    <w:rsid w:val="257264FC"/>
    <w:rsid w:val="25816B16"/>
    <w:rsid w:val="25870A1F"/>
    <w:rsid w:val="25B11864"/>
    <w:rsid w:val="25BA46F2"/>
    <w:rsid w:val="25CE4444"/>
    <w:rsid w:val="25E60A39"/>
    <w:rsid w:val="25F807A6"/>
    <w:rsid w:val="260A59DD"/>
    <w:rsid w:val="26112B82"/>
    <w:rsid w:val="262C1C69"/>
    <w:rsid w:val="263712CE"/>
    <w:rsid w:val="264520D7"/>
    <w:rsid w:val="265448F0"/>
    <w:rsid w:val="26567DF3"/>
    <w:rsid w:val="26671392"/>
    <w:rsid w:val="2672726E"/>
    <w:rsid w:val="2683543F"/>
    <w:rsid w:val="26A149EF"/>
    <w:rsid w:val="26A533F5"/>
    <w:rsid w:val="26AC4F7F"/>
    <w:rsid w:val="26BC301B"/>
    <w:rsid w:val="26BE031C"/>
    <w:rsid w:val="26C32B62"/>
    <w:rsid w:val="26DB38D0"/>
    <w:rsid w:val="26E2325A"/>
    <w:rsid w:val="26E718E0"/>
    <w:rsid w:val="26F71427"/>
    <w:rsid w:val="270A0B9B"/>
    <w:rsid w:val="272E6C30"/>
    <w:rsid w:val="27493F03"/>
    <w:rsid w:val="274A1985"/>
    <w:rsid w:val="274A3B83"/>
    <w:rsid w:val="27700540"/>
    <w:rsid w:val="27796C51"/>
    <w:rsid w:val="278F339A"/>
    <w:rsid w:val="279D398E"/>
    <w:rsid w:val="27A14592"/>
    <w:rsid w:val="27A6429D"/>
    <w:rsid w:val="27A9199E"/>
    <w:rsid w:val="27BB09BF"/>
    <w:rsid w:val="27C512CF"/>
    <w:rsid w:val="27D22169"/>
    <w:rsid w:val="27D5593A"/>
    <w:rsid w:val="27ED6C10"/>
    <w:rsid w:val="27F84FA1"/>
    <w:rsid w:val="2814519B"/>
    <w:rsid w:val="281A2F57"/>
    <w:rsid w:val="282028E2"/>
    <w:rsid w:val="2827226D"/>
    <w:rsid w:val="28362887"/>
    <w:rsid w:val="283D7C94"/>
    <w:rsid w:val="286420D2"/>
    <w:rsid w:val="2887138D"/>
    <w:rsid w:val="2887358B"/>
    <w:rsid w:val="288A23C1"/>
    <w:rsid w:val="288B2446"/>
    <w:rsid w:val="288C5814"/>
    <w:rsid w:val="28963BA5"/>
    <w:rsid w:val="28996A28"/>
    <w:rsid w:val="289B002D"/>
    <w:rsid w:val="289F0135"/>
    <w:rsid w:val="28AB4A44"/>
    <w:rsid w:val="28CA52F9"/>
    <w:rsid w:val="28D02A86"/>
    <w:rsid w:val="28D42E04"/>
    <w:rsid w:val="28D87E92"/>
    <w:rsid w:val="28D95914"/>
    <w:rsid w:val="28EE4234"/>
    <w:rsid w:val="290D4AE9"/>
    <w:rsid w:val="29431740"/>
    <w:rsid w:val="2959008B"/>
    <w:rsid w:val="295E5B6D"/>
    <w:rsid w:val="2968067B"/>
    <w:rsid w:val="2969197F"/>
    <w:rsid w:val="298E633C"/>
    <w:rsid w:val="299E0B55"/>
    <w:rsid w:val="29A1535C"/>
    <w:rsid w:val="29AB5C6C"/>
    <w:rsid w:val="29AE6BF1"/>
    <w:rsid w:val="29D64532"/>
    <w:rsid w:val="29E028C3"/>
    <w:rsid w:val="2A050A91"/>
    <w:rsid w:val="2A0A5C85"/>
    <w:rsid w:val="2A103412"/>
    <w:rsid w:val="2A134397"/>
    <w:rsid w:val="2A182A1D"/>
    <w:rsid w:val="2A285235"/>
    <w:rsid w:val="2A380D53"/>
    <w:rsid w:val="2A4547E5"/>
    <w:rsid w:val="2A48576A"/>
    <w:rsid w:val="2A7E3A46"/>
    <w:rsid w:val="2A893FD5"/>
    <w:rsid w:val="2A914C65"/>
    <w:rsid w:val="2A994270"/>
    <w:rsid w:val="2A9B7773"/>
    <w:rsid w:val="2AAD433F"/>
    <w:rsid w:val="2AB01C96"/>
    <w:rsid w:val="2AC40937"/>
    <w:rsid w:val="2AD15A4E"/>
    <w:rsid w:val="2ADE4D64"/>
    <w:rsid w:val="2AE00267"/>
    <w:rsid w:val="2AE546EF"/>
    <w:rsid w:val="2AEC6278"/>
    <w:rsid w:val="2AF12700"/>
    <w:rsid w:val="2AFF7497"/>
    <w:rsid w:val="2B097DA7"/>
    <w:rsid w:val="2B122C35"/>
    <w:rsid w:val="2B133F39"/>
    <w:rsid w:val="2B2142FB"/>
    <w:rsid w:val="2B241C55"/>
    <w:rsid w:val="2B3269EC"/>
    <w:rsid w:val="2B33446E"/>
    <w:rsid w:val="2B3C2B7F"/>
    <w:rsid w:val="2B43250A"/>
    <w:rsid w:val="2B5711AB"/>
    <w:rsid w:val="2B5F65B7"/>
    <w:rsid w:val="2B62173A"/>
    <w:rsid w:val="2B6A3EF4"/>
    <w:rsid w:val="2B6A6B46"/>
    <w:rsid w:val="2B8723B0"/>
    <w:rsid w:val="2B873EF8"/>
    <w:rsid w:val="2BA35DA7"/>
    <w:rsid w:val="2BD63C77"/>
    <w:rsid w:val="2BDC1404"/>
    <w:rsid w:val="2BF235A7"/>
    <w:rsid w:val="2BF45BD7"/>
    <w:rsid w:val="2C054B47"/>
    <w:rsid w:val="2C0D1BD3"/>
    <w:rsid w:val="2C2011F1"/>
    <w:rsid w:val="2C291503"/>
    <w:rsid w:val="2C2F7B89"/>
    <w:rsid w:val="2C300E8E"/>
    <w:rsid w:val="2C4C4F3B"/>
    <w:rsid w:val="2C4D29BC"/>
    <w:rsid w:val="2C5247A9"/>
    <w:rsid w:val="2C6A23F5"/>
    <w:rsid w:val="2C6D2EF1"/>
    <w:rsid w:val="2C7176F9"/>
    <w:rsid w:val="2C832E96"/>
    <w:rsid w:val="2C894DA0"/>
    <w:rsid w:val="2C8A4A20"/>
    <w:rsid w:val="2C8C5D24"/>
    <w:rsid w:val="2C99503A"/>
    <w:rsid w:val="2CA91A51"/>
    <w:rsid w:val="2CAA74D3"/>
    <w:rsid w:val="2CAE5ED9"/>
    <w:rsid w:val="2CAF71DE"/>
    <w:rsid w:val="2CD07712"/>
    <w:rsid w:val="2CD20350"/>
    <w:rsid w:val="2CF62BC1"/>
    <w:rsid w:val="2D0E4FF9"/>
    <w:rsid w:val="2D0F1E81"/>
    <w:rsid w:val="2D162F38"/>
    <w:rsid w:val="2D1A5ED9"/>
    <w:rsid w:val="2D1B227B"/>
    <w:rsid w:val="2D3F3249"/>
    <w:rsid w:val="2D41682E"/>
    <w:rsid w:val="2D4B705C"/>
    <w:rsid w:val="2D4D255F"/>
    <w:rsid w:val="2D5147E9"/>
    <w:rsid w:val="2D584173"/>
    <w:rsid w:val="2D6E6317"/>
    <w:rsid w:val="2D6F0515"/>
    <w:rsid w:val="2D8E0DCA"/>
    <w:rsid w:val="2D923317"/>
    <w:rsid w:val="2D9A5EE2"/>
    <w:rsid w:val="2DA04568"/>
    <w:rsid w:val="2DBA0995"/>
    <w:rsid w:val="2DBB2B93"/>
    <w:rsid w:val="2DBE1FF6"/>
    <w:rsid w:val="2DBF1599"/>
    <w:rsid w:val="2DCA0C2F"/>
    <w:rsid w:val="2DCF5162"/>
    <w:rsid w:val="2DDC694B"/>
    <w:rsid w:val="2E086516"/>
    <w:rsid w:val="2E094915"/>
    <w:rsid w:val="2E1732AD"/>
    <w:rsid w:val="2E182F2D"/>
    <w:rsid w:val="2E2A66CA"/>
    <w:rsid w:val="2E2D764F"/>
    <w:rsid w:val="2E2F7464"/>
    <w:rsid w:val="2E3005D3"/>
    <w:rsid w:val="2E4317F2"/>
    <w:rsid w:val="2E462777"/>
    <w:rsid w:val="2E4814FD"/>
    <w:rsid w:val="2E521E0D"/>
    <w:rsid w:val="2E64249B"/>
    <w:rsid w:val="2E7D15B8"/>
    <w:rsid w:val="2E7D64D4"/>
    <w:rsid w:val="2E81295C"/>
    <w:rsid w:val="2E8944E5"/>
    <w:rsid w:val="2E8A2141"/>
    <w:rsid w:val="2E8B067F"/>
    <w:rsid w:val="2E8C2F18"/>
    <w:rsid w:val="2E953B7B"/>
    <w:rsid w:val="2E994780"/>
    <w:rsid w:val="2EA96F98"/>
    <w:rsid w:val="2EE00777"/>
    <w:rsid w:val="2EE6487F"/>
    <w:rsid w:val="2EEC6788"/>
    <w:rsid w:val="2EF20691"/>
    <w:rsid w:val="2EF67AA8"/>
    <w:rsid w:val="2EFC4824"/>
    <w:rsid w:val="2EFE7D27"/>
    <w:rsid w:val="2F0A15BB"/>
    <w:rsid w:val="2F177EEF"/>
    <w:rsid w:val="2F2346E4"/>
    <w:rsid w:val="2F265668"/>
    <w:rsid w:val="2F340201"/>
    <w:rsid w:val="2F444C18"/>
    <w:rsid w:val="2F4F682D"/>
    <w:rsid w:val="2F5042AE"/>
    <w:rsid w:val="2F563C39"/>
    <w:rsid w:val="2F5838B9"/>
    <w:rsid w:val="2F7D6077"/>
    <w:rsid w:val="2F8C0890"/>
    <w:rsid w:val="2F8C1B14"/>
    <w:rsid w:val="2F8F1814"/>
    <w:rsid w:val="2FA06136"/>
    <w:rsid w:val="2FCB0375"/>
    <w:rsid w:val="2FCE4B7C"/>
    <w:rsid w:val="2FE85726"/>
    <w:rsid w:val="2FEA0C29"/>
    <w:rsid w:val="2FF205F9"/>
    <w:rsid w:val="30033D52"/>
    <w:rsid w:val="300601AD"/>
    <w:rsid w:val="301E5C00"/>
    <w:rsid w:val="301E7DFF"/>
    <w:rsid w:val="30260A8E"/>
    <w:rsid w:val="302D0419"/>
    <w:rsid w:val="302F391C"/>
    <w:rsid w:val="30661B74"/>
    <w:rsid w:val="30684D7B"/>
    <w:rsid w:val="306C3781"/>
    <w:rsid w:val="30986E0D"/>
    <w:rsid w:val="30A35E59"/>
    <w:rsid w:val="30A957E4"/>
    <w:rsid w:val="30AF76EE"/>
    <w:rsid w:val="30E3452C"/>
    <w:rsid w:val="30EE2A56"/>
    <w:rsid w:val="31056DF8"/>
    <w:rsid w:val="31064879"/>
    <w:rsid w:val="31312245"/>
    <w:rsid w:val="31432160"/>
    <w:rsid w:val="31437F61"/>
    <w:rsid w:val="316F42A9"/>
    <w:rsid w:val="31946A67"/>
    <w:rsid w:val="319544E8"/>
    <w:rsid w:val="319D3AF3"/>
    <w:rsid w:val="31A66981"/>
    <w:rsid w:val="31AB03AE"/>
    <w:rsid w:val="31B23A98"/>
    <w:rsid w:val="31F66DED"/>
    <w:rsid w:val="320E092F"/>
    <w:rsid w:val="320E337D"/>
    <w:rsid w:val="321759BB"/>
    <w:rsid w:val="321F664B"/>
    <w:rsid w:val="32200849"/>
    <w:rsid w:val="32262752"/>
    <w:rsid w:val="3232786A"/>
    <w:rsid w:val="3237046E"/>
    <w:rsid w:val="32373CF1"/>
    <w:rsid w:val="326D4E19"/>
    <w:rsid w:val="3279475B"/>
    <w:rsid w:val="327F1EE7"/>
    <w:rsid w:val="32A075AB"/>
    <w:rsid w:val="32A43020"/>
    <w:rsid w:val="32A4768A"/>
    <w:rsid w:val="32AA3F52"/>
    <w:rsid w:val="32C103D2"/>
    <w:rsid w:val="32C275BD"/>
    <w:rsid w:val="32C87D5D"/>
    <w:rsid w:val="32D44E75"/>
    <w:rsid w:val="32DF3206"/>
    <w:rsid w:val="32F708AC"/>
    <w:rsid w:val="330133BA"/>
    <w:rsid w:val="330A6248"/>
    <w:rsid w:val="330D71CD"/>
    <w:rsid w:val="332C7A82"/>
    <w:rsid w:val="33315498"/>
    <w:rsid w:val="3332198B"/>
    <w:rsid w:val="333E321F"/>
    <w:rsid w:val="33527CC1"/>
    <w:rsid w:val="335F6FD7"/>
    <w:rsid w:val="33660B60"/>
    <w:rsid w:val="336E72E5"/>
    <w:rsid w:val="336F02F9"/>
    <w:rsid w:val="337C0B05"/>
    <w:rsid w:val="337F1A8A"/>
    <w:rsid w:val="3392223A"/>
    <w:rsid w:val="339A3939"/>
    <w:rsid w:val="33A928CE"/>
    <w:rsid w:val="33A96152"/>
    <w:rsid w:val="33AB1655"/>
    <w:rsid w:val="33FD2358"/>
    <w:rsid w:val="340764EB"/>
    <w:rsid w:val="34172F02"/>
    <w:rsid w:val="341C44FF"/>
    <w:rsid w:val="342D1CB8"/>
    <w:rsid w:val="34355D35"/>
    <w:rsid w:val="343A6708"/>
    <w:rsid w:val="345D3677"/>
    <w:rsid w:val="34607E7E"/>
    <w:rsid w:val="34712317"/>
    <w:rsid w:val="34864CF7"/>
    <w:rsid w:val="34984755"/>
    <w:rsid w:val="34AC732B"/>
    <w:rsid w:val="34C207BD"/>
    <w:rsid w:val="34CA6229"/>
    <w:rsid w:val="34CC0133"/>
    <w:rsid w:val="34DE2CCB"/>
    <w:rsid w:val="34F8521C"/>
    <w:rsid w:val="35083B0F"/>
    <w:rsid w:val="3509378F"/>
    <w:rsid w:val="35324954"/>
    <w:rsid w:val="35347E57"/>
    <w:rsid w:val="3550415A"/>
    <w:rsid w:val="35561690"/>
    <w:rsid w:val="356D5A32"/>
    <w:rsid w:val="35704438"/>
    <w:rsid w:val="358024D4"/>
    <w:rsid w:val="358B0865"/>
    <w:rsid w:val="35963460"/>
    <w:rsid w:val="35AE1D1F"/>
    <w:rsid w:val="35B85EB2"/>
    <w:rsid w:val="35D67485"/>
    <w:rsid w:val="35E037F3"/>
    <w:rsid w:val="35E66672"/>
    <w:rsid w:val="35E96681"/>
    <w:rsid w:val="35ED7BFB"/>
    <w:rsid w:val="35FE2DA3"/>
    <w:rsid w:val="360040A7"/>
    <w:rsid w:val="36227ADF"/>
    <w:rsid w:val="36316A75"/>
    <w:rsid w:val="3637097E"/>
    <w:rsid w:val="363A1903"/>
    <w:rsid w:val="364E3E27"/>
    <w:rsid w:val="365404B2"/>
    <w:rsid w:val="365A7C39"/>
    <w:rsid w:val="366A3A25"/>
    <w:rsid w:val="36771768"/>
    <w:rsid w:val="36780716"/>
    <w:rsid w:val="367904EE"/>
    <w:rsid w:val="3683182B"/>
    <w:rsid w:val="36855341"/>
    <w:rsid w:val="368F6E0E"/>
    <w:rsid w:val="369D7429"/>
    <w:rsid w:val="36AA065D"/>
    <w:rsid w:val="36B260C9"/>
    <w:rsid w:val="36BE795E"/>
    <w:rsid w:val="36DC2791"/>
    <w:rsid w:val="36EB1726"/>
    <w:rsid w:val="36F232D2"/>
    <w:rsid w:val="37253E8A"/>
    <w:rsid w:val="372E2E3D"/>
    <w:rsid w:val="37314419"/>
    <w:rsid w:val="37406C32"/>
    <w:rsid w:val="374E39C9"/>
    <w:rsid w:val="375A305F"/>
    <w:rsid w:val="3762046C"/>
    <w:rsid w:val="37624BE8"/>
    <w:rsid w:val="37A12A17"/>
    <w:rsid w:val="37AA40E3"/>
    <w:rsid w:val="37B855F7"/>
    <w:rsid w:val="37BB5663"/>
    <w:rsid w:val="37CD73DA"/>
    <w:rsid w:val="37CF521C"/>
    <w:rsid w:val="37FC4DE7"/>
    <w:rsid w:val="37FD60EC"/>
    <w:rsid w:val="380421F3"/>
    <w:rsid w:val="380D43AF"/>
    <w:rsid w:val="381B569C"/>
    <w:rsid w:val="38255FAB"/>
    <w:rsid w:val="38496AB6"/>
    <w:rsid w:val="384E136E"/>
    <w:rsid w:val="385A0A04"/>
    <w:rsid w:val="385B6485"/>
    <w:rsid w:val="387260AA"/>
    <w:rsid w:val="388E7BD9"/>
    <w:rsid w:val="38961762"/>
    <w:rsid w:val="389C366B"/>
    <w:rsid w:val="389F7E73"/>
    <w:rsid w:val="38AC0272"/>
    <w:rsid w:val="38C44830"/>
    <w:rsid w:val="38D90F52"/>
    <w:rsid w:val="38DC1ED6"/>
    <w:rsid w:val="38DD575A"/>
    <w:rsid w:val="38DE53D9"/>
    <w:rsid w:val="38EF6DE0"/>
    <w:rsid w:val="38FC32F5"/>
    <w:rsid w:val="392C2F5A"/>
    <w:rsid w:val="39515718"/>
    <w:rsid w:val="39594D23"/>
    <w:rsid w:val="397B655D"/>
    <w:rsid w:val="39887DF1"/>
    <w:rsid w:val="399A6E11"/>
    <w:rsid w:val="39A74E22"/>
    <w:rsid w:val="39A86127"/>
    <w:rsid w:val="39A95DA7"/>
    <w:rsid w:val="39B82B3E"/>
    <w:rsid w:val="39C10E7B"/>
    <w:rsid w:val="39D733F3"/>
    <w:rsid w:val="39DE2D7E"/>
    <w:rsid w:val="39E11784"/>
    <w:rsid w:val="39F224F8"/>
    <w:rsid w:val="39FA48AC"/>
    <w:rsid w:val="3A0A2948"/>
    <w:rsid w:val="3A133427"/>
    <w:rsid w:val="3A150CD9"/>
    <w:rsid w:val="3A1918DE"/>
    <w:rsid w:val="3A1B4DE1"/>
    <w:rsid w:val="3A2321ED"/>
    <w:rsid w:val="3A2C2AFD"/>
    <w:rsid w:val="3A322808"/>
    <w:rsid w:val="3A875795"/>
    <w:rsid w:val="3A883217"/>
    <w:rsid w:val="3A987C2E"/>
    <w:rsid w:val="3A9D7939"/>
    <w:rsid w:val="3AB10B58"/>
    <w:rsid w:val="3AB4755E"/>
    <w:rsid w:val="3AB939E6"/>
    <w:rsid w:val="3AC37B79"/>
    <w:rsid w:val="3ACC2A06"/>
    <w:rsid w:val="3AEB1C36"/>
    <w:rsid w:val="3AEE3C6A"/>
    <w:rsid w:val="3AF24E44"/>
    <w:rsid w:val="3B006358"/>
    <w:rsid w:val="3B1B2786"/>
    <w:rsid w:val="3B1E118C"/>
    <w:rsid w:val="3B243095"/>
    <w:rsid w:val="3B296D11"/>
    <w:rsid w:val="3B2F16B7"/>
    <w:rsid w:val="3B3458AE"/>
    <w:rsid w:val="3B5051DE"/>
    <w:rsid w:val="3B553864"/>
    <w:rsid w:val="3B60677A"/>
    <w:rsid w:val="3B674E03"/>
    <w:rsid w:val="3B6F0460"/>
    <w:rsid w:val="3B720C16"/>
    <w:rsid w:val="3B8B3D3E"/>
    <w:rsid w:val="3B965952"/>
    <w:rsid w:val="3BA06262"/>
    <w:rsid w:val="3BB106FB"/>
    <w:rsid w:val="3BB13F7E"/>
    <w:rsid w:val="3BB4167F"/>
    <w:rsid w:val="3BBA6E0C"/>
    <w:rsid w:val="3BC02F13"/>
    <w:rsid w:val="3BCC6D26"/>
    <w:rsid w:val="3BDF37C8"/>
    <w:rsid w:val="3BEF09FD"/>
    <w:rsid w:val="3BF47EEA"/>
    <w:rsid w:val="3BFF0E00"/>
    <w:rsid w:val="3C122D1E"/>
    <w:rsid w:val="3C13079F"/>
    <w:rsid w:val="3C1E0D2E"/>
    <w:rsid w:val="3C306A4A"/>
    <w:rsid w:val="3C356755"/>
    <w:rsid w:val="3C3A2BDD"/>
    <w:rsid w:val="3C4F72FF"/>
    <w:rsid w:val="3C6E7BB4"/>
    <w:rsid w:val="3C7F58D0"/>
    <w:rsid w:val="3C8619D8"/>
    <w:rsid w:val="3C9541F0"/>
    <w:rsid w:val="3CA62A73"/>
    <w:rsid w:val="3CBB4430"/>
    <w:rsid w:val="3CE50AF7"/>
    <w:rsid w:val="3CF14DC8"/>
    <w:rsid w:val="3CFA1996"/>
    <w:rsid w:val="3D3E4A09"/>
    <w:rsid w:val="3D583BAC"/>
    <w:rsid w:val="3D604BBE"/>
    <w:rsid w:val="3D651046"/>
    <w:rsid w:val="3D6932CF"/>
    <w:rsid w:val="3D741660"/>
    <w:rsid w:val="3D900F90"/>
    <w:rsid w:val="3D924493"/>
    <w:rsid w:val="3D932B62"/>
    <w:rsid w:val="3DA82DB4"/>
    <w:rsid w:val="3DB05C42"/>
    <w:rsid w:val="3DB73E19"/>
    <w:rsid w:val="3DBE6FB6"/>
    <w:rsid w:val="3DC0045B"/>
    <w:rsid w:val="3DC71905"/>
    <w:rsid w:val="3DCE51F2"/>
    <w:rsid w:val="3DD65E81"/>
    <w:rsid w:val="3DEB22AE"/>
    <w:rsid w:val="3DF9513C"/>
    <w:rsid w:val="3E037204"/>
    <w:rsid w:val="3E067AAC"/>
    <w:rsid w:val="3E0B08DA"/>
    <w:rsid w:val="3E282408"/>
    <w:rsid w:val="3E2A0EC5"/>
    <w:rsid w:val="3E324F16"/>
    <w:rsid w:val="3E3824EF"/>
    <w:rsid w:val="3E407AAF"/>
    <w:rsid w:val="3E4800C5"/>
    <w:rsid w:val="3E725D00"/>
    <w:rsid w:val="3E790F0E"/>
    <w:rsid w:val="3E8527A2"/>
    <w:rsid w:val="3E9E2047"/>
    <w:rsid w:val="3EA00DCD"/>
    <w:rsid w:val="3EB554EF"/>
    <w:rsid w:val="3EB86474"/>
    <w:rsid w:val="3EC22607"/>
    <w:rsid w:val="3EC7320B"/>
    <w:rsid w:val="3ECD2B96"/>
    <w:rsid w:val="3ED0191D"/>
    <w:rsid w:val="3EE01BB7"/>
    <w:rsid w:val="3EE372B8"/>
    <w:rsid w:val="3EEE694E"/>
    <w:rsid w:val="3EF8725E"/>
    <w:rsid w:val="3F0B047D"/>
    <w:rsid w:val="3F17428F"/>
    <w:rsid w:val="3F1A5214"/>
    <w:rsid w:val="3F210422"/>
    <w:rsid w:val="3F34383F"/>
    <w:rsid w:val="3F4150D3"/>
    <w:rsid w:val="3F546091"/>
    <w:rsid w:val="3F5A3A7F"/>
    <w:rsid w:val="3F5E6C02"/>
    <w:rsid w:val="3F827606"/>
    <w:rsid w:val="3FA06772"/>
    <w:rsid w:val="3FA622F7"/>
    <w:rsid w:val="3FAC4783"/>
    <w:rsid w:val="3FB23376"/>
    <w:rsid w:val="3FD60E4A"/>
    <w:rsid w:val="3FF24EF7"/>
    <w:rsid w:val="3FFD3710"/>
    <w:rsid w:val="401157AC"/>
    <w:rsid w:val="401B60BB"/>
    <w:rsid w:val="40225A46"/>
    <w:rsid w:val="402976EF"/>
    <w:rsid w:val="402B2AD3"/>
    <w:rsid w:val="403149DC"/>
    <w:rsid w:val="40472403"/>
    <w:rsid w:val="404C688B"/>
    <w:rsid w:val="40505291"/>
    <w:rsid w:val="40547421"/>
    <w:rsid w:val="407057C5"/>
    <w:rsid w:val="408E2B77"/>
    <w:rsid w:val="409B1E8D"/>
    <w:rsid w:val="40B839BB"/>
    <w:rsid w:val="40B94CC0"/>
    <w:rsid w:val="40BB6E5F"/>
    <w:rsid w:val="40D31FE7"/>
    <w:rsid w:val="40E012FC"/>
    <w:rsid w:val="40EC510F"/>
    <w:rsid w:val="40EF1ACC"/>
    <w:rsid w:val="40F76D23"/>
    <w:rsid w:val="410C3445"/>
    <w:rsid w:val="4111534F"/>
    <w:rsid w:val="411B2B76"/>
    <w:rsid w:val="41446410"/>
    <w:rsid w:val="414A67AD"/>
    <w:rsid w:val="414F73B2"/>
    <w:rsid w:val="415A00A4"/>
    <w:rsid w:val="416702DC"/>
    <w:rsid w:val="41841E0A"/>
    <w:rsid w:val="41860B91"/>
    <w:rsid w:val="418B5019"/>
    <w:rsid w:val="4191369F"/>
    <w:rsid w:val="41973029"/>
    <w:rsid w:val="419868AD"/>
    <w:rsid w:val="41A710C5"/>
    <w:rsid w:val="41B61AB3"/>
    <w:rsid w:val="41B9130B"/>
    <w:rsid w:val="41C50675"/>
    <w:rsid w:val="41C8319C"/>
    <w:rsid w:val="41E50BAA"/>
    <w:rsid w:val="41EC0535"/>
    <w:rsid w:val="41F33743"/>
    <w:rsid w:val="41F533C3"/>
    <w:rsid w:val="42076B60"/>
    <w:rsid w:val="4220550C"/>
    <w:rsid w:val="424853CC"/>
    <w:rsid w:val="42492E4D"/>
    <w:rsid w:val="424F27D8"/>
    <w:rsid w:val="425546E1"/>
    <w:rsid w:val="4259696B"/>
    <w:rsid w:val="426062F6"/>
    <w:rsid w:val="42625F75"/>
    <w:rsid w:val="4279141E"/>
    <w:rsid w:val="428931B0"/>
    <w:rsid w:val="42920CC3"/>
    <w:rsid w:val="429D0359"/>
    <w:rsid w:val="42AB799E"/>
    <w:rsid w:val="42B26FF9"/>
    <w:rsid w:val="42BB7828"/>
    <w:rsid w:val="42C7371B"/>
    <w:rsid w:val="42CC5625"/>
    <w:rsid w:val="42F43BCA"/>
    <w:rsid w:val="42F761ED"/>
    <w:rsid w:val="42FA4804"/>
    <w:rsid w:val="431D1F2C"/>
    <w:rsid w:val="434268E8"/>
    <w:rsid w:val="43554284"/>
    <w:rsid w:val="43900BE6"/>
    <w:rsid w:val="439069A8"/>
    <w:rsid w:val="43A24383"/>
    <w:rsid w:val="43B70AA5"/>
    <w:rsid w:val="43BD29AF"/>
    <w:rsid w:val="43D8485D"/>
    <w:rsid w:val="43ED0597"/>
    <w:rsid w:val="43ED6D81"/>
    <w:rsid w:val="43FD3798"/>
    <w:rsid w:val="44071B29"/>
    <w:rsid w:val="44075EF3"/>
    <w:rsid w:val="440A08B0"/>
    <w:rsid w:val="440A2AAE"/>
    <w:rsid w:val="441F4FD2"/>
    <w:rsid w:val="442D64E6"/>
    <w:rsid w:val="442F526C"/>
    <w:rsid w:val="443B107F"/>
    <w:rsid w:val="443F0552"/>
    <w:rsid w:val="444C01E3"/>
    <w:rsid w:val="44605A3B"/>
    <w:rsid w:val="44773462"/>
    <w:rsid w:val="44865C7B"/>
    <w:rsid w:val="44934F90"/>
    <w:rsid w:val="44A97134"/>
    <w:rsid w:val="44AD5B3A"/>
    <w:rsid w:val="44B87626"/>
    <w:rsid w:val="44CB50EA"/>
    <w:rsid w:val="44D77AAC"/>
    <w:rsid w:val="44EB3421"/>
    <w:rsid w:val="451B19F1"/>
    <w:rsid w:val="451C3BF0"/>
    <w:rsid w:val="451F1D5A"/>
    <w:rsid w:val="453855CF"/>
    <w:rsid w:val="4543074B"/>
    <w:rsid w:val="45453415"/>
    <w:rsid w:val="45595C53"/>
    <w:rsid w:val="455B4AAD"/>
    <w:rsid w:val="455E20DB"/>
    <w:rsid w:val="457A3F89"/>
    <w:rsid w:val="459638BA"/>
    <w:rsid w:val="459D1A63"/>
    <w:rsid w:val="45B21B65"/>
    <w:rsid w:val="45BE5977"/>
    <w:rsid w:val="45DD5596"/>
    <w:rsid w:val="45E958C2"/>
    <w:rsid w:val="45EB6847"/>
    <w:rsid w:val="45EF524D"/>
    <w:rsid w:val="45F0744B"/>
    <w:rsid w:val="462C207A"/>
    <w:rsid w:val="462F49B1"/>
    <w:rsid w:val="463333B8"/>
    <w:rsid w:val="46431454"/>
    <w:rsid w:val="4664740A"/>
    <w:rsid w:val="46686FFD"/>
    <w:rsid w:val="466C009A"/>
    <w:rsid w:val="468012B9"/>
    <w:rsid w:val="46807A8D"/>
    <w:rsid w:val="468808C3"/>
    <w:rsid w:val="468F3AD1"/>
    <w:rsid w:val="46B92717"/>
    <w:rsid w:val="46F25D74"/>
    <w:rsid w:val="471E20BC"/>
    <w:rsid w:val="472055BF"/>
    <w:rsid w:val="47220AC2"/>
    <w:rsid w:val="472E48D4"/>
    <w:rsid w:val="4735425F"/>
    <w:rsid w:val="47496783"/>
    <w:rsid w:val="474F63B6"/>
    <w:rsid w:val="47613E2A"/>
    <w:rsid w:val="47874069"/>
    <w:rsid w:val="47904979"/>
    <w:rsid w:val="4793207A"/>
    <w:rsid w:val="47A01390"/>
    <w:rsid w:val="47A72AC8"/>
    <w:rsid w:val="47BD0CC0"/>
    <w:rsid w:val="47C334F7"/>
    <w:rsid w:val="47D66741"/>
    <w:rsid w:val="48072039"/>
    <w:rsid w:val="4809333E"/>
    <w:rsid w:val="48112949"/>
    <w:rsid w:val="48285DF1"/>
    <w:rsid w:val="483348CE"/>
    <w:rsid w:val="48341C04"/>
    <w:rsid w:val="48357685"/>
    <w:rsid w:val="48632753"/>
    <w:rsid w:val="486401D4"/>
    <w:rsid w:val="48671159"/>
    <w:rsid w:val="48686BDB"/>
    <w:rsid w:val="4875266D"/>
    <w:rsid w:val="48854E86"/>
    <w:rsid w:val="4892419C"/>
    <w:rsid w:val="48931A25"/>
    <w:rsid w:val="48A22238"/>
    <w:rsid w:val="48B1020E"/>
    <w:rsid w:val="48C514F3"/>
    <w:rsid w:val="48CE1E02"/>
    <w:rsid w:val="48D6398B"/>
    <w:rsid w:val="48EB5711"/>
    <w:rsid w:val="48F50E49"/>
    <w:rsid w:val="490544DA"/>
    <w:rsid w:val="490B431A"/>
    <w:rsid w:val="49115D6F"/>
    <w:rsid w:val="4922188C"/>
    <w:rsid w:val="4934055A"/>
    <w:rsid w:val="4937272B"/>
    <w:rsid w:val="494C26D0"/>
    <w:rsid w:val="49677BE7"/>
    <w:rsid w:val="496E0687"/>
    <w:rsid w:val="4972708D"/>
    <w:rsid w:val="497C0C22"/>
    <w:rsid w:val="49836BCB"/>
    <w:rsid w:val="498615B1"/>
    <w:rsid w:val="49892535"/>
    <w:rsid w:val="49995158"/>
    <w:rsid w:val="49A607E1"/>
    <w:rsid w:val="49AE1470"/>
    <w:rsid w:val="49B9337F"/>
    <w:rsid w:val="49BF718C"/>
    <w:rsid w:val="49CB2F9F"/>
    <w:rsid w:val="49CF169A"/>
    <w:rsid w:val="49EC36A5"/>
    <w:rsid w:val="4A0C3A08"/>
    <w:rsid w:val="4A2139AD"/>
    <w:rsid w:val="4A4060F4"/>
    <w:rsid w:val="4A4D7683"/>
    <w:rsid w:val="4A4E3578"/>
    <w:rsid w:val="4A6766A0"/>
    <w:rsid w:val="4A6C4D26"/>
    <w:rsid w:val="4A6E7FB8"/>
    <w:rsid w:val="4A8B55DB"/>
    <w:rsid w:val="4A8F76F6"/>
    <w:rsid w:val="4A8F7F6C"/>
    <w:rsid w:val="4AA8710A"/>
    <w:rsid w:val="4AB30D1E"/>
    <w:rsid w:val="4AC7413B"/>
    <w:rsid w:val="4AD743D6"/>
    <w:rsid w:val="4AD81E57"/>
    <w:rsid w:val="4ADD62DF"/>
    <w:rsid w:val="4ADD7DE7"/>
    <w:rsid w:val="4ADF5065"/>
    <w:rsid w:val="4AEA33F6"/>
    <w:rsid w:val="4AEF0EBE"/>
    <w:rsid w:val="4AF57209"/>
    <w:rsid w:val="4AFB1112"/>
    <w:rsid w:val="4B0A22BB"/>
    <w:rsid w:val="4B113140"/>
    <w:rsid w:val="4B5936AA"/>
    <w:rsid w:val="4B5A112C"/>
    <w:rsid w:val="4B603035"/>
    <w:rsid w:val="4B6A0836"/>
    <w:rsid w:val="4B6B4C49"/>
    <w:rsid w:val="4B6C26CB"/>
    <w:rsid w:val="4B760A5C"/>
    <w:rsid w:val="4B8A54FE"/>
    <w:rsid w:val="4B9B73C8"/>
    <w:rsid w:val="4BA1539C"/>
    <w:rsid w:val="4BA45330"/>
    <w:rsid w:val="4BB032BC"/>
    <w:rsid w:val="4BBD33CE"/>
    <w:rsid w:val="4BC507DB"/>
    <w:rsid w:val="4BE56B11"/>
    <w:rsid w:val="4BE90D9B"/>
    <w:rsid w:val="4BF92D90"/>
    <w:rsid w:val="4C020640"/>
    <w:rsid w:val="4C131BDF"/>
    <w:rsid w:val="4C1705E5"/>
    <w:rsid w:val="4C207BF0"/>
    <w:rsid w:val="4C365617"/>
    <w:rsid w:val="4C427E3C"/>
    <w:rsid w:val="4C4A5008"/>
    <w:rsid w:val="4C4F0870"/>
    <w:rsid w:val="4C5E2F58"/>
    <w:rsid w:val="4C5F553A"/>
    <w:rsid w:val="4C650798"/>
    <w:rsid w:val="4C6E5771"/>
    <w:rsid w:val="4C75097F"/>
    <w:rsid w:val="4C7A2888"/>
    <w:rsid w:val="4CA84651"/>
    <w:rsid w:val="4CCA390C"/>
    <w:rsid w:val="4CCF7D94"/>
    <w:rsid w:val="4CD05815"/>
    <w:rsid w:val="4CD7191D"/>
    <w:rsid w:val="4CE36A34"/>
    <w:rsid w:val="4CE679B9"/>
    <w:rsid w:val="4CEA2B3C"/>
    <w:rsid w:val="4CED3AC0"/>
    <w:rsid w:val="4CF3344B"/>
    <w:rsid w:val="4CFA0BD8"/>
    <w:rsid w:val="4D160508"/>
    <w:rsid w:val="4D2120CC"/>
    <w:rsid w:val="4D21431B"/>
    <w:rsid w:val="4D2729A1"/>
    <w:rsid w:val="4D3B4EC4"/>
    <w:rsid w:val="4D4D6A29"/>
    <w:rsid w:val="4D603DFF"/>
    <w:rsid w:val="4D8602C2"/>
    <w:rsid w:val="4D8F10CB"/>
    <w:rsid w:val="4D9023D0"/>
    <w:rsid w:val="4D9642D9"/>
    <w:rsid w:val="4D9B5F76"/>
    <w:rsid w:val="4D9B61E3"/>
    <w:rsid w:val="4DA100EC"/>
    <w:rsid w:val="4DAB2BFA"/>
    <w:rsid w:val="4DB53509"/>
    <w:rsid w:val="4DBC2E94"/>
    <w:rsid w:val="4DBF769C"/>
    <w:rsid w:val="4DD74FC1"/>
    <w:rsid w:val="4DE74FDD"/>
    <w:rsid w:val="4E125E21"/>
    <w:rsid w:val="4E1F09BA"/>
    <w:rsid w:val="4E283848"/>
    <w:rsid w:val="4E2A3474"/>
    <w:rsid w:val="4E47087A"/>
    <w:rsid w:val="4E5E3D22"/>
    <w:rsid w:val="4E6B55B6"/>
    <w:rsid w:val="4E6E3FBD"/>
    <w:rsid w:val="4E7520E4"/>
    <w:rsid w:val="4E873862"/>
    <w:rsid w:val="4E937674"/>
    <w:rsid w:val="4EA33192"/>
    <w:rsid w:val="4EB5120D"/>
    <w:rsid w:val="4EB71E32"/>
    <w:rsid w:val="4EBC40BC"/>
    <w:rsid w:val="4ECA0E53"/>
    <w:rsid w:val="4ED35EDF"/>
    <w:rsid w:val="4EDA586A"/>
    <w:rsid w:val="4EE264FA"/>
    <w:rsid w:val="4EEF5810"/>
    <w:rsid w:val="4F0A3E3B"/>
    <w:rsid w:val="4F1A6654"/>
    <w:rsid w:val="4F1E6E5B"/>
    <w:rsid w:val="4F205FDF"/>
    <w:rsid w:val="4F2272E3"/>
    <w:rsid w:val="4F2833EB"/>
    <w:rsid w:val="4F2A2171"/>
    <w:rsid w:val="4F2A68EE"/>
    <w:rsid w:val="4F2F65F9"/>
    <w:rsid w:val="4F354C7F"/>
    <w:rsid w:val="4F416B96"/>
    <w:rsid w:val="4F45079D"/>
    <w:rsid w:val="4F622133"/>
    <w:rsid w:val="4F7D08F7"/>
    <w:rsid w:val="4F9F432E"/>
    <w:rsid w:val="4FA230B5"/>
    <w:rsid w:val="4FB46852"/>
    <w:rsid w:val="4FB777D7"/>
    <w:rsid w:val="4FBF5D0D"/>
    <w:rsid w:val="501058E7"/>
    <w:rsid w:val="50203983"/>
    <w:rsid w:val="50226E86"/>
    <w:rsid w:val="5028092C"/>
    <w:rsid w:val="502B3F12"/>
    <w:rsid w:val="50342624"/>
    <w:rsid w:val="50473843"/>
    <w:rsid w:val="504F0C4F"/>
    <w:rsid w:val="505066D1"/>
    <w:rsid w:val="50596FE0"/>
    <w:rsid w:val="5074340D"/>
    <w:rsid w:val="507B081A"/>
    <w:rsid w:val="507E5F1B"/>
    <w:rsid w:val="50AC685E"/>
    <w:rsid w:val="50BD4B06"/>
    <w:rsid w:val="50BE6D04"/>
    <w:rsid w:val="50E336C1"/>
    <w:rsid w:val="50E7594A"/>
    <w:rsid w:val="50EE52D5"/>
    <w:rsid w:val="50F3175D"/>
    <w:rsid w:val="50FC112D"/>
    <w:rsid w:val="5101339A"/>
    <w:rsid w:val="510D31FE"/>
    <w:rsid w:val="5112678F"/>
    <w:rsid w:val="512222AC"/>
    <w:rsid w:val="512963B4"/>
    <w:rsid w:val="512C2BBC"/>
    <w:rsid w:val="51302B7D"/>
    <w:rsid w:val="51322546"/>
    <w:rsid w:val="51324AC5"/>
    <w:rsid w:val="513F5D80"/>
    <w:rsid w:val="514D52EF"/>
    <w:rsid w:val="514F07F2"/>
    <w:rsid w:val="51501AF7"/>
    <w:rsid w:val="51521776"/>
    <w:rsid w:val="51544C79"/>
    <w:rsid w:val="51594984"/>
    <w:rsid w:val="515B0A3B"/>
    <w:rsid w:val="5167171C"/>
    <w:rsid w:val="51726061"/>
    <w:rsid w:val="517819B6"/>
    <w:rsid w:val="517B03BC"/>
    <w:rsid w:val="517D14A5"/>
    <w:rsid w:val="518A0B50"/>
    <w:rsid w:val="518E3B5A"/>
    <w:rsid w:val="518F4E5F"/>
    <w:rsid w:val="51941F37"/>
    <w:rsid w:val="51A57002"/>
    <w:rsid w:val="51C84C59"/>
    <w:rsid w:val="51E348E9"/>
    <w:rsid w:val="52085A22"/>
    <w:rsid w:val="520F53AD"/>
    <w:rsid w:val="521627B9"/>
    <w:rsid w:val="523313CB"/>
    <w:rsid w:val="523C29F9"/>
    <w:rsid w:val="523C60CD"/>
    <w:rsid w:val="52597DAA"/>
    <w:rsid w:val="525B32AE"/>
    <w:rsid w:val="526925C3"/>
    <w:rsid w:val="52730954"/>
    <w:rsid w:val="527B62CC"/>
    <w:rsid w:val="528043E7"/>
    <w:rsid w:val="5283316D"/>
    <w:rsid w:val="52840BEF"/>
    <w:rsid w:val="52857D5D"/>
    <w:rsid w:val="52902483"/>
    <w:rsid w:val="52B54C41"/>
    <w:rsid w:val="52BC7724"/>
    <w:rsid w:val="52CB6DE5"/>
    <w:rsid w:val="52CC0FE3"/>
    <w:rsid w:val="52D41C73"/>
    <w:rsid w:val="52D61452"/>
    <w:rsid w:val="52DC0E7D"/>
    <w:rsid w:val="52E75090"/>
    <w:rsid w:val="52EC7319"/>
    <w:rsid w:val="52F543A6"/>
    <w:rsid w:val="52FB1B32"/>
    <w:rsid w:val="53052442"/>
    <w:rsid w:val="530C6149"/>
    <w:rsid w:val="5316015D"/>
    <w:rsid w:val="53175BDF"/>
    <w:rsid w:val="531E71EE"/>
    <w:rsid w:val="53342F91"/>
    <w:rsid w:val="533753D5"/>
    <w:rsid w:val="534244A5"/>
    <w:rsid w:val="535940CA"/>
    <w:rsid w:val="536D0B6C"/>
    <w:rsid w:val="537F430A"/>
    <w:rsid w:val="53852DC9"/>
    <w:rsid w:val="539C16BB"/>
    <w:rsid w:val="53A7230B"/>
    <w:rsid w:val="53AC1956"/>
    <w:rsid w:val="53AF7057"/>
    <w:rsid w:val="53BB66ED"/>
    <w:rsid w:val="53C95C7D"/>
    <w:rsid w:val="53D56922"/>
    <w:rsid w:val="53E93ADE"/>
    <w:rsid w:val="53EF5388"/>
    <w:rsid w:val="53F10DC5"/>
    <w:rsid w:val="53F6524D"/>
    <w:rsid w:val="53FF395E"/>
    <w:rsid w:val="54047DE6"/>
    <w:rsid w:val="540754E7"/>
    <w:rsid w:val="54155B02"/>
    <w:rsid w:val="543D5452"/>
    <w:rsid w:val="54440BD0"/>
    <w:rsid w:val="54606E7B"/>
    <w:rsid w:val="546A300E"/>
    <w:rsid w:val="546B0A8F"/>
    <w:rsid w:val="546B66B0"/>
    <w:rsid w:val="547A79D7"/>
    <w:rsid w:val="54863837"/>
    <w:rsid w:val="54866DF9"/>
    <w:rsid w:val="548670BA"/>
    <w:rsid w:val="54B15980"/>
    <w:rsid w:val="54B61E08"/>
    <w:rsid w:val="54B96610"/>
    <w:rsid w:val="54BD5016"/>
    <w:rsid w:val="54C855A5"/>
    <w:rsid w:val="54CA7E16"/>
    <w:rsid w:val="54E9135D"/>
    <w:rsid w:val="54F00CE8"/>
    <w:rsid w:val="54F12EE7"/>
    <w:rsid w:val="54F1676A"/>
    <w:rsid w:val="551556A5"/>
    <w:rsid w:val="551B75AE"/>
    <w:rsid w:val="55285970"/>
    <w:rsid w:val="553304D8"/>
    <w:rsid w:val="55341652"/>
    <w:rsid w:val="553E0CED"/>
    <w:rsid w:val="55693F6B"/>
    <w:rsid w:val="557C414F"/>
    <w:rsid w:val="55AD6B1D"/>
    <w:rsid w:val="55AE459E"/>
    <w:rsid w:val="55AF2020"/>
    <w:rsid w:val="55B619AB"/>
    <w:rsid w:val="55B91E33"/>
    <w:rsid w:val="55B9292F"/>
    <w:rsid w:val="55C05B3D"/>
    <w:rsid w:val="55E23AF4"/>
    <w:rsid w:val="55E97DF6"/>
    <w:rsid w:val="55F0088B"/>
    <w:rsid w:val="56155247"/>
    <w:rsid w:val="561D2654"/>
    <w:rsid w:val="56204218"/>
    <w:rsid w:val="56282E9D"/>
    <w:rsid w:val="562A776B"/>
    <w:rsid w:val="56336B0D"/>
    <w:rsid w:val="563E640C"/>
    <w:rsid w:val="56672025"/>
    <w:rsid w:val="56694CD1"/>
    <w:rsid w:val="56795862"/>
    <w:rsid w:val="568048F7"/>
    <w:rsid w:val="56987D9F"/>
    <w:rsid w:val="56B62BD2"/>
    <w:rsid w:val="56D63107"/>
    <w:rsid w:val="56D7455D"/>
    <w:rsid w:val="56E23696"/>
    <w:rsid w:val="56EA4326"/>
    <w:rsid w:val="56FC2A4D"/>
    <w:rsid w:val="571141E6"/>
    <w:rsid w:val="571409EE"/>
    <w:rsid w:val="57194E75"/>
    <w:rsid w:val="57304A9B"/>
    <w:rsid w:val="57396991"/>
    <w:rsid w:val="573C2AAB"/>
    <w:rsid w:val="574014B2"/>
    <w:rsid w:val="57561457"/>
    <w:rsid w:val="575710D7"/>
    <w:rsid w:val="575D0F81"/>
    <w:rsid w:val="575E42E5"/>
    <w:rsid w:val="5782579E"/>
    <w:rsid w:val="578C3B2F"/>
    <w:rsid w:val="579A66C8"/>
    <w:rsid w:val="57A77F5C"/>
    <w:rsid w:val="57A8345F"/>
    <w:rsid w:val="57C3554A"/>
    <w:rsid w:val="57E013BB"/>
    <w:rsid w:val="57E16E3D"/>
    <w:rsid w:val="580B7C81"/>
    <w:rsid w:val="581C2119"/>
    <w:rsid w:val="581C599D"/>
    <w:rsid w:val="58366547"/>
    <w:rsid w:val="583723B1"/>
    <w:rsid w:val="583D5ED1"/>
    <w:rsid w:val="5856487D"/>
    <w:rsid w:val="585A5481"/>
    <w:rsid w:val="585E3E88"/>
    <w:rsid w:val="58626111"/>
    <w:rsid w:val="58776FB0"/>
    <w:rsid w:val="587C3438"/>
    <w:rsid w:val="587D0FBD"/>
    <w:rsid w:val="58882ACE"/>
    <w:rsid w:val="58967865"/>
    <w:rsid w:val="589B3CED"/>
    <w:rsid w:val="58AD748A"/>
    <w:rsid w:val="58AE2D0D"/>
    <w:rsid w:val="58AF298D"/>
    <w:rsid w:val="58B579EA"/>
    <w:rsid w:val="58BE7724"/>
    <w:rsid w:val="58C44EB1"/>
    <w:rsid w:val="58D33E46"/>
    <w:rsid w:val="58D7284D"/>
    <w:rsid w:val="58DB4AD6"/>
    <w:rsid w:val="58DB6CD4"/>
    <w:rsid w:val="58E608E9"/>
    <w:rsid w:val="58EB4D70"/>
    <w:rsid w:val="59142A73"/>
    <w:rsid w:val="591F64C4"/>
    <w:rsid w:val="59222CCC"/>
    <w:rsid w:val="59373B6B"/>
    <w:rsid w:val="594069F9"/>
    <w:rsid w:val="59442E81"/>
    <w:rsid w:val="59481887"/>
    <w:rsid w:val="596E1AC6"/>
    <w:rsid w:val="59833FEA"/>
    <w:rsid w:val="5998070C"/>
    <w:rsid w:val="59D714F6"/>
    <w:rsid w:val="59E75F0D"/>
    <w:rsid w:val="59F477A1"/>
    <w:rsid w:val="59F62CA4"/>
    <w:rsid w:val="59FD6374"/>
    <w:rsid w:val="5A0148B9"/>
    <w:rsid w:val="5A097746"/>
    <w:rsid w:val="5A156629"/>
    <w:rsid w:val="5A157CD6"/>
    <w:rsid w:val="5A1D2B64"/>
    <w:rsid w:val="5A325088"/>
    <w:rsid w:val="5A4867BF"/>
    <w:rsid w:val="5A596A9D"/>
    <w:rsid w:val="5A650D5A"/>
    <w:rsid w:val="5A677AE0"/>
    <w:rsid w:val="5A893518"/>
    <w:rsid w:val="5A8D1F1E"/>
    <w:rsid w:val="5ACE0789"/>
    <w:rsid w:val="5AD2186D"/>
    <w:rsid w:val="5ADE51A0"/>
    <w:rsid w:val="5AE470AA"/>
    <w:rsid w:val="5B013D76"/>
    <w:rsid w:val="5B1A2E07"/>
    <w:rsid w:val="5B237E93"/>
    <w:rsid w:val="5B280C0A"/>
    <w:rsid w:val="5B3F1D42"/>
    <w:rsid w:val="5B432946"/>
    <w:rsid w:val="5B46714E"/>
    <w:rsid w:val="5B475091"/>
    <w:rsid w:val="5B4C1057"/>
    <w:rsid w:val="5B5970C9"/>
    <w:rsid w:val="5B5E178C"/>
    <w:rsid w:val="5B630C7D"/>
    <w:rsid w:val="5B721297"/>
    <w:rsid w:val="5B792E20"/>
    <w:rsid w:val="5B887BB7"/>
    <w:rsid w:val="5B9104C7"/>
    <w:rsid w:val="5B991157"/>
    <w:rsid w:val="5B9A3355"/>
    <w:rsid w:val="5BD5353A"/>
    <w:rsid w:val="5BDA1BC0"/>
    <w:rsid w:val="5BDE05C6"/>
    <w:rsid w:val="5BF4056C"/>
    <w:rsid w:val="5C114298"/>
    <w:rsid w:val="5C171A25"/>
    <w:rsid w:val="5C2667BC"/>
    <w:rsid w:val="5C3B2EDE"/>
    <w:rsid w:val="5C495A77"/>
    <w:rsid w:val="5C59248E"/>
    <w:rsid w:val="5C60569C"/>
    <w:rsid w:val="5C6C6F31"/>
    <w:rsid w:val="5C767840"/>
    <w:rsid w:val="5C882FDD"/>
    <w:rsid w:val="5CAC7831"/>
    <w:rsid w:val="5CAD579C"/>
    <w:rsid w:val="5CCF54DB"/>
    <w:rsid w:val="5CDD04E9"/>
    <w:rsid w:val="5CE60DF9"/>
    <w:rsid w:val="5CE964FA"/>
    <w:rsid w:val="5CEB4A45"/>
    <w:rsid w:val="5CEE378D"/>
    <w:rsid w:val="5CFA2018"/>
    <w:rsid w:val="5D007686"/>
    <w:rsid w:val="5D17501F"/>
    <w:rsid w:val="5D1E15DE"/>
    <w:rsid w:val="5D261BE2"/>
    <w:rsid w:val="5D3D1807"/>
    <w:rsid w:val="5D456C14"/>
    <w:rsid w:val="5D620742"/>
    <w:rsid w:val="5D6416C7"/>
    <w:rsid w:val="5D7A166C"/>
    <w:rsid w:val="5D841F7C"/>
    <w:rsid w:val="5D8C4E0A"/>
    <w:rsid w:val="5D915A0E"/>
    <w:rsid w:val="5D934795"/>
    <w:rsid w:val="5D9D72A2"/>
    <w:rsid w:val="5DA46C2D"/>
    <w:rsid w:val="5DB65C4E"/>
    <w:rsid w:val="5DB66C81"/>
    <w:rsid w:val="5DB956AB"/>
    <w:rsid w:val="5DD15E7D"/>
    <w:rsid w:val="5DF94139"/>
    <w:rsid w:val="5DFC7BC9"/>
    <w:rsid w:val="5E127261"/>
    <w:rsid w:val="5E134CE3"/>
    <w:rsid w:val="5E20787C"/>
    <w:rsid w:val="5E40232F"/>
    <w:rsid w:val="5E471CBA"/>
    <w:rsid w:val="5E482FBE"/>
    <w:rsid w:val="5E4D7446"/>
    <w:rsid w:val="5E515E4C"/>
    <w:rsid w:val="5E7A120F"/>
    <w:rsid w:val="5E84754B"/>
    <w:rsid w:val="5EA323D3"/>
    <w:rsid w:val="5EC7130E"/>
    <w:rsid w:val="5ECF75EF"/>
    <w:rsid w:val="5ED00919"/>
    <w:rsid w:val="5ED52822"/>
    <w:rsid w:val="5ED7100C"/>
    <w:rsid w:val="5EDB7FAF"/>
    <w:rsid w:val="5F0D4001"/>
    <w:rsid w:val="5F0F1702"/>
    <w:rsid w:val="5F125F0A"/>
    <w:rsid w:val="5F18264A"/>
    <w:rsid w:val="5F205220"/>
    <w:rsid w:val="5F2307B5"/>
    <w:rsid w:val="5F2E6734"/>
    <w:rsid w:val="5F384AC5"/>
    <w:rsid w:val="5F390348"/>
    <w:rsid w:val="5F3C34CB"/>
    <w:rsid w:val="5F3D0F4D"/>
    <w:rsid w:val="5F4F24EC"/>
    <w:rsid w:val="5F5366C5"/>
    <w:rsid w:val="5F5E4D05"/>
    <w:rsid w:val="5F6F0822"/>
    <w:rsid w:val="5F8F6D52"/>
    <w:rsid w:val="5F9451DF"/>
    <w:rsid w:val="5F9B12E6"/>
    <w:rsid w:val="5F9B4B6A"/>
    <w:rsid w:val="5FAC7002"/>
    <w:rsid w:val="5FB1653B"/>
    <w:rsid w:val="5FC15189"/>
    <w:rsid w:val="5FC943B4"/>
    <w:rsid w:val="5FD96BCD"/>
    <w:rsid w:val="5FDC6AE2"/>
    <w:rsid w:val="5FDD0E56"/>
    <w:rsid w:val="5FE14D20"/>
    <w:rsid w:val="5FEA3172"/>
    <w:rsid w:val="5FF564FD"/>
    <w:rsid w:val="5FFB2605"/>
    <w:rsid w:val="5FFF488E"/>
    <w:rsid w:val="60104B28"/>
    <w:rsid w:val="60385CED"/>
    <w:rsid w:val="603A11F0"/>
    <w:rsid w:val="604030F9"/>
    <w:rsid w:val="604B148A"/>
    <w:rsid w:val="60572D1E"/>
    <w:rsid w:val="6057749B"/>
    <w:rsid w:val="605E248D"/>
    <w:rsid w:val="605E26A9"/>
    <w:rsid w:val="6061362E"/>
    <w:rsid w:val="60960285"/>
    <w:rsid w:val="60975D06"/>
    <w:rsid w:val="60A11E99"/>
    <w:rsid w:val="60A4759A"/>
    <w:rsid w:val="60A81824"/>
    <w:rsid w:val="60AF5690"/>
    <w:rsid w:val="60D34866"/>
    <w:rsid w:val="60D90BAB"/>
    <w:rsid w:val="60D96770"/>
    <w:rsid w:val="60E96A0A"/>
    <w:rsid w:val="60F2511B"/>
    <w:rsid w:val="61192DDC"/>
    <w:rsid w:val="611A2A5C"/>
    <w:rsid w:val="61227E69"/>
    <w:rsid w:val="6123116D"/>
    <w:rsid w:val="612977F3"/>
    <w:rsid w:val="612D61FA"/>
    <w:rsid w:val="61366B09"/>
    <w:rsid w:val="61473346"/>
    <w:rsid w:val="61507E15"/>
    <w:rsid w:val="61620C52"/>
    <w:rsid w:val="61751E71"/>
    <w:rsid w:val="619F0651"/>
    <w:rsid w:val="61A03FBA"/>
    <w:rsid w:val="61B208DA"/>
    <w:rsid w:val="61B451D9"/>
    <w:rsid w:val="61BF0FEC"/>
    <w:rsid w:val="61DC639E"/>
    <w:rsid w:val="61FB7B4C"/>
    <w:rsid w:val="6221580D"/>
    <w:rsid w:val="623644AE"/>
    <w:rsid w:val="623757B2"/>
    <w:rsid w:val="62441245"/>
    <w:rsid w:val="624B4453"/>
    <w:rsid w:val="62674C7D"/>
    <w:rsid w:val="628B743B"/>
    <w:rsid w:val="62A3542F"/>
    <w:rsid w:val="62AC1251"/>
    <w:rsid w:val="62C01E93"/>
    <w:rsid w:val="62D83CB7"/>
    <w:rsid w:val="62D91738"/>
    <w:rsid w:val="63031C62"/>
    <w:rsid w:val="63045E00"/>
    <w:rsid w:val="630F6D0E"/>
    <w:rsid w:val="631D47AB"/>
    <w:rsid w:val="632F3922"/>
    <w:rsid w:val="633839CD"/>
    <w:rsid w:val="633D145D"/>
    <w:rsid w:val="633F4EB4"/>
    <w:rsid w:val="63415C65"/>
    <w:rsid w:val="634A6574"/>
    <w:rsid w:val="635B4290"/>
    <w:rsid w:val="635E5215"/>
    <w:rsid w:val="636A1027"/>
    <w:rsid w:val="636D1AF3"/>
    <w:rsid w:val="637970C3"/>
    <w:rsid w:val="637C47C5"/>
    <w:rsid w:val="638805D7"/>
    <w:rsid w:val="63883E5B"/>
    <w:rsid w:val="638F59E4"/>
    <w:rsid w:val="63937C6D"/>
    <w:rsid w:val="63994899"/>
    <w:rsid w:val="639B507A"/>
    <w:rsid w:val="63AB4186"/>
    <w:rsid w:val="63B05F18"/>
    <w:rsid w:val="63B1399A"/>
    <w:rsid w:val="63B55C23"/>
    <w:rsid w:val="63B71127"/>
    <w:rsid w:val="63C03FB5"/>
    <w:rsid w:val="63E3546E"/>
    <w:rsid w:val="63EB60FE"/>
    <w:rsid w:val="63F87992"/>
    <w:rsid w:val="640E3D34"/>
    <w:rsid w:val="64145C3D"/>
    <w:rsid w:val="642E206A"/>
    <w:rsid w:val="64312FEF"/>
    <w:rsid w:val="64451C8F"/>
    <w:rsid w:val="6457322E"/>
    <w:rsid w:val="645779AB"/>
    <w:rsid w:val="64592EAE"/>
    <w:rsid w:val="645B1C35"/>
    <w:rsid w:val="645D5252"/>
    <w:rsid w:val="647414DA"/>
    <w:rsid w:val="647B46E8"/>
    <w:rsid w:val="64A977B5"/>
    <w:rsid w:val="64B74DAD"/>
    <w:rsid w:val="64C50FD8"/>
    <w:rsid w:val="64C600EA"/>
    <w:rsid w:val="64CD1CA4"/>
    <w:rsid w:val="64CD2E6D"/>
    <w:rsid w:val="64CE08EF"/>
    <w:rsid w:val="64D6157E"/>
    <w:rsid w:val="64E2007C"/>
    <w:rsid w:val="64E33DF4"/>
    <w:rsid w:val="650258C5"/>
    <w:rsid w:val="651167CC"/>
    <w:rsid w:val="651A2F6C"/>
    <w:rsid w:val="65297D03"/>
    <w:rsid w:val="652B3207"/>
    <w:rsid w:val="65302F12"/>
    <w:rsid w:val="6537031E"/>
    <w:rsid w:val="65384140"/>
    <w:rsid w:val="65556E04"/>
    <w:rsid w:val="655820EC"/>
    <w:rsid w:val="65694370"/>
    <w:rsid w:val="6569656F"/>
    <w:rsid w:val="65740183"/>
    <w:rsid w:val="657F6514"/>
    <w:rsid w:val="65806194"/>
    <w:rsid w:val="65891022"/>
    <w:rsid w:val="65973BBB"/>
    <w:rsid w:val="65975DB9"/>
    <w:rsid w:val="65995001"/>
    <w:rsid w:val="659F6A49"/>
    <w:rsid w:val="65A705D2"/>
    <w:rsid w:val="65AA06B7"/>
    <w:rsid w:val="65AD5D5E"/>
    <w:rsid w:val="65B6666E"/>
    <w:rsid w:val="65B86875"/>
    <w:rsid w:val="65C8438A"/>
    <w:rsid w:val="65D61121"/>
    <w:rsid w:val="65E362B1"/>
    <w:rsid w:val="65E47E23"/>
    <w:rsid w:val="6610477E"/>
    <w:rsid w:val="66421AD5"/>
    <w:rsid w:val="665A717C"/>
    <w:rsid w:val="66605802"/>
    <w:rsid w:val="6666770B"/>
    <w:rsid w:val="66791A80"/>
    <w:rsid w:val="667941AD"/>
    <w:rsid w:val="668B794B"/>
    <w:rsid w:val="669727D3"/>
    <w:rsid w:val="669811DF"/>
    <w:rsid w:val="66A63D78"/>
    <w:rsid w:val="66A65F76"/>
    <w:rsid w:val="66A96EFB"/>
    <w:rsid w:val="66AD5901"/>
    <w:rsid w:val="66E32558"/>
    <w:rsid w:val="66E55A5B"/>
    <w:rsid w:val="66F824FD"/>
    <w:rsid w:val="670F7F24"/>
    <w:rsid w:val="6712276E"/>
    <w:rsid w:val="6717752F"/>
    <w:rsid w:val="67244646"/>
    <w:rsid w:val="67261D48"/>
    <w:rsid w:val="672E29D7"/>
    <w:rsid w:val="673335DC"/>
    <w:rsid w:val="67352362"/>
    <w:rsid w:val="67364560"/>
    <w:rsid w:val="675B27E4"/>
    <w:rsid w:val="676D31A9"/>
    <w:rsid w:val="676E3D1A"/>
    <w:rsid w:val="676E7F3D"/>
    <w:rsid w:val="67834660"/>
    <w:rsid w:val="67873066"/>
    <w:rsid w:val="67891DEC"/>
    <w:rsid w:val="6793017D"/>
    <w:rsid w:val="679A7B08"/>
    <w:rsid w:val="67A65B19"/>
    <w:rsid w:val="67A7359A"/>
    <w:rsid w:val="67D43165"/>
    <w:rsid w:val="67DF6AF4"/>
    <w:rsid w:val="680868DB"/>
    <w:rsid w:val="6809233A"/>
    <w:rsid w:val="680C6B42"/>
    <w:rsid w:val="680D45C4"/>
    <w:rsid w:val="681430FA"/>
    <w:rsid w:val="6843121A"/>
    <w:rsid w:val="68437083"/>
    <w:rsid w:val="684F2AAF"/>
    <w:rsid w:val="685549B8"/>
    <w:rsid w:val="6861624C"/>
    <w:rsid w:val="68654C52"/>
    <w:rsid w:val="689031AF"/>
    <w:rsid w:val="68B51559"/>
    <w:rsid w:val="68B86C5B"/>
    <w:rsid w:val="68D3364F"/>
    <w:rsid w:val="68D50789"/>
    <w:rsid w:val="68DA0494"/>
    <w:rsid w:val="690E546B"/>
    <w:rsid w:val="691702F9"/>
    <w:rsid w:val="691D4401"/>
    <w:rsid w:val="69407CB0"/>
    <w:rsid w:val="69430DBD"/>
    <w:rsid w:val="695B1CE7"/>
    <w:rsid w:val="695D7AF4"/>
    <w:rsid w:val="696271AD"/>
    <w:rsid w:val="696E2F06"/>
    <w:rsid w:val="69837628"/>
    <w:rsid w:val="69887333"/>
    <w:rsid w:val="698F343B"/>
    <w:rsid w:val="69927C43"/>
    <w:rsid w:val="69A97868"/>
    <w:rsid w:val="69DD52B6"/>
    <w:rsid w:val="69E25443"/>
    <w:rsid w:val="69FC29B0"/>
    <w:rsid w:val="69FC5FED"/>
    <w:rsid w:val="6A0A2D85"/>
    <w:rsid w:val="6A120191"/>
    <w:rsid w:val="6A2F4F2A"/>
    <w:rsid w:val="6A3142C9"/>
    <w:rsid w:val="6A352CCF"/>
    <w:rsid w:val="6A3916D5"/>
    <w:rsid w:val="6A4D0376"/>
    <w:rsid w:val="6A516D7C"/>
    <w:rsid w:val="6A5C2B8F"/>
    <w:rsid w:val="6A605631"/>
    <w:rsid w:val="6A667C1B"/>
    <w:rsid w:val="6A740236"/>
    <w:rsid w:val="6A973C6D"/>
    <w:rsid w:val="6AA27A80"/>
    <w:rsid w:val="6AA56806"/>
    <w:rsid w:val="6AC412B9"/>
    <w:rsid w:val="6AE12DE8"/>
    <w:rsid w:val="6AE362EB"/>
    <w:rsid w:val="6AEE41CC"/>
    <w:rsid w:val="6AFC1413"/>
    <w:rsid w:val="6AFC4C97"/>
    <w:rsid w:val="6B0E6B98"/>
    <w:rsid w:val="6B157DBF"/>
    <w:rsid w:val="6B476C00"/>
    <w:rsid w:val="6B5A17AD"/>
    <w:rsid w:val="6B7028E7"/>
    <w:rsid w:val="6B760894"/>
    <w:rsid w:val="6B7610DD"/>
    <w:rsid w:val="6B7632DB"/>
    <w:rsid w:val="6B7A1CFC"/>
    <w:rsid w:val="6BC74F0A"/>
    <w:rsid w:val="6BCB07E7"/>
    <w:rsid w:val="6BDF01BE"/>
    <w:rsid w:val="6BFF2B5E"/>
    <w:rsid w:val="6C003240"/>
    <w:rsid w:val="6C010CC1"/>
    <w:rsid w:val="6C296D6B"/>
    <w:rsid w:val="6C597151"/>
    <w:rsid w:val="6C5C22D4"/>
    <w:rsid w:val="6C5C4853"/>
    <w:rsid w:val="6C9846B8"/>
    <w:rsid w:val="6C9F3766"/>
    <w:rsid w:val="6CA32A49"/>
    <w:rsid w:val="6CA67E59"/>
    <w:rsid w:val="6CC07DFA"/>
    <w:rsid w:val="6CC6263A"/>
    <w:rsid w:val="6CE77CBA"/>
    <w:rsid w:val="6CF2604B"/>
    <w:rsid w:val="6D033D67"/>
    <w:rsid w:val="6D0801EF"/>
    <w:rsid w:val="6D116900"/>
    <w:rsid w:val="6D1C7C9D"/>
    <w:rsid w:val="6D22461C"/>
    <w:rsid w:val="6D23209D"/>
    <w:rsid w:val="6D24429C"/>
    <w:rsid w:val="6D321033"/>
    <w:rsid w:val="6D5661FB"/>
    <w:rsid w:val="6D581273"/>
    <w:rsid w:val="6D6A4A10"/>
    <w:rsid w:val="6D6F0E98"/>
    <w:rsid w:val="6D772294"/>
    <w:rsid w:val="6D7B4CAA"/>
    <w:rsid w:val="6D9313D6"/>
    <w:rsid w:val="6D97302A"/>
    <w:rsid w:val="6D9D06E2"/>
    <w:rsid w:val="6DB74B0F"/>
    <w:rsid w:val="6DBB3F36"/>
    <w:rsid w:val="6DC53E25"/>
    <w:rsid w:val="6DCD4AB5"/>
    <w:rsid w:val="6DD4663E"/>
    <w:rsid w:val="6DEF6A0F"/>
    <w:rsid w:val="6DF56417"/>
    <w:rsid w:val="6E10519E"/>
    <w:rsid w:val="6E1A1331"/>
    <w:rsid w:val="6E2476C2"/>
    <w:rsid w:val="6E312157"/>
    <w:rsid w:val="6E584B5C"/>
    <w:rsid w:val="6E596897"/>
    <w:rsid w:val="6E5B561D"/>
    <w:rsid w:val="6E5B6879"/>
    <w:rsid w:val="6E5E2EA0"/>
    <w:rsid w:val="6E606222"/>
    <w:rsid w:val="6E6404AB"/>
    <w:rsid w:val="6E6639AE"/>
    <w:rsid w:val="6E686EB1"/>
    <w:rsid w:val="6E6B7E36"/>
    <w:rsid w:val="6E6C7AB6"/>
    <w:rsid w:val="6E7177C1"/>
    <w:rsid w:val="6EC8494C"/>
    <w:rsid w:val="6F0E4821"/>
    <w:rsid w:val="6F134DCC"/>
    <w:rsid w:val="6F1A5106"/>
    <w:rsid w:val="6F1E78D9"/>
    <w:rsid w:val="6F2A6F6F"/>
    <w:rsid w:val="6F651353"/>
    <w:rsid w:val="6F6B79D9"/>
    <w:rsid w:val="6F742100"/>
    <w:rsid w:val="6F786CEE"/>
    <w:rsid w:val="6F897436"/>
    <w:rsid w:val="6F8E6C94"/>
    <w:rsid w:val="6F917C18"/>
    <w:rsid w:val="6F94661F"/>
    <w:rsid w:val="6F947636"/>
    <w:rsid w:val="6F9C01A8"/>
    <w:rsid w:val="6FA43036"/>
    <w:rsid w:val="6FCE1C7C"/>
    <w:rsid w:val="6FD85E0E"/>
    <w:rsid w:val="6FDA1311"/>
    <w:rsid w:val="6FDB6D93"/>
    <w:rsid w:val="6FF9271D"/>
    <w:rsid w:val="700111CF"/>
    <w:rsid w:val="7001594E"/>
    <w:rsid w:val="700468D2"/>
    <w:rsid w:val="700D71E2"/>
    <w:rsid w:val="7025268A"/>
    <w:rsid w:val="70494955"/>
    <w:rsid w:val="704D5DCD"/>
    <w:rsid w:val="704D7F1B"/>
    <w:rsid w:val="70535758"/>
    <w:rsid w:val="706A1AFA"/>
    <w:rsid w:val="706B2DFF"/>
    <w:rsid w:val="70814FA2"/>
    <w:rsid w:val="709E6AD1"/>
    <w:rsid w:val="70BF2889"/>
    <w:rsid w:val="70C922FE"/>
    <w:rsid w:val="70DA42FD"/>
    <w:rsid w:val="70E138DD"/>
    <w:rsid w:val="70ED20D3"/>
    <w:rsid w:val="70F41A5E"/>
    <w:rsid w:val="70FD016F"/>
    <w:rsid w:val="71172F17"/>
    <w:rsid w:val="713741DD"/>
    <w:rsid w:val="7138344C"/>
    <w:rsid w:val="713E0BD9"/>
    <w:rsid w:val="715507FE"/>
    <w:rsid w:val="7156627F"/>
    <w:rsid w:val="7167651A"/>
    <w:rsid w:val="71706E29"/>
    <w:rsid w:val="717C64BF"/>
    <w:rsid w:val="717D06BD"/>
    <w:rsid w:val="717F3BC0"/>
    <w:rsid w:val="718203C8"/>
    <w:rsid w:val="718A3256"/>
    <w:rsid w:val="719E4475"/>
    <w:rsid w:val="719F40F5"/>
    <w:rsid w:val="71CB22AC"/>
    <w:rsid w:val="71D2144C"/>
    <w:rsid w:val="71D41EC1"/>
    <w:rsid w:val="71D93465"/>
    <w:rsid w:val="71E25E63"/>
    <w:rsid w:val="71F21981"/>
    <w:rsid w:val="71F70A63"/>
    <w:rsid w:val="71F80007"/>
    <w:rsid w:val="720802A1"/>
    <w:rsid w:val="72453989"/>
    <w:rsid w:val="72461097"/>
    <w:rsid w:val="725716A5"/>
    <w:rsid w:val="725738A4"/>
    <w:rsid w:val="72694E43"/>
    <w:rsid w:val="726A28C4"/>
    <w:rsid w:val="72725752"/>
    <w:rsid w:val="728359ED"/>
    <w:rsid w:val="72997B90"/>
    <w:rsid w:val="729E789B"/>
    <w:rsid w:val="729F1A9A"/>
    <w:rsid w:val="72A02D9E"/>
    <w:rsid w:val="72CC70E6"/>
    <w:rsid w:val="72D466F0"/>
    <w:rsid w:val="72E36D0B"/>
    <w:rsid w:val="72F0605A"/>
    <w:rsid w:val="730B464C"/>
    <w:rsid w:val="731A13E3"/>
    <w:rsid w:val="731F4213"/>
    <w:rsid w:val="732B4F01"/>
    <w:rsid w:val="735402C3"/>
    <w:rsid w:val="738A079E"/>
    <w:rsid w:val="738F5872"/>
    <w:rsid w:val="739549EA"/>
    <w:rsid w:val="739B2C36"/>
    <w:rsid w:val="739D6139"/>
    <w:rsid w:val="73A56DC9"/>
    <w:rsid w:val="73AC41D5"/>
    <w:rsid w:val="73B1065D"/>
    <w:rsid w:val="73C43DFB"/>
    <w:rsid w:val="73D13110"/>
    <w:rsid w:val="73DD49A4"/>
    <w:rsid w:val="73DE2130"/>
    <w:rsid w:val="73E346AF"/>
    <w:rsid w:val="73E368AE"/>
    <w:rsid w:val="73E70B37"/>
    <w:rsid w:val="73F310C6"/>
    <w:rsid w:val="73F57E4D"/>
    <w:rsid w:val="73FB3F54"/>
    <w:rsid w:val="7400051E"/>
    <w:rsid w:val="74015E5E"/>
    <w:rsid w:val="74034BE4"/>
    <w:rsid w:val="74077D67"/>
    <w:rsid w:val="741D1B0A"/>
    <w:rsid w:val="742D5A28"/>
    <w:rsid w:val="742E3D63"/>
    <w:rsid w:val="74350C36"/>
    <w:rsid w:val="74563369"/>
    <w:rsid w:val="7463267F"/>
    <w:rsid w:val="74707796"/>
    <w:rsid w:val="748154B2"/>
    <w:rsid w:val="748259C4"/>
    <w:rsid w:val="749E6CFE"/>
    <w:rsid w:val="74A06680"/>
    <w:rsid w:val="74A643ED"/>
    <w:rsid w:val="74A96CF1"/>
    <w:rsid w:val="74C1629C"/>
    <w:rsid w:val="74C62724"/>
    <w:rsid w:val="74D3178F"/>
    <w:rsid w:val="74D472B5"/>
    <w:rsid w:val="74D70440"/>
    <w:rsid w:val="74E032CD"/>
    <w:rsid w:val="74E34252"/>
    <w:rsid w:val="74E706DA"/>
    <w:rsid w:val="74E7348C"/>
    <w:rsid w:val="74FE287D"/>
    <w:rsid w:val="75167F24"/>
    <w:rsid w:val="75213D37"/>
    <w:rsid w:val="75263A42"/>
    <w:rsid w:val="753352D6"/>
    <w:rsid w:val="7560709F"/>
    <w:rsid w:val="75676A2A"/>
    <w:rsid w:val="757A7C49"/>
    <w:rsid w:val="75874D60"/>
    <w:rsid w:val="75A02087"/>
    <w:rsid w:val="75A0590A"/>
    <w:rsid w:val="75A7213A"/>
    <w:rsid w:val="75B421F6"/>
    <w:rsid w:val="75C238C0"/>
    <w:rsid w:val="75D83866"/>
    <w:rsid w:val="75E14175"/>
    <w:rsid w:val="75ED7F88"/>
    <w:rsid w:val="75F21E91"/>
    <w:rsid w:val="75F3705D"/>
    <w:rsid w:val="75F46DAD"/>
    <w:rsid w:val="76096233"/>
    <w:rsid w:val="761B77D2"/>
    <w:rsid w:val="761D3C4C"/>
    <w:rsid w:val="762F0C47"/>
    <w:rsid w:val="763508A8"/>
    <w:rsid w:val="76392605"/>
    <w:rsid w:val="76466098"/>
    <w:rsid w:val="764C3824"/>
    <w:rsid w:val="76524935"/>
    <w:rsid w:val="7659203D"/>
    <w:rsid w:val="765D5CBD"/>
    <w:rsid w:val="76741165"/>
    <w:rsid w:val="76764668"/>
    <w:rsid w:val="76787B6C"/>
    <w:rsid w:val="767F74F6"/>
    <w:rsid w:val="768D428E"/>
    <w:rsid w:val="76A827A7"/>
    <w:rsid w:val="76B07CC5"/>
    <w:rsid w:val="76B61BCF"/>
    <w:rsid w:val="76BF02E0"/>
    <w:rsid w:val="76C05D62"/>
    <w:rsid w:val="76EF62A4"/>
    <w:rsid w:val="76F854DD"/>
    <w:rsid w:val="76FD3648"/>
    <w:rsid w:val="770C03DF"/>
    <w:rsid w:val="771357EC"/>
    <w:rsid w:val="77376CA5"/>
    <w:rsid w:val="774849C1"/>
    <w:rsid w:val="77587518"/>
    <w:rsid w:val="77854826"/>
    <w:rsid w:val="7797051C"/>
    <w:rsid w:val="77974740"/>
    <w:rsid w:val="77B030EB"/>
    <w:rsid w:val="77C6528F"/>
    <w:rsid w:val="77CC7198"/>
    <w:rsid w:val="77D05B9F"/>
    <w:rsid w:val="77DE0738"/>
    <w:rsid w:val="77F959B0"/>
    <w:rsid w:val="78042B76"/>
    <w:rsid w:val="781F11A1"/>
    <w:rsid w:val="782643AF"/>
    <w:rsid w:val="783A79DC"/>
    <w:rsid w:val="78706E0C"/>
    <w:rsid w:val="78777631"/>
    <w:rsid w:val="78B23FE1"/>
    <w:rsid w:val="78B75E9C"/>
    <w:rsid w:val="78C23FF4"/>
    <w:rsid w:val="78CB12BA"/>
    <w:rsid w:val="78CD47BD"/>
    <w:rsid w:val="78E312A4"/>
    <w:rsid w:val="78F57EFF"/>
    <w:rsid w:val="79173937"/>
    <w:rsid w:val="79252C4D"/>
    <w:rsid w:val="79294ED6"/>
    <w:rsid w:val="79572523"/>
    <w:rsid w:val="79587FA4"/>
    <w:rsid w:val="796458EE"/>
    <w:rsid w:val="796572BA"/>
    <w:rsid w:val="797265CF"/>
    <w:rsid w:val="797771D4"/>
    <w:rsid w:val="797E23E2"/>
    <w:rsid w:val="79813367"/>
    <w:rsid w:val="798E267C"/>
    <w:rsid w:val="79A178BA"/>
    <w:rsid w:val="79C31852"/>
    <w:rsid w:val="79C627D6"/>
    <w:rsid w:val="79CA4A60"/>
    <w:rsid w:val="79D704F2"/>
    <w:rsid w:val="79D73ACF"/>
    <w:rsid w:val="79D749AE"/>
    <w:rsid w:val="79DD5C7F"/>
    <w:rsid w:val="79E91A91"/>
    <w:rsid w:val="79F0361A"/>
    <w:rsid w:val="79F57AA2"/>
    <w:rsid w:val="7A0400BD"/>
    <w:rsid w:val="7A2A24FB"/>
    <w:rsid w:val="7A3C5C98"/>
    <w:rsid w:val="7A5B2CCA"/>
    <w:rsid w:val="7A6413DB"/>
    <w:rsid w:val="7A6A7A61"/>
    <w:rsid w:val="7A6F21BA"/>
    <w:rsid w:val="7A9C4DB8"/>
    <w:rsid w:val="7AA57C46"/>
    <w:rsid w:val="7AA7353A"/>
    <w:rsid w:val="7AA75347"/>
    <w:rsid w:val="7AAC17CF"/>
    <w:rsid w:val="7AE1082E"/>
    <w:rsid w:val="7AF00FBF"/>
    <w:rsid w:val="7AFA7350"/>
    <w:rsid w:val="7AFB4DD2"/>
    <w:rsid w:val="7B0D056F"/>
    <w:rsid w:val="7B197C05"/>
    <w:rsid w:val="7B2E0AA4"/>
    <w:rsid w:val="7B3C1B82"/>
    <w:rsid w:val="7B5E4E76"/>
    <w:rsid w:val="7B8139A2"/>
    <w:rsid w:val="7B8514B2"/>
    <w:rsid w:val="7B9030C7"/>
    <w:rsid w:val="7B941ACD"/>
    <w:rsid w:val="7B980F01"/>
    <w:rsid w:val="7B9F58E0"/>
    <w:rsid w:val="7BC55B1F"/>
    <w:rsid w:val="7BC6579F"/>
    <w:rsid w:val="7BDB4440"/>
    <w:rsid w:val="7BF7D9B7"/>
    <w:rsid w:val="7C00467F"/>
    <w:rsid w:val="7C070787"/>
    <w:rsid w:val="7C09750D"/>
    <w:rsid w:val="7C1C15F0"/>
    <w:rsid w:val="7C2E374F"/>
    <w:rsid w:val="7C42096C"/>
    <w:rsid w:val="7C4405EC"/>
    <w:rsid w:val="7C5C5C93"/>
    <w:rsid w:val="7C8C4263"/>
    <w:rsid w:val="7C8EF036"/>
    <w:rsid w:val="7C975E78"/>
    <w:rsid w:val="7CA13F21"/>
    <w:rsid w:val="7CA964BA"/>
    <w:rsid w:val="7CBF7F35"/>
    <w:rsid w:val="7CCE379C"/>
    <w:rsid w:val="7D042C28"/>
    <w:rsid w:val="7D052701"/>
    <w:rsid w:val="7D106A3B"/>
    <w:rsid w:val="7D1763C6"/>
    <w:rsid w:val="7D217FDA"/>
    <w:rsid w:val="7D264462"/>
    <w:rsid w:val="7D541AAE"/>
    <w:rsid w:val="7D55752F"/>
    <w:rsid w:val="7D792545"/>
    <w:rsid w:val="7D7B26CF"/>
    <w:rsid w:val="7D85447B"/>
    <w:rsid w:val="7D987C19"/>
    <w:rsid w:val="7DC242E0"/>
    <w:rsid w:val="7DD148FB"/>
    <w:rsid w:val="7DD76804"/>
    <w:rsid w:val="7DF57FB2"/>
    <w:rsid w:val="7E0405CD"/>
    <w:rsid w:val="7E05604E"/>
    <w:rsid w:val="7E0714B7"/>
    <w:rsid w:val="7E094A54"/>
    <w:rsid w:val="7E1562E9"/>
    <w:rsid w:val="7E1E23FB"/>
    <w:rsid w:val="7E2255FE"/>
    <w:rsid w:val="7E2A080C"/>
    <w:rsid w:val="7E400238"/>
    <w:rsid w:val="7E5747D4"/>
    <w:rsid w:val="7E5A0FDB"/>
    <w:rsid w:val="7E6150E3"/>
    <w:rsid w:val="7E633B84"/>
    <w:rsid w:val="7E715751"/>
    <w:rsid w:val="7E8E0531"/>
    <w:rsid w:val="7E903A34"/>
    <w:rsid w:val="7E9755BD"/>
    <w:rsid w:val="7EA50156"/>
    <w:rsid w:val="7EA90D5A"/>
    <w:rsid w:val="7EAC1CDF"/>
    <w:rsid w:val="7EB06AAF"/>
    <w:rsid w:val="7EC24B79"/>
    <w:rsid w:val="7EE06CB6"/>
    <w:rsid w:val="7EEC1DCB"/>
    <w:rsid w:val="7EF97BE0"/>
    <w:rsid w:val="7F1C59A9"/>
    <w:rsid w:val="7F1D6B1B"/>
    <w:rsid w:val="7F22771F"/>
    <w:rsid w:val="7F2B6C2C"/>
    <w:rsid w:val="7F2C5AB1"/>
    <w:rsid w:val="7F3E7050"/>
    <w:rsid w:val="7F5D1B03"/>
    <w:rsid w:val="7F5D7905"/>
    <w:rsid w:val="7F7939B1"/>
    <w:rsid w:val="7F8C4BD0"/>
    <w:rsid w:val="7F8D6B22"/>
    <w:rsid w:val="7F9D7069"/>
    <w:rsid w:val="7FA11E2C"/>
    <w:rsid w:val="7FA42277"/>
    <w:rsid w:val="7FC63AB1"/>
    <w:rsid w:val="7FD9752A"/>
    <w:rsid w:val="7FDD36D6"/>
    <w:rsid w:val="7FFECD21"/>
    <w:rsid w:val="FDFFA34D"/>
    <w:rsid w:val="FFF3984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unhideWhenUsed/>
    <w:qFormat/>
    <w:uiPriority w:val="0"/>
    <w:pPr>
      <w:keepNext/>
      <w:keepLines/>
      <w:spacing w:before="260" w:after="260" w:line="360" w:lineRule="auto"/>
      <w:ind w:firstLine="602" w:firstLineChars="200"/>
      <w:outlineLvl w:val="2"/>
    </w:pPr>
    <w:rPr>
      <w:rFonts w:ascii="仿宋_GB2312" w:hAnsi="宋体" w:eastAsia="仿宋_GB2312"/>
      <w:sz w:val="30"/>
      <w:szCs w:val="20"/>
    </w:rPr>
  </w:style>
  <w:style w:type="paragraph" w:styleId="5">
    <w:name w:val="heading 4"/>
    <w:basedOn w:val="1"/>
    <w:next w:val="6"/>
    <w:qFormat/>
    <w:uiPriority w:val="0"/>
    <w:pPr>
      <w:keepNext/>
      <w:keepLines/>
      <w:spacing w:before="280" w:after="290" w:line="376" w:lineRule="auto"/>
      <w:outlineLvl w:val="3"/>
    </w:pPr>
    <w:rPr>
      <w:rFonts w:ascii="Cambria" w:hAnsi="Cambria"/>
      <w:b/>
      <w:bCs/>
      <w:sz w:val="28"/>
      <w:szCs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0"/>
    </w:rPr>
  </w:style>
  <w:style w:type="paragraph" w:styleId="7">
    <w:name w:val="List Number"/>
    <w:basedOn w:val="1"/>
    <w:qFormat/>
    <w:uiPriority w:val="0"/>
    <w:pPr>
      <w:numPr>
        <w:ilvl w:val="0"/>
        <w:numId w:val="1"/>
      </w:numPr>
    </w:pPr>
  </w:style>
  <w:style w:type="paragraph" w:styleId="8">
    <w:name w:val="caption"/>
    <w:basedOn w:val="1"/>
    <w:next w:val="1"/>
    <w:unhideWhenUsed/>
    <w:qFormat/>
    <w:uiPriority w:val="0"/>
    <w:pPr>
      <w:spacing w:before="152" w:after="160"/>
    </w:pPr>
    <w:rPr>
      <w:rFonts w:ascii="Arial" w:hAnsi="Arial" w:eastAsia="黑体" w:cs="Arial"/>
      <w:sz w:val="20"/>
      <w:szCs w:val="20"/>
    </w:rPr>
  </w:style>
  <w:style w:type="paragraph" w:styleId="9">
    <w:name w:val="annotation text"/>
    <w:basedOn w:val="1"/>
    <w:qFormat/>
    <w:uiPriority w:val="0"/>
    <w:pPr>
      <w:jc w:val="left"/>
    </w:pPr>
    <w:rPr>
      <w:rFonts w:ascii="仿宋_GB2312" w:eastAsia="仿宋_GB2312"/>
      <w:sz w:val="28"/>
      <w:szCs w:val="28"/>
    </w:rPr>
  </w:style>
  <w:style w:type="paragraph" w:styleId="10">
    <w:name w:val="Body Text"/>
    <w:basedOn w:val="1"/>
    <w:next w:val="11"/>
    <w:qFormat/>
    <w:uiPriority w:val="0"/>
    <w:pPr>
      <w:spacing w:after="120"/>
    </w:pPr>
    <w:rPr>
      <w:sz w:val="28"/>
    </w:rPr>
  </w:style>
  <w:style w:type="paragraph" w:styleId="11">
    <w:name w:val="Body Text First Indent"/>
    <w:basedOn w:val="10"/>
    <w:next w:val="12"/>
    <w:qFormat/>
    <w:uiPriority w:val="0"/>
    <w:pPr>
      <w:ind w:firstLine="420" w:firstLineChars="100"/>
    </w:pPr>
    <w:rPr>
      <w:sz w:val="21"/>
    </w:rPr>
  </w:style>
  <w:style w:type="paragraph" w:styleId="12">
    <w:name w:val="toc 6"/>
    <w:basedOn w:val="1"/>
    <w:next w:val="1"/>
    <w:qFormat/>
    <w:uiPriority w:val="0"/>
    <w:pPr>
      <w:ind w:left="2100" w:leftChars="1000"/>
    </w:pPr>
  </w:style>
  <w:style w:type="paragraph" w:styleId="13">
    <w:name w:val="Body Text Indent"/>
    <w:basedOn w:val="1"/>
    <w:next w:val="14"/>
    <w:qFormat/>
    <w:uiPriority w:val="0"/>
    <w:pPr>
      <w:spacing w:line="200" w:lineRule="exact"/>
      <w:ind w:firstLine="301"/>
    </w:pPr>
    <w:rPr>
      <w:rFonts w:ascii="宋体" w:hAnsi="Courier New"/>
      <w:spacing w:val="-4"/>
      <w:sz w:val="18"/>
      <w:szCs w:val="20"/>
    </w:rPr>
  </w:style>
  <w:style w:type="paragraph" w:styleId="14">
    <w:name w:val="envelope return"/>
    <w:basedOn w:val="1"/>
    <w:qFormat/>
    <w:uiPriority w:val="0"/>
    <w:pPr>
      <w:snapToGrid w:val="0"/>
    </w:pPr>
    <w:rPr>
      <w:rFonts w:ascii="Arial" w:hAnsi="Arial" w:cs="Arial"/>
      <w:szCs w:val="24"/>
    </w:rPr>
  </w:style>
  <w:style w:type="paragraph" w:styleId="15">
    <w:name w:val="List 2"/>
    <w:basedOn w:val="1"/>
    <w:qFormat/>
    <w:uiPriority w:val="0"/>
    <w:pPr>
      <w:ind w:left="100" w:leftChars="200" w:hanging="200" w:hangingChars="200"/>
    </w:pPr>
    <w:rPr>
      <w:sz w:val="28"/>
    </w:rPr>
  </w:style>
  <w:style w:type="paragraph" w:styleId="16">
    <w:name w:val="List Bullet 2"/>
    <w:basedOn w:val="1"/>
    <w:qFormat/>
    <w:uiPriority w:val="0"/>
    <w:pPr>
      <w:numPr>
        <w:ilvl w:val="0"/>
        <w:numId w:val="2"/>
      </w:numPr>
    </w:pPr>
  </w:style>
  <w:style w:type="paragraph" w:styleId="17">
    <w:name w:val="Plain Text"/>
    <w:basedOn w:val="1"/>
    <w:next w:val="1"/>
    <w:qFormat/>
    <w:uiPriority w:val="0"/>
    <w:pPr>
      <w:spacing w:before="156" w:beforeLines="50" w:after="156" w:afterLines="50" w:line="400" w:lineRule="exact"/>
    </w:pPr>
    <w:rPr>
      <w:rFonts w:ascii="宋体" w:hAnsi="Courier New" w:eastAsia="楷体_GB2312"/>
      <w:sz w:val="26"/>
      <w:szCs w:val="20"/>
    </w:r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List"/>
    <w:basedOn w:val="1"/>
    <w:qFormat/>
    <w:uiPriority w:val="0"/>
    <w:pPr>
      <w:ind w:left="200" w:hanging="200" w:hangingChars="200"/>
    </w:pPr>
    <w:rPr>
      <w:sz w:val="28"/>
    </w:rPr>
  </w:style>
  <w:style w:type="paragraph" w:styleId="23">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24">
    <w:name w:val="Normal (Web)"/>
    <w:basedOn w:val="1"/>
    <w:qFormat/>
    <w:uiPriority w:val="0"/>
    <w:pPr>
      <w:widowControl/>
      <w:spacing w:before="100" w:beforeAutospacing="1" w:after="100" w:afterAutospacing="1"/>
      <w:jc w:val="left"/>
    </w:pPr>
    <w:rPr>
      <w:rFonts w:ascii="宋体" w:hAnsi="宋体"/>
      <w:kern w:val="0"/>
      <w:sz w:val="24"/>
      <w:szCs w:val="22"/>
    </w:rPr>
  </w:style>
  <w:style w:type="paragraph" w:styleId="25">
    <w:name w:val="Body Text First Indent 2"/>
    <w:basedOn w:val="13"/>
    <w:next w:val="1"/>
    <w:qFormat/>
    <w:uiPriority w:val="0"/>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Emphasis"/>
    <w:basedOn w:val="28"/>
    <w:qFormat/>
    <w:uiPriority w:val="0"/>
    <w:rPr>
      <w:i/>
    </w:rPr>
  </w:style>
  <w:style w:type="character" w:styleId="32">
    <w:name w:val="Hyperlink"/>
    <w:basedOn w:val="28"/>
    <w:qFormat/>
    <w:uiPriority w:val="0"/>
    <w:rPr>
      <w:color w:val="3177FD"/>
      <w:u w:val="none"/>
    </w:rPr>
  </w:style>
  <w:style w:type="character" w:styleId="33">
    <w:name w:val="annotation reference"/>
    <w:qFormat/>
    <w:uiPriority w:val="0"/>
    <w:rPr>
      <w:sz w:val="21"/>
      <w:szCs w:val="21"/>
    </w:rPr>
  </w:style>
  <w:style w:type="paragraph" w:customStyle="1" w:styleId="34">
    <w:name w:val="标准正文"/>
    <w:basedOn w:val="1"/>
    <w:qFormat/>
    <w:uiPriority w:val="0"/>
    <w:pPr>
      <w:spacing w:line="360" w:lineRule="auto"/>
      <w:ind w:firstLine="200" w:firstLineChars="200"/>
    </w:pPr>
    <w:rPr>
      <w:sz w:val="24"/>
      <w:szCs w:val="20"/>
    </w:rPr>
  </w:style>
  <w:style w:type="paragraph" w:customStyle="1" w:styleId="35">
    <w:name w:val="Default"/>
    <w:qFormat/>
    <w:uiPriority w:val="0"/>
    <w:pPr>
      <w:widowControl w:val="0"/>
      <w:autoSpaceDE w:val="0"/>
      <w:autoSpaceDN w:val="0"/>
      <w:adjustRightInd w:val="0"/>
    </w:pPr>
    <w:rPr>
      <w:rFonts w:ascii="Sim Sun" w:hAnsi="Times New Roman" w:eastAsia="Sim Sun" w:cs="Times New Roman"/>
      <w:color w:val="000000"/>
      <w:sz w:val="24"/>
      <w:szCs w:val="24"/>
      <w:lang w:val="en-US" w:eastAsia="zh-CN" w:bidi="ar-SA"/>
    </w:rPr>
  </w:style>
  <w:style w:type="paragraph" w:customStyle="1" w:styleId="36">
    <w:name w:val="Heading1"/>
    <w:basedOn w:val="1"/>
    <w:next w:val="1"/>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37">
    <w:name w:val="正文文本首行缩进1"/>
    <w:basedOn w:val="10"/>
    <w:qFormat/>
    <w:uiPriority w:val="0"/>
    <w:pPr>
      <w:ind w:firstLine="420" w:firstLineChars="100"/>
    </w:pPr>
    <w:rPr>
      <w:szCs w:val="21"/>
    </w:rPr>
  </w:style>
  <w:style w:type="paragraph" w:customStyle="1" w:styleId="38">
    <w:name w:val="默认段落字体 Para Char Char Char Char Char Char Char Char Char1 Char Char Char Char"/>
    <w:basedOn w:val="1"/>
    <w:qFormat/>
    <w:uiPriority w:val="0"/>
    <w:rPr>
      <w:rFonts w:ascii="Tahoma" w:hAnsi="Tahoma"/>
      <w:sz w:val="24"/>
      <w:szCs w:val="20"/>
    </w:rPr>
  </w:style>
  <w:style w:type="paragraph" w:customStyle="1" w:styleId="39">
    <w:name w:val="Plain Text"/>
    <w:basedOn w:val="1"/>
    <w:qFormat/>
    <w:uiPriority w:val="0"/>
    <w:pPr>
      <w:adjustRightInd w:val="0"/>
      <w:textAlignment w:val="baseline"/>
    </w:pPr>
    <w:rPr>
      <w:rFonts w:ascii="宋体" w:hAnsi="Courier New" w:eastAsia="楷体_GB2312"/>
      <w:sz w:val="26"/>
      <w:szCs w:val="20"/>
    </w:rPr>
  </w:style>
  <w:style w:type="paragraph" w:customStyle="1" w:styleId="40">
    <w:name w:val="列出段落2"/>
    <w:basedOn w:val="1"/>
    <w:qFormat/>
    <w:uiPriority w:val="0"/>
    <w:pPr>
      <w:widowControl/>
      <w:ind w:firstLine="420" w:firstLineChars="200"/>
    </w:pPr>
    <w:rPr>
      <w:kern w:val="0"/>
    </w:rPr>
  </w:style>
  <w:style w:type="paragraph" w:customStyle="1" w:styleId="41">
    <w:name w:val="List Paragraph"/>
    <w:basedOn w:val="1"/>
    <w:qFormat/>
    <w:uiPriority w:val="0"/>
    <w:pPr>
      <w:widowControl/>
      <w:ind w:firstLine="420" w:firstLineChars="200"/>
    </w:pPr>
    <w:rPr>
      <w:rFonts w:ascii="Calibri" w:hAnsi="Calibri" w:cs="Calibri"/>
      <w:kern w:val="0"/>
      <w:szCs w:val="21"/>
    </w:rPr>
  </w:style>
  <w:style w:type="paragraph" w:customStyle="1" w:styleId="42">
    <w:name w:val="首行缩进"/>
    <w:basedOn w:val="1"/>
    <w:qFormat/>
    <w:uiPriority w:val="99"/>
    <w:pPr>
      <w:spacing w:line="360" w:lineRule="auto"/>
      <w:ind w:firstLine="480" w:firstLineChars="200"/>
      <w:jc w:val="left"/>
    </w:pPr>
    <w:rPr>
      <w:rFonts w:ascii="宋体" w:hAnsi="宋体"/>
      <w:sz w:val="24"/>
    </w:rPr>
  </w:style>
  <w:style w:type="character" w:customStyle="1" w:styleId="43">
    <w:name w:val="font201"/>
    <w:basedOn w:val="28"/>
    <w:qFormat/>
    <w:uiPriority w:val="0"/>
    <w:rPr>
      <w:rFonts w:hint="default" w:ascii="Times New Roman" w:hAnsi="Times New Roman" w:cs="Times New Roman"/>
      <w:color w:val="000000"/>
      <w:sz w:val="22"/>
      <w:szCs w:val="22"/>
      <w:u w:val="none"/>
    </w:rPr>
  </w:style>
  <w:style w:type="paragraph" w:customStyle="1" w:styleId="44">
    <w:name w:val="正文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5">
    <w:name w:val="列出段落1"/>
    <w:basedOn w:val="1"/>
    <w:qFormat/>
    <w:uiPriority w:val="0"/>
    <w:pPr>
      <w:ind w:firstLine="420" w:firstLineChars="200"/>
    </w:pPr>
  </w:style>
  <w:style w:type="paragraph" w:customStyle="1" w:styleId="4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7">
    <w:name w:val="xl53"/>
    <w:basedOn w:val="1"/>
    <w:next w:val="1"/>
    <w:qFormat/>
    <w:uiPriority w:val="0"/>
    <w:pPr>
      <w:spacing w:before="280" w:after="280" w:line="100" w:lineRule="exact"/>
      <w:jc w:val="center"/>
    </w:pPr>
    <w:rPr>
      <w:rFonts w:ascii="Times New Roman" w:hAnsi="Times New Roman" w:eastAsia="宋体" w:cs="Times New Roman"/>
      <w:b/>
      <w:sz w:val="20"/>
    </w:rPr>
  </w:style>
  <w:style w:type="paragraph" w:customStyle="1" w:styleId="48">
    <w:name w:val="表内文字"/>
    <w:basedOn w:val="1"/>
    <w:qFormat/>
    <w:uiPriority w:val="0"/>
    <w:pPr>
      <w:tabs>
        <w:tab w:val="left" w:pos="1418"/>
      </w:tabs>
      <w:spacing w:line="360" w:lineRule="auto"/>
      <w:jc w:val="center"/>
    </w:pPr>
    <w:rPr>
      <w:rFonts w:ascii="仿宋_GB2312" w:eastAsia="仿宋_GB2312"/>
      <w:spacing w:val="-20"/>
      <w:kern w:val="0"/>
      <w:sz w:val="24"/>
    </w:rPr>
  </w:style>
  <w:style w:type="character" w:customStyle="1" w:styleId="49">
    <w:name w:val="font21"/>
    <w:basedOn w:val="28"/>
    <w:qFormat/>
    <w:uiPriority w:val="0"/>
    <w:rPr>
      <w:rFonts w:ascii="宋体" w:hAnsi="宋体" w:eastAsia="宋体" w:cs="宋体"/>
      <w:color w:val="000000"/>
      <w:sz w:val="22"/>
      <w:szCs w:val="22"/>
      <w:u w:val="none"/>
    </w:rPr>
  </w:style>
  <w:style w:type="character" w:customStyle="1" w:styleId="50">
    <w:name w:val="font51"/>
    <w:basedOn w:val="28"/>
    <w:qFormat/>
    <w:uiPriority w:val="0"/>
    <w:rPr>
      <w:rFonts w:hint="eastAsia" w:ascii="宋体" w:hAnsi="宋体" w:eastAsia="宋体" w:cs="宋体"/>
      <w:b/>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21193</Words>
  <Characters>22853</Characters>
  <Lines>0</Lines>
  <Paragraphs>0</Paragraphs>
  <TotalTime>14</TotalTime>
  <ScaleCrop>false</ScaleCrop>
  <LinksUpToDate>false</LinksUpToDate>
  <CharactersWithSpaces>23337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HP-PC</dc:creator>
  <cp:lastModifiedBy>把耳朵捂住</cp:lastModifiedBy>
  <cp:lastPrinted>2024-04-12T16:29:00Z</cp:lastPrinted>
  <dcterms:modified xsi:type="dcterms:W3CDTF">2026-04-10T09:29:41Z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537C0D6BC7A347B19725C65D0DB932B4_13</vt:lpwstr>
  </property>
  <property fmtid="{D5CDD505-2E9C-101B-9397-08002B2CF9AE}" pid="4" name="KSOTemplateDocerSaveRecord">
    <vt:lpwstr>eyJoZGlkIjoiNWEyOTBmNGM3MTVlYzQ1M2IwZjgyNTI5NTAxOWIxZmEiLCJ1c2VySWQiOiI0NDQ4MzUyODcifQ==</vt:lpwstr>
  </property>
</Properties>
</file>