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highlight w:val="none"/>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B3D7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新疆医科大学第六附属医院2026年普通试剂耗材采购项目（第一批）</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（项目编号：SJX-2026-306）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77FB3D7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新疆医科大学第六附属医院2026年普通试剂耗材采购项目（第一批）</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（项目编号：SJX-2026-306）</w:t>
                      </w:r>
                    </w:p>
                  </w:txbxContent>
                </v:textbox>
              </v:shape>
            </w:pict>
          </mc:Fallback>
        </mc:AlternateContent>
      </w:r>
      <w:r>
        <w:rPr>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highlight w:val="none"/>
        </w:rPr>
      </w:pPr>
    </w:p>
    <w:p w14:paraId="2E75FFF8">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日期：2026年04月21日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日期：2026年04月21日</w:t>
                      </w:r>
                    </w:p>
                  </w:txbxContent>
                </v:textbox>
              </v:shape>
            </w:pict>
          </mc:Fallback>
        </mc:AlternateContent>
      </w:r>
    </w:p>
    <w:p w14:paraId="0F027646">
      <w:pPr>
        <w:jc w:val="center"/>
        <w:rPr>
          <w:rFonts w:hint="eastAsia" w:ascii="仿宋_GB2312" w:hAnsi="仿宋_GB2312" w:eastAsia="仿宋_GB2312" w:cs="仿宋_GB2312"/>
          <w:sz w:val="32"/>
          <w:szCs w:val="32"/>
          <w:highlight w:val="none"/>
        </w:rPr>
      </w:pPr>
    </w:p>
    <w:p w14:paraId="09DCD6E5">
      <w:pPr>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目  录</w:t>
      </w:r>
    </w:p>
    <w:sdt>
      <w:sdtPr>
        <w:rPr>
          <w:rFonts w:ascii="宋体" w:hAnsi="宋体" w:eastAsia="宋体" w:cstheme="minorBidi"/>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highlight w:val="none"/>
          <w:lang w:val="en-US" w:eastAsia="zh-CN" w:bidi="ar-SA"/>
        </w:rPr>
      </w:sdtEndPr>
      <w:sdtContent>
        <w:p w14:paraId="6A689BAA">
          <w:pPr>
            <w:spacing w:before="0" w:beforeLines="0" w:after="0" w:afterLines="0" w:line="240" w:lineRule="auto"/>
            <w:ind w:left="0" w:leftChars="0" w:right="0" w:rightChars="0" w:firstLine="0" w:firstLineChars="0"/>
            <w:jc w:val="center"/>
            <w:rPr>
              <w:highlight w:val="none"/>
            </w:rPr>
          </w:pPr>
        </w:p>
        <w:p w14:paraId="7592144E">
          <w:pPr>
            <w:pStyle w:val="26"/>
            <w:tabs>
              <w:tab w:val="right" w:leader="dot" w:pos="8306"/>
            </w:tabs>
            <w:rPr>
              <w:b/>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TOC \o "1-2" \h \u </w:instrText>
          </w:r>
          <w:r>
            <w:rPr>
              <w:rFonts w:hint="eastAsia" w:ascii="仿宋_GB2312" w:hAnsi="仿宋_GB2312" w:eastAsia="仿宋_GB2312" w:cs="仿宋_GB2312"/>
              <w:sz w:val="32"/>
              <w:szCs w:val="32"/>
              <w:highlight w:val="none"/>
            </w:rPr>
            <w:fldChar w:fldCharType="separate"/>
          </w:r>
        </w:p>
        <w:p w14:paraId="52CEF56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_Toc11868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公开招标公告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_Toc11868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EB46A8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_Toc21739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_Toc21739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B817CA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_Toc15364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二、申请人的资格要求：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_Toc15364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6D8F61E">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_Toc29084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三、获取招标文件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899C99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_Toc24224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_Toc24224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D5C261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_Toc17115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五、公告期限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_Toc17115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1B65F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六、其他补充事宜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CF678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_Toc21999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七、对本次采购提出询问，请按以下方式联系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_Toc21999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FBDB8BB">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_Toc31403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第二章 投标须知前附表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_Toc31403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5</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14886B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_Toc27881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第三章 投标人须知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_Toc27881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6A4AC209">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_Toc20936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_Toc20936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B84BF4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_Toc6547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二、 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1</w:t>
          </w:r>
        </w:p>
        <w:p w14:paraId="6361CD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_Toc9070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三、 投标文件的编制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_Toc9070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18</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46A2B0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_Toc21719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四、 投标文件的提交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_Toc21719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CC1931D">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_Toc15263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五、 开标、资格审查及评标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_Toc15263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154AB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_Toc7787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六、 确定中标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_Toc7787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24</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8A80C63">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_Toc22543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_Toc22543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28</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8D7154D">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_Toc20159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_Toc20159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16</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BC1176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_Toc21893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_Toc21893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29</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665BF8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_Toc27440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_Toc27440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29</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E14A50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_Toc12617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_Toc12617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29</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E2AA71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_Toc6046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9</w:t>
          </w:r>
        </w:p>
        <w:p w14:paraId="6B7DFE3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_Toc4337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4. 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36B18D9A">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_Toc23924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5. 投标文件有关事项的澄清或者说明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_Toc23924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D47668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_Toc22049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6.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_Toc22049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34</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E2940CA">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_Toc31337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_Toc31337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42</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39B5540">
          <w:pPr>
            <w:pStyle w:val="27"/>
            <w:tabs>
              <w:tab w:val="right" w:leader="dot" w:pos="8306"/>
            </w:tabs>
            <w:rPr>
              <w:highlight w:val="none"/>
            </w:rPr>
          </w:pPr>
        </w:p>
        <w:p w14:paraId="1409214F">
          <w:pPr>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szCs w:val="32"/>
              <w:highlight w:val="none"/>
            </w:rPr>
            <w:fldChar w:fldCharType="end"/>
          </w:r>
        </w:p>
      </w:sdtContent>
    </w:sdt>
    <w:p w14:paraId="5FC6BE31">
      <w:pPr>
        <w:pStyle w:val="3"/>
        <w:numPr>
          <w:ilvl w:val="0"/>
          <w:numId w:val="1"/>
        </w:numPr>
        <w:bidi w:val="0"/>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3"/>
        <w:numPr>
          <w:ilvl w:val="0"/>
          <w:numId w:val="1"/>
        </w:numPr>
        <w:bidi w:val="0"/>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招标</w:t>
      </w:r>
      <w:r>
        <w:rPr>
          <w:rFonts w:hint="eastAsia" w:ascii="方正小标宋简体" w:hAnsi="方正小标宋简体" w:eastAsia="方正小标宋简体" w:cs="方正小标宋简体"/>
          <w:sz w:val="32"/>
          <w:szCs w:val="32"/>
          <w:highlight w:val="none"/>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21739"/>
      <w:r>
        <w:rPr>
          <w:rFonts w:hint="eastAsia" w:ascii="方正仿宋_GB2312" w:hAnsi="方正仿宋_GB2312" w:eastAsia="方正仿宋_GB2312" w:cs="方正仿宋_GB2312"/>
          <w:b/>
          <w:bCs/>
          <w:sz w:val="24"/>
          <w:szCs w:val="24"/>
          <w:highlight w:val="none"/>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项目编号：SJX-2026-306</w:t>
      </w:r>
    </w:p>
    <w:p w14:paraId="00C20FD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项目名称：新疆医科大学第六附属医院2026年普通试剂耗材采购项目（第一批）</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160000.00</w:t>
      </w:r>
    </w:p>
    <w:p w14:paraId="1A428B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最高限价（单价合计）：2209.70元</w:t>
      </w:r>
    </w:p>
    <w:p w14:paraId="24F0DDA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其中：标项一最高限价（单价合计）：2138.70元；</w:t>
      </w:r>
    </w:p>
    <w:p w14:paraId="0AA6443B">
      <w:pPr>
        <w:keepNext w:val="0"/>
        <w:keepLines w:val="0"/>
        <w:pageBreakBefore w:val="0"/>
        <w:widowControl w:val="0"/>
        <w:kinsoku/>
        <w:wordWrap/>
        <w:overflowPunct/>
        <w:topLinePunct w:val="0"/>
        <w:autoSpaceDE/>
        <w:autoSpaceDN/>
        <w:bidi w:val="0"/>
        <w:adjustRightInd/>
        <w:snapToGrid/>
        <w:spacing w:line="400" w:lineRule="exact"/>
        <w:ind w:firstLine="720" w:firstLineChars="30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标项二最高限价：6.00元；</w:t>
      </w:r>
    </w:p>
    <w:p w14:paraId="25A4C0EC">
      <w:pPr>
        <w:keepNext w:val="0"/>
        <w:keepLines w:val="0"/>
        <w:pageBreakBefore w:val="0"/>
        <w:widowControl w:val="0"/>
        <w:kinsoku/>
        <w:wordWrap/>
        <w:overflowPunct/>
        <w:topLinePunct w:val="0"/>
        <w:autoSpaceDE/>
        <w:autoSpaceDN/>
        <w:bidi w:val="0"/>
        <w:adjustRightInd/>
        <w:snapToGrid/>
        <w:spacing w:line="400" w:lineRule="exact"/>
        <w:ind w:firstLine="720" w:firstLineChars="300"/>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标项三最高限价：65.00元；</w:t>
      </w:r>
    </w:p>
    <w:p w14:paraId="1550E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采购需求：</w:t>
      </w:r>
      <w:r>
        <w:rPr>
          <w:rFonts w:hint="eastAsia" w:ascii="仿宋" w:hAnsi="仿宋" w:eastAsia="仿宋" w:cs="仿宋"/>
          <w:color w:val="auto"/>
          <w:sz w:val="24"/>
          <w:szCs w:val="24"/>
          <w:highlight w:val="none"/>
          <w:lang w:val="en-US" w:eastAsia="zh-CN"/>
        </w:rPr>
        <w:t>试剂耗材一批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具体内容详见第五章采购需求</w:t>
      </w:r>
    </w:p>
    <w:p w14:paraId="43904AA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方正仿宋_GB2312" w:hAnsi="方正仿宋_GB2312" w:eastAsia="方正仿宋_GB2312" w:cs="方正仿宋_GB2312"/>
          <w:sz w:val="24"/>
          <w:szCs w:val="24"/>
          <w:highlight w:val="none"/>
        </w:rPr>
        <w:t>   </w:t>
      </w:r>
    </w:p>
    <w:p w14:paraId="0CE6B34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标项名称:标项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：新疆医科大学第六附属医院2026年普通试剂耗材采购项目（第一批）</w:t>
      </w:r>
      <w:r>
        <w:rPr>
          <w:rFonts w:hint="eastAsia" w:ascii="仿宋" w:hAnsi="仿宋" w:eastAsia="仿宋" w:cs="仿宋"/>
          <w:color w:val="auto"/>
          <w:sz w:val="24"/>
          <w:szCs w:val="24"/>
          <w:highlight w:val="none"/>
          <w:lang w:val="en-US" w:eastAsia="zh-CN"/>
        </w:rPr>
        <w:t>1包</w:t>
      </w:r>
    </w:p>
    <w:p w14:paraId="1BC70BDA">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ighlight w:val="none"/>
          <w:lang w:val="en-US" w:eastAsia="zh-CN"/>
        </w:rPr>
      </w:pPr>
      <w:r>
        <w:rPr>
          <w:rFonts w:hint="eastAsia" w:ascii="仿宋" w:hAnsi="仿宋" w:eastAsia="仿宋" w:cs="仿宋"/>
          <w:color w:val="auto"/>
          <w:kern w:val="2"/>
          <w:sz w:val="24"/>
          <w:szCs w:val="24"/>
          <w:highlight w:val="none"/>
          <w:lang w:val="en-US" w:eastAsia="zh-CN" w:bidi="ar-SA"/>
        </w:rPr>
        <w:t>标项编号/包号：SJX-2026-306-01</w:t>
      </w:r>
    </w:p>
    <w:p w14:paraId="7F5D8F3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1批</w:t>
      </w:r>
    </w:p>
    <w:p w14:paraId="1F091BE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 xml:space="preserve"> 50000.00 </w:t>
      </w:r>
    </w:p>
    <w:p w14:paraId="1CC8D62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简要规格描述或项目基本概况介绍、用途：</w:t>
      </w:r>
      <w:r>
        <w:rPr>
          <w:rFonts w:hint="eastAsia" w:ascii="仿宋" w:hAnsi="仿宋" w:eastAsia="仿宋" w:cs="仿宋"/>
          <w:color w:val="auto"/>
          <w:sz w:val="24"/>
          <w:szCs w:val="24"/>
          <w:highlight w:val="none"/>
          <w:lang w:val="en-US" w:eastAsia="zh-CN"/>
        </w:rPr>
        <w:t>检验试剂耗材一批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具体内容详见第五章采购需求。</w:t>
      </w:r>
    </w:p>
    <w:p w14:paraId="64D33C4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2863FE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highlight w:val="none"/>
        </w:rPr>
      </w:pPr>
    </w:p>
    <w:p w14:paraId="514A172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标项名称:标项</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：新疆医科大学第六附属医院2026年普通试剂耗材采购项目（第一批）</w:t>
      </w:r>
      <w:r>
        <w:rPr>
          <w:rFonts w:hint="eastAsia" w:ascii="仿宋" w:hAnsi="仿宋" w:eastAsia="仿宋" w:cs="仿宋"/>
          <w:color w:val="auto"/>
          <w:sz w:val="24"/>
          <w:szCs w:val="24"/>
          <w:highlight w:val="none"/>
          <w:lang w:val="en-US" w:eastAsia="zh-CN"/>
        </w:rPr>
        <w:t>2包</w:t>
      </w:r>
    </w:p>
    <w:p w14:paraId="403DA923">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ighlight w:val="none"/>
          <w:lang w:val="en-US" w:eastAsia="zh-CN"/>
        </w:rPr>
      </w:pPr>
      <w:r>
        <w:rPr>
          <w:rFonts w:hint="eastAsia" w:ascii="仿宋" w:hAnsi="仿宋" w:eastAsia="仿宋" w:cs="仿宋"/>
          <w:color w:val="auto"/>
          <w:kern w:val="2"/>
          <w:sz w:val="24"/>
          <w:szCs w:val="24"/>
          <w:highlight w:val="none"/>
          <w:lang w:val="en-US" w:eastAsia="zh-CN" w:bidi="ar-SA"/>
        </w:rPr>
        <w:t>标项编号/包号：SJX-2026-306</w:t>
      </w:r>
      <w:r>
        <w:rPr>
          <w:rFonts w:hint="eastAsia" w:ascii="仿宋" w:hAnsi="仿宋" w:eastAsia="仿宋" w:cs="仿宋"/>
          <w:color w:val="auto"/>
          <w:sz w:val="24"/>
          <w:szCs w:val="24"/>
          <w:highlight w:val="none"/>
          <w:lang w:val="en-US" w:eastAsia="zh-CN"/>
        </w:rPr>
        <w:t>-02</w:t>
      </w:r>
    </w:p>
    <w:p w14:paraId="1B98F8B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1批</w:t>
      </w:r>
    </w:p>
    <w:p w14:paraId="618EE2F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 xml:space="preserve"> 100000.00 </w:t>
      </w:r>
    </w:p>
    <w:p w14:paraId="39695F3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简要规格描述或项目基本概况介绍、用途：</w:t>
      </w:r>
      <w:r>
        <w:rPr>
          <w:rFonts w:hint="eastAsia" w:ascii="仿宋" w:hAnsi="仿宋" w:eastAsia="仿宋" w:cs="仿宋"/>
          <w:color w:val="auto"/>
          <w:sz w:val="24"/>
          <w:szCs w:val="24"/>
          <w:highlight w:val="none"/>
          <w:lang w:val="en-US" w:eastAsia="zh-CN"/>
        </w:rPr>
        <w:t>全量程C反应蛋白检测试剂盒</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具体内容详见第五章采购需求。</w:t>
      </w:r>
    </w:p>
    <w:p w14:paraId="1EF6D4B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739CC56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p>
    <w:p w14:paraId="2B18A49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标项名称:标项</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：新疆医科大学第六附属医院2026年普通试剂耗材采购项目（第一批）</w:t>
      </w:r>
      <w:r>
        <w:rPr>
          <w:rFonts w:hint="eastAsia" w:ascii="仿宋" w:hAnsi="仿宋" w:eastAsia="仿宋" w:cs="仿宋"/>
          <w:color w:val="auto"/>
          <w:sz w:val="24"/>
          <w:szCs w:val="24"/>
          <w:highlight w:val="none"/>
          <w:lang w:val="en-US" w:eastAsia="zh-CN"/>
        </w:rPr>
        <w:t>3包</w:t>
      </w:r>
    </w:p>
    <w:p w14:paraId="63D9262F">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ighlight w:val="none"/>
          <w:lang w:val="en-US" w:eastAsia="zh-CN"/>
        </w:rPr>
      </w:pPr>
      <w:r>
        <w:rPr>
          <w:rFonts w:hint="eastAsia" w:ascii="仿宋" w:hAnsi="仿宋" w:eastAsia="仿宋" w:cs="仿宋"/>
          <w:color w:val="auto"/>
          <w:kern w:val="2"/>
          <w:sz w:val="24"/>
          <w:szCs w:val="24"/>
          <w:highlight w:val="none"/>
          <w:lang w:val="en-US" w:eastAsia="zh-CN" w:bidi="ar-SA"/>
        </w:rPr>
        <w:t>标项编号/包号：SJX-2026-306</w:t>
      </w:r>
      <w:r>
        <w:rPr>
          <w:rFonts w:hint="eastAsia" w:ascii="仿宋" w:hAnsi="仿宋" w:eastAsia="仿宋" w:cs="仿宋"/>
          <w:color w:val="auto"/>
          <w:sz w:val="24"/>
          <w:szCs w:val="24"/>
          <w:highlight w:val="none"/>
          <w:lang w:val="en-US" w:eastAsia="zh-CN"/>
        </w:rPr>
        <w:t>-03</w:t>
      </w:r>
    </w:p>
    <w:p w14:paraId="45DF3D6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1批</w:t>
      </w:r>
    </w:p>
    <w:p w14:paraId="2C9D36D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 xml:space="preserve"> 10000.00 </w:t>
      </w:r>
    </w:p>
    <w:p w14:paraId="044A816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简要规格描述或项目基本概况介绍、用途：</w:t>
      </w:r>
      <w:r>
        <w:rPr>
          <w:rFonts w:hint="eastAsia" w:ascii="仿宋" w:hAnsi="仿宋" w:eastAsia="仿宋" w:cs="仿宋"/>
          <w:color w:val="auto"/>
          <w:sz w:val="24"/>
          <w:szCs w:val="24"/>
          <w:highlight w:val="none"/>
          <w:lang w:val="en-US" w:eastAsia="zh-CN"/>
        </w:rPr>
        <w:t>幽门螺杆菌抗体分型检测试剂盒</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具体内容详见第五章采购需求。</w:t>
      </w:r>
    </w:p>
    <w:p w14:paraId="15F1D35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42251C5B">
      <w:pPr>
        <w:pStyle w:val="2"/>
        <w:rPr>
          <w:rFonts w:hint="eastAsia" w:ascii="方正仿宋_GB2312" w:hAnsi="方正仿宋_GB2312" w:eastAsia="方正仿宋_GB2312" w:cs="方正仿宋_GB2312"/>
          <w:sz w:val="24"/>
          <w:szCs w:val="24"/>
          <w:highlight w:val="none"/>
        </w:rPr>
      </w:pP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合同履约期限：供应期限1年</w:t>
      </w:r>
      <w:r>
        <w:rPr>
          <w:rFonts w:hint="eastAsia" w:ascii="方正仿宋_GB2312" w:hAnsi="方正仿宋_GB2312" w:eastAsia="方正仿宋_GB2312" w:cs="方正仿宋_GB2312"/>
          <w:sz w:val="24"/>
          <w:szCs w:val="24"/>
          <w:highlight w:val="none"/>
          <w:lang w:val="en-US" w:eastAsia="zh-CN"/>
        </w:rPr>
        <w:t>。</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5364"/>
      <w:r>
        <w:rPr>
          <w:rFonts w:hint="eastAsia" w:ascii="方正仿宋_GB2312" w:hAnsi="方正仿宋_GB2312" w:eastAsia="方正仿宋_GB2312" w:cs="方正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2.落</w:t>
      </w:r>
      <w:r>
        <w:rPr>
          <w:rFonts w:hint="eastAsia" w:ascii="方正仿宋_GB2312" w:hAnsi="方正仿宋_GB2312" w:eastAsia="方正仿宋_GB2312" w:cs="方正仿宋_GB2312"/>
          <w:sz w:val="24"/>
          <w:szCs w:val="24"/>
          <w:highlight w:val="none"/>
          <w:lang w:eastAsia="zh-CN"/>
        </w:rPr>
        <w:t>实政府采购政策需满足的资格要求：</w:t>
      </w:r>
      <w:r>
        <w:rPr>
          <w:rFonts w:hint="eastAsia" w:ascii="方正仿宋_GB2312" w:hAnsi="方正仿宋_GB2312" w:eastAsia="方正仿宋_GB2312" w:cs="方正仿宋_GB2312"/>
          <w:sz w:val="24"/>
          <w:szCs w:val="24"/>
          <w:highlight w:val="none"/>
          <w:lang w:val="en-US" w:eastAsia="zh-CN"/>
        </w:rPr>
        <w:t>无（本项目为非专门面向中、小企业，小、微企业预留资金项目。落实政府采购政策内容详见供应商须知前附表，价格优惠详见第六章评审程序。）</w:t>
      </w:r>
    </w:p>
    <w:p w14:paraId="1A71602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3.本项目的特定资格要求：</w:t>
      </w:r>
    </w:p>
    <w:p w14:paraId="1EE861B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w:t>
      </w:r>
      <w:r>
        <w:rPr>
          <w:rFonts w:hint="eastAsia" w:ascii="方正仿宋_GB2312" w:hAnsi="方正仿宋_GB2312" w:eastAsia="方正仿宋_GB2312" w:cs="方正仿宋_GB2312"/>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方正仿宋_GB2312" w:hAnsi="方正仿宋_GB2312" w:eastAsia="方正仿宋_GB2312" w:cs="方正仿宋_GB2312"/>
          <w:b/>
          <w:bCs/>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方正仿宋_GB2312" w:hAnsi="方正仿宋_GB2312" w:eastAsia="方正仿宋_GB2312" w:cs="方正仿宋_GB2312"/>
          <w:b/>
          <w:bCs/>
          <w:sz w:val="24"/>
          <w:szCs w:val="24"/>
          <w:highlight w:val="none"/>
          <w:lang w:eastAsia="zh-CN"/>
        </w:rPr>
        <w:t>。</w:t>
      </w:r>
    </w:p>
    <w:p w14:paraId="02799CA6">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方正仿宋_GB2312" w:hAnsi="方正仿宋_GB2312" w:eastAsia="方正仿宋_GB2312" w:cs="方正仿宋_GB2312"/>
          <w:kern w:val="0"/>
          <w:sz w:val="24"/>
          <w:szCs w:val="24"/>
          <w:highlight w:val="none"/>
          <w:lang w:val="en-US" w:eastAsia="zh-CN" w:bidi="ar-SA"/>
        </w:rPr>
      </w:pPr>
      <w:r>
        <w:rPr>
          <w:rFonts w:hint="eastAsia" w:ascii="方正仿宋_GB2312" w:hAnsi="方正仿宋_GB2312" w:eastAsia="方正仿宋_GB2312" w:cs="方正仿宋_GB2312"/>
          <w:kern w:val="0"/>
          <w:sz w:val="24"/>
          <w:szCs w:val="24"/>
          <w:highlight w:val="no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3" w:name="_Toc29084"/>
      <w:r>
        <w:rPr>
          <w:rFonts w:hint="eastAsia" w:ascii="方正仿宋_GB2312" w:hAnsi="方正仿宋_GB2312" w:eastAsia="方正仿宋_GB2312" w:cs="方正仿宋_GB2312"/>
          <w:b/>
          <w:bCs/>
          <w:sz w:val="24"/>
          <w:szCs w:val="24"/>
          <w:highlight w:val="none"/>
        </w:rPr>
        <w:t>三、获取招标文件</w:t>
      </w:r>
      <w:bookmarkEnd w:id="3"/>
    </w:p>
    <w:p w14:paraId="0E2BF5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28</w:t>
      </w:r>
      <w:r>
        <w:rPr>
          <w:rFonts w:hint="eastAsia" w:ascii="方正仿宋_GB2312" w:hAnsi="方正仿宋_GB2312" w:eastAsia="方正仿宋_GB2312" w:cs="方正仿宋_GB2312"/>
          <w:sz w:val="24"/>
          <w:szCs w:val="24"/>
          <w:highlight w:val="none"/>
        </w:rPr>
        <w:t>日至202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5</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08</w:t>
      </w:r>
      <w:r>
        <w:rPr>
          <w:rFonts w:hint="eastAsia" w:ascii="方正仿宋_GB2312" w:hAnsi="方正仿宋_GB2312" w:eastAsia="方正仿宋_GB2312" w:cs="方正仿宋_GB2312"/>
          <w:sz w:val="24"/>
          <w:szCs w:val="24"/>
          <w:highlight w:val="none"/>
        </w:rPr>
        <w:t>日，每天上午0</w:t>
      </w:r>
      <w:r>
        <w:rPr>
          <w:rFonts w:hint="eastAsia" w:ascii="方正仿宋_GB2312" w:hAnsi="方正仿宋_GB2312" w:eastAsia="方正仿宋_GB2312" w:cs="方正仿宋_GB2312"/>
          <w:sz w:val="24"/>
          <w:szCs w:val="24"/>
          <w:highlight w:val="none"/>
          <w:lang w:val="en-US" w:eastAsia="zh-CN"/>
        </w:rPr>
        <w:t>0</w:t>
      </w:r>
      <w:r>
        <w:rPr>
          <w:rFonts w:hint="eastAsia" w:ascii="方正仿宋_GB2312" w:hAnsi="方正仿宋_GB2312" w:eastAsia="方正仿宋_GB2312" w:cs="方正仿宋_GB2312"/>
          <w:sz w:val="24"/>
          <w:szCs w:val="24"/>
          <w:highlight w:val="none"/>
        </w:rPr>
        <w:t>:00至1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:00，下午1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:00至</w:t>
      </w:r>
      <w:r>
        <w:rPr>
          <w:rFonts w:hint="eastAsia" w:ascii="方正仿宋_GB2312" w:hAnsi="方正仿宋_GB2312" w:eastAsia="方正仿宋_GB2312" w:cs="方正仿宋_GB2312"/>
          <w:sz w:val="24"/>
          <w:szCs w:val="24"/>
          <w:highlight w:val="none"/>
          <w:lang w:val="en-US" w:eastAsia="zh-CN"/>
        </w:rPr>
        <w:t>23</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59</w:t>
      </w:r>
      <w:r>
        <w:rPr>
          <w:rFonts w:hint="eastAsia" w:ascii="方正仿宋_GB2312" w:hAnsi="方正仿宋_GB2312" w:eastAsia="方正仿宋_GB2312" w:cs="方正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方正仿宋_GB2312" w:hAnsi="方正仿宋_GB2312" w:eastAsia="方正仿宋_GB2312" w:cs="方正仿宋_GB2312"/>
          <w:sz w:val="24"/>
          <w:szCs w:val="24"/>
          <w:highlight w:val="none"/>
          <w:lang w:eastAsia="zh-CN"/>
        </w:rPr>
        <w:t>采购文件</w:t>
      </w:r>
      <w:r>
        <w:rPr>
          <w:rFonts w:hint="eastAsia" w:ascii="方正仿宋_GB2312" w:hAnsi="方正仿宋_GB2312" w:eastAsia="方正仿宋_GB2312" w:cs="方正仿宋_GB2312"/>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4" w:name="_Toc24224"/>
      <w:r>
        <w:rPr>
          <w:rFonts w:hint="eastAsia" w:ascii="方正仿宋_GB2312" w:hAnsi="方正仿宋_GB2312" w:eastAsia="方正仿宋_GB2312" w:cs="方正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提交投标文件截止时间：202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5</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21</w:t>
      </w:r>
      <w:r>
        <w:rPr>
          <w:rFonts w:hint="eastAsia" w:ascii="方正仿宋_GB2312" w:hAnsi="方正仿宋_GB2312" w:eastAsia="方正仿宋_GB2312" w:cs="方正仿宋_GB2312"/>
          <w:sz w:val="24"/>
          <w:szCs w:val="24"/>
          <w:highlight w:val="none"/>
        </w:rPr>
        <w:t>日 11:00（北京时间）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5</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21</w:t>
      </w:r>
      <w:r>
        <w:rPr>
          <w:rFonts w:hint="eastAsia" w:ascii="方正仿宋_GB2312" w:hAnsi="方正仿宋_GB2312" w:eastAsia="方正仿宋_GB2312" w:cs="方正仿宋_GB2312"/>
          <w:sz w:val="24"/>
          <w:szCs w:val="24"/>
          <w:highlight w:val="none"/>
        </w:rPr>
        <w:t>日 11:00（北京时间）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5" w:name="_Toc17115"/>
      <w:r>
        <w:rPr>
          <w:rFonts w:hint="eastAsia" w:ascii="方正仿宋_GB2312" w:hAnsi="方正仿宋_GB2312" w:eastAsia="方正仿宋_GB2312" w:cs="方正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084"/>
      <w:r>
        <w:rPr>
          <w:rFonts w:hint="eastAsia" w:ascii="方正仿宋_GB2312" w:hAnsi="方正仿宋_GB2312" w:eastAsia="方正仿宋_GB2312" w:cs="方正仿宋_GB2312"/>
          <w:b/>
          <w:bCs/>
          <w:sz w:val="24"/>
          <w:szCs w:val="24"/>
          <w:highlight w:val="none"/>
        </w:rPr>
        <w:t>六、其他补充事宜</w:t>
      </w:r>
      <w:bookmarkEnd w:id="6"/>
    </w:p>
    <w:p w14:paraId="0A1A7B6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color w:val="auto"/>
          <w:sz w:val="24"/>
          <w:szCs w:val="24"/>
          <w:highlight w:val="none"/>
          <w:lang w:val="en-US" w:eastAsia="zh-CN"/>
        </w:rPr>
      </w:pPr>
      <w:bookmarkStart w:id="7" w:name="_Toc21999"/>
      <w:r>
        <w:rPr>
          <w:rFonts w:hint="eastAsia" w:ascii="方正仿宋_GB2312" w:hAnsi="方正仿宋_GB2312" w:eastAsia="方正仿宋_GB2312" w:cs="方正仿宋_GB2312"/>
          <w:color w:val="auto"/>
          <w:sz w:val="24"/>
          <w:szCs w:val="24"/>
          <w:highlight w:val="none"/>
          <w:lang w:val="en-US" w:eastAsia="zh-CN"/>
        </w:rPr>
        <w:t>1、</w:t>
      </w:r>
      <w:r>
        <w:rPr>
          <w:rFonts w:hint="eastAsia" w:ascii="方正仿宋_GB2312" w:hAnsi="方正仿宋_GB2312" w:eastAsia="方正仿宋_GB2312" w:cs="方正仿宋_GB2312"/>
          <w:b/>
          <w:bCs/>
          <w:sz w:val="24"/>
          <w:highlight w:val="none"/>
          <w:lang w:val="en-US" w:eastAsia="zh-CN"/>
        </w:rPr>
        <w:t>本项目为单价采购，最终以实际发生量进行结算</w:t>
      </w:r>
      <w:r>
        <w:rPr>
          <w:rFonts w:hint="eastAsia" w:ascii="方正仿宋_GB2312" w:hAnsi="方正仿宋_GB2312" w:eastAsia="方正仿宋_GB2312" w:cs="方正仿宋_GB2312"/>
          <w:sz w:val="24"/>
          <w:highlight w:val="none"/>
        </w:rPr>
        <w:t>。</w:t>
      </w:r>
    </w:p>
    <w:p w14:paraId="3B37EFF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2、本项目试剂耗材报价以不高于最小单位限价为准，并且不得高于本地三级甲等医院的最低价（提供承诺函），投标人所报价格为含税、配送费用等的全包价。</w:t>
      </w:r>
    </w:p>
    <w:p w14:paraId="406B1E1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3</w:t>
      </w:r>
      <w:r>
        <w:rPr>
          <w:rFonts w:hint="eastAsia" w:ascii="方正仿宋_GB2312" w:hAnsi="方正仿宋_GB2312" w:eastAsia="方正仿宋_GB2312" w:cs="方正仿宋_GB2312"/>
          <w:color w:val="auto"/>
          <w:sz w:val="24"/>
          <w:szCs w:val="24"/>
          <w:highlight w:val="none"/>
        </w:rPr>
        <w:t>、关于本项目所有公告、公示在新疆政府采购网发布。</w:t>
      </w:r>
    </w:p>
    <w:p w14:paraId="1636989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4</w:t>
      </w:r>
      <w:r>
        <w:rPr>
          <w:rFonts w:hint="eastAsia" w:ascii="方正仿宋_GB2312" w:hAnsi="方正仿宋_GB2312" w:eastAsia="方正仿宋_GB2312" w:cs="方正仿宋_GB2312"/>
          <w:color w:val="auto"/>
          <w:sz w:val="24"/>
          <w:szCs w:val="24"/>
          <w:highlight w:val="none"/>
        </w:rPr>
        <w:t>、请投标单位随时关注本项目的澄清、答疑、变更事项。</w:t>
      </w:r>
    </w:p>
    <w:p w14:paraId="476777F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5</w:t>
      </w:r>
      <w:r>
        <w:rPr>
          <w:rFonts w:hint="eastAsia" w:ascii="方正仿宋_GB2312" w:hAnsi="方正仿宋_GB2312" w:eastAsia="方正仿宋_GB2312" w:cs="方正仿宋_GB2312"/>
          <w:color w:val="auto"/>
          <w:sz w:val="24"/>
          <w:szCs w:val="24"/>
          <w:highlight w:val="none"/>
        </w:rPr>
        <w:t>、本项目实行电子招投标，供应商须登录政采云平台申请获取招标文件，并通过政采云电子投标客户端制作响应文件，同时自行承担与投标有关的一切费用。</w:t>
      </w:r>
    </w:p>
    <w:p w14:paraId="2020C7FE">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6</w:t>
      </w:r>
      <w:r>
        <w:rPr>
          <w:rFonts w:hint="eastAsia" w:ascii="方正仿宋_GB2312" w:hAnsi="方正仿宋_GB2312" w:eastAsia="方正仿宋_GB2312" w:cs="方正仿宋_GB2312"/>
          <w:color w:val="auto"/>
          <w:sz w:val="24"/>
          <w:szCs w:val="24"/>
          <w:highlight w:val="none"/>
        </w:rPr>
        <w:t>、各供应商应在开标前确保成为</w:t>
      </w:r>
      <w:r>
        <w:rPr>
          <w:rFonts w:hint="eastAsia" w:ascii="方正仿宋_GB2312" w:hAnsi="方正仿宋_GB2312" w:eastAsia="方正仿宋_GB2312" w:cs="方正仿宋_GB2312"/>
          <w:b/>
          <w:bCs/>
          <w:color w:val="auto"/>
          <w:sz w:val="24"/>
          <w:szCs w:val="24"/>
          <w:highlight w:val="none"/>
        </w:rPr>
        <w:t>新疆政府采购网</w:t>
      </w:r>
      <w:r>
        <w:rPr>
          <w:rFonts w:hint="eastAsia" w:ascii="方正仿宋_GB2312" w:hAnsi="方正仿宋_GB2312" w:eastAsia="方正仿宋_GB2312" w:cs="方正仿宋_GB2312"/>
          <w:color w:val="auto"/>
          <w:sz w:val="24"/>
          <w:szCs w:val="24"/>
          <w:highlight w:val="none"/>
        </w:rPr>
        <w:t>正式注册入库供应商，并完成CA数字证书申领。因未注册入库、未办理CA数字证书等原因造成无法投标或投标失败等后果由供应商自行承担。</w:t>
      </w:r>
    </w:p>
    <w:p w14:paraId="22D93F2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7</w:t>
      </w:r>
      <w:r>
        <w:rPr>
          <w:rFonts w:hint="eastAsia" w:ascii="方正仿宋_GB2312" w:hAnsi="方正仿宋_GB2312" w:eastAsia="方正仿宋_GB2312" w:cs="方正仿宋_GB2312"/>
          <w:color w:val="auto"/>
          <w:sz w:val="24"/>
          <w:szCs w:val="24"/>
          <w:highlight w:val="none"/>
        </w:rPr>
        <w:t>、有意向参与电子开评标的供应商，可访问新疆数字证书认证中心官方网站（https://www.xjca.com.cn/）或下载“新疆政务通”APP自行进行申领。如需咨询，请联系新疆CA服务热线0991-2819290。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73F819A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sz w:val="24"/>
          <w:szCs w:val="24"/>
          <w:highlight w:val="none"/>
        </w:rPr>
        <w:t>新疆医科大学第六附属医院</w:t>
      </w:r>
    </w:p>
    <w:p w14:paraId="64B749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sz w:val="24"/>
          <w:szCs w:val="24"/>
          <w:highlight w:val="none"/>
        </w:rPr>
        <w:t>乌鲁木齐市天山区五星南路39号</w:t>
      </w:r>
    </w:p>
    <w:p w14:paraId="402BAC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r>
        <w:rPr>
          <w:rFonts w:hint="eastAsia" w:ascii="仿宋" w:hAnsi="仿宋" w:eastAsia="仿宋" w:cs="仿宋"/>
          <w:sz w:val="24"/>
          <w:szCs w:val="24"/>
          <w:highlight w:val="none"/>
        </w:rPr>
        <w:t>0991-2630237</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1FDD1B1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项目联系人：李梦媛、马莉、李航、杜萍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范艳娥</w:t>
      </w:r>
    </w:p>
    <w:p w14:paraId="2D09588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239933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6CB70F45">
      <w:pPr>
        <w:pStyle w:val="3"/>
        <w:numPr>
          <w:ilvl w:val="0"/>
          <w:numId w:val="1"/>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5DEA86D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采购人：新疆医科大学第六附属医院</w:t>
            </w:r>
          </w:p>
          <w:p w14:paraId="7D84A16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地  址：乌鲁木齐市天山区五星南路39号</w:t>
            </w:r>
          </w:p>
          <w:p w14:paraId="2ABAFAD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sz w:val="21"/>
                <w:szCs w:val="21"/>
                <w:highlight w:val="none"/>
                <w:vertAlign w:val="baseline"/>
                <w:lang w:val="en-US"/>
              </w:rPr>
            </w:pPr>
            <w:r>
              <w:rPr>
                <w:rFonts w:hint="eastAsia" w:ascii="方正仿宋_GB2312" w:hAnsi="方正仿宋_GB2312" w:eastAsia="方正仿宋_GB2312" w:cs="方正仿宋_GB2312"/>
                <w:sz w:val="21"/>
                <w:szCs w:val="21"/>
                <w:highlight w:val="none"/>
                <w:vertAlign w:val="baseline"/>
                <w:lang w:val="en-US" w:eastAsia="zh-CN"/>
              </w:rPr>
              <w:t>电  话：王老师 0991-2630237</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业务联系人：</w:t>
            </w:r>
            <w:r>
              <w:rPr>
                <w:rFonts w:hint="eastAsia" w:ascii="方正仿宋_GB2312" w:hAnsi="方正仿宋_GB2312" w:eastAsia="方正仿宋_GB2312" w:cs="方正仿宋_GB2312"/>
                <w:sz w:val="21"/>
                <w:szCs w:val="21"/>
                <w:highlight w:val="none"/>
                <w:vertAlign w:val="baseline"/>
                <w:lang w:val="en-US" w:eastAsia="zh-CN"/>
              </w:rPr>
              <w:t>李梦媛、</w:t>
            </w:r>
            <w:r>
              <w:rPr>
                <w:rFonts w:hint="eastAsia" w:ascii="方正仿宋_GB2312" w:hAnsi="方正仿宋_GB2312" w:eastAsia="方正仿宋_GB2312" w:cs="方正仿宋_GB2312"/>
                <w:sz w:val="21"/>
                <w:szCs w:val="21"/>
                <w:highlight w:val="none"/>
                <w:vertAlign w:val="baseline"/>
              </w:rPr>
              <w:t xml:space="preserve">马莉      </w:t>
            </w:r>
            <w:r>
              <w:rPr>
                <w:rFonts w:hint="eastAsia" w:ascii="方正仿宋_GB2312" w:hAnsi="方正仿宋_GB2312" w:eastAsia="方正仿宋_GB2312" w:cs="方正仿宋_GB2312"/>
                <w:sz w:val="21"/>
                <w:szCs w:val="21"/>
                <w:highlight w:val="none"/>
                <w:vertAlign w:val="baseline"/>
                <w:lang w:val="en-US" w:eastAsia="zh-CN"/>
              </w:rPr>
              <w:t xml:space="preserve">  </w:t>
            </w:r>
            <w:r>
              <w:rPr>
                <w:rFonts w:hint="eastAsia" w:ascii="方正仿宋_GB2312" w:hAnsi="方正仿宋_GB2312" w:eastAsia="方正仿宋_GB2312" w:cs="方正仿宋_GB2312"/>
                <w:sz w:val="21"/>
                <w:szCs w:val="21"/>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电子邮箱：</w:t>
            </w:r>
            <w:r>
              <w:rPr>
                <w:rFonts w:hint="eastAsia" w:ascii="方正仿宋_GB2312" w:hAnsi="方正仿宋_GB2312" w:eastAsia="方正仿宋_GB2312" w:cs="方正仿宋_GB2312"/>
                <w:sz w:val="21"/>
                <w:szCs w:val="21"/>
                <w:highlight w:val="none"/>
                <w:vertAlign w:val="baseline"/>
                <w:lang w:val="en-US" w:eastAsia="zh-CN"/>
              </w:rPr>
              <w:t>53534373</w:t>
            </w:r>
            <w:r>
              <w:rPr>
                <w:rFonts w:hint="eastAsia" w:ascii="方正仿宋_GB2312" w:hAnsi="方正仿宋_GB2312" w:eastAsia="方正仿宋_GB2312" w:cs="方正仿宋_GB2312"/>
                <w:sz w:val="21"/>
                <w:szCs w:val="21"/>
                <w:highlight w:val="none"/>
                <w:vertAlign w:val="baseline"/>
              </w:rPr>
              <w:t>@qq.com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1.3.3</w:t>
            </w:r>
          </w:p>
        </w:tc>
        <w:tc>
          <w:tcPr>
            <w:tcW w:w="6652" w:type="dxa"/>
            <w:tcBorders>
              <w:tl2br w:val="nil"/>
              <w:tr2bl w:val="nil"/>
            </w:tcBorders>
            <w:vAlign w:val="center"/>
          </w:tcPr>
          <w:p w14:paraId="1DE587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合格投标人的其他资格要求：</w:t>
            </w:r>
          </w:p>
          <w:p w14:paraId="29D5C0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202EBF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184705F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w:t>
            </w:r>
          </w:p>
        </w:tc>
        <w:tc>
          <w:tcPr>
            <w:tcW w:w="6652" w:type="dxa"/>
            <w:tcBorders>
              <w:tl2br w:val="nil"/>
              <w:tr2bl w:val="nil"/>
            </w:tcBorders>
            <w:vAlign w:val="center"/>
          </w:tcPr>
          <w:p w14:paraId="06FB6DFD">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b/>
                <w:bCs/>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是否允许采购进口产品：</w:t>
            </w:r>
          </w:p>
          <w:p w14:paraId="626CD153">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☑不允许采购进口产品</w:t>
            </w:r>
          </w:p>
          <w:p w14:paraId="7231A6BB">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□允许采购进口产品</w:t>
            </w:r>
          </w:p>
          <w:p w14:paraId="14CAE1EC">
            <w:pPr>
              <w:pStyle w:val="17"/>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201EF803">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kern w:val="2"/>
                <w:sz w:val="21"/>
                <w:szCs w:val="21"/>
                <w:highlight w:val="none"/>
                <w:vertAlign w:val="baseline"/>
                <w:lang w:val="en-US" w:eastAsia="zh-CN" w:bidi="ar-SA"/>
              </w:rPr>
            </w:pPr>
            <w:r>
              <w:rPr>
                <w:rFonts w:hint="eastAsia" w:ascii="方正仿宋_GB2312" w:hAnsi="方正仿宋_GB2312" w:eastAsia="方正仿宋_GB2312" w:cs="方正仿宋_GB2312"/>
                <w:b/>
                <w:bCs/>
                <w:kern w:val="2"/>
                <w:sz w:val="21"/>
                <w:szCs w:val="21"/>
                <w:highlight w:val="none"/>
                <w:vertAlign w:val="baseline"/>
                <w:lang w:val="en-US" w:eastAsia="zh-CN" w:bidi="ar-SA"/>
              </w:rPr>
              <w:t>本项目采购标的对应的中小企业划分标准所属行业</w:t>
            </w:r>
            <w:r>
              <w:rPr>
                <w:rFonts w:hint="eastAsia" w:ascii="方正仿宋_GB2312" w:hAnsi="方正仿宋_GB2312" w:eastAsia="方正仿宋_GB2312" w:cs="方正仿宋_GB2312"/>
                <w:kern w:val="2"/>
                <w:sz w:val="21"/>
                <w:szCs w:val="21"/>
                <w:highlight w:val="none"/>
                <w:vertAlign w:val="baseline"/>
                <w:lang w:val="en-US" w:eastAsia="zh-CN" w:bidi="ar-SA"/>
              </w:rPr>
              <w:t>：</w:t>
            </w:r>
          </w:p>
          <w:p w14:paraId="424B72D9">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kern w:val="2"/>
                <w:sz w:val="21"/>
                <w:szCs w:val="21"/>
                <w:highlight w:val="none"/>
                <w:vertAlign w:val="baseline"/>
                <w:lang w:val="en-US" w:eastAsia="zh-CN" w:bidi="ar-SA"/>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kern w:val="2"/>
                <w:sz w:val="21"/>
                <w:szCs w:val="21"/>
                <w:highlight w:val="none"/>
                <w:vertAlign w:val="baseline"/>
                <w:lang w:val="en-US" w:eastAsia="zh-CN" w:bidi="ar-SA"/>
              </w:rPr>
              <w:t>采购标的</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（具体内容详见采购需求，投标人须按采购标的名称逐一填写中小企业声明函）。   </w:t>
            </w:r>
            <w:r>
              <w:rPr>
                <w:rFonts w:hint="eastAsia" w:ascii="方正仿宋_GB2312" w:hAnsi="方正仿宋_GB2312" w:eastAsia="方正仿宋_GB2312" w:cs="方正仿宋_GB2312"/>
                <w:b/>
                <w:bCs/>
                <w:kern w:val="2"/>
                <w:sz w:val="21"/>
                <w:szCs w:val="21"/>
                <w:highlight w:val="none"/>
                <w:vertAlign w:val="baseline"/>
                <w:lang w:val="en-US" w:eastAsia="zh-CN" w:bidi="ar-SA"/>
              </w:rPr>
              <w:t>按照</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工业  </w:t>
            </w:r>
            <w:r>
              <w:rPr>
                <w:rFonts w:hint="eastAsia" w:ascii="方正仿宋_GB2312" w:hAnsi="方正仿宋_GB2312" w:eastAsia="方正仿宋_GB2312" w:cs="方正仿宋_GB2312"/>
                <w:b/>
                <w:bCs/>
                <w:kern w:val="2"/>
                <w:sz w:val="21"/>
                <w:szCs w:val="21"/>
                <w:highlight w:val="none"/>
                <w:vertAlign w:val="baseline"/>
                <w:lang w:val="en-US" w:eastAsia="zh-CN" w:bidi="ar-SA"/>
              </w:rPr>
              <w:t>行业认定企业类型标准</w:t>
            </w:r>
            <w:r>
              <w:rPr>
                <w:rFonts w:hint="eastAsia" w:ascii="方正仿宋_GB2312" w:hAnsi="方正仿宋_GB2312" w:eastAsia="方正仿宋_GB2312" w:cs="方正仿宋_GB2312"/>
                <w:kern w:val="2"/>
                <w:sz w:val="21"/>
                <w:szCs w:val="21"/>
                <w:highlight w:val="none"/>
                <w:vertAlign w:val="baseline"/>
                <w:lang w:val="en-US" w:eastAsia="zh-CN" w:bidi="ar-SA"/>
              </w:rPr>
              <w:t>。</w:t>
            </w: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13ED1A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本项目面向中小企业采购预留份额、措施及比例：</w:t>
            </w:r>
          </w:p>
          <w:p w14:paraId="1E7D2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□本项目专门面向</w:t>
            </w:r>
            <w:r>
              <w:rPr>
                <w:rFonts w:hint="eastAsia" w:ascii="方正仿宋_GB2312" w:hAnsi="方正仿宋_GB2312" w:eastAsia="方正仿宋_GB2312" w:cs="方正仿宋_GB2312"/>
                <w:b/>
                <w:bCs/>
                <w:sz w:val="21"/>
                <w:szCs w:val="21"/>
                <w:highlight w:val="none"/>
                <w:vertAlign w:val="baseline"/>
                <w:lang w:val="en-US" w:eastAsia="zh-CN"/>
              </w:rPr>
              <w:t>□中小□小微企业</w:t>
            </w:r>
            <w:r>
              <w:rPr>
                <w:rFonts w:hint="eastAsia" w:ascii="方正仿宋_GB2312" w:hAnsi="方正仿宋_GB2312" w:eastAsia="方正仿宋_GB2312" w:cs="方正仿宋_GB2312"/>
                <w:sz w:val="21"/>
                <w:szCs w:val="21"/>
                <w:highlight w:val="none"/>
                <w:vertAlign w:val="baseline"/>
                <w:lang w:val="en-US" w:eastAsia="zh-CN"/>
              </w:rPr>
              <w:t xml:space="preserve"> 采购。即: 提供的货物全部由符合政策要求的□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企业制造、服务全部由符合政策要求的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5ADF39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2D961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33A0B2E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本项目是否适用本国产品价格评审优惠政策：</w:t>
            </w:r>
          </w:p>
          <w:p w14:paraId="707E6D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☑本项目适用支持本国产品标准</w:t>
            </w:r>
          </w:p>
          <w:p w14:paraId="2E2EE2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□本项目不适用</w:t>
            </w:r>
          </w:p>
          <w:p w14:paraId="73B746D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1.12</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是否允许联合体投标：否</w:t>
            </w:r>
          </w:p>
          <w:p w14:paraId="2E83D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联合体的其他资格要求：无</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w:t>
            </w:r>
          </w:p>
        </w:tc>
        <w:tc>
          <w:tcPr>
            <w:tcW w:w="6652" w:type="dxa"/>
            <w:tcBorders>
              <w:tl2br w:val="nil"/>
              <w:tr2bl w:val="nil"/>
            </w:tcBorders>
            <w:vAlign w:val="center"/>
          </w:tcPr>
          <w:p w14:paraId="10BEB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项目预算金额：16万元</w:t>
            </w:r>
          </w:p>
          <w:p w14:paraId="596A7C0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注：其中标项一预算金额：5.00万元；</w:t>
            </w:r>
          </w:p>
          <w:p w14:paraId="5CAAB60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标项二预算金额：10.00万元；</w:t>
            </w:r>
          </w:p>
          <w:p w14:paraId="0525D1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标项三预算金额：1.00万元；</w:t>
            </w:r>
          </w:p>
          <w:p w14:paraId="64DE600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最高限价（单价合计）：2209.70元</w:t>
            </w:r>
          </w:p>
          <w:p w14:paraId="6222B11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其中：标项一最高限价（单价合计）：2138.70元；</w:t>
            </w:r>
          </w:p>
          <w:p w14:paraId="1847C182">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标项二最高限价：6.00元；</w:t>
            </w:r>
          </w:p>
          <w:p w14:paraId="4D7C628B">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标项三最高限价：65.00元；</w:t>
            </w:r>
          </w:p>
          <w:p w14:paraId="56A5A8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最高限制单价详见本项目标项一、标项二、标项三采购需求，超过任意一项品目最高限制单价/最高限价的，将按无效投标处理。</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5.4</w:t>
            </w:r>
          </w:p>
        </w:tc>
        <w:tc>
          <w:tcPr>
            <w:tcW w:w="6652" w:type="dxa"/>
            <w:tcBorders>
              <w:tl2br w:val="nil"/>
              <w:tr2bl w:val="nil"/>
            </w:tcBorders>
            <w:vAlign w:val="center"/>
          </w:tcPr>
          <w:p w14:paraId="2AEB5C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是否组织现场考察或者召开答疑会：否 </w:t>
            </w:r>
          </w:p>
          <w:p w14:paraId="22A449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组织现场考察或者召开答疑会相关要求：/</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6.1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是否需要提供样品</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lang w:val="en-US" w:eastAsia="zh-CN"/>
              </w:rPr>
              <w:t>演示</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rPr>
              <w:t xml:space="preserve">：否 </w:t>
            </w:r>
          </w:p>
          <w:p w14:paraId="5F0ACC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提供样品（演示）要求包括：</w:t>
            </w:r>
            <w:r>
              <w:rPr>
                <w:rFonts w:hint="eastAsia" w:ascii="方正仿宋_GB2312" w:hAnsi="方正仿宋_GB2312" w:eastAsia="方正仿宋_GB2312" w:cs="方正仿宋_GB2312"/>
                <w:sz w:val="21"/>
                <w:szCs w:val="21"/>
                <w:highlight w:val="none"/>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8.1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如投标人对多个包进行投标，可以中标</w:t>
            </w:r>
            <w:r>
              <w:rPr>
                <w:rFonts w:hint="eastAsia" w:ascii="方正仿宋_GB2312" w:hAnsi="方正仿宋_GB2312" w:eastAsia="方正仿宋_GB2312" w:cs="方正仿宋_GB2312"/>
                <w:b/>
                <w:bCs/>
                <w:sz w:val="21"/>
                <w:szCs w:val="21"/>
                <w:highlight w:val="none"/>
                <w:u w:val="single"/>
                <w:vertAlign w:val="baseline"/>
              </w:rPr>
              <w:t>多</w:t>
            </w:r>
            <w:r>
              <w:rPr>
                <w:rFonts w:hint="eastAsia" w:ascii="方正仿宋_GB2312" w:hAnsi="方正仿宋_GB2312" w:eastAsia="方正仿宋_GB2312" w:cs="方正仿宋_GB2312"/>
                <w:sz w:val="21"/>
                <w:szCs w:val="21"/>
                <w:highlight w:val="none"/>
                <w:vertAlign w:val="baseline"/>
              </w:rPr>
              <w:t>包（本项目不适用）</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1DC09B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标项一：</w:t>
            </w:r>
            <w:r>
              <w:rPr>
                <w:rFonts w:hint="eastAsia" w:ascii="方正仿宋_GB2312" w:hAnsi="方正仿宋_GB2312" w:eastAsia="方正仿宋_GB2312" w:cs="方正仿宋_GB2312"/>
                <w:b/>
                <w:bCs/>
                <w:sz w:val="21"/>
                <w:szCs w:val="21"/>
                <w:highlight w:val="none"/>
                <w:vertAlign w:val="baseline"/>
              </w:rPr>
              <w:t>人民币</w:t>
            </w:r>
            <w:r>
              <w:rPr>
                <w:rFonts w:hint="eastAsia" w:ascii="方正仿宋_GB2312" w:hAnsi="方正仿宋_GB2312" w:eastAsia="方正仿宋_GB2312" w:cs="方正仿宋_GB2312"/>
                <w:b/>
                <w:bCs/>
                <w:sz w:val="21"/>
                <w:szCs w:val="21"/>
                <w:highlight w:val="none"/>
                <w:u w:val="single"/>
                <w:vertAlign w:val="baseline"/>
                <w:lang w:val="en-US" w:eastAsia="zh-CN"/>
              </w:rPr>
              <w:t>1000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582E1F6A">
            <w:pPr>
              <w:pStyle w:val="2"/>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标项二：</w:t>
            </w:r>
            <w:r>
              <w:rPr>
                <w:rFonts w:hint="eastAsia" w:ascii="方正仿宋_GB2312" w:hAnsi="方正仿宋_GB2312" w:eastAsia="方正仿宋_GB2312" w:cs="方正仿宋_GB2312"/>
                <w:b/>
                <w:bCs/>
                <w:sz w:val="21"/>
                <w:szCs w:val="21"/>
                <w:highlight w:val="none"/>
                <w:vertAlign w:val="baseline"/>
              </w:rPr>
              <w:t>人民币</w:t>
            </w:r>
            <w:r>
              <w:rPr>
                <w:rFonts w:hint="eastAsia" w:ascii="方正仿宋_GB2312" w:hAnsi="方正仿宋_GB2312" w:eastAsia="方正仿宋_GB2312" w:cs="方正仿宋_GB2312"/>
                <w:b/>
                <w:bCs/>
                <w:sz w:val="21"/>
                <w:szCs w:val="21"/>
                <w:highlight w:val="none"/>
                <w:u w:val="single"/>
                <w:vertAlign w:val="baseline"/>
                <w:lang w:val="en-US" w:eastAsia="zh-CN"/>
              </w:rPr>
              <w:t>2000</w:t>
            </w:r>
            <w:r>
              <w:rPr>
                <w:rFonts w:hint="eastAsia" w:ascii="方正仿宋_GB2312" w:hAnsi="方正仿宋_GB2312" w:eastAsia="方正仿宋_GB2312" w:cs="方正仿宋_GB2312"/>
                <w:b/>
                <w:bCs/>
                <w:sz w:val="21"/>
                <w:szCs w:val="21"/>
                <w:highlight w:val="none"/>
                <w:vertAlign w:val="baseline"/>
              </w:rPr>
              <w:t>元整</w:t>
            </w:r>
          </w:p>
          <w:p w14:paraId="11140685">
            <w:pPr>
              <w:pStyle w:val="2"/>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标项三：</w:t>
            </w:r>
            <w:r>
              <w:rPr>
                <w:rFonts w:hint="eastAsia" w:ascii="方正仿宋_GB2312" w:hAnsi="方正仿宋_GB2312" w:eastAsia="方正仿宋_GB2312" w:cs="方正仿宋_GB2312"/>
                <w:b/>
                <w:bCs/>
                <w:sz w:val="21"/>
                <w:szCs w:val="21"/>
                <w:highlight w:val="none"/>
                <w:vertAlign w:val="baseline"/>
              </w:rPr>
              <w:t>人民币</w:t>
            </w:r>
            <w:r>
              <w:rPr>
                <w:rFonts w:hint="eastAsia" w:ascii="方正仿宋_GB2312" w:hAnsi="方正仿宋_GB2312" w:eastAsia="方正仿宋_GB2312" w:cs="方正仿宋_GB2312"/>
                <w:b/>
                <w:bCs/>
                <w:sz w:val="21"/>
                <w:szCs w:val="21"/>
                <w:highlight w:val="none"/>
                <w:u w:val="single"/>
                <w:vertAlign w:val="baseline"/>
                <w:lang w:val="en-US" w:eastAsia="zh-CN"/>
              </w:rPr>
              <w:t>200</w:t>
            </w:r>
            <w:r>
              <w:rPr>
                <w:rFonts w:hint="eastAsia" w:ascii="方正仿宋_GB2312" w:hAnsi="方正仿宋_GB2312" w:eastAsia="方正仿宋_GB2312" w:cs="方正仿宋_GB2312"/>
                <w:b/>
                <w:bCs/>
                <w:sz w:val="21"/>
                <w:szCs w:val="21"/>
                <w:highlight w:val="none"/>
                <w:vertAlign w:val="baseline"/>
              </w:rPr>
              <w:t>元整</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A9CFA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投标有效期：从提交投标（响应）文件的截止之日起90日历天</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投标截止时间：2026年05月21日 11:00（北京时间）</w:t>
            </w:r>
          </w:p>
          <w:p w14:paraId="57A7E6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投标人需在投标截止时间前，将加密投标文件上传至</w:t>
            </w:r>
            <w:r>
              <w:rPr>
                <w:rFonts w:hint="eastAsia" w:ascii="方正仿宋_GB2312" w:hAnsi="方正仿宋_GB2312" w:eastAsia="方正仿宋_GB2312" w:cs="方正仿宋_GB2312"/>
                <w:b w:val="0"/>
                <w:bCs w:val="0"/>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val="0"/>
                <w:bCs w:val="0"/>
                <w:sz w:val="21"/>
                <w:szCs w:val="21"/>
                <w:highlight w:val="none"/>
                <w:vertAlign w:val="baseline"/>
                <w:lang w:val="en-US" w:eastAsia="zh-CN"/>
              </w:rPr>
              <w:t>项目采购系统中，逾期上传或错误方式投递送达将导致</w:t>
            </w:r>
            <w:r>
              <w:rPr>
                <w:rFonts w:hint="eastAsia" w:ascii="方正仿宋_GB2312" w:hAnsi="方正仿宋_GB2312" w:eastAsia="方正仿宋_GB2312" w:cs="方正仿宋_GB2312"/>
                <w:b/>
                <w:bCs/>
                <w:sz w:val="21"/>
                <w:szCs w:val="21"/>
                <w:highlight w:val="none"/>
                <w:vertAlign w:val="baseline"/>
                <w:lang w:val="en-US" w:eastAsia="zh-CN"/>
              </w:rPr>
              <w:t>投标无效</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8" w:space="0"/>
            </w:tcBorders>
            <w:vAlign w:val="center"/>
          </w:tcPr>
          <w:p w14:paraId="7A857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19.1</w:t>
            </w:r>
          </w:p>
        </w:tc>
        <w:tc>
          <w:tcPr>
            <w:tcW w:w="6652" w:type="dxa"/>
            <w:tcBorders>
              <w:bottom w:val="single" w:color="auto" w:sz="8" w:space="0"/>
            </w:tcBorders>
            <w:vAlign w:val="center"/>
          </w:tcPr>
          <w:p w14:paraId="340F2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135" w:hRule="atLeast"/>
        </w:trPr>
        <w:tc>
          <w:tcPr>
            <w:tcW w:w="1870" w:type="dxa"/>
            <w:tcBorders>
              <w:top w:val="single" w:color="auto" w:sz="8"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（3）其他要求：</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23.1</w:t>
            </w:r>
          </w:p>
        </w:tc>
        <w:tc>
          <w:tcPr>
            <w:tcW w:w="6652" w:type="dxa"/>
            <w:tcBorders>
              <w:tl2br w:val="nil"/>
              <w:tr2bl w:val="nil"/>
            </w:tcBorders>
            <w:vAlign w:val="center"/>
          </w:tcPr>
          <w:p w14:paraId="6E9EB3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提交履约保证金的时间：/ </w:t>
            </w:r>
          </w:p>
          <w:p w14:paraId="3769EE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履约保证金金额：/ </w:t>
            </w:r>
          </w:p>
          <w:p w14:paraId="7B408A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履约保证金形式：/</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2A8CE3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是否由中标人缴纳招标代理费：是 </w:t>
            </w:r>
          </w:p>
          <w:p w14:paraId="085ABB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方正仿宋_GB2312" w:hAnsi="方正仿宋_GB2312" w:eastAsia="方正仿宋_GB2312" w:cs="方正仿宋_GB2312"/>
                <w:b w:val="0"/>
                <w:bCs w:val="0"/>
                <w:sz w:val="21"/>
                <w:szCs w:val="21"/>
                <w:highlight w:val="none"/>
                <w:u w:val="single"/>
                <w:vertAlign w:val="baseline"/>
                <w:lang w:val="en-US" w:eastAsia="zh-CN"/>
              </w:rPr>
              <w:t>“货物类”</w:t>
            </w:r>
            <w:r>
              <w:rPr>
                <w:rFonts w:hint="eastAsia" w:ascii="方正仿宋_GB2312" w:hAnsi="方正仿宋_GB2312" w:eastAsia="方正仿宋_GB2312" w:cs="方正仿宋_GB2312"/>
                <w:b w:val="0"/>
                <w:bCs w:val="0"/>
                <w:sz w:val="21"/>
                <w:szCs w:val="21"/>
                <w:highlight w:val="none"/>
                <w:vertAlign w:val="baseline"/>
                <w:lang w:val="en-US" w:eastAsia="zh-CN"/>
              </w:rPr>
              <w:t>计费标准 下浮</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50% </w:t>
            </w:r>
            <w:r>
              <w:rPr>
                <w:rFonts w:hint="eastAsia" w:ascii="方正仿宋_GB2312" w:hAnsi="方正仿宋_GB2312" w:eastAsia="方正仿宋_GB2312" w:cs="方正仿宋_GB2312"/>
                <w:b w:val="0"/>
                <w:bCs w:val="0"/>
                <w:sz w:val="21"/>
                <w:szCs w:val="21"/>
                <w:highlight w:val="none"/>
                <w:vertAlign w:val="baseline"/>
                <w:lang w:val="en-US" w:eastAsia="zh-CN"/>
              </w:rPr>
              <w:t xml:space="preserve">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帐    号：651651056018800020157</w:t>
            </w:r>
          </w:p>
          <w:p w14:paraId="283296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行    号：301881000569</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bottom w:val="single" w:color="auto" w:sz="8"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25</w:t>
            </w:r>
          </w:p>
        </w:tc>
        <w:tc>
          <w:tcPr>
            <w:tcW w:w="6652" w:type="dxa"/>
            <w:tcBorders>
              <w:top w:val="single" w:color="auto" w:sz="4" w:space="0"/>
              <w:bottom w:val="single" w:color="auto" w:sz="8"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联系人、联系电话：李梦媛、马莉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w:t>
            </w:r>
          </w:p>
          <w:p w14:paraId="467988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40969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27DF0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标项二、标项三</w:t>
            </w:r>
            <w:r>
              <w:rPr>
                <w:rFonts w:hint="eastAsia" w:ascii="方正仿宋_GB2312" w:hAnsi="方正仿宋_GB2312" w:eastAsia="方正仿宋_GB2312" w:cs="方正仿宋_GB2312"/>
                <w:b w:val="0"/>
                <w:bCs w:val="0"/>
                <w:sz w:val="21"/>
                <w:szCs w:val="21"/>
                <w:highlight w:val="none"/>
                <w:vertAlign w:val="baseline"/>
                <w:lang w:val="en-US" w:eastAsia="zh-CN"/>
              </w:rPr>
              <w:t>为单一产品采购项目。</w:t>
            </w:r>
          </w:p>
          <w:p w14:paraId="39F06F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u w:val="singl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为非单一产品采购项目，核心产品为：</w:t>
            </w:r>
            <w:r>
              <w:rPr>
                <w:rFonts w:hint="eastAsia" w:ascii="方正仿宋_GB2312" w:hAnsi="方正仿宋_GB2312" w:eastAsia="方正仿宋_GB2312" w:cs="方正仿宋_GB2312"/>
                <w:b/>
                <w:bCs/>
                <w:sz w:val="21"/>
                <w:szCs w:val="21"/>
                <w:highlight w:val="none"/>
                <w:u w:val="single"/>
                <w:vertAlign w:val="baseline"/>
                <w:lang w:val="en-US" w:eastAsia="zh-CN"/>
              </w:rPr>
              <w:t>乙型肝炎病毒核酸测定试剂盒（PCR-荧光探针法）</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63F20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2"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780B26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50BC8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项目属性：货物</w:t>
            </w:r>
          </w:p>
        </w:tc>
      </w:tr>
      <w:tr w14:paraId="217ABE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66"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62E2C6C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适用于本投标人须知的额外增加的变动：</w:t>
            </w:r>
          </w:p>
          <w:p w14:paraId="3CFB602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1、本项目为单价采购，最终以实际发生量进行结算。</w:t>
            </w:r>
          </w:p>
          <w:p w14:paraId="084BCB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2、本项目试剂耗材报价以不高于最小单位限价为准，并且不得高于本地三级甲等医院的最低价（需提供承诺函加盖公章），投标人所报价格为含税、配送费用等的全包价。</w:t>
            </w:r>
          </w:p>
          <w:p w14:paraId="34827C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3、关于本项目所有公告、公示在新疆政府采购网（http://www.ccgp-xinjiang.gov.cn）发布。</w:t>
            </w:r>
          </w:p>
          <w:p w14:paraId="066D65B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4、请投标单位随时关注本项目的澄清、答疑、变更事项。</w:t>
            </w:r>
          </w:p>
          <w:p w14:paraId="1432F2B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5、本项目实行电子招投标，供应商须登录政采云平台申请获取招标（采购）文件，并通过政采云电子投标客户端制作投标（响应）文件，同时自行承担与投标有关的一切费用。</w:t>
            </w:r>
          </w:p>
          <w:p w14:paraId="07D9D1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6、各供应商应在开标前确保成为新疆政府采购网正式注册入库供应商，并完成CA数字证书申领。因未注册入库、未办理CA数字证书等原因造成无法投标或投标失败等后果由供应商自行承担。</w:t>
            </w:r>
          </w:p>
          <w:p w14:paraId="504145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7、有意向参与本项目的供应商，可访问新疆数字证书认证中心官方网站（https://www.xjca.com.cn/）或下载“新疆政务通”APP自行进行申领CA锁。如需咨询，请联系新疆CA服务热线0991-2819290。</w:t>
            </w:r>
          </w:p>
          <w:p w14:paraId="3546AE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210996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r>
              <w:rPr>
                <w:rFonts w:hint="eastAsia" w:ascii="方正仿宋_GB2312" w:hAnsi="方正仿宋_GB2312" w:eastAsia="方正仿宋_GB2312" w:cs="方正仿宋_GB2312"/>
                <w:b/>
                <w:bCs/>
                <w:sz w:val="21"/>
                <w:szCs w:val="21"/>
                <w:highlight w:val="none"/>
                <w:vertAlign w:val="baseline"/>
                <w:lang w:val="en-US" w:eastAsia="zh-CN"/>
              </w:rPr>
              <w:t>本项目采用不见面开标，供应商须在投标截止时间前通过CA在政采云平台上传加密的电子投标（响应）文件。</w:t>
            </w:r>
            <w:r>
              <w:rPr>
                <w:rFonts w:hint="eastAsia" w:ascii="方正仿宋_GB2312" w:hAnsi="方正仿宋_GB2312" w:eastAsia="方正仿宋_GB2312" w:cs="方正仿宋_GB2312"/>
                <w:b w:val="0"/>
                <w:bCs w:val="0"/>
                <w:sz w:val="21"/>
                <w:szCs w:val="21"/>
                <w:highlight w:val="none"/>
                <w:vertAlign w:val="baseline"/>
                <w:lang w:val="en-US"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050B9F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10、供应商在开标前须提前配置好电脑浏览器（建议使用360浏览器或谷歌浏览器），开标时请使用制作加密电子投标（响应）文件的CA锁进行解密及报价确认。本项目投标（响应）文件解密时间定为30分钟，如供应商因自身原因导致在规定的时间未能成功解密的视为放弃投标（响应）。</w:t>
            </w:r>
          </w:p>
          <w:p w14:paraId="43C490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11、投标人进行远程电子开标的，签到、解密及开标结果确认的操作均在开标过程中适时开启，请投标人务必密切关注开标进程，并应在政采云平台按时完成相应操作，否则产生的后果由投标人自行承担。</w:t>
            </w:r>
          </w:p>
          <w:p w14:paraId="6C4EFF3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12、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21B20F8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13、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AC6EA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 xml:space="preserve">14、投标人须知前附表是对投标人须知正文部分对应条款的补充、细化，投标人阅读时应与正文部分一并阅读，投标人须知前附表与正文部分不一致处，应以投标人须知前附表为准。 </w:t>
            </w:r>
          </w:p>
          <w:p w14:paraId="16869C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15、“☑”符号表示本采购文件选定的内容；“□”符号表示本采购文件未选定的内容；空格中的“/”表示没有具体内容。投标人投标时请按“☑符号”选定的内容和要求参加投标。</w:t>
            </w:r>
          </w:p>
          <w:p w14:paraId="50AC1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16、与合同履行有关条款中注明的“甲方”、“买方”，在招标投标阶段按“采购人”理解；注明的“乙方”、“卖方”，按“投标人”理解。</w:t>
            </w:r>
          </w:p>
          <w:p w14:paraId="38C3C76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17、投标人必须认真阅读采购文件中所有的事项、格式、条款和采购需求等。投标人没有按照采购文件要求提交全部资料，或者投标文件没有对采购文件在各方面都做出实质性响应的可能导致其投标无效或被拒绝。</w:t>
            </w:r>
          </w:p>
        </w:tc>
      </w:tr>
    </w:tbl>
    <w:p w14:paraId="70223A46">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5E8590C5">
      <w:pPr>
        <w:pStyle w:val="3"/>
        <w:numPr>
          <w:ilvl w:val="0"/>
          <w:numId w:val="1"/>
        </w:numPr>
        <w:bidi w:val="0"/>
        <w:jc w:val="center"/>
        <w:rPr>
          <w:rFonts w:hint="eastAsia" w:ascii="方正小标宋简体" w:hAnsi="方正小标宋简体" w:eastAsia="方正小标宋简体" w:cs="方正小标宋简体"/>
          <w:sz w:val="32"/>
          <w:szCs w:val="32"/>
          <w:highlight w:val="none"/>
        </w:rPr>
      </w:pPr>
      <w:bookmarkStart w:id="9" w:name="_Toc27881"/>
      <w:r>
        <w:rPr>
          <w:rFonts w:hint="eastAsia" w:ascii="方正小标宋简体" w:hAnsi="方正小标宋简体" w:eastAsia="方正小标宋简体" w:cs="方正小标宋简体"/>
          <w:sz w:val="32"/>
          <w:szCs w:val="32"/>
          <w:highlight w:val="none"/>
        </w:rPr>
        <w:t>投标人须知</w:t>
      </w:r>
      <w:bookmarkEnd w:id="9"/>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方正仿宋_GB2312" w:hAnsi="方正仿宋_GB2312" w:eastAsia="方正仿宋_GB2312" w:cs="方正仿宋_GB2312"/>
          <w:b/>
          <w:bCs/>
          <w:sz w:val="24"/>
          <w:szCs w:val="24"/>
          <w:highlight w:val="none"/>
        </w:rPr>
      </w:pPr>
      <w:bookmarkStart w:id="10" w:name="_Toc20936"/>
      <w:r>
        <w:rPr>
          <w:rFonts w:hint="eastAsia" w:ascii="方正仿宋_GB2312" w:hAnsi="方正仿宋_GB2312" w:eastAsia="方正仿宋_GB2312" w:cs="方正仿宋_GB2312"/>
          <w:b/>
          <w:bCs/>
          <w:sz w:val="24"/>
          <w:szCs w:val="24"/>
          <w:highlight w:val="none"/>
        </w:rPr>
        <w:t>说 明</w:t>
      </w:r>
      <w:bookmarkEnd w:id="10"/>
    </w:p>
    <w:p w14:paraId="732662D5">
      <w:pPr>
        <w:pStyle w:val="17"/>
        <w:rPr>
          <w:rFonts w:hint="eastAsia" w:ascii="方正仿宋_GB2312" w:hAnsi="方正仿宋_GB2312" w:eastAsia="方正仿宋_GB2312" w:cs="方正仿宋_GB2312"/>
          <w:highlight w:val="none"/>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w:t>
      </w:r>
      <w:r>
        <w:rPr>
          <w:rFonts w:hint="eastAsia" w:ascii="方正仿宋_GB2312" w:hAnsi="方正仿宋_GB2312" w:eastAsia="方正仿宋_GB2312" w:cs="方正仿宋_GB2312"/>
          <w:b w:val="0"/>
          <w:bCs w:val="0"/>
          <w:sz w:val="24"/>
          <w:szCs w:val="24"/>
          <w:highlight w:val="none"/>
          <w:u w:val="single"/>
          <w:lang w:val="en-US" w:eastAsia="zh-CN"/>
        </w:rPr>
        <w:t>见投标须知前附表</w:t>
      </w:r>
      <w:r>
        <w:rPr>
          <w:rFonts w:hint="eastAsia" w:ascii="方正仿宋_GB2312" w:hAnsi="方正仿宋_GB2312" w:eastAsia="方正仿宋_GB2312" w:cs="方正仿宋_GB2312"/>
          <w:b w:val="0"/>
          <w:bCs w:val="0"/>
          <w:sz w:val="24"/>
          <w:szCs w:val="24"/>
          <w:highlight w:val="none"/>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中未写明允许采购进口产品，如投标人所投产品为进口产品，其投标将作为</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，未达到上述比例的投标将被认定为</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41E7CE0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网络安全专用产品（如涉及）</w:t>
      </w:r>
    </w:p>
    <w:p w14:paraId="5AC2293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6AFA42B">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080AE26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见投标须知前附表。</w:t>
      </w:r>
    </w:p>
    <w:p w14:paraId="6B3CDBF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CB2E4A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352776F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54E6B9E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两个以上投标人可以组成一个投标联合体，以一个投标人的身份投标。  </w:t>
      </w:r>
    </w:p>
    <w:p w14:paraId="62AD31D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343F244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采购人根据采购项目对投标人的特殊要求，联合体中至少应当有一方符合相关规定。</w:t>
      </w:r>
    </w:p>
    <w:p w14:paraId="450F4FF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联合体各方应签订共同投标协议，明确约定联合体各方承担的工作和相应的责任，并将共同投标协议连同投标文件一并提交采购人或采购代理机构。</w:t>
      </w:r>
    </w:p>
    <w:p w14:paraId="49A8D6E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635812A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联合体中有同类资质的投标人按照联合体分工承担相同工作的，按照资质等级较低的投标人确定资质等级。</w:t>
      </w:r>
    </w:p>
    <w:p w14:paraId="561FC78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w:t>
      </w:r>
    </w:p>
    <w:p w14:paraId="1BCB03EE">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单位负责人为同一人或者存在直接控股、管理关系的不同投标人，其投标将被认定为</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 xml:space="preserve">。 </w:t>
      </w:r>
    </w:p>
    <w:p w14:paraId="046F635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65E53009">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 资金来源 </w:t>
      </w:r>
    </w:p>
    <w:p w14:paraId="10F3D06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本项目的采购人已获得足以支付本次招标后所签订的合同项下的资金（包括财政性资金和本项目采购中无法与财政性资金分割的非财政性资金）。 </w:t>
      </w:r>
    </w:p>
    <w:p w14:paraId="00CC3C7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项目预算金额和最高限价见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w:t>
      </w:r>
    </w:p>
    <w:p w14:paraId="79D275B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投标人报价超过采购文件规定的预算金额或者最高限价的，其投标将被认定为</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 xml:space="preserve">。 </w:t>
      </w:r>
    </w:p>
    <w:p w14:paraId="7485A7F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投标费用</w:t>
      </w:r>
    </w:p>
    <w:p w14:paraId="354F611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投标人应自行承担所有与准备和参加投标有关的费用，无论投标的结果如何，采购人或采购代理机构在任何情况下均无承担这些费用的义务和责任。</w:t>
      </w:r>
    </w:p>
    <w:p w14:paraId="0A61A53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w:t>
      </w:r>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采购文件中有不一致的，有澄清的部分以最终的澄清更正内容为准；未澄清的，以投标须知前附表为准；</w:t>
      </w:r>
      <w:r>
        <w:rPr>
          <w:rFonts w:hint="eastAsia" w:ascii="方正仿宋_GB2312" w:hAnsi="方正仿宋_GB2312" w:eastAsia="方正仿宋_GB2312" w:cs="方正仿宋_GB2312"/>
          <w:b w:val="0"/>
          <w:bCs w:val="0"/>
          <w:sz w:val="24"/>
          <w:szCs w:val="24"/>
          <w:highlight w:val="none"/>
          <w:u w:val="non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如需提供样品（演示），对样品（演示）相关要求见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1" w:name="_Toc9070"/>
      <w:r>
        <w:rPr>
          <w:rFonts w:hint="eastAsia" w:ascii="方正仿宋_GB2312" w:hAnsi="方正仿宋_GB2312" w:eastAsia="方正仿宋_GB2312" w:cs="方正仿宋_GB2312"/>
          <w:b/>
          <w:bCs/>
          <w:sz w:val="24"/>
          <w:szCs w:val="24"/>
          <w:highlight w:val="none"/>
          <w:lang w:val="en-US" w:eastAsia="zh-CN"/>
        </w:rPr>
        <w:t>投标文件的编制</w:t>
      </w:r>
      <w:bookmarkEnd w:id="11"/>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u w:val="single"/>
          <w:lang w:val="en-US" w:eastAsia="zh-CN"/>
        </w:rPr>
      </w:pPr>
      <w:r>
        <w:rPr>
          <w:rFonts w:hint="eastAsia" w:ascii="方正仿宋_GB2312" w:hAnsi="方正仿宋_GB2312" w:eastAsia="方正仿宋_GB2312" w:cs="方正仿宋_GB2312"/>
          <w:b/>
          <w:bCs/>
          <w:sz w:val="24"/>
          <w:szCs w:val="24"/>
          <w:highlight w:val="none"/>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投标人可对采购文件中一个或几个分包（标项）进行投标（响应），除非在</w:t>
      </w:r>
      <w:r>
        <w:rPr>
          <w:rFonts w:hint="eastAsia" w:ascii="方正仿宋_GB2312" w:hAnsi="方正仿宋_GB2312" w:eastAsia="方正仿宋_GB2312" w:cs="方正仿宋_GB2312"/>
          <w:b w:val="0"/>
          <w:bCs w:val="0"/>
          <w:sz w:val="24"/>
          <w:szCs w:val="24"/>
          <w:highlight w:val="none"/>
          <w:u w:val="single"/>
          <w:lang w:val="en-US" w:eastAsia="zh-CN"/>
        </w:rPr>
        <w:t>投标须知前附表中另有规定</w:t>
      </w:r>
      <w:r>
        <w:rPr>
          <w:rFonts w:hint="eastAsia" w:ascii="方正仿宋_GB2312" w:hAnsi="方正仿宋_GB2312" w:eastAsia="方正仿宋_GB2312" w:cs="方正仿宋_GB2312"/>
          <w:b w:val="0"/>
          <w:bCs w:val="0"/>
          <w:sz w:val="24"/>
          <w:szCs w:val="24"/>
          <w:highlight w:val="none"/>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szCs w:val="24"/>
          <w:highlight w:val="none"/>
          <w:lang w:val="en-US" w:eastAsia="zh-CN"/>
        </w:rPr>
        <w:t>投标被拒绝</w:t>
      </w:r>
      <w:r>
        <w:rPr>
          <w:rFonts w:hint="eastAsia" w:ascii="方正仿宋_GB2312" w:hAnsi="方正仿宋_GB2312" w:eastAsia="方正仿宋_GB2312" w:cs="方正仿宋_GB2312"/>
          <w:b w:val="0"/>
          <w:bCs w:val="0"/>
          <w:sz w:val="24"/>
          <w:szCs w:val="24"/>
          <w:highlight w:val="none"/>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方正仿宋_GB2312" w:hAnsi="方正仿宋_GB2312" w:eastAsia="方正仿宋_GB2312" w:cs="方正仿宋_GB2312"/>
          <w:b/>
          <w:bCs/>
          <w:kern w:val="2"/>
          <w:sz w:val="24"/>
          <w:szCs w:val="24"/>
          <w:highlight w:val="none"/>
          <w:lang w:val="en-US" w:eastAsia="zh-CN" w:bidi="ar-SA"/>
        </w:rPr>
        <w:t>投标无效</w:t>
      </w:r>
      <w:r>
        <w:rPr>
          <w:rFonts w:hint="eastAsia" w:ascii="方正仿宋_GB2312" w:hAnsi="方正仿宋_GB2312" w:eastAsia="方正仿宋_GB2312" w:cs="方正仿宋_GB2312"/>
          <w:b w:val="0"/>
          <w:bCs w:val="0"/>
          <w:kern w:val="2"/>
          <w:sz w:val="24"/>
          <w:szCs w:val="24"/>
          <w:highlight w:val="none"/>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投标人应按</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投标文件应在</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中规定的投标有效期内保持有效，投标有效期少于采购文件规定期限的，其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投标人须对采购文件的对应要求给予唯一的实质性响应，否则将视为</w:t>
      </w:r>
      <w:r>
        <w:rPr>
          <w:rFonts w:hint="eastAsia" w:ascii="方正仿宋_GB2312" w:hAnsi="方正仿宋_GB2312" w:eastAsia="方正仿宋_GB2312" w:cs="方正仿宋_GB2312"/>
          <w:b/>
          <w:bCs/>
          <w:sz w:val="24"/>
          <w:szCs w:val="24"/>
          <w:highlight w:val="none"/>
          <w:lang w:val="en-US" w:eastAsia="zh-CN"/>
        </w:rPr>
        <w:t>不响应</w:t>
      </w:r>
      <w:r>
        <w:rPr>
          <w:rFonts w:hint="eastAsia" w:ascii="方正仿宋_GB2312" w:hAnsi="方正仿宋_GB2312" w:eastAsia="方正仿宋_GB2312" w:cs="方正仿宋_GB2312"/>
          <w:b w:val="0"/>
          <w:bCs w:val="0"/>
          <w:sz w:val="24"/>
          <w:szCs w:val="24"/>
          <w:highlight w:val="none"/>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采购文件中，凡标有“※”的地方均为实质性响应条款，投标人若有一项带“※”的条款未响应或不满足，将按无效投标处理。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2" w:name="_Toc21719"/>
      <w:r>
        <w:rPr>
          <w:rFonts w:hint="eastAsia" w:ascii="方正仿宋_GB2312" w:hAnsi="方正仿宋_GB2312" w:eastAsia="方正仿宋_GB2312" w:cs="方正仿宋_GB2312"/>
          <w:b/>
          <w:bCs/>
          <w:sz w:val="24"/>
          <w:szCs w:val="24"/>
          <w:highlight w:val="none"/>
          <w:lang w:val="en-US" w:eastAsia="zh-CN"/>
        </w:rPr>
        <w:t>投标文件的提交</w:t>
      </w:r>
      <w:bookmarkEnd w:id="12"/>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投标人应在</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出现下述情形之一，属于未成功提交投标文件，按无效</w:t>
      </w:r>
      <w:r>
        <w:rPr>
          <w:rFonts w:hint="eastAsia" w:ascii="方正仿宋_GB2312" w:hAnsi="方正仿宋_GB2312" w:eastAsia="方正仿宋_GB2312" w:cs="方正仿宋_GB2312"/>
          <w:b/>
          <w:bCs/>
          <w:sz w:val="24"/>
          <w:szCs w:val="24"/>
          <w:highlight w:val="none"/>
          <w:lang w:val="en-US" w:eastAsia="zh-CN"/>
        </w:rPr>
        <w:t>投标处理</w:t>
      </w:r>
      <w:r>
        <w:rPr>
          <w:rFonts w:hint="eastAsia" w:ascii="方正仿宋_GB2312" w:hAnsi="方正仿宋_GB2312" w:eastAsia="方正仿宋_GB2312" w:cs="方正仿宋_GB2312"/>
          <w:b w:val="0"/>
          <w:bCs w:val="0"/>
          <w:sz w:val="24"/>
          <w:szCs w:val="24"/>
          <w:highlight w:val="none"/>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在提交投标文件截止时间后，投标人不得补充、修改和更换投标文件。</w:t>
      </w:r>
      <w:r>
        <w:rPr>
          <w:rFonts w:hint="eastAsia" w:ascii="方正仿宋_GB2312" w:hAnsi="方正仿宋_GB2312" w:eastAsia="方正仿宋_GB2312" w:cs="方正仿宋_GB2312"/>
          <w:b/>
          <w:bCs/>
          <w:sz w:val="24"/>
          <w:szCs w:val="24"/>
          <w:highlight w:val="none"/>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3" w:name="_Toc15263"/>
      <w:r>
        <w:rPr>
          <w:rFonts w:hint="eastAsia" w:ascii="方正仿宋_GB2312" w:hAnsi="方正仿宋_GB2312" w:eastAsia="方正仿宋_GB2312" w:cs="方正仿宋_GB2312"/>
          <w:b/>
          <w:bCs/>
          <w:sz w:val="24"/>
          <w:szCs w:val="24"/>
          <w:highlight w:val="none"/>
          <w:lang w:val="en-US" w:eastAsia="zh-CN"/>
        </w:rPr>
        <w:t>开标、资格审查及评标</w:t>
      </w:r>
      <w:bookmarkEnd w:id="13"/>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中规定的开标时间和地点组织公开开标并邀请所有投标人代表参加。</w:t>
      </w:r>
      <w:r>
        <w:rPr>
          <w:rFonts w:hint="eastAsia" w:ascii="方正仿宋_GB2312" w:hAnsi="方正仿宋_GB2312" w:eastAsia="方正仿宋_GB2312" w:cs="方正仿宋_GB2312"/>
          <w:b/>
          <w:bCs/>
          <w:sz w:val="24"/>
          <w:szCs w:val="24"/>
          <w:highlight w:val="none"/>
          <w:lang w:val="en-US" w:eastAsia="zh-CN"/>
        </w:rPr>
        <w:t>开标为远程电子开标</w:t>
      </w:r>
      <w:r>
        <w:rPr>
          <w:rFonts w:hint="eastAsia" w:ascii="方正仿宋_GB2312" w:hAnsi="方正仿宋_GB2312" w:eastAsia="方正仿宋_GB2312" w:cs="方正仿宋_GB2312"/>
          <w:b w:val="0"/>
          <w:bCs w:val="0"/>
          <w:sz w:val="24"/>
          <w:szCs w:val="24"/>
          <w:highlight w:val="none"/>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w:t>
      </w:r>
      <w:r>
        <w:rPr>
          <w:rFonts w:hint="eastAsia" w:ascii="方正仿宋_GB2312" w:hAnsi="方正仿宋_GB2312" w:eastAsia="方正仿宋_GB2312" w:cs="方正仿宋_GB2312"/>
          <w:b w:val="0"/>
          <w:bCs w:val="0"/>
          <w:sz w:val="24"/>
          <w:szCs w:val="24"/>
          <w:highlight w:val="none"/>
          <w:u w:val="none"/>
          <w:lang w:val="en-US" w:eastAsia="zh-CN"/>
        </w:rPr>
        <w:t>第六章《评标程序、评标方法和评标标准》</w:t>
      </w:r>
      <w:r>
        <w:rPr>
          <w:rFonts w:hint="eastAsia" w:ascii="方正仿宋_GB2312" w:hAnsi="方正仿宋_GB2312" w:eastAsia="方正仿宋_GB2312" w:cs="方正仿宋_GB2312"/>
          <w:b w:val="0"/>
          <w:bCs w:val="0"/>
          <w:sz w:val="24"/>
          <w:szCs w:val="24"/>
          <w:highlight w:val="none"/>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4" w:name="_Toc7787"/>
      <w:r>
        <w:rPr>
          <w:rFonts w:hint="eastAsia" w:ascii="方正仿宋_GB2312" w:hAnsi="方正仿宋_GB2312" w:eastAsia="方正仿宋_GB2312" w:cs="方正仿宋_GB2312"/>
          <w:b/>
          <w:bCs/>
          <w:sz w:val="24"/>
          <w:szCs w:val="24"/>
          <w:highlight w:val="none"/>
          <w:lang w:val="en-US" w:eastAsia="zh-CN"/>
        </w:rPr>
        <w:t>确定中标</w:t>
      </w:r>
      <w:bookmarkEnd w:id="14"/>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中标人应按照</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val="0"/>
          <w:bCs w:val="0"/>
          <w:sz w:val="24"/>
          <w:szCs w:val="24"/>
          <w:highlight w:val="none"/>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06D08125">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281AE9A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收费对象及缴纳时间见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。由中标人支付的，中标人须一次性向采购代理机构缴纳代理费，投标报价应包含代理费用。</w:t>
      </w:r>
    </w:p>
    <w:p w14:paraId="19FF924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收费标准</w:t>
      </w:r>
    </w:p>
    <w:p w14:paraId="5A5F1A55">
      <w:pPr>
        <w:spacing w:line="360" w:lineRule="auto"/>
        <w:ind w:firstLine="480" w:firstLineChars="2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根据下表约定按差额定率累进法计算</w:t>
      </w:r>
      <w:r>
        <w:rPr>
          <w:rFonts w:hint="eastAsia" w:ascii="方正仿宋_GB2312" w:hAnsi="方正仿宋_GB2312" w:eastAsia="方正仿宋_GB2312" w:cs="方正仿宋_GB2312"/>
          <w:sz w:val="24"/>
          <w:highlight w:val="none"/>
          <w:lang w:val="en-US" w:eastAsia="zh-CN"/>
        </w:rPr>
        <w:t>:</w:t>
      </w:r>
    </w:p>
    <w:tbl>
      <w:tblPr>
        <w:tblStyle w:val="18"/>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FA0751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0F51E61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0223277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625A314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服务招标</w:t>
            </w:r>
          </w:p>
        </w:tc>
        <w:tc>
          <w:tcPr>
            <w:tcW w:w="1997" w:type="dxa"/>
            <w:tcBorders>
              <w:left w:val="single" w:color="auto" w:sz="2" w:space="0"/>
              <w:bottom w:val="single" w:color="auto" w:sz="2" w:space="0"/>
            </w:tcBorders>
            <w:vAlign w:val="center"/>
          </w:tcPr>
          <w:p w14:paraId="1C1EE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工程招标</w:t>
            </w:r>
          </w:p>
        </w:tc>
      </w:tr>
      <w:tr w14:paraId="045D823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EFEAF6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32732F3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F0546C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30819EF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w:t>
            </w:r>
          </w:p>
        </w:tc>
      </w:tr>
      <w:tr w14:paraId="4A96F0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F01ACE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36D52B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0109FB9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BEDE39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0.7%</w:t>
            </w:r>
          </w:p>
        </w:tc>
      </w:tr>
      <w:tr w14:paraId="044D5A6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7830F3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0681D22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3C9839E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0ACA775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0.55%</w:t>
            </w:r>
          </w:p>
        </w:tc>
      </w:tr>
      <w:tr w14:paraId="466387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16E669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6A3FEEA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6E369B9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57A9B2F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0.35%</w:t>
            </w:r>
          </w:p>
        </w:tc>
      </w:tr>
      <w:tr w14:paraId="0F2C8FA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256D98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1ECAD4F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7280DCA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527F62F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w:t>
            </w:r>
          </w:p>
        </w:tc>
      </w:tr>
      <w:tr w14:paraId="686CA68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3E2045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7D6DE18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5F13FCC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0831E6A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r>
      <w:tr w14:paraId="0C623DA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4EC4AFF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58F9804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1F8ED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7" w:type="dxa"/>
            <w:tcBorders>
              <w:top w:val="single" w:color="auto" w:sz="2" w:space="0"/>
              <w:left w:val="single" w:color="auto" w:sz="2" w:space="0"/>
            </w:tcBorders>
            <w:vAlign w:val="center"/>
          </w:tcPr>
          <w:p w14:paraId="15A5835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r>
    </w:tbl>
    <w:p w14:paraId="52A2A7F3">
      <w:pPr>
        <w:pStyle w:val="17"/>
        <w:ind w:left="0" w:leftChars="0" w:firstLine="0" w:firstLineChars="0"/>
        <w:rPr>
          <w:rFonts w:hint="eastAsia" w:ascii="方正仿宋_GB2312" w:hAnsi="方正仿宋_GB2312" w:eastAsia="方正仿宋_GB2312" w:cs="方正仿宋_GB2312"/>
          <w:highlight w:val="none"/>
          <w:lang w:val="en-US" w:eastAsia="zh-CN"/>
        </w:rPr>
      </w:pPr>
    </w:p>
    <w:p w14:paraId="77EB797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2254043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31DE877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49F3F44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425949D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F5A03F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160F2F2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（1）对采购文件提出质疑的，为获取采购文件之日或者招标文件公告期限届满之日；</w:t>
      </w:r>
    </w:p>
    <w:p w14:paraId="7D394A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2F383D9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（3）对中标结果提出质疑的，为中标结果公告期限届满之日。 </w:t>
      </w:r>
    </w:p>
    <w:p w14:paraId="42144B3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528F493">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127C7C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质疑函应当包括下列内容： </w:t>
      </w:r>
    </w:p>
    <w:p w14:paraId="6B845A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（1）投标人名称、地址、邮编、联系人及联系电话； </w:t>
      </w:r>
    </w:p>
    <w:p w14:paraId="4F7EFD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（2）质疑项目的名称、编号； </w:t>
      </w:r>
    </w:p>
    <w:p w14:paraId="4AA143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（3）具体、明确的质疑事项和与质疑事项相关的请求； </w:t>
      </w:r>
    </w:p>
    <w:p w14:paraId="71C0E1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（4）事实依据； </w:t>
      </w:r>
    </w:p>
    <w:p w14:paraId="37DDD3F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（5）必要的法律依据； </w:t>
      </w:r>
    </w:p>
    <w:p w14:paraId="61FDEF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（6）提出质疑的日期。</w:t>
      </w:r>
    </w:p>
    <w:p w14:paraId="5FF07DE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ED582E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5978F34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19750D9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2FCB51A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64C06A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适用于本投标人须知的额外增加的变动详见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投标须知前附表</w:t>
      </w:r>
      <w:r>
        <w:rPr>
          <w:rFonts w:hint="eastAsia" w:ascii="方正仿宋_GB2312" w:hAnsi="方正仿宋_GB2312" w:eastAsia="方正仿宋_GB2312" w:cs="方正仿宋_GB2312"/>
          <w:b w:val="0"/>
          <w:bCs w:val="0"/>
          <w:sz w:val="24"/>
          <w:szCs w:val="24"/>
          <w:highlight w:val="none"/>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779F0C6C">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3BD73112">
      <w:pPr>
        <w:pStyle w:val="3"/>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5" w:name="_Toc22543"/>
      <w:r>
        <w:rPr>
          <w:rFonts w:hint="eastAsia" w:ascii="方正小标宋简体" w:hAnsi="方正小标宋简体" w:eastAsia="方正小标宋简体" w:cs="方正小标宋简体"/>
          <w:sz w:val="32"/>
          <w:szCs w:val="32"/>
          <w:highlight w:val="none"/>
          <w:lang w:val="en-US" w:eastAsia="zh-CN"/>
        </w:rPr>
        <w:t>政府采购合同</w:t>
      </w:r>
      <w:bookmarkEnd w:id="15"/>
    </w:p>
    <w:p w14:paraId="33A08A10">
      <w:pPr>
        <w:spacing w:line="360" w:lineRule="auto"/>
        <w:jc w:val="center"/>
        <w:rPr>
          <w:rFonts w:ascii="仿宋" w:hAnsi="仿宋" w:eastAsia="仿宋" w:cs="仿宋"/>
          <w:b/>
          <w:bCs/>
          <w:sz w:val="24"/>
          <w:highlight w:val="none"/>
        </w:rPr>
      </w:pPr>
      <w:r>
        <w:rPr>
          <w:rFonts w:hint="eastAsia" w:ascii="仿宋_GB2312" w:hAnsi="仿宋_GB2312" w:eastAsia="仿宋_GB2312" w:cs="仿宋_GB2312"/>
          <w:b w:val="0"/>
          <w:bCs w:val="0"/>
          <w:sz w:val="24"/>
          <w:szCs w:val="24"/>
          <w:highlight w:val="none"/>
          <w:lang w:val="en-US" w:eastAsia="zh-CN"/>
        </w:rPr>
        <w:t xml:space="preserve"> </w:t>
      </w:r>
      <w:r>
        <w:rPr>
          <w:rFonts w:hint="eastAsia" w:ascii="仿宋" w:hAnsi="仿宋" w:eastAsia="仿宋" w:cs="仿宋"/>
          <w:b/>
          <w:bCs/>
          <w:sz w:val="28"/>
          <w:szCs w:val="28"/>
          <w:highlight w:val="none"/>
        </w:rPr>
        <w:t>（此合同仅供参考，最终以双方实际签订为准）</w:t>
      </w:r>
    </w:p>
    <w:p w14:paraId="06448669">
      <w:pPr>
        <w:pStyle w:val="8"/>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4AF22415">
      <w:pPr>
        <w:pStyle w:val="8"/>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（试行）</w:t>
      </w:r>
    </w:p>
    <w:p w14:paraId="3AA9B591">
      <w:pPr>
        <w:rPr>
          <w:rFonts w:ascii="仿宋" w:hAnsi="仿宋" w:eastAsia="仿宋" w:cs="仿宋"/>
          <w:b/>
          <w:bCs/>
          <w:spacing w:val="-20"/>
          <w:kern w:val="44"/>
          <w:sz w:val="40"/>
          <w:szCs w:val="40"/>
          <w:highlight w:val="none"/>
        </w:rPr>
      </w:pPr>
    </w:p>
    <w:p w14:paraId="1967AF54">
      <w:pPr>
        <w:rPr>
          <w:rFonts w:ascii="仿宋" w:hAnsi="仿宋" w:eastAsia="仿宋" w:cs="仿宋"/>
          <w:b/>
          <w:bCs/>
          <w:spacing w:val="-20"/>
          <w:kern w:val="44"/>
          <w:sz w:val="40"/>
          <w:szCs w:val="40"/>
          <w:highlight w:val="none"/>
        </w:rPr>
      </w:pPr>
    </w:p>
    <w:p w14:paraId="2B4ABC85">
      <w:pPr>
        <w:rPr>
          <w:rFonts w:ascii="仿宋" w:hAnsi="仿宋" w:eastAsia="仿宋" w:cs="仿宋"/>
          <w:b/>
          <w:bCs/>
          <w:spacing w:val="-20"/>
          <w:kern w:val="44"/>
          <w:sz w:val="40"/>
          <w:szCs w:val="40"/>
          <w:highlight w:val="none"/>
        </w:rPr>
      </w:pPr>
    </w:p>
    <w:p w14:paraId="2C7B9F76">
      <w:pPr>
        <w:spacing w:line="360" w:lineRule="auto"/>
        <w:ind w:left="420" w:leftChars="200"/>
        <w:rPr>
          <w:rFonts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461A365F">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5DF96277">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73F7DDA9">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68B717CF">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1C020980">
      <w:pPr>
        <w:rPr>
          <w:rFonts w:ascii="仿宋" w:hAnsi="仿宋" w:eastAsia="仿宋" w:cs="仿宋"/>
          <w:highlight w:val="none"/>
        </w:rPr>
      </w:pPr>
    </w:p>
    <w:p w14:paraId="0540E1AC">
      <w:pPr>
        <w:rPr>
          <w:rFonts w:ascii="仿宋" w:hAnsi="仿宋" w:eastAsia="仿宋" w:cs="仿宋"/>
          <w:sz w:val="44"/>
          <w:szCs w:val="44"/>
          <w:highlight w:val="none"/>
        </w:rPr>
      </w:pPr>
      <w:r>
        <w:rPr>
          <w:rFonts w:hint="eastAsia" w:ascii="仿宋" w:hAnsi="仿宋" w:eastAsia="仿宋" w:cs="仿宋"/>
          <w:sz w:val="44"/>
          <w:szCs w:val="44"/>
          <w:highlight w:val="none"/>
        </w:rPr>
        <w:br w:type="page"/>
      </w:r>
    </w:p>
    <w:p w14:paraId="173265EF">
      <w:pPr>
        <w:jc w:val="center"/>
        <w:rPr>
          <w:rFonts w:ascii="仿宋" w:hAnsi="仿宋" w:eastAsia="仿宋" w:cs="仿宋"/>
          <w:sz w:val="44"/>
          <w:szCs w:val="44"/>
          <w:highlight w:val="none"/>
        </w:rPr>
      </w:pPr>
      <w:r>
        <w:rPr>
          <w:rFonts w:hint="eastAsia" w:ascii="仿宋" w:hAnsi="仿宋" w:eastAsia="仿宋" w:cs="仿宋"/>
          <w:sz w:val="44"/>
          <w:szCs w:val="44"/>
          <w:highlight w:val="none"/>
        </w:rPr>
        <w:t>使 用 说 明</w:t>
      </w:r>
    </w:p>
    <w:p w14:paraId="4C544ABE">
      <w:pPr>
        <w:ind w:firstLine="640" w:firstLineChars="200"/>
        <w:rPr>
          <w:rFonts w:ascii="仿宋" w:hAnsi="仿宋" w:eastAsia="仿宋" w:cs="仿宋"/>
          <w:sz w:val="32"/>
          <w:szCs w:val="32"/>
          <w:highlight w:val="none"/>
        </w:rPr>
      </w:pPr>
    </w:p>
    <w:p w14:paraId="5EBC04F8">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1.本合同标准文本适用于购买现成货物的采购项目，不包括需要供应商定制开发、创新研发的货物采购项目。</w:t>
      </w:r>
    </w:p>
    <w:p w14:paraId="29C81C18">
      <w:pPr>
        <w:rPr>
          <w:rFonts w:ascii="仿宋" w:hAnsi="仿宋" w:eastAsia="仿宋" w:cs="仿宋"/>
          <w:sz w:val="44"/>
          <w:szCs w:val="44"/>
          <w:highlight w:val="none"/>
        </w:rPr>
      </w:pPr>
      <w:r>
        <w:rPr>
          <w:rFonts w:hint="eastAsia" w:ascii="仿宋" w:hAnsi="仿宋" w:eastAsia="仿宋" w:cs="仿宋"/>
          <w:sz w:val="44"/>
          <w:szCs w:val="44"/>
          <w:highlight w:val="none"/>
        </w:rPr>
        <w:t xml:space="preserve">   </w:t>
      </w:r>
      <w:r>
        <w:rPr>
          <w:rFonts w:hint="eastAsia" w:ascii="仿宋" w:hAnsi="仿宋" w:eastAsia="仿宋" w:cs="仿宋"/>
          <w:sz w:val="32"/>
          <w:szCs w:val="32"/>
          <w:highlight w:val="none"/>
        </w:rPr>
        <w:t>2.本合同标准文本为政府采购货物买卖合同编制提供参考，可以结合采购项目具体情况，对文本作必要的调整修订后使用。</w:t>
      </w:r>
    </w:p>
    <w:p w14:paraId="4DD71F74">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3.本合同标准文本各条款中，如涉及填写多家供应商、制造商，多种采购标的、分包主要内容等信息的，可根据采购项目具体情况添加信息项。</w:t>
      </w:r>
    </w:p>
    <w:p w14:paraId="6429F641">
      <w:pPr>
        <w:ind w:firstLine="880" w:firstLineChars="200"/>
        <w:rPr>
          <w:rFonts w:ascii="仿宋" w:hAnsi="仿宋" w:eastAsia="仿宋" w:cs="仿宋"/>
          <w:sz w:val="44"/>
          <w:szCs w:val="44"/>
          <w:highlight w:val="none"/>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6A32228C">
      <w:pPr>
        <w:pStyle w:val="4"/>
        <w:adjustRightInd w:val="0"/>
        <w:snapToGrid w:val="0"/>
        <w:spacing w:line="400" w:lineRule="exact"/>
        <w:jc w:val="center"/>
        <w:rPr>
          <w:rFonts w:hint="default" w:ascii="仿宋" w:hAnsi="仿宋" w:eastAsia="仿宋" w:cs="仿宋"/>
          <w:b w:val="0"/>
          <w:bCs w:val="0"/>
          <w:sz w:val="28"/>
          <w:szCs w:val="28"/>
          <w:highlight w:val="none"/>
        </w:rPr>
      </w:pPr>
      <w:bookmarkStart w:id="16" w:name="_Toc22209"/>
      <w:r>
        <w:rPr>
          <w:rFonts w:ascii="仿宋" w:hAnsi="仿宋" w:eastAsia="仿宋" w:cs="仿宋"/>
          <w:b w:val="0"/>
          <w:bCs w:val="0"/>
          <w:sz w:val="28"/>
          <w:szCs w:val="28"/>
          <w:highlight w:val="none"/>
        </w:rPr>
        <w:t>第一节 政府采购合同协议书</w:t>
      </w:r>
      <w:bookmarkEnd w:id="16"/>
    </w:p>
    <w:p w14:paraId="5210A10C">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（采购人、受采购人委托签订合同的单位或采购文件约定的合同甲方）</w:t>
      </w:r>
    </w:p>
    <w:p w14:paraId="77298E2E">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2E66738F">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296D410">
      <w:pPr>
        <w:adjustRightInd w:val="0"/>
        <w:snapToGrid w:val="0"/>
        <w:spacing w:line="400" w:lineRule="exact"/>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szCs w:val="21"/>
          <w:highlight w:val="none"/>
        </w:rPr>
        <w:t>3</w:t>
      </w:r>
      <w:r>
        <w:rPr>
          <w:rFonts w:hint="eastAsia" w:ascii="仿宋" w:hAnsi="仿宋" w:eastAsia="仿宋" w:cs="仿宋"/>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5D57FE5">
      <w:pPr>
        <w:pStyle w:val="9"/>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26E2D26">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项目信息</w:t>
      </w:r>
    </w:p>
    <w:p w14:paraId="655F4FE6">
      <w:pPr>
        <w:pStyle w:val="9"/>
        <w:numPr>
          <w:ilvl w:val="0"/>
          <w:numId w:val="10"/>
        </w:numPr>
        <w:adjustRightInd w:val="0"/>
        <w:snapToGrid w:val="0"/>
        <w:spacing w:line="400" w:lineRule="exact"/>
        <w:ind w:left="0" w:firstLine="420" w:firstLineChars="200"/>
        <w:rPr>
          <w:rFonts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7552B19A">
      <w:pPr>
        <w:pStyle w:val="9"/>
        <w:numPr>
          <w:ilvl w:val="255"/>
          <w:numId w:val="0"/>
        </w:numPr>
        <w:tabs>
          <w:tab w:val="left" w:pos="999"/>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38814564">
      <w:pPr>
        <w:pStyle w:val="9"/>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D80860E">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（3）项目内容：</w:t>
      </w:r>
    </w:p>
    <w:p w14:paraId="5B233A1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FDFA6C5">
      <w:pPr>
        <w:numPr>
          <w:ilvl w:val="255"/>
          <w:numId w:val="0"/>
        </w:numPr>
        <w:adjustRightInd w:val="0"/>
        <w:snapToGrid w:val="0"/>
        <w:spacing w:line="400" w:lineRule="exact"/>
        <w:ind w:firstLine="420" w:firstLineChars="200"/>
        <w:rPr>
          <w:rFonts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23480CE3">
      <w:pPr>
        <w:adjustRightInd w:val="0"/>
        <w:snapToGrid w:val="0"/>
        <w:spacing w:line="400" w:lineRule="exact"/>
        <w:ind w:firstLine="945" w:firstLineChars="450"/>
        <w:rPr>
          <w:rFonts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22ED2F83">
      <w:pPr>
        <w:numPr>
          <w:ilvl w:val="255"/>
          <w:numId w:val="0"/>
        </w:numPr>
        <w:adjustRightInd w:val="0"/>
        <w:snapToGrid w:val="0"/>
        <w:spacing w:line="400" w:lineRule="exact"/>
        <w:ind w:firstLine="945" w:firstLineChars="450"/>
        <w:rPr>
          <w:rFonts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E68554D">
      <w:pPr>
        <w:numPr>
          <w:ilvl w:val="255"/>
          <w:numId w:val="0"/>
        </w:numPr>
        <w:adjustRightInd w:val="0"/>
        <w:snapToGrid w:val="0"/>
        <w:spacing w:line="400" w:lineRule="exact"/>
        <w:ind w:firstLine="420" w:firstLineChars="200"/>
        <w:rPr>
          <w:rFonts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32825C42">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55F9A661">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18E3E5AC">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67602A5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1965246">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080C4FC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2DD4C7C1">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468ECCE3">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2A30998E">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2877CE2A">
      <w:pPr>
        <w:pStyle w:val="29"/>
        <w:numPr>
          <w:ilvl w:val="255"/>
          <w:numId w:val="0"/>
        </w:numPr>
        <w:snapToGrid w:val="0"/>
        <w:ind w:firstLine="420"/>
        <w:rPr>
          <w:rFonts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021FFEB">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03F14FC5">
      <w:pPr>
        <w:pStyle w:val="29"/>
        <w:numPr>
          <w:ilvl w:val="255"/>
          <w:numId w:val="0"/>
        </w:numPr>
        <w:snapToGrid w:val="0"/>
        <w:ind w:firstLine="220" w:firstLineChars="100"/>
        <w:rPr>
          <w:rFonts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0596EF8E">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09D5CD6">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08CC082B">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FF5B6F9">
      <w:pPr>
        <w:snapToGrid w:val="0"/>
        <w:spacing w:line="400" w:lineRule="exact"/>
        <w:rPr>
          <w:rFonts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DBBC11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1E94977E">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4286B2D3">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383BBA60">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234D79E1">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504BDAB8">
      <w:pPr>
        <w:adjustRightInd w:val="0"/>
        <w:snapToGrid w:val="0"/>
        <w:spacing w:line="400" w:lineRule="exact"/>
        <w:ind w:firstLine="840" w:firstLineChars="400"/>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0F3784A7">
      <w:pPr>
        <w:adjustRightInd w:val="0"/>
        <w:snapToGrid w:val="0"/>
        <w:spacing w:line="400" w:lineRule="exact"/>
        <w:ind w:firstLine="840" w:firstLineChars="400"/>
        <w:rPr>
          <w:rFonts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2AAF31A8">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73A18953">
      <w:pPr>
        <w:pStyle w:val="29"/>
        <w:tabs>
          <w:tab w:val="left" w:pos="1340"/>
        </w:tabs>
        <w:ind w:firstLine="420"/>
        <w:rPr>
          <w:rFonts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2725D377">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59E8B869">
      <w:pPr>
        <w:numPr>
          <w:ilvl w:val="255"/>
          <w:numId w:val="0"/>
        </w:num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65A27FAF">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187150F">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5872B465">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5FCF6B75">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34BB45D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3D2CBDB2">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37A93CFE">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6049A54A">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9A9ABF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3854ED3">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02EE156E">
      <w:pPr>
        <w:pStyle w:val="29"/>
        <w:numPr>
          <w:ilvl w:val="255"/>
          <w:numId w:val="0"/>
        </w:numPr>
        <w:snapToGrid w:val="0"/>
        <w:rPr>
          <w:rFonts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2FA32D08">
      <w:pPr>
        <w:pStyle w:val="29"/>
        <w:ind w:firstLine="420" w:firstLineChars="0"/>
        <w:rPr>
          <w:rFonts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7A81886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AB13809">
      <w:pPr>
        <w:pStyle w:val="29"/>
        <w:ind w:firstLine="420" w:firstLineChars="0"/>
        <w:rPr>
          <w:rFonts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10C0E22D">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6A8B67D4">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113CB195">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合同金额</w:t>
      </w:r>
    </w:p>
    <w:p w14:paraId="0823D007">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4EF6062C">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4B758360">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18F43C78">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F11EBD3">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2CC2087A">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3233347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19DB981E">
      <w:pPr>
        <w:pStyle w:val="30"/>
        <w:spacing w:line="400" w:lineRule="exact"/>
        <w:rPr>
          <w:rFonts w:ascii="仿宋" w:hAnsi="仿宋" w:eastAsia="仿宋" w:cs="仿宋"/>
          <w:highlight w:val="none"/>
        </w:rPr>
      </w:pPr>
      <w:r>
        <w:rPr>
          <w:rFonts w:hint="eastAsia" w:ascii="仿宋" w:hAnsi="仿宋" w:eastAsia="仿宋" w:cs="仿宋"/>
          <w:highlight w:val="none"/>
        </w:rPr>
        <w:t>（3）付款方式（按项目实际勾选填写）：</w:t>
      </w:r>
    </w:p>
    <w:p w14:paraId="28F4BD93">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B0D72EB">
      <w:pPr>
        <w:snapToGrid w:val="0"/>
        <w:spacing w:line="400" w:lineRule="exact"/>
        <w:ind w:firstLine="630" w:firstLineChars="300"/>
        <w:rPr>
          <w:rFonts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39C6E4C1">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7F62D49E">
      <w:pPr>
        <w:adjustRightInd w:val="0"/>
        <w:snapToGrid w:val="0"/>
        <w:spacing w:line="400" w:lineRule="exact"/>
        <w:ind w:firstLine="630" w:firstLineChars="3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069055A1">
      <w:pPr>
        <w:numPr>
          <w:ilvl w:val="0"/>
          <w:numId w:val="9"/>
        </w:numPr>
        <w:adjustRightInd w:val="0"/>
        <w:snapToGrid w:val="0"/>
        <w:spacing w:line="400" w:lineRule="exact"/>
        <w:ind w:firstLine="422" w:firstLineChars="200"/>
        <w:rPr>
          <w:rFonts w:ascii="仿宋" w:hAnsi="仿宋" w:eastAsia="仿宋" w:cs="仿宋"/>
          <w:b/>
          <w:szCs w:val="21"/>
          <w:highlight w:val="none"/>
          <w:u w:val="single"/>
        </w:rPr>
      </w:pPr>
      <w:r>
        <w:rPr>
          <w:rFonts w:hint="eastAsia" w:ascii="仿宋" w:hAnsi="仿宋" w:eastAsia="仿宋" w:cs="仿宋"/>
          <w:b/>
          <w:szCs w:val="21"/>
          <w:highlight w:val="none"/>
        </w:rPr>
        <w:t>合同履行</w:t>
      </w:r>
    </w:p>
    <w:p w14:paraId="67D34D4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5B270065">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76CABB7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1324E658">
      <w:pPr>
        <w:pStyle w:val="29"/>
        <w:rPr>
          <w:rFonts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55BD7C94">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2CB7925D">
      <w:pPr>
        <w:snapToGrid w:val="0"/>
        <w:spacing w:line="400" w:lineRule="exact"/>
        <w:ind w:firstLine="420" w:firstLineChars="200"/>
        <w:rPr>
          <w:rFonts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43761A6F">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0868FB59">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szCs w:val="21"/>
          <w:highlight w:val="none"/>
          <w:u w:val="single"/>
        </w:rPr>
        <w:t xml:space="preserve">                                                </w:t>
      </w:r>
    </w:p>
    <w:p w14:paraId="4A2FE57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合同验收</w:t>
      </w:r>
    </w:p>
    <w:p w14:paraId="5E561CE9">
      <w:pPr>
        <w:numPr>
          <w:ilvl w:val="0"/>
          <w:numId w:val="11"/>
        </w:num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4DEF11AB">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33F5C969">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F6E05E0">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1041DBF">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5B0B877">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8F9F1F8">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9348EFE">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10010B13">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04C9D93">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26B4E20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47F09334">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227F4734">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39C462FA">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251B304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75DA420F">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4A5D1314">
      <w:pPr>
        <w:pStyle w:val="29"/>
        <w:ind w:firstLine="420"/>
        <w:rPr>
          <w:rFonts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3E32541B">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1ABDD7CB">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组成合同的文件</w:t>
      </w:r>
    </w:p>
    <w:p w14:paraId="6E0421DF">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478313E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333349C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（2）政府采购合同专用条款</w:t>
      </w:r>
    </w:p>
    <w:p w14:paraId="548A919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（3）政府采购合同通用条款</w:t>
      </w:r>
    </w:p>
    <w:p w14:paraId="40DA832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（4）中标（成交）通知书</w:t>
      </w:r>
    </w:p>
    <w:p w14:paraId="47EEB91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（5）投标（响应）文件</w:t>
      </w:r>
    </w:p>
    <w:p w14:paraId="3F10B8E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（6）采购文件</w:t>
      </w:r>
    </w:p>
    <w:p w14:paraId="05A8AA7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（7）有关技术文件，图纸</w:t>
      </w:r>
    </w:p>
    <w:p w14:paraId="2DD82028">
      <w:pPr>
        <w:pStyle w:val="29"/>
        <w:ind w:firstLine="420"/>
        <w:rPr>
          <w:rFonts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color w:val="000000" w:themeColor="text1"/>
          <w:kern w:val="2"/>
          <w:sz w:val="21"/>
          <w:highlight w:val="none"/>
          <w14:textFill>
            <w14:solidFill>
              <w14:schemeClr w14:val="tx1"/>
            </w14:solidFill>
          </w14:textFill>
        </w:rPr>
        <w:t>国家法律、行政法规和规章制度规定或合同约定的作为合同组成部分的其他文件</w:t>
      </w:r>
    </w:p>
    <w:p w14:paraId="751B55A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合同生效</w:t>
      </w:r>
    </w:p>
    <w:p w14:paraId="796BC10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5CC51243">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合同份数</w:t>
      </w:r>
    </w:p>
    <w:p w14:paraId="6619303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14150EC8">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0BD016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62C03739">
      <w:pPr>
        <w:adjustRightInd w:val="0"/>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39E7AE5E">
      <w:pPr>
        <w:pStyle w:val="30"/>
        <w:spacing w:line="400" w:lineRule="exact"/>
        <w:rPr>
          <w:rFonts w:ascii="仿宋" w:hAnsi="仿宋" w:eastAsia="仿宋" w:cs="仿宋"/>
          <w:highlight w:val="none"/>
        </w:rPr>
      </w:pPr>
    </w:p>
    <w:p w14:paraId="6E05558D">
      <w:pPr>
        <w:pStyle w:val="4"/>
        <w:spacing w:line="400" w:lineRule="exact"/>
        <w:rPr>
          <w:rFonts w:hint="default" w:ascii="仿宋" w:hAnsi="仿宋" w:eastAsia="仿宋" w:cs="仿宋"/>
          <w:b w:val="0"/>
          <w:bCs w:val="0"/>
          <w:sz w:val="21"/>
          <w:szCs w:val="21"/>
          <w:highlight w:val="none"/>
        </w:rPr>
      </w:pPr>
      <w:r>
        <w:rPr>
          <w:rFonts w:ascii="仿宋" w:hAnsi="仿宋" w:eastAsia="仿宋" w:cs="仿宋"/>
          <w:highlight w:val="none"/>
          <w:lang w:val="en"/>
        </w:rPr>
        <w:t xml:space="preserve">   </w:t>
      </w:r>
    </w:p>
    <w:p w14:paraId="161F5510">
      <w:pPr>
        <w:rPr>
          <w:rFonts w:ascii="仿宋" w:hAnsi="仿宋" w:eastAsia="仿宋" w:cs="仿宋"/>
          <w:highlight w:val="none"/>
        </w:rPr>
      </w:pPr>
      <w:r>
        <w:rPr>
          <w:rFonts w:hint="eastAsia" w:ascii="仿宋" w:hAnsi="仿宋" w:eastAsia="仿宋" w:cs="仿宋"/>
          <w:highlight w:val="none"/>
        </w:rPr>
        <w:br w:type="page"/>
      </w:r>
    </w:p>
    <w:p w14:paraId="3CE69500">
      <w:pPr>
        <w:pStyle w:val="30"/>
        <w:rPr>
          <w:rFonts w:ascii="仿宋" w:hAnsi="仿宋" w:eastAsia="仿宋" w:cs="仿宋"/>
          <w:highlight w:val="none"/>
        </w:rPr>
      </w:pPr>
    </w:p>
    <w:tbl>
      <w:tblPr>
        <w:tblStyle w:val="1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F1AB8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95D4327">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8AE5B33">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乙方（供应商）</w:t>
            </w:r>
          </w:p>
        </w:tc>
      </w:tr>
      <w:tr w14:paraId="28A09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F49D66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F4F09A1">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34A92E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551C8653">
            <w:pPr>
              <w:adjustRightInd w:val="0"/>
              <w:snapToGrid w:val="0"/>
              <w:spacing w:line="300" w:lineRule="exact"/>
              <w:jc w:val="center"/>
              <w:rPr>
                <w:rFonts w:ascii="仿宋" w:hAnsi="仿宋" w:eastAsia="仿宋" w:cs="仿宋"/>
                <w:spacing w:val="20"/>
                <w:szCs w:val="21"/>
                <w:highlight w:val="none"/>
              </w:rPr>
            </w:pPr>
          </w:p>
        </w:tc>
      </w:tr>
      <w:tr w14:paraId="77156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6F3E62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05C34A50">
            <w:pPr>
              <w:adjustRightInd w:val="0"/>
              <w:snapToGrid w:val="0"/>
              <w:spacing w:line="300" w:lineRule="exact"/>
              <w:ind w:firstLine="100" w:firstLineChars="48"/>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0148060">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vAlign w:val="center"/>
          </w:tcPr>
          <w:p w14:paraId="493478B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69BDC6C2">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14CCA847">
            <w:pPr>
              <w:adjustRightInd w:val="0"/>
              <w:snapToGrid w:val="0"/>
              <w:spacing w:line="300" w:lineRule="exact"/>
              <w:jc w:val="center"/>
              <w:rPr>
                <w:rFonts w:ascii="仿宋" w:hAnsi="仿宋" w:eastAsia="仿宋" w:cs="仿宋"/>
                <w:szCs w:val="21"/>
                <w:highlight w:val="none"/>
              </w:rPr>
            </w:pPr>
          </w:p>
        </w:tc>
      </w:tr>
      <w:tr w14:paraId="137ED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03675A5">
            <w:pPr>
              <w:adjustRightInd w:val="0"/>
              <w:snapToGrid w:val="0"/>
              <w:spacing w:line="300" w:lineRule="exact"/>
              <w:jc w:val="center"/>
              <w:rPr>
                <w:rFonts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1770725F">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6CE52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F69DB8A">
            <w:pPr>
              <w:adjustRightInd w:val="0"/>
              <w:snapToGrid w:val="0"/>
              <w:spacing w:line="300" w:lineRule="exact"/>
              <w:jc w:val="center"/>
              <w:rPr>
                <w:rFonts w:ascii="仿宋" w:hAnsi="仿宋" w:eastAsia="仿宋" w:cs="仿宋"/>
                <w:spacing w:val="20"/>
                <w:szCs w:val="21"/>
                <w:highlight w:val="none"/>
              </w:rPr>
            </w:pPr>
          </w:p>
        </w:tc>
      </w:tr>
      <w:tr w14:paraId="6BF3D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88AFB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78DDBBC">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8BBA32A">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259" w:type="pct"/>
            <w:tcBorders>
              <w:top w:val="single" w:color="auto" w:sz="2" w:space="0"/>
              <w:left w:val="single" w:color="auto" w:sz="2" w:space="0"/>
              <w:bottom w:val="single" w:color="auto" w:sz="2" w:space="0"/>
            </w:tcBorders>
            <w:vAlign w:val="center"/>
          </w:tcPr>
          <w:p w14:paraId="0D0104BD">
            <w:pPr>
              <w:adjustRightInd w:val="0"/>
              <w:snapToGrid w:val="0"/>
              <w:spacing w:line="300" w:lineRule="exact"/>
              <w:jc w:val="center"/>
              <w:rPr>
                <w:rFonts w:ascii="仿宋" w:hAnsi="仿宋" w:eastAsia="仿宋" w:cs="仿宋"/>
                <w:spacing w:val="20"/>
                <w:szCs w:val="21"/>
                <w:highlight w:val="none"/>
              </w:rPr>
            </w:pPr>
          </w:p>
        </w:tc>
      </w:tr>
      <w:tr w14:paraId="12A59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B45E5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AFAEB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4627B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vAlign w:val="center"/>
          </w:tcPr>
          <w:p w14:paraId="75DD120F">
            <w:pPr>
              <w:adjustRightInd w:val="0"/>
              <w:snapToGrid w:val="0"/>
              <w:spacing w:line="300" w:lineRule="exact"/>
              <w:jc w:val="center"/>
              <w:rPr>
                <w:rFonts w:ascii="仿宋" w:hAnsi="仿宋" w:eastAsia="仿宋" w:cs="仿宋"/>
                <w:spacing w:val="20"/>
                <w:szCs w:val="21"/>
                <w:highlight w:val="none"/>
              </w:rPr>
            </w:pPr>
          </w:p>
        </w:tc>
      </w:tr>
      <w:tr w14:paraId="634AA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06E4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8D50464">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5425C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30831F1">
            <w:pPr>
              <w:adjustRightInd w:val="0"/>
              <w:snapToGrid w:val="0"/>
              <w:spacing w:line="300" w:lineRule="exact"/>
              <w:jc w:val="center"/>
              <w:rPr>
                <w:rFonts w:ascii="仿宋" w:hAnsi="仿宋" w:eastAsia="仿宋" w:cs="仿宋"/>
                <w:spacing w:val="20"/>
                <w:szCs w:val="21"/>
                <w:highlight w:val="none"/>
              </w:rPr>
            </w:pPr>
          </w:p>
        </w:tc>
      </w:tr>
      <w:tr w14:paraId="0F668C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4E38B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ADD6DC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5A3782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ED1466C">
            <w:pPr>
              <w:adjustRightInd w:val="0"/>
              <w:snapToGrid w:val="0"/>
              <w:spacing w:line="300" w:lineRule="exact"/>
              <w:jc w:val="center"/>
              <w:rPr>
                <w:rFonts w:ascii="仿宋" w:hAnsi="仿宋" w:eastAsia="仿宋" w:cs="仿宋"/>
                <w:spacing w:val="20"/>
                <w:szCs w:val="21"/>
                <w:highlight w:val="none"/>
              </w:rPr>
            </w:pPr>
          </w:p>
        </w:tc>
      </w:tr>
      <w:tr w14:paraId="0B2383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3B2846">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D6F58F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783A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1D36AF8">
            <w:pPr>
              <w:adjustRightInd w:val="0"/>
              <w:snapToGrid w:val="0"/>
              <w:spacing w:line="300" w:lineRule="exact"/>
              <w:jc w:val="center"/>
              <w:rPr>
                <w:rFonts w:ascii="仿宋" w:hAnsi="仿宋" w:eastAsia="仿宋" w:cs="仿宋"/>
                <w:spacing w:val="20"/>
                <w:szCs w:val="21"/>
                <w:highlight w:val="none"/>
              </w:rPr>
            </w:pPr>
          </w:p>
        </w:tc>
      </w:tr>
      <w:tr w14:paraId="332A2B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CC2DE">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592B59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31AE14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7B2DC21">
            <w:pPr>
              <w:adjustRightInd w:val="0"/>
              <w:snapToGrid w:val="0"/>
              <w:spacing w:line="300" w:lineRule="exact"/>
              <w:jc w:val="center"/>
              <w:rPr>
                <w:rFonts w:ascii="仿宋" w:hAnsi="仿宋" w:eastAsia="仿宋" w:cs="仿宋"/>
                <w:spacing w:val="20"/>
                <w:szCs w:val="21"/>
                <w:highlight w:val="none"/>
              </w:rPr>
            </w:pPr>
          </w:p>
        </w:tc>
      </w:tr>
      <w:tr w14:paraId="06A2EF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AA17A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E2846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BEA3A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5230CFF">
            <w:pPr>
              <w:adjustRightInd w:val="0"/>
              <w:snapToGrid w:val="0"/>
              <w:spacing w:line="300" w:lineRule="exact"/>
              <w:jc w:val="center"/>
              <w:rPr>
                <w:rFonts w:ascii="仿宋" w:hAnsi="仿宋" w:eastAsia="仿宋" w:cs="仿宋"/>
                <w:spacing w:val="20"/>
                <w:szCs w:val="21"/>
                <w:highlight w:val="none"/>
              </w:rPr>
            </w:pPr>
          </w:p>
        </w:tc>
      </w:tr>
      <w:tr w14:paraId="1CAEE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BC2DB0">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AD30CBE">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AAD1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A92A9CA">
            <w:pPr>
              <w:adjustRightInd w:val="0"/>
              <w:snapToGrid w:val="0"/>
              <w:spacing w:line="300" w:lineRule="exact"/>
              <w:jc w:val="center"/>
              <w:rPr>
                <w:rFonts w:ascii="仿宋" w:hAnsi="仿宋" w:eastAsia="仿宋" w:cs="仿宋"/>
                <w:spacing w:val="20"/>
                <w:szCs w:val="21"/>
                <w:highlight w:val="none"/>
              </w:rPr>
            </w:pPr>
          </w:p>
        </w:tc>
      </w:tr>
      <w:tr w14:paraId="41490A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DDE0E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6841A16">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12E1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AE16F06">
            <w:pPr>
              <w:adjustRightInd w:val="0"/>
              <w:snapToGrid w:val="0"/>
              <w:spacing w:line="300" w:lineRule="exact"/>
              <w:jc w:val="center"/>
              <w:rPr>
                <w:rFonts w:ascii="仿宋" w:hAnsi="仿宋" w:eastAsia="仿宋" w:cs="仿宋"/>
                <w:spacing w:val="20"/>
                <w:szCs w:val="21"/>
                <w:highlight w:val="none"/>
              </w:rPr>
            </w:pPr>
          </w:p>
        </w:tc>
      </w:tr>
      <w:tr w14:paraId="18312D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DFA57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A1C6B1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B07D6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0A10EF8">
            <w:pPr>
              <w:adjustRightInd w:val="0"/>
              <w:snapToGrid w:val="0"/>
              <w:spacing w:line="300" w:lineRule="exact"/>
              <w:jc w:val="center"/>
              <w:rPr>
                <w:rFonts w:ascii="仿宋" w:hAnsi="仿宋" w:eastAsia="仿宋" w:cs="仿宋"/>
                <w:spacing w:val="20"/>
                <w:szCs w:val="21"/>
                <w:highlight w:val="none"/>
              </w:rPr>
            </w:pPr>
          </w:p>
        </w:tc>
      </w:tr>
      <w:tr w14:paraId="6E2628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63B57CE">
            <w:pPr>
              <w:pStyle w:val="9"/>
              <w:adjustRightInd w:val="0"/>
              <w:snapToGrid w:val="0"/>
              <w:spacing w:before="156" w:beforeLines="50" w:line="360" w:lineRule="auto"/>
              <w:ind w:left="0"/>
              <w:jc w:val="left"/>
              <w:rPr>
                <w:rFonts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14:paraId="1BCA7C80">
      <w:pPr>
        <w:pStyle w:val="4"/>
        <w:adjustRightInd w:val="0"/>
        <w:snapToGrid w:val="0"/>
        <w:spacing w:before="156" w:beforeLines="50"/>
        <w:jc w:val="center"/>
        <w:rPr>
          <w:rFonts w:hint="default" w:ascii="仿宋" w:hAnsi="仿宋" w:eastAsia="仿宋" w:cs="仿宋"/>
          <w:sz w:val="28"/>
          <w:szCs w:val="28"/>
          <w:highlight w:val="none"/>
        </w:rPr>
      </w:pPr>
      <w:r>
        <w:rPr>
          <w:rFonts w:ascii="仿宋" w:hAnsi="仿宋" w:eastAsia="仿宋" w:cs="仿宋"/>
          <w:sz w:val="21"/>
          <w:szCs w:val="21"/>
          <w:highlight w:val="none"/>
          <w:u w:val="single"/>
        </w:rPr>
        <w:br w:type="page"/>
      </w:r>
      <w:bookmarkStart w:id="17" w:name="_Toc27624"/>
      <w:r>
        <w:rPr>
          <w:rFonts w:ascii="仿宋" w:hAnsi="仿宋" w:eastAsia="仿宋" w:cs="仿宋"/>
          <w:b w:val="0"/>
          <w:bCs w:val="0"/>
          <w:sz w:val="28"/>
          <w:szCs w:val="28"/>
          <w:highlight w:val="none"/>
        </w:rPr>
        <w:t>第二节 政府采购合同通用条款</w:t>
      </w:r>
      <w:bookmarkEnd w:id="17"/>
    </w:p>
    <w:p w14:paraId="0ABAF837">
      <w:pPr>
        <w:tabs>
          <w:tab w:val="left" w:pos="8820"/>
          <w:tab w:val="left" w:pos="9345"/>
          <w:tab w:val="left" w:pos="9765"/>
        </w:tabs>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3F28ECB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35822A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6A6D862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49DF81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szCs w:val="21"/>
          <w:highlight w:val="none"/>
        </w:rPr>
        <w:t>。</w:t>
      </w:r>
    </w:p>
    <w:p w14:paraId="117E644E">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1.2本合同下列术语应解释为：</w:t>
      </w:r>
    </w:p>
    <w:p w14:paraId="7A9244D7">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highlight w:val="none"/>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highlight w:val="none"/>
        </w:rPr>
        <w:t>。</w:t>
      </w:r>
    </w:p>
    <w:p w14:paraId="6E2866AA">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576CF683">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szCs w:val="21"/>
          <w:highlight w:val="none"/>
        </w:rPr>
        <w:t>（3）“货物”系指乙方根据本合同规定须向甲方提供的各种形态和种类的物品，包括原材料、设备、产品（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技术资料和材料等。</w:t>
      </w:r>
    </w:p>
    <w:p w14:paraId="2B58CBC3">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szCs w:val="21"/>
          <w:highlight w:val="none"/>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3B004537">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70831EE">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w:t>
      </w:r>
      <w:r>
        <w:rPr>
          <w:rFonts w:hint="eastAsia" w:ascii="仿宋" w:hAnsi="仿宋" w:eastAsia="仿宋" w:cs="仿宋"/>
          <w:szCs w:val="21"/>
          <w:highlight w:val="none"/>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076A62B">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A9D8CFA">
      <w:pPr>
        <w:numPr>
          <w:ilvl w:val="0"/>
          <w:numId w:val="12"/>
        </w:num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50EFD9DA">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64292DBD">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履行合同的时间、地点和方式及验收</w:t>
      </w:r>
    </w:p>
    <w:p w14:paraId="4AD45C22">
      <w:pPr>
        <w:autoSpaceDE w:val="0"/>
        <w:autoSpaceDN w:val="0"/>
        <w:adjustRightInd w:val="0"/>
        <w:snapToGrid w:val="0"/>
        <w:spacing w:line="400" w:lineRule="exact"/>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3.1 </w:t>
      </w:r>
      <w:r>
        <w:rPr>
          <w:rFonts w:hint="eastAsia" w:ascii="仿宋" w:hAnsi="仿宋" w:eastAsia="仿宋" w:cs="仿宋"/>
          <w:szCs w:val="21"/>
          <w:highlight w:val="none"/>
        </w:rPr>
        <w:t>乙方应当在约定的时间、地点，按照约定方式履行合同。</w:t>
      </w:r>
    </w:p>
    <w:p w14:paraId="7A2B3895">
      <w:pPr>
        <w:adjustRightInd w:val="0"/>
        <w:snapToGrid w:val="0"/>
        <w:spacing w:line="360" w:lineRule="auto"/>
        <w:rPr>
          <w:rFonts w:ascii="仿宋" w:hAnsi="仿宋" w:eastAsia="仿宋" w:cs="仿宋"/>
          <w:color w:val="000000"/>
          <w:sz w:val="24"/>
          <w:highlight w:val="none"/>
          <w:lang w:bidi="ar"/>
        </w:rPr>
      </w:pPr>
    </w:p>
    <w:p w14:paraId="4E17A71A">
      <w:pPr>
        <w:adjustRightInd w:val="0"/>
        <w:snapToGrid w:val="0"/>
        <w:spacing w:line="360" w:lineRule="auto"/>
        <w:rPr>
          <w:rFonts w:ascii="仿宋" w:hAnsi="仿宋" w:eastAsia="仿宋" w:cs="仿宋"/>
          <w:color w:val="000000"/>
          <w:sz w:val="24"/>
          <w:highlight w:val="none"/>
          <w:lang w:bidi="ar"/>
        </w:rPr>
      </w:pPr>
      <w:r>
        <w:rPr>
          <w:rFonts w:hint="eastAsia" w:ascii="仿宋" w:hAnsi="仿宋" w:eastAsia="仿宋" w:cs="仿宋"/>
          <w:color w:val="000000"/>
          <w:sz w:val="24"/>
          <w:highlight w:val="none"/>
          <w:lang w:bidi="ar"/>
        </w:rPr>
        <w:t>4、验收要求：</w:t>
      </w:r>
    </w:p>
    <w:p w14:paraId="6B999518">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4.1 按本需求书的质量要求及验收标准进行验收。</w:t>
      </w:r>
    </w:p>
    <w:p w14:paraId="4E2BCC46">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4.2 双方对质量有争议，如需将货物送至具有资质的质量检测机构检测的，若检测结果合格，检测费用由采购人支付。若检测结果不合格，则检测费用由中标供应商支付，采购人将该批次货物退货，中标供应商除重新配送合格物资外，同时扣除30%当月货款。</w:t>
      </w:r>
    </w:p>
    <w:p w14:paraId="56D01A69">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4.3 合同期内，采购人对货物质量进行日常任意抽查，若发现货物质量（含包装）不合格，中标供应商必对该批次产品作出更换、退货，情节严重的按解除合同等方式处理。</w:t>
      </w:r>
    </w:p>
    <w:p w14:paraId="31CF942A">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w:t>
      </w:r>
      <w:r>
        <w:rPr>
          <w:rFonts w:ascii="仿宋" w:hAnsi="仿宋" w:eastAsia="仿宋" w:cs="仿宋"/>
          <w:kern w:val="2"/>
          <w:sz w:val="24"/>
          <w:szCs w:val="24"/>
          <w:highlight w:val="none"/>
          <w:lang w:bidi="ar"/>
        </w:rPr>
        <w:t>中标供应商的管理要求</w:t>
      </w:r>
    </w:p>
    <w:p w14:paraId="5971DA16">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5.1 </w:t>
      </w:r>
      <w:r>
        <w:rPr>
          <w:rFonts w:ascii="仿宋" w:hAnsi="仿宋" w:eastAsia="仿宋" w:cs="仿宋"/>
          <w:kern w:val="2"/>
          <w:sz w:val="24"/>
          <w:szCs w:val="24"/>
          <w:highlight w:val="none"/>
          <w:lang w:bidi="ar"/>
        </w:rPr>
        <w:t>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03DCC482">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5.2 </w:t>
      </w:r>
      <w:r>
        <w:rPr>
          <w:rFonts w:ascii="仿宋" w:hAnsi="仿宋" w:eastAsia="仿宋" w:cs="仿宋"/>
          <w:kern w:val="2"/>
          <w:sz w:val="24"/>
          <w:szCs w:val="24"/>
          <w:highlight w:val="none"/>
          <w:lang w:bidi="ar"/>
        </w:rPr>
        <w:t>按合同约定的标的供货，中标供应商不得转包、分包，否则采购人有权单方面终止合同，项目另行处理，中标供应商须承担由此造成的经济损失，且履约保证金不退还。</w:t>
      </w:r>
    </w:p>
    <w:p w14:paraId="33E5BAE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5.3 </w:t>
      </w:r>
      <w:r>
        <w:rPr>
          <w:rFonts w:ascii="仿宋" w:hAnsi="仿宋" w:eastAsia="仿宋" w:cs="仿宋"/>
          <w:kern w:val="2"/>
          <w:sz w:val="24"/>
          <w:szCs w:val="24"/>
          <w:highlight w:val="none"/>
          <w:lang w:bidi="ar"/>
        </w:rPr>
        <w:t>中标供应商应严格按合同要求（含品牌、规格、品种、质量等）供应，不得变更供应商品，否则，采购人有权退货。</w:t>
      </w:r>
    </w:p>
    <w:p w14:paraId="4FFBD643">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5.4 </w:t>
      </w:r>
      <w:r>
        <w:rPr>
          <w:rFonts w:ascii="仿宋" w:hAnsi="仿宋" w:eastAsia="仿宋" w:cs="仿宋"/>
          <w:kern w:val="2"/>
          <w:sz w:val="24"/>
          <w:szCs w:val="24"/>
          <w:highlight w:val="none"/>
          <w:lang w:bidi="ar"/>
        </w:rPr>
        <w:t>采购人按合同对商品进行严格验收，对不符合规格要求的商品，供应商必须无条件退货或更换。</w:t>
      </w:r>
    </w:p>
    <w:p w14:paraId="1430DC5E">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5.5 </w:t>
      </w:r>
      <w:r>
        <w:rPr>
          <w:rFonts w:ascii="仿宋" w:hAnsi="仿宋" w:eastAsia="仿宋" w:cs="仿宋"/>
          <w:kern w:val="2"/>
          <w:sz w:val="24"/>
          <w:szCs w:val="24"/>
          <w:highlight w:val="none"/>
          <w:lang w:bidi="ar"/>
        </w:rPr>
        <w:t>中标供应商须按供应商品的销售额开具国家正式发票。</w:t>
      </w:r>
    </w:p>
    <w:p w14:paraId="351BBEF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5.6 </w:t>
      </w:r>
      <w:r>
        <w:rPr>
          <w:rFonts w:ascii="仿宋" w:hAnsi="仿宋" w:eastAsia="仿宋" w:cs="仿宋"/>
          <w:kern w:val="2"/>
          <w:sz w:val="24"/>
          <w:szCs w:val="24"/>
          <w:highlight w:val="none"/>
          <w:lang w:bidi="ar"/>
        </w:rPr>
        <w:t>索赔：</w:t>
      </w:r>
    </w:p>
    <w:p w14:paraId="312FF88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1．经采购人及中标供应商双方现场确认后，采购人对中标供应商供应的食品质量有异议，采购人有权根据有关政府部门的检验结果向中标供应商提出索赔。</w:t>
      </w:r>
    </w:p>
    <w:p w14:paraId="3E37CDEF">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64F8AE1F">
      <w:pPr>
        <w:pStyle w:val="29"/>
        <w:spacing w:line="360" w:lineRule="auto"/>
        <w:ind w:firstLine="0" w:firstLineChars="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2B2952EA">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 甲方的权利和义务</w:t>
      </w:r>
    </w:p>
    <w:p w14:paraId="0A0EEAE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6.1 签署合同后，甲方应确定项目负责人（或项目联系人），负责与本合同有关的事务。甲方有权对乙方的履约行为进行检查，并及时确认乙方提交的事项。甲方应当配合乙方完成相关项目实施工作。</w:t>
      </w:r>
    </w:p>
    <w:p w14:paraId="42923739">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6.2 甲方有权要求乙方按时提交各阶段有关安排计划，并有权定期核对乙方提供货物数量、规格、质量等内容。甲方有权督促乙方工作并要求乙方更换不符合要求的货物。</w:t>
      </w:r>
    </w:p>
    <w:p w14:paraId="18499C84">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6.3 甲方有权要求乙方对缺陷部分予以修复，并按合同约定享有货物保修及其他合同约定的权利。</w:t>
      </w:r>
    </w:p>
    <w:p w14:paraId="369C9EA7">
      <w:pPr>
        <w:snapToGrid w:val="0"/>
        <w:spacing w:line="400" w:lineRule="exact"/>
        <w:ind w:firstLine="420" w:firstLineChars="200"/>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6.4 甲方应当按照合同约定及时对交付的货物进行验收，</w:t>
      </w:r>
      <w:r>
        <w:rPr>
          <w:rFonts w:hint="eastAsia" w:ascii="仿宋" w:hAnsi="仿宋" w:eastAsia="仿宋" w:cs="仿宋"/>
          <w:szCs w:val="21"/>
          <w:highlight w:val="none"/>
        </w:rPr>
        <w:t>未</w:t>
      </w:r>
      <w:r>
        <w:rPr>
          <w:rFonts w:hint="eastAsia" w:ascii="仿宋" w:hAnsi="仿宋" w:eastAsia="仿宋" w:cs="仿宋"/>
          <w:color w:val="000000" w:themeColor="text1"/>
          <w:szCs w:val="21"/>
          <w:highlight w:val="none"/>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w:t>
      </w:r>
      <w:r>
        <w:rPr>
          <w:rFonts w:hint="eastAsia" w:ascii="仿宋" w:hAnsi="仿宋" w:eastAsia="仿宋" w:cs="仿宋"/>
          <w:color w:val="000000" w:themeColor="text1"/>
          <w:szCs w:val="21"/>
          <w:highlight w:val="none"/>
          <w14:textFill>
            <w14:solidFill>
              <w14:schemeClr w14:val="tx1"/>
            </w14:solidFill>
          </w14:textFill>
        </w:rPr>
        <w:t>视为验收通过。</w:t>
      </w:r>
    </w:p>
    <w:p w14:paraId="4062C21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6.5 甲方应当根据合同约定及时向乙方支付合同价款，不得以内部人员变更、履行内部付款流程等为由，拒绝或迟延支付。</w:t>
      </w:r>
    </w:p>
    <w:p w14:paraId="7B276821">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约定应由甲方承担的其他义务和责任。</w:t>
      </w:r>
    </w:p>
    <w:p w14:paraId="12EE576C">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7. 乙方的权利和义务</w:t>
      </w:r>
    </w:p>
    <w:p w14:paraId="467BF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7.1 签署合同后，乙方应确定项目负责人（或项目联系人），负责与本合同有关的事务。</w:t>
      </w:r>
    </w:p>
    <w:p w14:paraId="7939394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36CC611">
      <w:pPr>
        <w:pStyle w:val="8"/>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.3乙方有权根据合同约定向甲方收取合同价款。</w:t>
      </w:r>
    </w:p>
    <w:p w14:paraId="1B506CF8">
      <w:pPr>
        <w:pStyle w:val="8"/>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4D48F26F">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8.合同履行</w:t>
      </w:r>
    </w:p>
    <w:p w14:paraId="3FFF0C7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6A5A5B7C">
      <w:pPr>
        <w:autoSpaceDE w:val="0"/>
        <w:autoSpaceDN w:val="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8.2 甲乙双方按照合同约定顺序履行合同义务时，应当先履行一方未履行的，后履行一方有权拒绝其履行请求。先履行一方履行不符合约定的，后履行一方有权拒绝其相应的履行请求。</w:t>
      </w:r>
    </w:p>
    <w:p w14:paraId="6033C116">
      <w:pPr>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9. 货物包装、运输、保险和交付要求</w:t>
      </w:r>
    </w:p>
    <w:p w14:paraId="18433B6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9.1 本合同</w:t>
      </w:r>
      <w:r>
        <w:rPr>
          <w:rFonts w:hint="eastAsia" w:ascii="仿宋" w:hAnsi="仿宋" w:eastAsia="仿宋" w:cs="仿宋"/>
          <w:bCs/>
          <w:color w:val="000000" w:themeColor="text1"/>
          <w:szCs w:val="21"/>
          <w:highlight w:val="none"/>
          <w14:textFill>
            <w14:solidFill>
              <w14:schemeClr w14:val="tx1"/>
            </w14:solidFill>
          </w14:textFill>
        </w:rPr>
        <w:t>涉及商品包装、快递包装的，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4EDD39FC">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乙方负责办理将货物运抵本合同规定的交货地点，并装卸、交付至甲方的一切运输事项，相关费用应包含在合同价款中。</w:t>
      </w:r>
    </w:p>
    <w:p w14:paraId="7FF32161">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6F46D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0DD300">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9.5 </w:t>
      </w:r>
      <w:r>
        <w:rPr>
          <w:rFonts w:hint="eastAsia" w:ascii="仿宋" w:hAnsi="仿宋" w:eastAsia="仿宋" w:cs="仿宋"/>
          <w:color w:val="000000"/>
          <w:szCs w:val="21"/>
          <w:highlight w:val="none"/>
        </w:rPr>
        <w:t>乙方在运输到达之前应提前通知甲方，并提示货物运输装卸的注意事项，甲方配合乙方做好货物的接收工作。</w:t>
      </w:r>
    </w:p>
    <w:p w14:paraId="3401696D">
      <w:pPr>
        <w:pStyle w:val="29"/>
        <w:ind w:firstLine="420"/>
        <w:rPr>
          <w:rFonts w:ascii="仿宋" w:hAnsi="仿宋" w:eastAsia="仿宋" w:cs="仿宋"/>
          <w:sz w:val="21"/>
          <w:highlight w:val="none"/>
        </w:rPr>
      </w:pPr>
      <w:r>
        <w:rPr>
          <w:rFonts w:hint="eastAsia" w:ascii="仿宋" w:hAnsi="仿宋" w:eastAsia="仿宋" w:cs="仿宋"/>
          <w:color w:val="000000" w:themeColor="text1"/>
          <w:kern w:val="2"/>
          <w:sz w:val="21"/>
          <w:highlight w:val="none"/>
          <w14:textFill>
            <w14:solidFill>
              <w14:schemeClr w14:val="tx1"/>
            </w14:solidFill>
          </w14:textFill>
        </w:rPr>
        <w:t xml:space="preserve">9.6 </w:t>
      </w:r>
      <w:r>
        <w:rPr>
          <w:rFonts w:hint="eastAsia" w:ascii="仿宋" w:hAnsi="仿宋" w:eastAsia="仿宋" w:cs="仿宋"/>
          <w:color w:val="000000"/>
          <w:kern w:val="2"/>
          <w:sz w:val="21"/>
          <w:highlight w:val="none"/>
        </w:rPr>
        <w:t>如因包装、运输问题导致货物</w:t>
      </w:r>
      <w:r>
        <w:rPr>
          <w:rFonts w:hint="eastAsia" w:ascii="仿宋" w:hAnsi="仿宋" w:eastAsia="仿宋" w:cs="仿宋"/>
          <w:color w:val="000000" w:themeColor="text1"/>
          <w:kern w:val="2"/>
          <w:sz w:val="21"/>
          <w:highlight w:val="none"/>
          <w14:textFill>
            <w14:solidFill>
              <w14:schemeClr w14:val="tx1"/>
            </w14:solidFill>
          </w14:textFill>
        </w:rPr>
        <w:t>损毁、丢失</w:t>
      </w:r>
      <w:r>
        <w:rPr>
          <w:rFonts w:hint="eastAsia" w:ascii="仿宋" w:hAnsi="仿宋" w:eastAsia="仿宋" w:cs="仿宋"/>
          <w:color w:val="000000"/>
          <w:kern w:val="2"/>
          <w:sz w:val="21"/>
          <w:highlight w:val="none"/>
        </w:rPr>
        <w:t>或者品质下降，甲方有权要求降价、换货、拒收部分或整批货物，由此产生的费用和损失，均由乙方承担。</w:t>
      </w:r>
    </w:p>
    <w:p w14:paraId="7767A9A6">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color w:val="000000" w:themeColor="text1"/>
          <w:sz w:val="24"/>
          <w:highlight w:val="none"/>
          <w14:textFill>
            <w14:solidFill>
              <w14:schemeClr w14:val="tx1"/>
            </w14:solidFill>
          </w14:textFill>
        </w:rPr>
        <w:t xml:space="preserve">10. </w:t>
      </w:r>
      <w:r>
        <w:rPr>
          <w:rFonts w:hint="eastAsia" w:ascii="仿宋" w:hAnsi="仿宋" w:eastAsia="仿宋" w:cs="仿宋"/>
          <w:b/>
          <w:sz w:val="24"/>
          <w:highlight w:val="none"/>
        </w:rPr>
        <w:t>质量标准和保证</w:t>
      </w:r>
    </w:p>
    <w:p w14:paraId="339DAA6F">
      <w:pPr>
        <w:pStyle w:val="11"/>
        <w:adjustRightInd w:val="0"/>
        <w:snapToGrid w:val="0"/>
        <w:spacing w:line="400" w:lineRule="exact"/>
        <w:ind w:firstLine="420" w:firstLineChars="200"/>
        <w:jc w:val="left"/>
        <w:rPr>
          <w:rFonts w:ascii="仿宋" w:hAnsi="仿宋" w:eastAsia="仿宋" w:cs="仿宋"/>
          <w:b/>
          <w:highlight w:val="none"/>
        </w:rPr>
      </w:pPr>
      <w:r>
        <w:rPr>
          <w:rFonts w:hint="eastAsia" w:ascii="仿宋" w:hAnsi="仿宋" w:eastAsia="仿宋" w:cs="仿宋"/>
          <w:highlight w:val="none"/>
        </w:rPr>
        <w:t>10.1 质量标准</w:t>
      </w:r>
    </w:p>
    <w:p w14:paraId="33D790B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（1）本合同下提供的货物应符合合同</w:t>
      </w:r>
      <w:r>
        <w:rPr>
          <w:rFonts w:hint="eastAsia" w:ascii="仿宋" w:hAnsi="仿宋" w:eastAsia="仿宋" w:cs="仿宋"/>
          <w:color w:val="000000"/>
          <w:szCs w:val="21"/>
          <w:highlight w:val="none"/>
        </w:rPr>
        <w:t>约定的</w:t>
      </w:r>
      <w:r>
        <w:rPr>
          <w:rFonts w:hint="eastAsia" w:ascii="仿宋" w:hAnsi="仿宋" w:eastAsia="仿宋" w:cs="仿宋"/>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D5243B0">
      <w:pPr>
        <w:pStyle w:val="11"/>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highlight w:val="none"/>
        </w:rPr>
        <w:t>（2）采用中华人民共和国法定计量单位。</w:t>
      </w:r>
    </w:p>
    <w:p w14:paraId="74DE212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6C53D8E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2D5926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10.2 保证</w:t>
      </w:r>
    </w:p>
    <w:p w14:paraId="1075678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2483865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0BBFE8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3F60DCC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szCs w:val="21"/>
          <w:highlight w:val="none"/>
        </w:rPr>
        <w:t>.1条规定以书面形式</w:t>
      </w:r>
      <w:r>
        <w:rPr>
          <w:rFonts w:hint="eastAsia" w:ascii="仿宋" w:hAnsi="仿宋" w:eastAsia="仿宋" w:cs="仿宋"/>
          <w:color w:val="000000" w:themeColor="text1"/>
          <w:szCs w:val="21"/>
          <w:highlight w:val="none"/>
          <w14:textFill>
            <w14:solidFill>
              <w14:schemeClr w14:val="tx1"/>
            </w14:solidFill>
          </w14:textFill>
        </w:rPr>
        <w:t>追究</w:t>
      </w:r>
      <w:r>
        <w:rPr>
          <w:rFonts w:hint="eastAsia" w:ascii="仿宋" w:hAnsi="仿宋" w:eastAsia="仿宋" w:cs="仿宋"/>
          <w:szCs w:val="21"/>
          <w:highlight w:val="none"/>
        </w:rPr>
        <w:t>乙方</w:t>
      </w:r>
      <w:r>
        <w:rPr>
          <w:rFonts w:hint="eastAsia" w:ascii="仿宋" w:hAnsi="仿宋" w:eastAsia="仿宋" w:cs="仿宋"/>
          <w:color w:val="000000" w:themeColor="text1"/>
          <w:szCs w:val="21"/>
          <w:highlight w:val="none"/>
          <w14:textFill>
            <w14:solidFill>
              <w14:schemeClr w14:val="tx1"/>
            </w14:solidFill>
          </w14:textFill>
        </w:rPr>
        <w:t>的违约责任</w:t>
      </w:r>
      <w:r>
        <w:rPr>
          <w:rFonts w:hint="eastAsia" w:ascii="仿宋" w:hAnsi="仿宋" w:eastAsia="仿宋" w:cs="仿宋"/>
          <w:szCs w:val="21"/>
          <w:highlight w:val="none"/>
        </w:rPr>
        <w:t>。</w:t>
      </w:r>
    </w:p>
    <w:p w14:paraId="0EA87003">
      <w:pPr>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103A4176">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11.</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sz w:val="24"/>
          <w:highlight w:val="none"/>
        </w:rPr>
        <w:t>权利瑕疵担保</w:t>
      </w:r>
    </w:p>
    <w:p w14:paraId="32D4120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11.1 乙方保证对其出售的货物享有合法的权利。</w:t>
      </w:r>
    </w:p>
    <w:p w14:paraId="6D6DE19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11.2 </w:t>
      </w:r>
      <w:r>
        <w:rPr>
          <w:rFonts w:hint="eastAsia" w:ascii="仿宋" w:hAnsi="仿宋" w:eastAsia="仿宋" w:cs="仿宋"/>
          <w:szCs w:val="15"/>
          <w:highlight w:val="none"/>
        </w:rPr>
        <w:t>乙方保证在交付的货物上不存在抵押权等担保物权。</w:t>
      </w:r>
    </w:p>
    <w:p w14:paraId="33D3CEC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11.3 如甲方使用上述货物构成对第三人侵权的，则由乙方承担全部责任。</w:t>
      </w:r>
    </w:p>
    <w:p w14:paraId="33BB7453">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12. 知识产权保护</w:t>
      </w:r>
    </w:p>
    <w:p w14:paraId="776D842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12.1 乙方对其所销售的货物应当享有知识产权或经权利人合法授权，保证没有侵犯任</w:t>
      </w:r>
      <w:r>
        <w:rPr>
          <w:rFonts w:hint="eastAsia" w:ascii="仿宋" w:hAnsi="仿宋" w:eastAsia="仿宋" w:cs="仿宋"/>
          <w:szCs w:val="21"/>
          <w:highlight w:val="none"/>
        </w:rPr>
        <w:t>何第三人的知识产权等权利。</w:t>
      </w:r>
      <w:bookmarkStart w:id="18"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18"/>
      <w:r>
        <w:rPr>
          <w:rFonts w:hint="eastAsia" w:ascii="仿宋" w:hAnsi="仿宋" w:eastAsia="仿宋" w:cs="仿宋"/>
          <w:szCs w:val="21"/>
          <w:highlight w:val="none"/>
        </w:rPr>
        <w:t>。</w:t>
      </w:r>
    </w:p>
    <w:p w14:paraId="08F4F92D">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13. 保密义务</w:t>
      </w:r>
    </w:p>
    <w:p w14:paraId="27B2700A">
      <w:pPr>
        <w:autoSpaceDE w:val="0"/>
        <w:autoSpaceDN w:val="0"/>
        <w:adjustRightInd w:val="0"/>
        <w:snapToGrid w:val="0"/>
        <w:spacing w:line="400" w:lineRule="exact"/>
        <w:ind w:firstLine="420" w:firstLineChars="200"/>
        <w:jc w:val="left"/>
        <w:rPr>
          <w:rFonts w:ascii="仿宋" w:hAnsi="仿宋" w:eastAsia="仿宋" w:cs="仿宋"/>
          <w:szCs w:val="15"/>
          <w:highlight w:val="none"/>
        </w:rPr>
      </w:pPr>
      <w:r>
        <w:rPr>
          <w:rFonts w:hint="eastAsia" w:ascii="仿宋" w:hAnsi="仿宋" w:eastAsia="仿宋" w:cs="仿宋"/>
          <w:szCs w:val="15"/>
          <w:highlight w:val="none"/>
        </w:rPr>
        <w:t>13.1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1208357E">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14. 合同价款支付</w:t>
      </w:r>
    </w:p>
    <w:p w14:paraId="35B7149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14.1 合同价款支付按照国库集中支付制度及财政管理相关规定执行。</w:t>
      </w:r>
    </w:p>
    <w:p w14:paraId="2D8B2264">
      <w:pPr>
        <w:pStyle w:val="4"/>
        <w:spacing w:line="400" w:lineRule="exact"/>
        <w:ind w:firstLine="420" w:firstLineChars="200"/>
        <w:rPr>
          <w:rFonts w:hint="default" w:ascii="仿宋" w:hAnsi="仿宋" w:eastAsia="仿宋" w:cs="仿宋"/>
          <w:highlight w:val="none"/>
        </w:rPr>
      </w:pPr>
      <w:r>
        <w:rPr>
          <w:rFonts w:ascii="仿宋" w:hAnsi="仿宋" w:eastAsia="仿宋" w:cs="仿宋"/>
          <w:b w:val="0"/>
          <w:bCs w:val="0"/>
          <w:sz w:val="21"/>
          <w:szCs w:val="21"/>
          <w:highlight w:val="none"/>
        </w:rPr>
        <w:t xml:space="preserve">14.2 </w:t>
      </w:r>
      <w:r>
        <w:rPr>
          <w:rFonts w:ascii="仿宋" w:hAnsi="仿宋" w:eastAsia="仿宋" w:cs="仿宋"/>
          <w:b w:val="0"/>
          <w:bCs w:val="0"/>
          <w:kern w:val="2"/>
          <w:sz w:val="21"/>
          <w:szCs w:val="21"/>
          <w:highlight w:val="none"/>
        </w:rPr>
        <w:t>对于满足合同约定支付条件的，甲方</w:t>
      </w:r>
      <w:r>
        <w:rPr>
          <w:rFonts w:ascii="仿宋" w:hAnsi="仿宋" w:eastAsia="仿宋" w:cs="仿宋"/>
          <w:b w:val="0"/>
          <w:bCs w:val="0"/>
          <w:sz w:val="21"/>
          <w:szCs w:val="21"/>
          <w:highlight w:val="none"/>
        </w:rPr>
        <w:t>原则上应当自收到发票后10个工作日内</w:t>
      </w:r>
      <w:r>
        <w:rPr>
          <w:rFonts w:ascii="仿宋" w:hAnsi="仿宋" w:eastAsia="仿宋" w:cs="仿宋"/>
          <w:b w:val="0"/>
          <w:bCs w:val="0"/>
          <w:kern w:val="2"/>
          <w:sz w:val="21"/>
          <w:szCs w:val="21"/>
          <w:highlight w:val="none"/>
        </w:rPr>
        <w:t>将资金支付到合同约定的乙方账户，不得以机构变动、人员更替、政策调整等为由迟延付款，不得将采购文件和合同中未规定的义务作为向乙方付款的条件。具体合同价款支付时间在【</w:t>
      </w:r>
      <w:r>
        <w:rPr>
          <w:rFonts w:ascii="仿宋" w:hAnsi="仿宋" w:eastAsia="仿宋" w:cs="仿宋"/>
          <w:kern w:val="2"/>
          <w:sz w:val="21"/>
          <w:szCs w:val="21"/>
          <w:highlight w:val="none"/>
        </w:rPr>
        <w:t>政府采购合同专用条款</w:t>
      </w:r>
      <w:r>
        <w:rPr>
          <w:rFonts w:ascii="仿宋" w:hAnsi="仿宋" w:eastAsia="仿宋" w:cs="仿宋"/>
          <w:b w:val="0"/>
          <w:bCs w:val="0"/>
          <w:kern w:val="2"/>
          <w:sz w:val="21"/>
          <w:szCs w:val="21"/>
          <w:highlight w:val="none"/>
        </w:rPr>
        <w:t>】中约定。</w:t>
      </w:r>
    </w:p>
    <w:p w14:paraId="68EFCDBD">
      <w:pPr>
        <w:pStyle w:val="8"/>
        <w:spacing w:line="400" w:lineRule="exact"/>
        <w:rPr>
          <w:rFonts w:ascii="仿宋" w:hAnsi="仿宋" w:eastAsia="仿宋" w:cs="仿宋"/>
          <w:b/>
          <w:bCs/>
          <w:highlight w:val="none"/>
        </w:rPr>
      </w:pPr>
      <w:r>
        <w:rPr>
          <w:rFonts w:hint="eastAsia" w:ascii="仿宋" w:hAnsi="仿宋" w:eastAsia="仿宋" w:cs="仿宋"/>
          <w:b/>
          <w:bCs/>
          <w:highlight w:val="none"/>
        </w:rPr>
        <w:t>1</w:t>
      </w:r>
      <w:r>
        <w:rPr>
          <w:rFonts w:hint="eastAsia" w:ascii="仿宋" w:hAnsi="仿宋" w:eastAsia="仿宋" w:cs="仿宋"/>
          <w:b/>
          <w:bCs/>
          <w:highlight w:val="none"/>
          <w:lang w:val="en-US"/>
        </w:rPr>
        <w:t>5</w:t>
      </w:r>
      <w:r>
        <w:rPr>
          <w:rFonts w:hint="eastAsia" w:ascii="仿宋" w:hAnsi="仿宋" w:eastAsia="仿宋" w:cs="仿宋"/>
          <w:b/>
          <w:bCs/>
          <w:highlight w:val="none"/>
        </w:rPr>
        <w:t>.</w:t>
      </w:r>
      <w:r>
        <w:rPr>
          <w:rFonts w:hint="eastAsia" w:ascii="仿宋" w:hAnsi="仿宋" w:eastAsia="仿宋" w:cs="仿宋"/>
          <w:b/>
          <w:bCs/>
          <w:highlight w:val="none"/>
          <w:lang w:val="en-US"/>
        </w:rPr>
        <w:t xml:space="preserve"> </w:t>
      </w:r>
      <w:r>
        <w:rPr>
          <w:rFonts w:hint="eastAsia" w:ascii="仿宋" w:hAnsi="仿宋" w:eastAsia="仿宋" w:cs="仿宋"/>
          <w:b/>
          <w:bCs/>
          <w:highlight w:val="none"/>
        </w:rPr>
        <w:t>履约保证金</w:t>
      </w:r>
    </w:p>
    <w:p w14:paraId="3577C37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15.1 </w:t>
      </w:r>
      <w:r>
        <w:rPr>
          <w:rFonts w:hint="eastAsia" w:ascii="仿宋" w:hAnsi="仿宋" w:eastAsia="仿宋" w:cs="仿宋"/>
          <w:szCs w:val="15"/>
          <w:highlight w:val="none"/>
        </w:rPr>
        <w:t>乙方应当以支票、汇票、本票或者金融机构、担保机构出具的保函等非现金形式提交。</w:t>
      </w:r>
    </w:p>
    <w:p w14:paraId="22A28918">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15.2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31055A3">
      <w:pPr>
        <w:spacing w:line="400" w:lineRule="exact"/>
        <w:ind w:firstLine="420"/>
        <w:rPr>
          <w:rFonts w:ascii="仿宋" w:hAnsi="仿宋" w:eastAsia="仿宋" w:cs="仿宋"/>
          <w:highlight w:val="none"/>
        </w:rPr>
      </w:pPr>
      <w:r>
        <w:rPr>
          <w:rFonts w:hint="eastAsia" w:ascii="仿宋" w:hAnsi="仿宋" w:eastAsia="仿宋" w:cs="仿宋"/>
          <w:szCs w:val="21"/>
          <w:highlight w:val="none"/>
        </w:rPr>
        <w:t>15.3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589FACFB">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bCs/>
          <w:sz w:val="24"/>
          <w:highlight w:val="none"/>
        </w:rPr>
        <w:t xml:space="preserve">16. </w:t>
      </w:r>
      <w:r>
        <w:rPr>
          <w:rFonts w:hint="eastAsia" w:ascii="仿宋" w:hAnsi="仿宋" w:eastAsia="仿宋" w:cs="仿宋"/>
          <w:b/>
          <w:sz w:val="24"/>
          <w:highlight w:val="none"/>
        </w:rPr>
        <w:t>售后服务</w:t>
      </w:r>
    </w:p>
    <w:p w14:paraId="3350570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16.1 除项目不涉及或采购活动中明确约定无须承担外，乙方还应提供下列服务：</w:t>
      </w:r>
    </w:p>
    <w:p w14:paraId="5F613E0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3A5F064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172AC61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43F44B1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499DB049">
      <w:pPr>
        <w:pStyle w:val="29"/>
        <w:ind w:firstLine="420"/>
        <w:rPr>
          <w:rFonts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3858B9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58A1322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16.2 乙方提供的售后服务的费用已包含在合同价款中，甲方不再另行支付。</w:t>
      </w:r>
    </w:p>
    <w:p w14:paraId="129E0B73">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17. 违约责任</w:t>
      </w:r>
    </w:p>
    <w:p w14:paraId="6D39F65F">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17.1质量瑕疵的违约责任</w:t>
      </w:r>
    </w:p>
    <w:p w14:paraId="538D9EA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32F609DA">
      <w:pPr>
        <w:autoSpaceDE w:val="0"/>
        <w:autoSpaceDN w:val="0"/>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17.2 迟延交货的违约责任</w:t>
      </w:r>
    </w:p>
    <w:p w14:paraId="528072F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7F881D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7FFDD63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17.3 迟延支付的违约责任</w:t>
      </w:r>
    </w:p>
    <w:p w14:paraId="207C53D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2496B7DB">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bCs/>
          <w:szCs w:val="21"/>
          <w:highlight w:val="none"/>
        </w:rPr>
        <w:t>17.4其他违约责任根据项目实际需要按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2DE5033A">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18.合同变更、中止与终止</w:t>
      </w:r>
    </w:p>
    <w:p w14:paraId="10302FF7">
      <w:pPr>
        <w:adjustRightInd w:val="0"/>
        <w:snapToGrid w:val="0"/>
        <w:spacing w:line="400" w:lineRule="exact"/>
        <w:jc w:val="left"/>
        <w:rPr>
          <w:rFonts w:ascii="仿宋" w:hAnsi="仿宋" w:eastAsia="仿宋" w:cs="仿宋"/>
          <w:szCs w:val="21"/>
          <w:highlight w:val="none"/>
        </w:rPr>
      </w:pPr>
      <w:r>
        <w:rPr>
          <w:rFonts w:hint="eastAsia" w:ascii="仿宋" w:hAnsi="仿宋" w:eastAsia="仿宋" w:cs="仿宋"/>
          <w:szCs w:val="21"/>
          <w:highlight w:val="none"/>
        </w:rPr>
        <w:t xml:space="preserve">    18.1合同的变更</w:t>
      </w:r>
    </w:p>
    <w:p w14:paraId="4352E1E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6175757A">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18.2合同的中止</w:t>
      </w:r>
    </w:p>
    <w:p w14:paraId="7923574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06EC644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09E6B88">
      <w:pPr>
        <w:pStyle w:val="29"/>
        <w:ind w:firstLine="420"/>
        <w:jc w:val="both"/>
        <w:rPr>
          <w:rFonts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752B982">
      <w:pPr>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1D5D3380">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18.3合同的终止</w:t>
      </w:r>
    </w:p>
    <w:p w14:paraId="1FBBA348">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（1）合同因有效期限届满而终止；</w:t>
      </w:r>
    </w:p>
    <w:p w14:paraId="24CB6EFB">
      <w:pPr>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1D5085C7">
      <w:pPr>
        <w:pStyle w:val="29"/>
        <w:rPr>
          <w:rFonts w:ascii="仿宋" w:hAnsi="仿宋" w:eastAsia="仿宋" w:cs="仿宋"/>
          <w:highlight w:val="none"/>
        </w:rPr>
      </w:pPr>
      <w:r>
        <w:rPr>
          <w:rFonts w:hint="eastAsia" w:ascii="仿宋" w:hAnsi="仿宋" w:eastAsia="仿宋" w:cs="仿宋"/>
          <w:highlight w:val="none"/>
        </w:rPr>
        <w:t xml:space="preserve">18.4 </w:t>
      </w:r>
      <w:r>
        <w:rPr>
          <w:rFonts w:hint="eastAsia" w:ascii="仿宋" w:hAnsi="仿宋" w:eastAsia="仿宋" w:cs="仿宋"/>
          <w:kern w:val="2"/>
          <w:sz w:val="21"/>
          <w:highlight w:val="none"/>
        </w:rPr>
        <w:t>涉及国家利益、社会公共利益的情形</w:t>
      </w:r>
    </w:p>
    <w:p w14:paraId="7BA8671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4C5EB3C1">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19. 合同分包</w:t>
      </w:r>
    </w:p>
    <w:p w14:paraId="050ECDD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19.1 乙方不得将合同转包给其他供应商。涉及合同分包的，乙方应根据采购文件和投标（响应）文件规定进行合同分包。</w:t>
      </w:r>
    </w:p>
    <w:p w14:paraId="455C516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19.2 乙方执行政府采购政策向中小企业依法分包的，乙方应当按采购文件和投标（响应）文件签订分包意向协议，分包意向协议属于本合同组成部分。</w:t>
      </w:r>
    </w:p>
    <w:p w14:paraId="753EDE35">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20. 不可抗力</w:t>
      </w:r>
    </w:p>
    <w:p w14:paraId="78847C2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20.1 不可抗力是指合同双方不能预见、不能避免且不能克服的客观情况。</w:t>
      </w:r>
    </w:p>
    <w:p w14:paraId="1602E70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20.2 任何一方对由于不可抗力造成的部分或全部不能履行合同不承担违约责任。但迟延履行后发生不可抗力的，不能免除责任。</w:t>
      </w:r>
    </w:p>
    <w:p w14:paraId="5246FC6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9361D9C">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21. 解决争议的方法</w:t>
      </w:r>
    </w:p>
    <w:p w14:paraId="4E33D21E">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21.1 因本合同及合同有关事项发生的争议，由甲乙双方友好协商解决。协商不成时，可以向有关组织申请调解。合同一方或双方不愿调解或调解不成的，可以通过仲裁或诉讼的方式解决争议。</w:t>
      </w:r>
    </w:p>
    <w:p w14:paraId="6C62547D">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0A9CE0D3">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21.3 如甲乙双方有争议的事项不影响合同其他部分的履行，在争议解决期间，合同其他部分应当继续履行。</w:t>
      </w:r>
    </w:p>
    <w:p w14:paraId="5E33D8AC">
      <w:pPr>
        <w:autoSpaceDE w:val="0"/>
        <w:autoSpaceDN w:val="0"/>
        <w:adjustRightInd w:val="0"/>
        <w:snapToGrid w:val="0"/>
        <w:spacing w:line="400" w:lineRule="exact"/>
        <w:jc w:val="left"/>
        <w:rPr>
          <w:rFonts w:ascii="仿宋" w:hAnsi="仿宋" w:eastAsia="仿宋" w:cs="仿宋"/>
          <w:sz w:val="24"/>
          <w:highlight w:val="none"/>
        </w:rPr>
      </w:pPr>
      <w:r>
        <w:rPr>
          <w:rFonts w:hint="eastAsia" w:ascii="仿宋" w:hAnsi="仿宋" w:eastAsia="仿宋" w:cs="仿宋"/>
          <w:b/>
          <w:sz w:val="24"/>
          <w:highlight w:val="none"/>
        </w:rPr>
        <w:t>22. 政府采购政策</w:t>
      </w:r>
    </w:p>
    <w:p w14:paraId="3152AB0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22.1 </w:t>
      </w:r>
      <w:r>
        <w:rPr>
          <w:rFonts w:hint="eastAsia" w:ascii="仿宋" w:hAnsi="仿宋" w:eastAsia="仿宋" w:cs="仿宋"/>
          <w:highlight w:val="none"/>
          <w:lang w:val="en-GB"/>
        </w:rPr>
        <w:t>本合同应当按照规定执行政府采购政策。</w:t>
      </w:r>
    </w:p>
    <w:p w14:paraId="452A5E0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4368B893">
      <w:pPr>
        <w:pStyle w:val="8"/>
        <w:spacing w:line="400" w:lineRule="exact"/>
        <w:ind w:firstLine="480" w:firstLineChars="200"/>
        <w:rPr>
          <w:rFonts w:ascii="仿宋" w:hAnsi="仿宋" w:eastAsia="仿宋" w:cs="仿宋"/>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val="en-US"/>
        </w:rPr>
        <w:t>2</w:t>
      </w: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6EE56E">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23. 法律适用</w:t>
      </w:r>
    </w:p>
    <w:p w14:paraId="587B51EC">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23.1 本合同的订立、生效、解释、履行及与本合同有关的争议解决，均适用法律、行政法规。</w:t>
      </w:r>
    </w:p>
    <w:p w14:paraId="72DDE85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23.2 本合同条款与法律、行政法规的强制性规定不一致的，双方当事人应按照法律、行政法规的强制性规定修改本合同的相关条款。</w:t>
      </w:r>
    </w:p>
    <w:p w14:paraId="697DE02F">
      <w:pPr>
        <w:numPr>
          <w:ilvl w:val="255"/>
          <w:numId w:val="0"/>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24. 通知</w:t>
      </w:r>
    </w:p>
    <w:p w14:paraId="2F43EB80">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24.1 本合同任何一方向对方发出的通知、信件、数据电文等，应当发送至本合同第一部分《政府采购合同协议书》所约定的通讯地址、联系人、联系电话或电子邮箱。</w:t>
      </w:r>
    </w:p>
    <w:p w14:paraId="666EEA4B">
      <w:pPr>
        <w:pStyle w:val="29"/>
        <w:ind w:firstLine="0" w:firstLineChars="0"/>
        <w:jc w:val="both"/>
        <w:rPr>
          <w:rFonts w:ascii="仿宋" w:hAnsi="仿宋" w:eastAsia="仿宋" w:cs="仿宋"/>
          <w:sz w:val="21"/>
          <w:highlight w:val="none"/>
        </w:rPr>
      </w:pPr>
      <w:r>
        <w:rPr>
          <w:rFonts w:hint="eastAsia" w:ascii="仿宋" w:hAnsi="仿宋" w:eastAsia="仿宋" w:cs="仿宋"/>
          <w:sz w:val="21"/>
          <w:highlight w:val="none"/>
        </w:rPr>
        <w:t xml:space="preserve">    24.2 一方当事人变更名称、住所、联系人、联系电话或电子邮箱等信息的，应当在变更后3日内及时书面通知对方，对方实际收到变更通知前的送达仍为有效送达。</w:t>
      </w:r>
    </w:p>
    <w:p w14:paraId="1E1CBC9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24.3本合同一方给另一方的通知均应采用书面形式，传真或快递送到本合同中规定的对方的地址和办理签收手续。</w:t>
      </w:r>
    </w:p>
    <w:p w14:paraId="02440A16">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24.4通知以送达之日或通知书中规定的生效之日起生效，两者中以较迟之日为准。</w:t>
      </w:r>
    </w:p>
    <w:p w14:paraId="25B24289">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25.合同未尽事项</w:t>
      </w:r>
    </w:p>
    <w:p w14:paraId="5AD3F33E">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25.1合同未尽事项见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617D2FD5">
      <w:pPr>
        <w:adjustRightInd w:val="0"/>
        <w:snapToGrid w:val="0"/>
        <w:spacing w:line="400" w:lineRule="exact"/>
        <w:jc w:val="left"/>
        <w:rPr>
          <w:rFonts w:ascii="仿宋" w:hAnsi="仿宋" w:eastAsia="仿宋" w:cs="仿宋"/>
          <w:sz w:val="28"/>
          <w:szCs w:val="28"/>
          <w:highlight w:val="none"/>
        </w:rPr>
      </w:pPr>
      <w:r>
        <w:rPr>
          <w:rFonts w:hint="eastAsia" w:ascii="仿宋" w:hAnsi="仿宋" w:eastAsia="仿宋" w:cs="仿宋"/>
          <w:bCs/>
          <w:szCs w:val="21"/>
          <w:highlight w:val="none"/>
        </w:rPr>
        <w:t xml:space="preserve">    25.2 合同附件与合同正文具有同等的法律效力。</w:t>
      </w:r>
      <w:bookmarkStart w:id="19" w:name="_Toc20313"/>
      <w:r>
        <w:rPr>
          <w:rFonts w:hint="eastAsia" w:ascii="黑体" w:hAnsi="华文中宋" w:eastAsia="黑体"/>
          <w:sz w:val="28"/>
          <w:szCs w:val="28"/>
          <w:highlight w:val="none"/>
        </w:rPr>
        <w:br w:type="page"/>
      </w:r>
    </w:p>
    <w:p w14:paraId="4E23D695">
      <w:pPr>
        <w:pStyle w:val="4"/>
        <w:adjustRightInd w:val="0"/>
        <w:snapToGrid w:val="0"/>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第三节 政府采购合同专用条款</w:t>
      </w:r>
      <w:bookmarkEnd w:id="1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0ED5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B9483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7634D6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第1.2（6）项</w:t>
            </w:r>
          </w:p>
        </w:tc>
        <w:tc>
          <w:tcPr>
            <w:tcW w:w="1742" w:type="dxa"/>
            <w:vAlign w:val="center"/>
          </w:tcPr>
          <w:p w14:paraId="099190D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联合体具体要求</w:t>
            </w:r>
          </w:p>
        </w:tc>
        <w:tc>
          <w:tcPr>
            <w:tcW w:w="5170" w:type="dxa"/>
            <w:vAlign w:val="center"/>
          </w:tcPr>
          <w:p w14:paraId="0DBFED10">
            <w:pPr>
              <w:adjustRightInd w:val="0"/>
              <w:snapToGrid w:val="0"/>
              <w:jc w:val="left"/>
              <w:rPr>
                <w:rFonts w:ascii="仿宋" w:hAnsi="仿宋" w:eastAsia="仿宋" w:cs="仿宋"/>
                <w:szCs w:val="21"/>
                <w:highlight w:val="none"/>
              </w:rPr>
            </w:pPr>
          </w:p>
        </w:tc>
      </w:tr>
      <w:tr w14:paraId="36C2C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B01FA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78E38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第1.2（7）项</w:t>
            </w:r>
          </w:p>
        </w:tc>
        <w:tc>
          <w:tcPr>
            <w:tcW w:w="1742" w:type="dxa"/>
            <w:vAlign w:val="center"/>
          </w:tcPr>
          <w:p w14:paraId="0E56790E">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其他术语解释</w:t>
            </w:r>
          </w:p>
        </w:tc>
        <w:tc>
          <w:tcPr>
            <w:tcW w:w="5170" w:type="dxa"/>
            <w:vAlign w:val="center"/>
          </w:tcPr>
          <w:p w14:paraId="1A6BE318">
            <w:pPr>
              <w:adjustRightInd w:val="0"/>
              <w:snapToGrid w:val="0"/>
              <w:jc w:val="left"/>
              <w:rPr>
                <w:rFonts w:ascii="仿宋" w:hAnsi="仿宋" w:eastAsia="仿宋" w:cs="仿宋"/>
                <w:szCs w:val="21"/>
                <w:highlight w:val="none"/>
              </w:rPr>
            </w:pPr>
          </w:p>
        </w:tc>
      </w:tr>
      <w:tr w14:paraId="42801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5A80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E9E389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第4.4款</w:t>
            </w:r>
          </w:p>
        </w:tc>
        <w:tc>
          <w:tcPr>
            <w:tcW w:w="1742" w:type="dxa"/>
            <w:vAlign w:val="center"/>
          </w:tcPr>
          <w:p w14:paraId="3BA5BC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5170" w:type="dxa"/>
            <w:vAlign w:val="center"/>
          </w:tcPr>
          <w:p w14:paraId="654B6680">
            <w:pPr>
              <w:adjustRightInd w:val="0"/>
              <w:snapToGrid w:val="0"/>
              <w:jc w:val="left"/>
              <w:rPr>
                <w:rFonts w:ascii="仿宋" w:hAnsi="仿宋" w:eastAsia="仿宋" w:cs="仿宋"/>
                <w:szCs w:val="21"/>
                <w:highlight w:val="none"/>
              </w:rPr>
            </w:pPr>
          </w:p>
        </w:tc>
      </w:tr>
      <w:tr w14:paraId="545162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7A764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0DA30A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第4.6款</w:t>
            </w:r>
          </w:p>
        </w:tc>
        <w:tc>
          <w:tcPr>
            <w:tcW w:w="1742" w:type="dxa"/>
            <w:vAlign w:val="center"/>
          </w:tcPr>
          <w:p w14:paraId="6EB9463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5170" w:type="dxa"/>
            <w:vAlign w:val="center"/>
          </w:tcPr>
          <w:p w14:paraId="69B5053D">
            <w:pPr>
              <w:adjustRightInd w:val="0"/>
              <w:snapToGrid w:val="0"/>
              <w:jc w:val="left"/>
              <w:rPr>
                <w:rFonts w:ascii="仿宋" w:hAnsi="仿宋" w:eastAsia="仿宋" w:cs="仿宋"/>
                <w:szCs w:val="21"/>
                <w:highlight w:val="none"/>
              </w:rPr>
            </w:pPr>
          </w:p>
        </w:tc>
      </w:tr>
      <w:tr w14:paraId="1A7CD4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3F2D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593C2D4">
            <w:pPr>
              <w:snapToGrid w:val="0"/>
              <w:jc w:val="center"/>
              <w:rPr>
                <w:rFonts w:ascii="仿宋" w:hAnsi="仿宋" w:eastAsia="仿宋" w:cs="仿宋"/>
                <w:highlight w:val="none"/>
              </w:rPr>
            </w:pPr>
            <w:r>
              <w:rPr>
                <w:rFonts w:hint="eastAsia" w:ascii="仿宋" w:hAnsi="仿宋" w:eastAsia="仿宋" w:cs="仿宋"/>
                <w:szCs w:val="21"/>
                <w:highlight w:val="none"/>
              </w:rPr>
              <w:t>第5.4款</w:t>
            </w:r>
          </w:p>
        </w:tc>
        <w:tc>
          <w:tcPr>
            <w:tcW w:w="1742" w:type="dxa"/>
            <w:vAlign w:val="center"/>
          </w:tcPr>
          <w:p w14:paraId="59CFB6E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5170" w:type="dxa"/>
            <w:vAlign w:val="center"/>
          </w:tcPr>
          <w:p w14:paraId="51DAB0F5">
            <w:pPr>
              <w:adjustRightInd w:val="0"/>
              <w:snapToGrid w:val="0"/>
              <w:jc w:val="left"/>
              <w:rPr>
                <w:rFonts w:ascii="仿宋" w:hAnsi="仿宋" w:eastAsia="仿宋" w:cs="仿宋"/>
                <w:szCs w:val="21"/>
                <w:highlight w:val="none"/>
              </w:rPr>
            </w:pPr>
          </w:p>
        </w:tc>
      </w:tr>
      <w:tr w14:paraId="75255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DB167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E272EF">
            <w:pPr>
              <w:snapToGrid w:val="0"/>
              <w:jc w:val="center"/>
              <w:rPr>
                <w:rFonts w:ascii="仿宋" w:hAnsi="仿宋" w:eastAsia="仿宋" w:cs="仿宋"/>
                <w:szCs w:val="21"/>
                <w:highlight w:val="none"/>
              </w:rPr>
            </w:pPr>
            <w:r>
              <w:rPr>
                <w:rFonts w:hint="eastAsia" w:ascii="仿宋" w:hAnsi="仿宋" w:eastAsia="仿宋" w:cs="仿宋"/>
                <w:szCs w:val="21"/>
                <w:highlight w:val="none"/>
              </w:rPr>
              <w:t>第6.1款</w:t>
            </w:r>
          </w:p>
        </w:tc>
        <w:tc>
          <w:tcPr>
            <w:tcW w:w="1742" w:type="dxa"/>
            <w:vAlign w:val="center"/>
          </w:tcPr>
          <w:p w14:paraId="3AD0996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履行合同义务的顺序</w:t>
            </w:r>
          </w:p>
        </w:tc>
        <w:tc>
          <w:tcPr>
            <w:tcW w:w="5170" w:type="dxa"/>
            <w:vAlign w:val="center"/>
          </w:tcPr>
          <w:p w14:paraId="13747D88">
            <w:pPr>
              <w:adjustRightInd w:val="0"/>
              <w:snapToGrid w:val="0"/>
              <w:jc w:val="left"/>
              <w:rPr>
                <w:rFonts w:ascii="仿宋" w:hAnsi="仿宋" w:eastAsia="仿宋" w:cs="仿宋"/>
                <w:szCs w:val="21"/>
                <w:highlight w:val="none"/>
              </w:rPr>
            </w:pPr>
          </w:p>
        </w:tc>
      </w:tr>
      <w:tr w14:paraId="751C0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2CBDBD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21EA15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第7.1款</w:t>
            </w:r>
          </w:p>
        </w:tc>
        <w:tc>
          <w:tcPr>
            <w:tcW w:w="1742" w:type="dxa"/>
            <w:vAlign w:val="center"/>
          </w:tcPr>
          <w:p w14:paraId="72DD795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包装特殊要求</w:t>
            </w:r>
          </w:p>
        </w:tc>
        <w:tc>
          <w:tcPr>
            <w:tcW w:w="5170" w:type="dxa"/>
            <w:vAlign w:val="center"/>
          </w:tcPr>
          <w:p w14:paraId="76BC3833">
            <w:pPr>
              <w:rPr>
                <w:rFonts w:ascii="仿宋" w:hAnsi="仿宋" w:eastAsia="仿宋" w:cs="仿宋"/>
                <w:highlight w:val="none"/>
              </w:rPr>
            </w:pPr>
          </w:p>
        </w:tc>
      </w:tr>
      <w:tr w14:paraId="1D60A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DCDDF3">
            <w:pPr>
              <w:adjustRightInd w:val="0"/>
              <w:snapToGrid w:val="0"/>
              <w:jc w:val="center"/>
              <w:rPr>
                <w:rFonts w:ascii="仿宋" w:hAnsi="仿宋" w:eastAsia="仿宋" w:cs="仿宋"/>
                <w:szCs w:val="21"/>
                <w:highlight w:val="none"/>
              </w:rPr>
            </w:pPr>
          </w:p>
        </w:tc>
        <w:tc>
          <w:tcPr>
            <w:tcW w:w="1742" w:type="dxa"/>
            <w:vAlign w:val="center"/>
          </w:tcPr>
          <w:p w14:paraId="20E6233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指定现场</w:t>
            </w:r>
          </w:p>
        </w:tc>
        <w:tc>
          <w:tcPr>
            <w:tcW w:w="5170" w:type="dxa"/>
            <w:vAlign w:val="center"/>
          </w:tcPr>
          <w:p w14:paraId="5B22894F">
            <w:pPr>
              <w:rPr>
                <w:rFonts w:ascii="仿宋" w:hAnsi="仿宋" w:eastAsia="仿宋" w:cs="仿宋"/>
                <w:highlight w:val="none"/>
              </w:rPr>
            </w:pPr>
          </w:p>
        </w:tc>
      </w:tr>
      <w:tr w14:paraId="55CDC4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B0AE32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BB1256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第7.2款</w:t>
            </w:r>
          </w:p>
        </w:tc>
        <w:tc>
          <w:tcPr>
            <w:tcW w:w="1742" w:type="dxa"/>
            <w:vAlign w:val="center"/>
          </w:tcPr>
          <w:p w14:paraId="7DBA282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运输特殊要求</w:t>
            </w:r>
          </w:p>
        </w:tc>
        <w:tc>
          <w:tcPr>
            <w:tcW w:w="5170" w:type="dxa"/>
            <w:vAlign w:val="center"/>
          </w:tcPr>
          <w:p w14:paraId="41F6F58B">
            <w:pPr>
              <w:rPr>
                <w:rFonts w:ascii="仿宋" w:hAnsi="仿宋" w:eastAsia="仿宋" w:cs="仿宋"/>
                <w:highlight w:val="none"/>
              </w:rPr>
            </w:pPr>
          </w:p>
        </w:tc>
      </w:tr>
      <w:tr w14:paraId="4D5C6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33A3A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86A2A7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第7.3款</w:t>
            </w:r>
          </w:p>
        </w:tc>
        <w:tc>
          <w:tcPr>
            <w:tcW w:w="1742" w:type="dxa"/>
            <w:vAlign w:val="center"/>
          </w:tcPr>
          <w:p w14:paraId="52AD03F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保险要求</w:t>
            </w:r>
          </w:p>
        </w:tc>
        <w:tc>
          <w:tcPr>
            <w:tcW w:w="5170" w:type="dxa"/>
            <w:vAlign w:val="center"/>
          </w:tcPr>
          <w:p w14:paraId="6D6DF3F8">
            <w:pPr>
              <w:rPr>
                <w:rFonts w:ascii="仿宋" w:hAnsi="仿宋" w:eastAsia="仿宋" w:cs="仿宋"/>
                <w:highlight w:val="none"/>
              </w:rPr>
            </w:pPr>
          </w:p>
        </w:tc>
      </w:tr>
      <w:tr w14:paraId="407F0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FAAD4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19D01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第8.2（1）项</w:t>
            </w:r>
          </w:p>
        </w:tc>
        <w:tc>
          <w:tcPr>
            <w:tcW w:w="1742" w:type="dxa"/>
            <w:vAlign w:val="center"/>
          </w:tcPr>
          <w:p w14:paraId="49FA60B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质量保证期</w:t>
            </w:r>
          </w:p>
        </w:tc>
        <w:tc>
          <w:tcPr>
            <w:tcW w:w="5170" w:type="dxa"/>
            <w:vAlign w:val="center"/>
          </w:tcPr>
          <w:p w14:paraId="19CCAA9A">
            <w:pPr>
              <w:autoSpaceDE w:val="0"/>
              <w:autoSpaceDN w:val="0"/>
              <w:adjustRightInd w:val="0"/>
              <w:snapToGrid w:val="0"/>
              <w:ind w:firstLine="420" w:firstLineChars="200"/>
              <w:jc w:val="left"/>
              <w:rPr>
                <w:rFonts w:ascii="仿宋" w:hAnsi="仿宋" w:eastAsia="仿宋" w:cs="仿宋"/>
                <w:szCs w:val="21"/>
                <w:highlight w:val="none"/>
              </w:rPr>
            </w:pPr>
          </w:p>
        </w:tc>
      </w:tr>
      <w:tr w14:paraId="1CA29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69B3F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2C3DD6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第8.2（3）项</w:t>
            </w:r>
          </w:p>
        </w:tc>
        <w:tc>
          <w:tcPr>
            <w:tcW w:w="1742" w:type="dxa"/>
            <w:vAlign w:val="center"/>
          </w:tcPr>
          <w:p w14:paraId="089D25F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货物质量缺陷</w:t>
            </w:r>
          </w:p>
          <w:p w14:paraId="3FF6F1E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响应时间</w:t>
            </w:r>
          </w:p>
        </w:tc>
        <w:tc>
          <w:tcPr>
            <w:tcW w:w="5170" w:type="dxa"/>
            <w:vAlign w:val="center"/>
          </w:tcPr>
          <w:p w14:paraId="4410A5F6">
            <w:pPr>
              <w:adjustRightInd w:val="0"/>
              <w:snapToGrid w:val="0"/>
              <w:jc w:val="left"/>
              <w:rPr>
                <w:rFonts w:ascii="仿宋" w:hAnsi="仿宋" w:eastAsia="仿宋" w:cs="仿宋"/>
                <w:szCs w:val="21"/>
                <w:highlight w:val="none"/>
              </w:rPr>
            </w:pPr>
          </w:p>
        </w:tc>
      </w:tr>
      <w:tr w14:paraId="2BDB2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B5401C">
            <w:pPr>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E47194F">
            <w:pPr>
              <w:pStyle w:val="29"/>
              <w:ind w:firstLine="0" w:firstLineChars="0"/>
              <w:jc w:val="center"/>
              <w:rPr>
                <w:rFonts w:ascii="仿宋" w:hAnsi="仿宋" w:eastAsia="仿宋" w:cs="仿宋"/>
                <w:highlight w:val="none"/>
              </w:rPr>
            </w:pPr>
            <w:r>
              <w:rPr>
                <w:rFonts w:hint="eastAsia" w:ascii="仿宋" w:hAnsi="仿宋" w:eastAsia="仿宋" w:cs="仿宋"/>
                <w:highlight w:val="none"/>
              </w:rPr>
              <w:t>第11.1款</w:t>
            </w:r>
          </w:p>
        </w:tc>
        <w:tc>
          <w:tcPr>
            <w:tcW w:w="1742" w:type="dxa"/>
            <w:vAlign w:val="center"/>
          </w:tcPr>
          <w:p w14:paraId="6E2AB77B">
            <w:pPr>
              <w:adjustRightInd w:val="0"/>
              <w:snapToGrid w:val="0"/>
              <w:rPr>
                <w:rFonts w:ascii="仿宋" w:hAnsi="仿宋" w:eastAsia="仿宋" w:cs="仿宋"/>
                <w:szCs w:val="21"/>
                <w:highlight w:val="none"/>
              </w:rPr>
            </w:pPr>
            <w:r>
              <w:rPr>
                <w:rFonts w:hint="eastAsia" w:ascii="仿宋" w:hAnsi="仿宋" w:eastAsia="仿宋" w:cs="仿宋"/>
                <w:szCs w:val="21"/>
                <w:highlight w:val="none"/>
              </w:rPr>
              <w:t>其他应当保密的信息</w:t>
            </w:r>
          </w:p>
        </w:tc>
        <w:tc>
          <w:tcPr>
            <w:tcW w:w="5170" w:type="dxa"/>
            <w:vAlign w:val="center"/>
          </w:tcPr>
          <w:p w14:paraId="39161C33">
            <w:pPr>
              <w:adjustRightInd w:val="0"/>
              <w:snapToGrid w:val="0"/>
              <w:jc w:val="left"/>
              <w:rPr>
                <w:rFonts w:ascii="仿宋" w:hAnsi="仿宋" w:eastAsia="仿宋" w:cs="仿宋"/>
                <w:szCs w:val="21"/>
                <w:highlight w:val="none"/>
              </w:rPr>
            </w:pPr>
          </w:p>
        </w:tc>
      </w:tr>
      <w:tr w14:paraId="68292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CCC87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0B464C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第12.2款</w:t>
            </w:r>
          </w:p>
        </w:tc>
        <w:tc>
          <w:tcPr>
            <w:tcW w:w="1742" w:type="dxa"/>
            <w:vAlign w:val="center"/>
          </w:tcPr>
          <w:p w14:paraId="293E077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合同价款支付时间</w:t>
            </w:r>
          </w:p>
        </w:tc>
        <w:tc>
          <w:tcPr>
            <w:tcW w:w="5170" w:type="dxa"/>
            <w:vAlign w:val="center"/>
          </w:tcPr>
          <w:p w14:paraId="7E958203">
            <w:pPr>
              <w:adjustRightInd w:val="0"/>
              <w:snapToGrid w:val="0"/>
              <w:jc w:val="left"/>
              <w:rPr>
                <w:rFonts w:ascii="仿宋" w:hAnsi="仿宋" w:eastAsia="仿宋" w:cs="仿宋"/>
                <w:szCs w:val="21"/>
                <w:highlight w:val="none"/>
              </w:rPr>
            </w:pPr>
          </w:p>
        </w:tc>
      </w:tr>
      <w:tr w14:paraId="7101EE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E18A9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4B1D2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第13.2款</w:t>
            </w:r>
          </w:p>
        </w:tc>
        <w:tc>
          <w:tcPr>
            <w:tcW w:w="1742" w:type="dxa"/>
            <w:vAlign w:val="center"/>
          </w:tcPr>
          <w:p w14:paraId="7B94B28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5170" w:type="dxa"/>
            <w:vAlign w:val="center"/>
          </w:tcPr>
          <w:p w14:paraId="4AF17F59">
            <w:pPr>
              <w:adjustRightInd w:val="0"/>
              <w:snapToGrid w:val="0"/>
              <w:jc w:val="left"/>
              <w:rPr>
                <w:rFonts w:ascii="仿宋" w:hAnsi="仿宋" w:eastAsia="仿宋" w:cs="仿宋"/>
                <w:szCs w:val="21"/>
                <w:highlight w:val="none"/>
              </w:rPr>
            </w:pPr>
          </w:p>
        </w:tc>
      </w:tr>
      <w:tr w14:paraId="6BEC8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B2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CC2694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第13.3款</w:t>
            </w:r>
          </w:p>
        </w:tc>
        <w:tc>
          <w:tcPr>
            <w:tcW w:w="1742" w:type="dxa"/>
            <w:vAlign w:val="center"/>
          </w:tcPr>
          <w:p w14:paraId="10F334F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5170" w:type="dxa"/>
            <w:vAlign w:val="center"/>
          </w:tcPr>
          <w:p w14:paraId="194FA0B2">
            <w:pPr>
              <w:adjustRightInd w:val="0"/>
              <w:snapToGrid w:val="0"/>
              <w:jc w:val="left"/>
              <w:rPr>
                <w:rFonts w:ascii="仿宋" w:hAnsi="仿宋" w:eastAsia="仿宋" w:cs="仿宋"/>
                <w:szCs w:val="21"/>
                <w:highlight w:val="none"/>
              </w:rPr>
            </w:pPr>
          </w:p>
        </w:tc>
      </w:tr>
      <w:tr w14:paraId="4D9928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29B970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6AFCEA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第14.1（3）项</w:t>
            </w:r>
          </w:p>
        </w:tc>
        <w:tc>
          <w:tcPr>
            <w:tcW w:w="1742" w:type="dxa"/>
            <w:vAlign w:val="center"/>
          </w:tcPr>
          <w:p w14:paraId="6BDF42A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运行监督、维修期限</w:t>
            </w:r>
          </w:p>
        </w:tc>
        <w:tc>
          <w:tcPr>
            <w:tcW w:w="5170" w:type="dxa"/>
            <w:vAlign w:val="center"/>
          </w:tcPr>
          <w:p w14:paraId="30B9CF2E">
            <w:pPr>
              <w:adjustRightInd w:val="0"/>
              <w:snapToGrid w:val="0"/>
              <w:jc w:val="left"/>
              <w:rPr>
                <w:rFonts w:ascii="仿宋" w:hAnsi="仿宋" w:eastAsia="仿宋" w:cs="仿宋"/>
                <w:szCs w:val="21"/>
                <w:highlight w:val="none"/>
              </w:rPr>
            </w:pPr>
          </w:p>
        </w:tc>
      </w:tr>
      <w:tr w14:paraId="2ED2B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A4929C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7B3F35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第14.1（5）项</w:t>
            </w:r>
          </w:p>
        </w:tc>
        <w:tc>
          <w:tcPr>
            <w:tcW w:w="1742" w:type="dxa"/>
            <w:vAlign w:val="center"/>
          </w:tcPr>
          <w:p w14:paraId="71A617E1">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货物回收的约定</w:t>
            </w:r>
          </w:p>
        </w:tc>
        <w:tc>
          <w:tcPr>
            <w:tcW w:w="5170" w:type="dxa"/>
            <w:vAlign w:val="center"/>
          </w:tcPr>
          <w:p w14:paraId="33EBFEC5">
            <w:pPr>
              <w:adjustRightInd w:val="0"/>
              <w:snapToGrid w:val="0"/>
              <w:jc w:val="left"/>
              <w:rPr>
                <w:rFonts w:ascii="仿宋" w:hAnsi="仿宋" w:eastAsia="仿宋" w:cs="仿宋"/>
                <w:szCs w:val="21"/>
                <w:highlight w:val="none"/>
              </w:rPr>
            </w:pPr>
          </w:p>
        </w:tc>
      </w:tr>
      <w:tr w14:paraId="2D201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5EAC2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F3913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第14.1（6）项</w:t>
            </w:r>
          </w:p>
        </w:tc>
        <w:tc>
          <w:tcPr>
            <w:tcW w:w="1742" w:type="dxa"/>
            <w:vAlign w:val="center"/>
          </w:tcPr>
          <w:p w14:paraId="042C826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vAlign w:val="center"/>
          </w:tcPr>
          <w:p w14:paraId="056FB158">
            <w:pPr>
              <w:adjustRightInd w:val="0"/>
              <w:snapToGrid w:val="0"/>
              <w:jc w:val="left"/>
              <w:rPr>
                <w:rFonts w:ascii="仿宋" w:hAnsi="仿宋" w:eastAsia="仿宋" w:cs="仿宋"/>
                <w:szCs w:val="21"/>
                <w:highlight w:val="none"/>
              </w:rPr>
            </w:pPr>
          </w:p>
        </w:tc>
      </w:tr>
      <w:tr w14:paraId="15CFB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C01B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9DFE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第15.1款</w:t>
            </w:r>
          </w:p>
        </w:tc>
        <w:tc>
          <w:tcPr>
            <w:tcW w:w="1742" w:type="dxa"/>
            <w:vAlign w:val="center"/>
          </w:tcPr>
          <w:p w14:paraId="5D3CFB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5170" w:type="dxa"/>
            <w:vAlign w:val="center"/>
          </w:tcPr>
          <w:p w14:paraId="722E1A0C">
            <w:pPr>
              <w:adjustRightInd w:val="0"/>
              <w:snapToGrid w:val="0"/>
              <w:jc w:val="left"/>
              <w:rPr>
                <w:rFonts w:ascii="仿宋" w:hAnsi="仿宋" w:eastAsia="仿宋" w:cs="仿宋"/>
                <w:szCs w:val="21"/>
                <w:highlight w:val="none"/>
              </w:rPr>
            </w:pPr>
          </w:p>
        </w:tc>
      </w:tr>
      <w:tr w14:paraId="595470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CD14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7D768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第15.2（2）项</w:t>
            </w:r>
          </w:p>
        </w:tc>
        <w:tc>
          <w:tcPr>
            <w:tcW w:w="1742" w:type="dxa"/>
            <w:vAlign w:val="center"/>
          </w:tcPr>
          <w:p w14:paraId="4AE6D21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vAlign w:val="center"/>
          </w:tcPr>
          <w:p w14:paraId="20F3F64C">
            <w:pPr>
              <w:adjustRightInd w:val="0"/>
              <w:snapToGrid w:val="0"/>
              <w:jc w:val="left"/>
              <w:rPr>
                <w:rFonts w:ascii="仿宋" w:hAnsi="仿宋" w:eastAsia="仿宋" w:cs="仿宋"/>
                <w:szCs w:val="21"/>
                <w:highlight w:val="none"/>
                <w:u w:val="single"/>
              </w:rPr>
            </w:pPr>
          </w:p>
        </w:tc>
      </w:tr>
      <w:tr w14:paraId="241BD0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1B78C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2CCAA5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第15.3款</w:t>
            </w:r>
          </w:p>
        </w:tc>
        <w:tc>
          <w:tcPr>
            <w:tcW w:w="1742" w:type="dxa"/>
            <w:vAlign w:val="center"/>
          </w:tcPr>
          <w:p w14:paraId="1A02BE5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vAlign w:val="center"/>
          </w:tcPr>
          <w:p w14:paraId="04DF914D">
            <w:pPr>
              <w:adjustRightInd w:val="0"/>
              <w:snapToGrid w:val="0"/>
              <w:jc w:val="left"/>
              <w:rPr>
                <w:rFonts w:ascii="仿宋" w:hAnsi="仿宋" w:eastAsia="仿宋" w:cs="仿宋"/>
                <w:szCs w:val="21"/>
                <w:highlight w:val="none"/>
                <w:u w:val="single"/>
              </w:rPr>
            </w:pPr>
          </w:p>
        </w:tc>
      </w:tr>
      <w:tr w14:paraId="376BC2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62F23C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11374F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vAlign w:val="center"/>
          </w:tcPr>
          <w:p w14:paraId="4606365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vAlign w:val="center"/>
          </w:tcPr>
          <w:p w14:paraId="6B73501D">
            <w:pPr>
              <w:adjustRightInd w:val="0"/>
              <w:snapToGrid w:val="0"/>
              <w:jc w:val="left"/>
              <w:rPr>
                <w:rFonts w:ascii="仿宋" w:hAnsi="仿宋" w:eastAsia="仿宋" w:cs="仿宋"/>
                <w:szCs w:val="21"/>
                <w:highlight w:val="none"/>
                <w:u w:val="single"/>
              </w:rPr>
            </w:pPr>
          </w:p>
        </w:tc>
      </w:tr>
      <w:tr w14:paraId="7E2CB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1406EB">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91418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vAlign w:val="center"/>
          </w:tcPr>
          <w:p w14:paraId="73DD002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解决争议的方法</w:t>
            </w:r>
          </w:p>
        </w:tc>
        <w:tc>
          <w:tcPr>
            <w:tcW w:w="5170" w:type="dxa"/>
            <w:tcBorders>
              <w:top w:val="single" w:color="auto" w:sz="2" w:space="0"/>
              <w:left w:val="single" w:color="auto" w:sz="2" w:space="0"/>
            </w:tcBorders>
            <w:vAlign w:val="center"/>
          </w:tcPr>
          <w:p w14:paraId="317EC5EC">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0819B26E">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693E8BE5">
            <w:pPr>
              <w:adjustRightInd w:val="0"/>
              <w:snapToGrid w:val="0"/>
              <w:jc w:val="left"/>
              <w:rPr>
                <w:rFonts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51FC50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86331B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A0B967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第23.1款</w:t>
            </w:r>
          </w:p>
        </w:tc>
        <w:tc>
          <w:tcPr>
            <w:tcW w:w="1742" w:type="dxa"/>
            <w:vAlign w:val="center"/>
          </w:tcPr>
          <w:p w14:paraId="525A4028">
            <w:pPr>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其他专用条款</w:t>
            </w:r>
          </w:p>
        </w:tc>
        <w:tc>
          <w:tcPr>
            <w:tcW w:w="5170" w:type="dxa"/>
            <w:vAlign w:val="center"/>
          </w:tcPr>
          <w:p w14:paraId="772ED8F1">
            <w:pPr>
              <w:adjustRightInd w:val="0"/>
              <w:snapToGrid w:val="0"/>
              <w:jc w:val="left"/>
              <w:rPr>
                <w:rFonts w:ascii="仿宋" w:hAnsi="仿宋" w:eastAsia="仿宋" w:cs="仿宋"/>
                <w:szCs w:val="21"/>
                <w:highlight w:val="none"/>
              </w:rPr>
            </w:pPr>
          </w:p>
        </w:tc>
      </w:tr>
    </w:tbl>
    <w:p w14:paraId="10374B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82A89E0">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57446D9D">
      <w:pPr>
        <w:pStyle w:val="3"/>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20" w:name="_Toc20159"/>
      <w:r>
        <w:rPr>
          <w:rFonts w:hint="eastAsia" w:ascii="方正小标宋简体" w:hAnsi="方正小标宋简体" w:eastAsia="方正小标宋简体" w:cs="方正小标宋简体"/>
          <w:sz w:val="32"/>
          <w:szCs w:val="32"/>
          <w:highlight w:val="none"/>
          <w:lang w:val="en-US" w:eastAsia="zh-CN"/>
        </w:rPr>
        <w:t>采购需求</w:t>
      </w:r>
      <w:bookmarkEnd w:id="20"/>
    </w:p>
    <w:p w14:paraId="52DE81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说明：</w:t>
      </w:r>
    </w:p>
    <w:p w14:paraId="5432AA7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1.以下技术指标及要求中如出现设备或产品品牌或指向某个品牌，仅作为参考该设备或产品所需达到的具体技术性能要求，不作为该设备或产品的品牌要求。</w:t>
      </w:r>
    </w:p>
    <w:p w14:paraId="1B627661">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2.下列标有“※”的条款均为实质性响应条款，投标人若有一项带“※”的条款未响应或不满足，将按无效投标处理；下列未标有“※”条款的为一般技术条款仅为评审打分项，不作为无效投标条款。</w:t>
      </w:r>
    </w:p>
    <w:p w14:paraId="74AE8C12">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需求一览表及技术要求</w:t>
      </w:r>
    </w:p>
    <w:p w14:paraId="4BE4EE05">
      <w:pPr>
        <w:pStyle w:val="2"/>
        <w:rPr>
          <w:rFonts w:hint="eastAsia" w:ascii="仿宋" w:hAnsi="仿宋" w:eastAsia="仿宋" w:cs="仿宋"/>
          <w:b/>
          <w:bCs/>
          <w:color w:val="auto"/>
          <w:sz w:val="24"/>
          <w:szCs w:val="24"/>
          <w:highlight w:val="none"/>
          <w:lang w:val="en-US" w:eastAsia="zh-CN"/>
        </w:rPr>
      </w:pPr>
    </w:p>
    <w:p w14:paraId="3276A4AA">
      <w:pPr>
        <w:pStyle w:val="2"/>
        <w:ind w:left="-420" w:leftChars="-200"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标项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：新疆医科大学第六附属医院2026年普通试剂耗材采购项目（第一批）</w:t>
      </w:r>
      <w:r>
        <w:rPr>
          <w:rFonts w:hint="eastAsia" w:ascii="仿宋" w:hAnsi="仿宋" w:eastAsia="仿宋" w:cs="仿宋"/>
          <w:color w:val="auto"/>
          <w:sz w:val="24"/>
          <w:szCs w:val="24"/>
          <w:highlight w:val="none"/>
          <w:lang w:val="en-US" w:eastAsia="zh-CN"/>
        </w:rPr>
        <w:t>1包</w:t>
      </w:r>
    </w:p>
    <w:tbl>
      <w:tblPr>
        <w:tblStyle w:val="18"/>
        <w:tblpPr w:leftFromText="180" w:rightFromText="180" w:vertAnchor="text" w:horzAnchor="page" w:tblpX="1382" w:tblpY="4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498"/>
        <w:gridCol w:w="3533"/>
        <w:gridCol w:w="573"/>
        <w:gridCol w:w="709"/>
        <w:gridCol w:w="954"/>
        <w:gridCol w:w="856"/>
      </w:tblGrid>
      <w:tr w14:paraId="239A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399" w:type="dxa"/>
            <w:noWrap w:val="0"/>
            <w:vAlign w:val="center"/>
          </w:tcPr>
          <w:p w14:paraId="50FFF6BE">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序号</w:t>
            </w:r>
          </w:p>
        </w:tc>
        <w:tc>
          <w:tcPr>
            <w:tcW w:w="1498" w:type="dxa"/>
            <w:noWrap w:val="0"/>
            <w:vAlign w:val="center"/>
          </w:tcPr>
          <w:p w14:paraId="7FB53C70">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试剂耗材产品名称</w:t>
            </w:r>
          </w:p>
          <w:p w14:paraId="0AD06B1C">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（标的名称）</w:t>
            </w:r>
          </w:p>
        </w:tc>
        <w:tc>
          <w:tcPr>
            <w:tcW w:w="3533" w:type="dxa"/>
            <w:noWrap w:val="0"/>
            <w:vAlign w:val="center"/>
          </w:tcPr>
          <w:p w14:paraId="1ECC830E">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试剂耗材参数及用途</w:t>
            </w:r>
          </w:p>
        </w:tc>
        <w:tc>
          <w:tcPr>
            <w:tcW w:w="573" w:type="dxa"/>
            <w:noWrap w:val="0"/>
            <w:vAlign w:val="center"/>
          </w:tcPr>
          <w:p w14:paraId="2353C2EC">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最小单位</w:t>
            </w:r>
          </w:p>
        </w:tc>
        <w:tc>
          <w:tcPr>
            <w:tcW w:w="709" w:type="dxa"/>
            <w:noWrap w:val="0"/>
            <w:vAlign w:val="center"/>
          </w:tcPr>
          <w:p w14:paraId="73097635">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最高限制单价（元/最小单位）</w:t>
            </w:r>
          </w:p>
        </w:tc>
        <w:tc>
          <w:tcPr>
            <w:tcW w:w="954" w:type="dxa"/>
            <w:noWrap/>
            <w:vAlign w:val="center"/>
          </w:tcPr>
          <w:p w14:paraId="4AF1E373">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适配设备</w:t>
            </w:r>
          </w:p>
        </w:tc>
        <w:tc>
          <w:tcPr>
            <w:tcW w:w="856" w:type="dxa"/>
            <w:noWrap/>
            <w:vAlign w:val="center"/>
          </w:tcPr>
          <w:p w14:paraId="605570BA">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备注</w:t>
            </w:r>
          </w:p>
        </w:tc>
      </w:tr>
      <w:tr w14:paraId="6F37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 w:type="dxa"/>
            <w:noWrap w:val="0"/>
            <w:vAlign w:val="center"/>
          </w:tcPr>
          <w:p w14:paraId="299EAB5D">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w:t>
            </w:r>
          </w:p>
        </w:tc>
        <w:tc>
          <w:tcPr>
            <w:tcW w:w="1498" w:type="dxa"/>
            <w:noWrap w:val="0"/>
            <w:vAlign w:val="center"/>
          </w:tcPr>
          <w:p w14:paraId="49F5B118">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乙型肝炎病毒核酸测定试剂盒（PCR-荧光探针法）</w:t>
            </w:r>
          </w:p>
        </w:tc>
        <w:tc>
          <w:tcPr>
            <w:tcW w:w="3533" w:type="dxa"/>
            <w:noWrap w:val="0"/>
            <w:vAlign w:val="center"/>
          </w:tcPr>
          <w:p w14:paraId="050DED78">
            <w:pPr>
              <w:keepNext w:val="0"/>
              <w:keepLines w:val="0"/>
              <w:widowControl/>
              <w:suppressLineNumbers w:val="0"/>
              <w:jc w:val="left"/>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1、试剂包装：单管单人份预分装、8连管预分装，减少手工操作。非预分装可选（大包装）2、最小规格 20人份/盒。3、样本类型：血清或血浆。4、核酸加样体积 ≥20uL。5、核酸纯化方式：磁珠法或Chelex-100离子树脂煮沸法，去除杂质。6、质量控制要求：内标、阴阳性质控、ROX参比荧光及热启动Taq酶系统。7、用途：应用荧光定量 PCR 的方法，定量检测血清或血浆样品中乙型肝炎病毒脱氧核糖核酸（HBV DNA），适用于乙型肝炎病毒感染的辅助诊断和乙型肝炎病人药物治疗的疗效监测。8、最低检出限30IU/mL。9、定量线性范围 1E2～5E8 IU/mL。10、检测精密度：批内及批间检测浓度对数值的变异系数（CV%）＜5%。11、抗干扰要求：胆红素浓度不大于30mg/dL、甘油三脂浓度不大于3200mg/dL、血红蛋白浓度不大于28g/dL、白蛋白浓度不大于6g/dL、总IgG 浓度不大于16g/L 对检测结果不影响。12、分析特异性：与人类免疫缺陷病毒、丙型肝炎病毒、丁型肝炎病毒（HDV）、戊型肝炎病毒（HEV）、EB 病毒（EBV）、人巨细胞病毒（HCMV）等13种以上病原体无交叉反应。13、稳定性要求：干冰等低温条件运输稳定性不低于4天。保存于-20±5℃环境下，有效期不低于9个月。试剂开瓶后室温下稳定性不低于8小时。</w:t>
            </w:r>
          </w:p>
        </w:tc>
        <w:tc>
          <w:tcPr>
            <w:tcW w:w="573" w:type="dxa"/>
            <w:noWrap w:val="0"/>
            <w:vAlign w:val="center"/>
          </w:tcPr>
          <w:p w14:paraId="24E68914">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人份</w:t>
            </w:r>
          </w:p>
        </w:tc>
        <w:tc>
          <w:tcPr>
            <w:tcW w:w="709" w:type="dxa"/>
            <w:noWrap w:val="0"/>
            <w:vAlign w:val="center"/>
          </w:tcPr>
          <w:p w14:paraId="6C20F9DB">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10.00 </w:t>
            </w:r>
          </w:p>
        </w:tc>
        <w:tc>
          <w:tcPr>
            <w:tcW w:w="954" w:type="dxa"/>
            <w:vMerge w:val="restart"/>
            <w:noWrap/>
            <w:vAlign w:val="center"/>
          </w:tcPr>
          <w:p w14:paraId="7A8449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MA-6000 实时荧光定量PCR仪</w:t>
            </w:r>
          </w:p>
        </w:tc>
        <w:tc>
          <w:tcPr>
            <w:tcW w:w="856" w:type="dxa"/>
            <w:noWrap/>
            <w:vAlign w:val="center"/>
          </w:tcPr>
          <w:p w14:paraId="6E1F0AB8">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核心参数</w:t>
            </w:r>
          </w:p>
        </w:tc>
      </w:tr>
      <w:tr w14:paraId="1E8E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 w:type="dxa"/>
            <w:noWrap w:val="0"/>
            <w:vAlign w:val="center"/>
          </w:tcPr>
          <w:p w14:paraId="75B37D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2</w:t>
            </w:r>
          </w:p>
        </w:tc>
        <w:tc>
          <w:tcPr>
            <w:tcW w:w="1498" w:type="dxa"/>
            <w:noWrap w:val="0"/>
            <w:vAlign w:val="center"/>
          </w:tcPr>
          <w:p w14:paraId="1C5A77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丙型肝炎病毒核酸测定试剂盒 (PCR-荧光探针法)</w:t>
            </w:r>
          </w:p>
        </w:tc>
        <w:tc>
          <w:tcPr>
            <w:tcW w:w="3533" w:type="dxa"/>
            <w:noWrap w:val="0"/>
            <w:vAlign w:val="center"/>
          </w:tcPr>
          <w:p w14:paraId="7399DF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1.试剂包装：48人份/盒。2、样本类型：血清或血浆。3、核酸纯化方式：磁珠法自动化仪器提取。4、样本处理体积 ≥200ul。5、核酸加样体积≥40uL。6、用途：体外定量检测人血清或血浆样本中的丙型肝炎病毒RNA。7、质量控制要求：内标、阴阳性质控及热启动Taq酶系统。8、最低检出限20IU/mL。9、定量线性范围：50～1E8IU/mL。10、检测精密度：批内及批间检测浓度对数值的变异系数（CV%）＜5%。11、抗干扰要求：胆红素浓度不大于30mg/dL、甘油三脂浓度不大于3200mg/dL、血红蛋白浓度不大于28g/dL、白蛋白浓度不大于6g/dL对检测结果不影响。12、分析特异性：与人类免疫缺陷病毒、乙型肝炎病毒、甲型肝炎病毒（HAV）、单纯疱疹病毒1型（HSV-1）、单纯疱疹病毒2型（HSV-2）、EB 病毒（EBV）、人巨细胞病毒（HCMV）等15种以上病原体无交叉反应。13、稳定性要求：干冰等低温条件运输稳定性不低于4天。保存于-20±5℃环境下，有效期不低于9个月。试剂开瓶后室温下稳定性不低于8小时。14、参数标准以技术要求及说明书为准。</w:t>
            </w:r>
          </w:p>
        </w:tc>
        <w:tc>
          <w:tcPr>
            <w:tcW w:w="573" w:type="dxa"/>
            <w:noWrap w:val="0"/>
            <w:vAlign w:val="center"/>
          </w:tcPr>
          <w:p w14:paraId="0F8C68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人份</w:t>
            </w:r>
          </w:p>
        </w:tc>
        <w:tc>
          <w:tcPr>
            <w:tcW w:w="709" w:type="dxa"/>
            <w:noWrap w:val="0"/>
            <w:vAlign w:val="center"/>
          </w:tcPr>
          <w:p w14:paraId="409DF6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20.00 </w:t>
            </w:r>
          </w:p>
        </w:tc>
        <w:tc>
          <w:tcPr>
            <w:tcW w:w="954" w:type="dxa"/>
            <w:vMerge w:val="continue"/>
            <w:noWrap/>
            <w:vAlign w:val="center"/>
          </w:tcPr>
          <w:p w14:paraId="716EBE77">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097896DC">
            <w:pPr>
              <w:jc w:val="center"/>
              <w:rPr>
                <w:rFonts w:hint="eastAsia" w:ascii="方正仿宋_GB2312" w:hAnsi="方正仿宋_GB2312" w:eastAsia="方正仿宋_GB2312" w:cs="方正仿宋_GB2312"/>
                <w:color w:val="auto"/>
                <w:sz w:val="18"/>
                <w:szCs w:val="18"/>
                <w:highlight w:val="none"/>
                <w:lang w:val="en-US" w:eastAsia="zh-CN"/>
              </w:rPr>
            </w:pPr>
          </w:p>
        </w:tc>
      </w:tr>
      <w:tr w14:paraId="55C9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 w:type="dxa"/>
            <w:noWrap w:val="0"/>
            <w:vAlign w:val="center"/>
          </w:tcPr>
          <w:p w14:paraId="02BB0B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3</w:t>
            </w:r>
          </w:p>
        </w:tc>
        <w:tc>
          <w:tcPr>
            <w:tcW w:w="1498" w:type="dxa"/>
            <w:noWrap w:val="0"/>
            <w:vAlign w:val="center"/>
          </w:tcPr>
          <w:p w14:paraId="328C67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新型冠状病毒2019-nCoV核酸检测试剂盒（荧光PCR法）</w:t>
            </w:r>
          </w:p>
        </w:tc>
        <w:tc>
          <w:tcPr>
            <w:tcW w:w="3533" w:type="dxa"/>
            <w:noWrap w:val="0"/>
            <w:vAlign w:val="center"/>
          </w:tcPr>
          <w:p w14:paraId="50439F0E">
            <w:pPr>
              <w:keepNext w:val="0"/>
              <w:keepLines w:val="0"/>
              <w:widowControl/>
              <w:numPr>
                <w:ilvl w:val="0"/>
                <w:numId w:val="0"/>
              </w:numPr>
              <w:suppressLineNumbers w:val="0"/>
              <w:ind w:left="0" w:leftChars="0" w:firstLine="0" w:firstLineChars="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1、包装规格：48人份/盒，96人份/盒。2、试剂组分：PCR反应液A，PCR反应液B，阳性质控品，阴性质控品。3、内标设置 RNase P内源性内标基因设计，监控样本采集、核酸提取及PCR扩增的检测全程，减少假阴性结果的出现。4、防污染体系 UDG酶和dUTP防污染系统，减少因PCR产物污染引起的假阳性。5、高效酶系：热启动Taq抗体酶和C-MMLV酶。6、检测基因：新型冠状病毒（2019-nCoV）ORF1ab、N基因。7、检测标本：咽拭子、鼻咽拭子、痰液。8、预期用途，体外定性检测具有新型冠状病毒感染相关症状人群、其他需要进行新型冠状病毒感染诊断或鉴别诊断者。9、核酸加样量10 µL。10、分析灵敏度200copies/mL。11、精密度：批内/批间精密度，日内/日间精密度，不同操作者之间的精密度变异系数均不大于5%；检测国家参考品R精密度变异系数小于5%。12、抗干扰性：外源性干扰物质：样本中存在新型冠状病毒的治疗药物对试剂盒的检测结果无干扰。咽拭子、鼻咽拭子和痰液样本中可能存在的内源性物质如全血（10%）和粘液（20μg/mL）对试剂盒的检测结果无干扰。13、分析特异性：与新型冠状病毒种属相近或引起症状相似的其他病原体以及人基因组DNA无交叉反应。14、储存条件及有效期：试剂盒保存于-20±5℃，有效期≥9个月。15、参数标准：详细参数信息以NMPA批准的产品说明书和技术要求为准。</w:t>
            </w:r>
          </w:p>
        </w:tc>
        <w:tc>
          <w:tcPr>
            <w:tcW w:w="573" w:type="dxa"/>
            <w:noWrap w:val="0"/>
            <w:vAlign w:val="center"/>
          </w:tcPr>
          <w:p w14:paraId="7A8473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人份</w:t>
            </w:r>
          </w:p>
        </w:tc>
        <w:tc>
          <w:tcPr>
            <w:tcW w:w="709" w:type="dxa"/>
            <w:noWrap w:val="0"/>
            <w:vAlign w:val="center"/>
          </w:tcPr>
          <w:p w14:paraId="54F655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3.00 </w:t>
            </w:r>
          </w:p>
        </w:tc>
        <w:tc>
          <w:tcPr>
            <w:tcW w:w="954" w:type="dxa"/>
            <w:vMerge w:val="continue"/>
            <w:noWrap/>
            <w:vAlign w:val="center"/>
          </w:tcPr>
          <w:p w14:paraId="0F10D152">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60D17424">
            <w:pPr>
              <w:jc w:val="center"/>
              <w:rPr>
                <w:rFonts w:hint="eastAsia" w:ascii="方正仿宋_GB2312" w:hAnsi="方正仿宋_GB2312" w:eastAsia="方正仿宋_GB2312" w:cs="方正仿宋_GB2312"/>
                <w:color w:val="auto"/>
                <w:sz w:val="18"/>
                <w:szCs w:val="18"/>
                <w:highlight w:val="none"/>
                <w:lang w:val="en-US" w:eastAsia="zh-CN"/>
              </w:rPr>
            </w:pPr>
          </w:p>
        </w:tc>
      </w:tr>
      <w:tr w14:paraId="6384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399" w:type="dxa"/>
            <w:noWrap w:val="0"/>
            <w:vAlign w:val="center"/>
          </w:tcPr>
          <w:p w14:paraId="5C90FA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4</w:t>
            </w:r>
          </w:p>
        </w:tc>
        <w:tc>
          <w:tcPr>
            <w:tcW w:w="1498" w:type="dxa"/>
            <w:noWrap w:val="0"/>
            <w:vAlign w:val="center"/>
          </w:tcPr>
          <w:p w14:paraId="35D768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甲型流感病毒核酸检测试剂盒（PCR-荧光探针法）</w:t>
            </w:r>
          </w:p>
        </w:tc>
        <w:tc>
          <w:tcPr>
            <w:tcW w:w="3533" w:type="dxa"/>
            <w:noWrap w:val="0"/>
            <w:vAlign w:val="center"/>
          </w:tcPr>
          <w:p w14:paraId="368596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1、包装规格 24人份/盒。2、预期用途：本试剂盒利用一步法实时荧光PCR技术，通过一步法RT-PCR扩增，对人口咽拭子样本中甲型流感病毒（IVA）RNA进行定性检测。3、核酸提取：可选配离心柱法或磁珠法自动化提取。4、试剂组分：PCR反应液，阴性质控品、阳性质控品。5、外源性内标设计，监控核酸提取和PCR扩增检测过程，减少假阴性结果的出现。6、样本类型：口咽拭子。7、分析灵敏度160 PFU/ml。8、精密度：试剂盒的批内精密度及批间精密度Ct值的CV%均小于5%；2份企业精密度参考品R1、R2重复检测10次，检测结果均为阳性且Ct值的变异系数（CV,%）均不大于5%；1份国家精密性参考品CV重复检测10次，检测结果均为阳性且Ct值的变异系数（CV,%）均不大于5%。9、分析特异性：能够特异检出≥5种病毒，与≥35种病原体样本无交叉反应。10、抗干扰性：粘蛋白（2mg/mL）、鼻分泌物（1mg/mL）等内源性物质不干扰试剂盒检测结果；样本中可能存在药峰浓度的肾上腺素（1mg/mL）、地塞米松（6mg/mL）、布地奈德（0.64nmoL/L）、硫磺（0.142mg/mL）不干扰试剂盒检测结果。11、储存条件及有效期：试剂盒保存于-20℃±5℃，有效期9个月。</w:t>
            </w:r>
          </w:p>
        </w:tc>
        <w:tc>
          <w:tcPr>
            <w:tcW w:w="573" w:type="dxa"/>
            <w:noWrap w:val="0"/>
            <w:vAlign w:val="center"/>
          </w:tcPr>
          <w:p w14:paraId="206A18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人份</w:t>
            </w:r>
          </w:p>
        </w:tc>
        <w:tc>
          <w:tcPr>
            <w:tcW w:w="709" w:type="dxa"/>
            <w:noWrap w:val="0"/>
            <w:vAlign w:val="center"/>
          </w:tcPr>
          <w:p w14:paraId="54B5F5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15.00 </w:t>
            </w:r>
          </w:p>
        </w:tc>
        <w:tc>
          <w:tcPr>
            <w:tcW w:w="954" w:type="dxa"/>
            <w:vMerge w:val="continue"/>
            <w:noWrap/>
            <w:vAlign w:val="center"/>
          </w:tcPr>
          <w:p w14:paraId="6B1DF9EA">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61C3791B">
            <w:pPr>
              <w:jc w:val="center"/>
              <w:rPr>
                <w:rFonts w:hint="eastAsia" w:ascii="方正仿宋_GB2312" w:hAnsi="方正仿宋_GB2312" w:eastAsia="方正仿宋_GB2312" w:cs="方正仿宋_GB2312"/>
                <w:color w:val="auto"/>
                <w:sz w:val="18"/>
                <w:szCs w:val="18"/>
                <w:highlight w:val="none"/>
                <w:lang w:val="en-US" w:eastAsia="zh-CN"/>
              </w:rPr>
            </w:pPr>
          </w:p>
        </w:tc>
      </w:tr>
      <w:tr w14:paraId="6FA9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 w:type="dxa"/>
            <w:noWrap w:val="0"/>
            <w:vAlign w:val="center"/>
          </w:tcPr>
          <w:p w14:paraId="017521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5</w:t>
            </w:r>
          </w:p>
        </w:tc>
        <w:tc>
          <w:tcPr>
            <w:tcW w:w="1498" w:type="dxa"/>
            <w:noWrap w:val="0"/>
            <w:vAlign w:val="center"/>
          </w:tcPr>
          <w:p w14:paraId="299B59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乙型流感病毒核酸检测试剂盒（PCR-荧光探针法）</w:t>
            </w:r>
          </w:p>
        </w:tc>
        <w:tc>
          <w:tcPr>
            <w:tcW w:w="3533" w:type="dxa"/>
            <w:noWrap w:val="0"/>
            <w:vAlign w:val="center"/>
          </w:tcPr>
          <w:p w14:paraId="61818D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1、包装规格 24人份/盒.2预期用途、本试剂盒利用一步法实时荧光PCR技术，通过一步法RT-PCR扩增，对人口咽拭子样本中乙型流感病毒（IVB）RNA进行定性检测。3、核酸提取 可选配离心柱法或磁珠法自动化提取。4、试剂组分 PCR反应液，阴性质控品、阳性质控品。5、外源性内标设计，监控核酸提取和PCR扩增检测过程，减少假阴性结果的出现。6、样本类型：口咽拭子。7、分析灵敏度 159 PFU/ml。8、精密度：试剂盒的批内精密度及批间精密度Ct值的CV%均小于5%；2份企业精密度参考品R1、R2重复检测10次，检测结果均为阳性且Ct值的变异系数（CV,%）均不大于5%；1份国家精密性参考品CV重复检测10次，检测结果均为阳性且Ct值的变异系数（CV,%）均不大于5%。9、分析特异性：与≥40种病原体临床样本无交叉反应。10、抗干扰性：粘蛋白（2mg/mL）、鼻分泌物（1mg/mL）等内源性物质不干扰试剂盒检测结果；样本中可能存在药峰浓度的肾上腺素（1mg/mL）、地塞米松（6mg/mL）、布地奈德（0.64nmoL/L）、硫磺（0.142mg /mL）不干扰试剂盒检测结果。11、储存条件及有效期 试剂盒保存于-20℃±5℃，有效期9个月。</w:t>
            </w:r>
          </w:p>
        </w:tc>
        <w:tc>
          <w:tcPr>
            <w:tcW w:w="573" w:type="dxa"/>
            <w:noWrap w:val="0"/>
            <w:vAlign w:val="center"/>
          </w:tcPr>
          <w:p w14:paraId="697060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人份</w:t>
            </w:r>
          </w:p>
        </w:tc>
        <w:tc>
          <w:tcPr>
            <w:tcW w:w="709" w:type="dxa"/>
            <w:noWrap w:val="0"/>
            <w:vAlign w:val="center"/>
          </w:tcPr>
          <w:p w14:paraId="35F909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15.00 </w:t>
            </w:r>
          </w:p>
        </w:tc>
        <w:tc>
          <w:tcPr>
            <w:tcW w:w="954" w:type="dxa"/>
            <w:vMerge w:val="continue"/>
            <w:noWrap/>
            <w:vAlign w:val="center"/>
          </w:tcPr>
          <w:p w14:paraId="6167A6C9">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48A3BCA2">
            <w:pPr>
              <w:jc w:val="center"/>
              <w:rPr>
                <w:rFonts w:hint="eastAsia" w:ascii="方正仿宋_GB2312" w:hAnsi="方正仿宋_GB2312" w:eastAsia="方正仿宋_GB2312" w:cs="方正仿宋_GB2312"/>
                <w:color w:val="auto"/>
                <w:sz w:val="18"/>
                <w:szCs w:val="18"/>
                <w:highlight w:val="none"/>
                <w:lang w:val="en-US" w:eastAsia="zh-CN"/>
              </w:rPr>
            </w:pPr>
          </w:p>
        </w:tc>
      </w:tr>
      <w:tr w14:paraId="5539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 w:type="dxa"/>
            <w:noWrap w:val="0"/>
            <w:vAlign w:val="center"/>
          </w:tcPr>
          <w:p w14:paraId="2D5428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6</w:t>
            </w:r>
          </w:p>
        </w:tc>
        <w:tc>
          <w:tcPr>
            <w:tcW w:w="1498" w:type="dxa"/>
            <w:noWrap w:val="0"/>
            <w:vAlign w:val="center"/>
          </w:tcPr>
          <w:p w14:paraId="7D9A03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CYP2D6*10、CYP2C9*3、ADRB1(1165G&gt;C)、AGTR1(1166A&gt;C)、 ACE(I/D)检测试剂盒（PCR-熔解曲线法）</w:t>
            </w:r>
          </w:p>
        </w:tc>
        <w:tc>
          <w:tcPr>
            <w:tcW w:w="3533" w:type="dxa"/>
            <w:noWrap w:val="0"/>
            <w:vAlign w:val="center"/>
          </w:tcPr>
          <w:p w14:paraId="45FF79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1、基因位点，CYP2D6*10、CYP2C9*3、ADRB1(1165G&gt;C)、AGTR1(1166A&gt;C)、 ACE(I/D)。2、检测方法，PCR-熔解曲线法。3、样本类型：EDTA抗凝全血。4、样本浓度：10-100ng/μL。5、样本加样量：2μL。6、PCR体系体积：18μL。7、质控类型：空白对照，阳性对照，内标。8、最低检测限：2ng/μL。9、检测设备：实时荧光定量PCR仪。10、检测通道，FAM、ROX。11、准确度：经1050例高血压患者的全血样本临床试验，本品与测序法作对照，各SNP位点亚型符合率均在99%以上。12、精密度：10次平行检测，结果均为符合相应基因型别且Tm值极差≤1.5℃。13、干扰能力：五项靶基因间无交叉反应。2g/L血红蛋白、342μM胆红素、37mM脂类（甘油三酯）等干扰物质，对检测结果未见有干扰。乙肝病毒、丙肝病毒等血液病原体，对检测结果未见有干扰。阿莫西林、快克复方氨酚烷胺胶囊、美托洛尔、缬沙坦、依那普利等药物，对检测结果未见有干扰。14.有效期，置于-20℃条件下储存，有效期6个月。15.包装规格，24人份/盒、48人份/盒。16.本品用于体外定性检测从高血压病人外周血提取的人基因组DNA中CYP2D6*10、CYP2C9*3、ADRB1(1165G&gt;C)、AGTR1(1166A&gt;C)、 ACE(I/D)的基因型。</w:t>
            </w:r>
          </w:p>
        </w:tc>
        <w:tc>
          <w:tcPr>
            <w:tcW w:w="573" w:type="dxa"/>
            <w:noWrap w:val="0"/>
            <w:vAlign w:val="center"/>
          </w:tcPr>
          <w:p w14:paraId="41CEE0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人份</w:t>
            </w:r>
          </w:p>
        </w:tc>
        <w:tc>
          <w:tcPr>
            <w:tcW w:w="709" w:type="dxa"/>
            <w:noWrap w:val="0"/>
            <w:vAlign w:val="center"/>
          </w:tcPr>
          <w:p w14:paraId="2B9827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447.00 </w:t>
            </w:r>
          </w:p>
        </w:tc>
        <w:tc>
          <w:tcPr>
            <w:tcW w:w="954" w:type="dxa"/>
            <w:vMerge w:val="continue"/>
            <w:noWrap/>
            <w:vAlign w:val="center"/>
          </w:tcPr>
          <w:p w14:paraId="7983BD5C">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7DB6BE84">
            <w:pPr>
              <w:jc w:val="center"/>
              <w:rPr>
                <w:rFonts w:hint="eastAsia" w:ascii="方正仿宋_GB2312" w:hAnsi="方正仿宋_GB2312" w:eastAsia="方正仿宋_GB2312" w:cs="方正仿宋_GB2312"/>
                <w:color w:val="auto"/>
                <w:sz w:val="18"/>
                <w:szCs w:val="18"/>
                <w:highlight w:val="none"/>
                <w:lang w:val="en-US" w:eastAsia="zh-CN"/>
              </w:rPr>
            </w:pPr>
          </w:p>
        </w:tc>
      </w:tr>
      <w:tr w14:paraId="60EB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2" w:hRule="atLeast"/>
        </w:trPr>
        <w:tc>
          <w:tcPr>
            <w:tcW w:w="399" w:type="dxa"/>
            <w:noWrap w:val="0"/>
            <w:vAlign w:val="center"/>
          </w:tcPr>
          <w:p w14:paraId="5B2C85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7</w:t>
            </w:r>
          </w:p>
        </w:tc>
        <w:tc>
          <w:tcPr>
            <w:tcW w:w="1498" w:type="dxa"/>
            <w:noWrap w:val="0"/>
            <w:vAlign w:val="center"/>
          </w:tcPr>
          <w:p w14:paraId="65AD52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人类SLCO1B1和ApoE基因检测试剂盒（PCR-荧光探针法）</w:t>
            </w:r>
          </w:p>
        </w:tc>
        <w:tc>
          <w:tcPr>
            <w:tcW w:w="3533" w:type="dxa"/>
            <w:noWrap w:val="0"/>
            <w:vAlign w:val="center"/>
          </w:tcPr>
          <w:p w14:paraId="530D21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1、试剂有效期需≥9个月。2、保存条件应在-20℃±5℃。3、符合国家标准，获得CFDAIII类注册许可证。4、检测位点应包含ApoE E2、E4及SLCO1B1 388、521 四个位点。5、检测试剂需包含内标系统，可检测内标基因。6、每个位点应且只能对应一个反应体系。7、试剂中应包含弱阳性对照及空白对照的对应试剂。8、PCR上机时间不超过100分钟。9、反应体系中包含有效控制操作污染的组分。10、用于定性检测全血样本中的SLCO1B1基因SLCO1B1*1b 388A&gt;G、SLCO1B1*5521T&gt;C位点和ApoE基因ApoE2526C&gt;T、ApoE4388T&gt;C位点的多态性。</w:t>
            </w:r>
          </w:p>
        </w:tc>
        <w:tc>
          <w:tcPr>
            <w:tcW w:w="573" w:type="dxa"/>
            <w:noWrap w:val="0"/>
            <w:vAlign w:val="center"/>
          </w:tcPr>
          <w:p w14:paraId="3FA361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人份</w:t>
            </w:r>
          </w:p>
        </w:tc>
        <w:tc>
          <w:tcPr>
            <w:tcW w:w="709" w:type="dxa"/>
            <w:noWrap w:val="0"/>
            <w:vAlign w:val="center"/>
          </w:tcPr>
          <w:p w14:paraId="134EDF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297.50 </w:t>
            </w:r>
          </w:p>
        </w:tc>
        <w:tc>
          <w:tcPr>
            <w:tcW w:w="954" w:type="dxa"/>
            <w:vMerge w:val="continue"/>
            <w:noWrap/>
            <w:vAlign w:val="center"/>
          </w:tcPr>
          <w:p w14:paraId="7E8609F5">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136E5120">
            <w:pPr>
              <w:jc w:val="center"/>
              <w:rPr>
                <w:rFonts w:hint="eastAsia" w:ascii="方正仿宋_GB2312" w:hAnsi="方正仿宋_GB2312" w:eastAsia="方正仿宋_GB2312" w:cs="方正仿宋_GB2312"/>
                <w:color w:val="auto"/>
                <w:sz w:val="18"/>
                <w:szCs w:val="18"/>
                <w:highlight w:val="none"/>
                <w:lang w:val="en-US" w:eastAsia="zh-CN"/>
              </w:rPr>
            </w:pPr>
          </w:p>
        </w:tc>
      </w:tr>
      <w:tr w14:paraId="4380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 w:type="dxa"/>
            <w:noWrap w:val="0"/>
            <w:vAlign w:val="center"/>
          </w:tcPr>
          <w:p w14:paraId="60F88C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8</w:t>
            </w:r>
          </w:p>
        </w:tc>
        <w:tc>
          <w:tcPr>
            <w:tcW w:w="1498" w:type="dxa"/>
            <w:noWrap w:val="0"/>
            <w:vAlign w:val="center"/>
          </w:tcPr>
          <w:p w14:paraId="1FE3D0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人类 CYP2C19 基因检测试剂盒（PCR-荧光探针法）</w:t>
            </w:r>
          </w:p>
        </w:tc>
        <w:tc>
          <w:tcPr>
            <w:tcW w:w="3533" w:type="dxa"/>
            <w:noWrap w:val="0"/>
            <w:vAlign w:val="center"/>
          </w:tcPr>
          <w:p w14:paraId="3D4771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试剂有效期≥9个月。2、保存条件应在-20℃±5℃。3、符合国家标准，获得CFDAIII类注册许可证。4、检测位点应包含CYP2C19*2、*3、*17三个位点。5、检测试剂需包含内标系统，可检测内标基因。6、每个位点应且只能对应一个反应体系。7、试剂中应包含弱阳性对照及空白对照的对应试剂。8、PCR上机时间不超过100分钟。9、反应体系中包含有有效控制操作污染的组分。10、用于定性检测全血样本的CYP2C19基因CYP2C19*2、CYP2C19*3和CYP2C19*17三个位点的多态性。</w:t>
            </w:r>
          </w:p>
        </w:tc>
        <w:tc>
          <w:tcPr>
            <w:tcW w:w="573" w:type="dxa"/>
            <w:noWrap w:val="0"/>
            <w:vAlign w:val="center"/>
          </w:tcPr>
          <w:p w14:paraId="661CC4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人份</w:t>
            </w:r>
          </w:p>
        </w:tc>
        <w:tc>
          <w:tcPr>
            <w:tcW w:w="709" w:type="dxa"/>
            <w:noWrap w:val="0"/>
            <w:vAlign w:val="center"/>
          </w:tcPr>
          <w:p w14:paraId="3DC6BD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226.80 </w:t>
            </w:r>
          </w:p>
        </w:tc>
        <w:tc>
          <w:tcPr>
            <w:tcW w:w="954" w:type="dxa"/>
            <w:vMerge w:val="continue"/>
            <w:noWrap/>
            <w:vAlign w:val="center"/>
          </w:tcPr>
          <w:p w14:paraId="5AC9E1A0">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40F88BD1">
            <w:pPr>
              <w:jc w:val="center"/>
              <w:rPr>
                <w:rFonts w:hint="eastAsia" w:ascii="方正仿宋_GB2312" w:hAnsi="方正仿宋_GB2312" w:eastAsia="方正仿宋_GB2312" w:cs="方正仿宋_GB2312"/>
                <w:color w:val="auto"/>
                <w:sz w:val="18"/>
                <w:szCs w:val="18"/>
                <w:highlight w:val="none"/>
                <w:lang w:val="en-US" w:eastAsia="zh-CN"/>
              </w:rPr>
            </w:pPr>
          </w:p>
        </w:tc>
      </w:tr>
      <w:tr w14:paraId="0C5E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 w:type="dxa"/>
            <w:noWrap w:val="0"/>
            <w:vAlign w:val="center"/>
          </w:tcPr>
          <w:p w14:paraId="64FC47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9</w:t>
            </w:r>
          </w:p>
        </w:tc>
        <w:tc>
          <w:tcPr>
            <w:tcW w:w="1498" w:type="dxa"/>
            <w:noWrap w:val="0"/>
            <w:vAlign w:val="center"/>
          </w:tcPr>
          <w:p w14:paraId="4BE44E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人类CYP2C9和VKORC1基因检测试剂盒(PCR-荧光探针法)</w:t>
            </w:r>
          </w:p>
        </w:tc>
        <w:tc>
          <w:tcPr>
            <w:tcW w:w="3533" w:type="dxa"/>
            <w:noWrap w:val="0"/>
            <w:vAlign w:val="center"/>
          </w:tcPr>
          <w:p w14:paraId="58C41B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1、试剂有效期≥9个月。2、保存条件应在-20℃±5℃。3、符合国家标准，获得CFDAIII类注册许可证。4、检测位点应包含CYP2C9*3及VKORC1 1639两个位点。5、检测试剂需包含内标系统，可检测内标基因。6、每个位点应且只能对应一个反应体系。7、试剂中应包含弱阳性对照及空白对照的对应试剂。8、PCR上机时间不超过100分钟。9、反应体系中包含有有效控制操作污染的组分.10、该产品用于定性检测全血样本中的CYP2C9基因CYP2C9*3位点和VKORCI基因VKORC1-1639G&gt;A位点的多态性。</w:t>
            </w:r>
          </w:p>
        </w:tc>
        <w:tc>
          <w:tcPr>
            <w:tcW w:w="573" w:type="dxa"/>
            <w:noWrap w:val="0"/>
            <w:vAlign w:val="center"/>
          </w:tcPr>
          <w:p w14:paraId="618420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人份</w:t>
            </w:r>
          </w:p>
        </w:tc>
        <w:tc>
          <w:tcPr>
            <w:tcW w:w="709" w:type="dxa"/>
            <w:noWrap w:val="0"/>
            <w:vAlign w:val="center"/>
          </w:tcPr>
          <w:p w14:paraId="2AA040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194.40 </w:t>
            </w:r>
          </w:p>
        </w:tc>
        <w:tc>
          <w:tcPr>
            <w:tcW w:w="954" w:type="dxa"/>
            <w:vMerge w:val="continue"/>
            <w:noWrap/>
            <w:vAlign w:val="center"/>
          </w:tcPr>
          <w:p w14:paraId="18AE87B7">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736DB3B7">
            <w:pPr>
              <w:jc w:val="center"/>
              <w:rPr>
                <w:rFonts w:hint="eastAsia" w:ascii="方正仿宋_GB2312" w:hAnsi="方正仿宋_GB2312" w:eastAsia="方正仿宋_GB2312" w:cs="方正仿宋_GB2312"/>
                <w:color w:val="auto"/>
                <w:sz w:val="18"/>
                <w:szCs w:val="18"/>
                <w:highlight w:val="none"/>
                <w:lang w:val="en-US" w:eastAsia="zh-CN"/>
              </w:rPr>
            </w:pPr>
          </w:p>
        </w:tc>
      </w:tr>
      <w:tr w14:paraId="206C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 w:type="dxa"/>
            <w:noWrap w:val="0"/>
            <w:vAlign w:val="center"/>
          </w:tcPr>
          <w:p w14:paraId="32C1EA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10</w:t>
            </w:r>
          </w:p>
        </w:tc>
        <w:tc>
          <w:tcPr>
            <w:tcW w:w="1498" w:type="dxa"/>
            <w:noWrap w:val="0"/>
            <w:vAlign w:val="center"/>
          </w:tcPr>
          <w:p w14:paraId="148E8A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乙型肝炎病毒脱氧核糖核酸（HBV DNA）血清（液体）室内质控品</w:t>
            </w:r>
          </w:p>
        </w:tc>
        <w:tc>
          <w:tcPr>
            <w:tcW w:w="3533" w:type="dxa"/>
            <w:noWrap w:val="0"/>
            <w:vAlign w:val="center"/>
          </w:tcPr>
          <w:p w14:paraId="760EE2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1、分析物包含：HBV DNA。2、样品制备：根据国家二级标物【GBW(E)090664-090667】和【GBW(E)090991-090994】的制备工艺，筛选出含乙型肝炎病毒脱氧核糖核酸（HBV DNA）强阳性的血清/浆处理后，进行初步稀释定值，然后用阴性稀释液进行稀释，加入核酸稳定剂和保护剂后，得到所需浓度水平的样品，并进行分装。根据国家二级标物【GBW(E)090664-090667】和【GBW(E)090991-090994】的定值方法，采用目前使用量较大，试剂盒的特异性、精密度、灵敏度相对较好的 2~5 家乙型肝炎病毒（HBV DNA）核酸定量检测试剂盒检测，以国际标准物质4th WHO International Standard for HBV DNA for NAT NIBSC Code：10/266 为溯源，通过标准 PCR 定量 检测，确定待测标本的含量。3、包装规格：液体，0.5ml/管，20 管/盒。4、浓度靶值： 高值（S4）：1.00E+06 ～1.00E+07 IU/mL，中值（S3）:1.00E+05 ～1.00E+06 IU/mL，低值（S2）:1.00E+04 ～1.00E+05 IU/mL，临界（S1）:1.00E+03 ～1.00E+04 IU/mL，L1:500 IU/mL; L2:200 IU/mL; L3:100 IU/mL; L4:50 IU/mL。5、稳定性：2-8℃环境中，可稳定6个月；-15℃以下环境中，可稳定24个月。6、运输条件：冰块或干冰环境中运输。7、适用性：适用不同检测平台、不同检测方法学、适用所有厂家试剂盒。</w:t>
            </w: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br w:type="textWrapping"/>
            </w: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8、贮存条件：（-20±5）℃环境中储存。</w:t>
            </w:r>
          </w:p>
        </w:tc>
        <w:tc>
          <w:tcPr>
            <w:tcW w:w="573" w:type="dxa"/>
            <w:noWrap w:val="0"/>
            <w:vAlign w:val="center"/>
          </w:tcPr>
          <w:p w14:paraId="13F03E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ml</w:t>
            </w:r>
          </w:p>
        </w:tc>
        <w:tc>
          <w:tcPr>
            <w:tcW w:w="709" w:type="dxa"/>
            <w:noWrap w:val="0"/>
            <w:vAlign w:val="center"/>
          </w:tcPr>
          <w:p w14:paraId="2E0667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170.00 </w:t>
            </w:r>
          </w:p>
        </w:tc>
        <w:tc>
          <w:tcPr>
            <w:tcW w:w="954" w:type="dxa"/>
            <w:vMerge w:val="continue"/>
            <w:noWrap/>
            <w:vAlign w:val="center"/>
          </w:tcPr>
          <w:p w14:paraId="3F029297">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7B5E19F0">
            <w:pPr>
              <w:jc w:val="center"/>
              <w:rPr>
                <w:rFonts w:hint="eastAsia" w:ascii="方正仿宋_GB2312" w:hAnsi="方正仿宋_GB2312" w:eastAsia="方正仿宋_GB2312" w:cs="方正仿宋_GB2312"/>
                <w:color w:val="auto"/>
                <w:sz w:val="18"/>
                <w:szCs w:val="18"/>
                <w:highlight w:val="none"/>
                <w:lang w:val="en-US" w:eastAsia="zh-CN"/>
              </w:rPr>
            </w:pPr>
          </w:p>
        </w:tc>
      </w:tr>
      <w:tr w14:paraId="7F76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399" w:type="dxa"/>
            <w:noWrap w:val="0"/>
            <w:vAlign w:val="center"/>
          </w:tcPr>
          <w:p w14:paraId="471118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11</w:t>
            </w:r>
          </w:p>
        </w:tc>
        <w:tc>
          <w:tcPr>
            <w:tcW w:w="1498" w:type="dxa"/>
            <w:noWrap w:val="0"/>
            <w:vAlign w:val="center"/>
          </w:tcPr>
          <w:p w14:paraId="747945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丙型肝炎病毒核糖核酸（HCV RNA）血清（液体）室内质控品</w:t>
            </w:r>
          </w:p>
        </w:tc>
        <w:tc>
          <w:tcPr>
            <w:tcW w:w="3533" w:type="dxa"/>
            <w:noWrap w:val="0"/>
            <w:vAlign w:val="center"/>
          </w:tcPr>
          <w:p w14:paraId="2D05CF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1、分析物包含：HCV RNA。2、样品制备：根据国家二级标物【GBW(E)090659-090662】和【GBW(E)090978-090981】的制备工艺，筛选出含HCVRNA强阳性的血浆（血清），灭活处理后，进行初步定值，然后用人阴性血浆进行稀释，加入稳定剂和保护剂后，得到所需浓度水平的样品，并进行分装。根据国家二级标物【GBW(E)090659-090662】和【GBW(E)090978-090981】的定值方法，采用目前使用量较大，试剂盒的特异性、精密度、灵敏度相对较好的 2~5 家丙型肝炎病毒 (HCV)核酸定量检测试剂盒检测，以国际标准物质5 th WHO International Standard Hepstitis C Virus（HCV）RNA NIBSC code:14/150 做溯源比对，通 过标准 PCR定量检测，确定待测标本的含量。3、包装规格：液体，0.5ml/管，20 管/盒；4、浓度靶值：高值（S3）：1.00E+05 ～1.00E+06 IU/mL；中值（S2）:1.00E+04 ～1.00E+05IU/mL；</w:t>
            </w: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br w:type="textWrapping"/>
            </w: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低值（S1）:1.00E+03 ～1.00E+04IU/mL；L1:500 IU/mL; L2:200 IU/mL; L3:100 IU/mL。5、稳定性：2-8℃环境中，可稳定 6 个月；-15℃以下环境中，可稳定 24 个月，6、运输条件：冰块或干冰环境中运输。7、适用性：适用不同检测平台、不同检测方法学、适用所有厂家试剂盒。8、贮存条件：（-20±5）℃环境中储存。</w:t>
            </w:r>
          </w:p>
        </w:tc>
        <w:tc>
          <w:tcPr>
            <w:tcW w:w="573" w:type="dxa"/>
            <w:noWrap w:val="0"/>
            <w:vAlign w:val="center"/>
          </w:tcPr>
          <w:p w14:paraId="094EFE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ml</w:t>
            </w:r>
          </w:p>
        </w:tc>
        <w:tc>
          <w:tcPr>
            <w:tcW w:w="709" w:type="dxa"/>
            <w:noWrap w:val="0"/>
            <w:vAlign w:val="center"/>
          </w:tcPr>
          <w:p w14:paraId="313D64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170.00 </w:t>
            </w:r>
          </w:p>
        </w:tc>
        <w:tc>
          <w:tcPr>
            <w:tcW w:w="954" w:type="dxa"/>
            <w:vMerge w:val="continue"/>
            <w:noWrap/>
            <w:vAlign w:val="center"/>
          </w:tcPr>
          <w:p w14:paraId="759BB091">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7E98FD39">
            <w:pPr>
              <w:jc w:val="center"/>
              <w:rPr>
                <w:rFonts w:hint="eastAsia" w:ascii="方正仿宋_GB2312" w:hAnsi="方正仿宋_GB2312" w:eastAsia="方正仿宋_GB2312" w:cs="方正仿宋_GB2312"/>
                <w:color w:val="auto"/>
                <w:sz w:val="18"/>
                <w:szCs w:val="18"/>
                <w:highlight w:val="none"/>
                <w:lang w:val="en-US" w:eastAsia="zh-CN"/>
              </w:rPr>
            </w:pPr>
          </w:p>
        </w:tc>
      </w:tr>
      <w:tr w14:paraId="0197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2" w:hRule="atLeast"/>
        </w:trPr>
        <w:tc>
          <w:tcPr>
            <w:tcW w:w="399" w:type="dxa"/>
            <w:noWrap w:val="0"/>
            <w:vAlign w:val="center"/>
          </w:tcPr>
          <w:p w14:paraId="38EDDB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12</w:t>
            </w:r>
          </w:p>
        </w:tc>
        <w:tc>
          <w:tcPr>
            <w:tcW w:w="1498" w:type="dxa"/>
            <w:noWrap w:val="0"/>
            <w:vAlign w:val="center"/>
          </w:tcPr>
          <w:p w14:paraId="41E35B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2019 新型冠状病毒核糖核酸（2019-nCoV RNA）液体室内质控品</w:t>
            </w:r>
          </w:p>
        </w:tc>
        <w:tc>
          <w:tcPr>
            <w:tcW w:w="3533" w:type="dxa"/>
            <w:noWrap w:val="0"/>
            <w:vAlign w:val="center"/>
          </w:tcPr>
          <w:p w14:paraId="1185EC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1、分析物包含：2019-nCoV RNA。2、样品制备：首先对新型冠状病毒假病毒（含 ORF1ab、N 和 E 基因）进行构建和培养，获得培养液。对收获的假病毒培 养液进行初步定值，然后用阴性稀释液稀释至所需浓度，并进行分装。采用 ddPCR 法结合荧光定量 PCR 法进行 定量检测，用目前使用量较大，试剂盒的特异性、精密度、灵敏度相对较好的 3~5 家检测试剂盒进行检测，确定 待测标本的含量。3、包装规格：液体，0.5ml/管，20 管/盒。4、浓度靶值：S2中值：1.00E+04～1.00E+05 copies/ml；S1低值：1.00E+03～1.00E+04 copies/ml；S0临界值：1.00E+02～1.00E+03copies/ml；L1：500 copies/ml；L2：250 copies/ml；S3阴性质控。5、稳定性：2-8℃环境中，可稳定 3 个月；-15℃以下环境中，可稳定 24 个月。6、运输条件：冰块或干冰环境中运输。7、适用性：适用不同检测平台、不同检测方法学、适用所有厂家试剂盒。8、贮存条件：（-20±5）℃环境中储存。</w:t>
            </w:r>
          </w:p>
        </w:tc>
        <w:tc>
          <w:tcPr>
            <w:tcW w:w="573" w:type="dxa"/>
            <w:noWrap w:val="0"/>
            <w:vAlign w:val="center"/>
          </w:tcPr>
          <w:p w14:paraId="45B419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ml</w:t>
            </w:r>
          </w:p>
        </w:tc>
        <w:tc>
          <w:tcPr>
            <w:tcW w:w="709" w:type="dxa"/>
            <w:noWrap w:val="0"/>
            <w:vAlign w:val="center"/>
          </w:tcPr>
          <w:p w14:paraId="6DC502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 xml:space="preserve">570.00 </w:t>
            </w:r>
          </w:p>
        </w:tc>
        <w:tc>
          <w:tcPr>
            <w:tcW w:w="954" w:type="dxa"/>
            <w:vMerge w:val="continue"/>
            <w:noWrap/>
            <w:vAlign w:val="center"/>
          </w:tcPr>
          <w:p w14:paraId="2E8F5DE2">
            <w:pPr>
              <w:jc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856" w:type="dxa"/>
            <w:noWrap/>
            <w:vAlign w:val="bottom"/>
          </w:tcPr>
          <w:p w14:paraId="387F772D">
            <w:pPr>
              <w:jc w:val="center"/>
              <w:rPr>
                <w:rFonts w:hint="eastAsia" w:ascii="方正仿宋_GB2312" w:hAnsi="方正仿宋_GB2312" w:eastAsia="方正仿宋_GB2312" w:cs="方正仿宋_GB2312"/>
                <w:color w:val="auto"/>
                <w:sz w:val="18"/>
                <w:szCs w:val="18"/>
                <w:highlight w:val="none"/>
                <w:lang w:val="en-US" w:eastAsia="zh-CN"/>
              </w:rPr>
            </w:pPr>
          </w:p>
        </w:tc>
      </w:tr>
      <w:tr w14:paraId="4C2C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003" w:type="dxa"/>
            <w:gridSpan w:val="4"/>
            <w:noWrap w:val="0"/>
            <w:vAlign w:val="center"/>
          </w:tcPr>
          <w:p w14:paraId="2D2C5AF7">
            <w:pPr>
              <w:keepNext w:val="0"/>
              <w:keepLines w:val="0"/>
              <w:widowControl/>
              <w:suppressLineNumbers w:val="0"/>
              <w:ind w:firstLine="2310" w:firstLineChars="1100"/>
              <w:jc w:val="both"/>
              <w:textAlignment w:val="center"/>
              <w:rPr>
                <w:rFonts w:hint="default" w:ascii="方正仿宋_GB2312" w:hAnsi="方正仿宋_GB2312" w:eastAsia="方正仿宋_GB2312" w:cs="方正仿宋_GB2312"/>
                <w:i w:val="0"/>
                <w:iCs w:val="0"/>
                <w:color w:val="000000"/>
                <w:kern w:val="0"/>
                <w:sz w:val="16"/>
                <w:szCs w:val="16"/>
                <w:highlight w:val="none"/>
                <w:u w:val="none"/>
                <w:lang w:val="en-US" w:eastAsia="zh-CN" w:bidi="ar"/>
              </w:rPr>
            </w:pPr>
            <w:r>
              <w:rPr>
                <w:rFonts w:hint="eastAsia" w:ascii="方正仿宋_GB2312" w:hAnsi="方正仿宋_GB2312" w:eastAsia="方正仿宋_GB2312" w:cs="方正仿宋_GB2312"/>
                <w:sz w:val="21"/>
                <w:szCs w:val="21"/>
                <w:highlight w:val="none"/>
                <w:vertAlign w:val="baseline"/>
                <w:lang w:val="en-US" w:eastAsia="zh-CN"/>
              </w:rPr>
              <w:t>最高限价（单价合计）：</w:t>
            </w:r>
          </w:p>
        </w:tc>
        <w:tc>
          <w:tcPr>
            <w:tcW w:w="2519" w:type="dxa"/>
            <w:gridSpan w:val="3"/>
            <w:noWrap w:val="0"/>
            <w:vAlign w:val="center"/>
          </w:tcPr>
          <w:p w14:paraId="29D3AB75">
            <w:pPr>
              <w:jc w:val="center"/>
              <w:rPr>
                <w:rFonts w:hint="default"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color w:val="auto"/>
                <w:sz w:val="18"/>
                <w:szCs w:val="18"/>
                <w:highlight w:val="none"/>
                <w:lang w:val="en-US" w:eastAsia="zh-CN"/>
              </w:rPr>
              <w:t>2138.70</w:t>
            </w:r>
          </w:p>
        </w:tc>
      </w:tr>
    </w:tbl>
    <w:p w14:paraId="319D550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35ECDCFF">
      <w:pPr>
        <w:pStyle w:val="2"/>
        <w:ind w:left="-420" w:leftChars="-200"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标项</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：新疆医科大学第六附属医院2026年普通试剂耗材采购项目（第一批）</w:t>
      </w:r>
      <w:r>
        <w:rPr>
          <w:rFonts w:hint="eastAsia" w:ascii="仿宋" w:hAnsi="仿宋" w:eastAsia="仿宋" w:cs="仿宋"/>
          <w:color w:val="auto"/>
          <w:sz w:val="24"/>
          <w:szCs w:val="24"/>
          <w:highlight w:val="none"/>
          <w:lang w:val="en-US" w:eastAsia="zh-CN"/>
        </w:rPr>
        <w:t>2包</w:t>
      </w:r>
    </w:p>
    <w:tbl>
      <w:tblPr>
        <w:tblStyle w:val="18"/>
        <w:tblpPr w:leftFromText="180" w:rightFromText="180" w:vertAnchor="text" w:horzAnchor="page" w:tblpX="1382" w:tblpY="4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007"/>
        <w:gridCol w:w="2074"/>
        <w:gridCol w:w="532"/>
        <w:gridCol w:w="1088"/>
        <w:gridCol w:w="2801"/>
        <w:gridCol w:w="578"/>
      </w:tblGrid>
      <w:tr w14:paraId="3B99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0"/>
            <w:vAlign w:val="center"/>
          </w:tcPr>
          <w:p w14:paraId="648929E3">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序号</w:t>
            </w:r>
          </w:p>
        </w:tc>
        <w:tc>
          <w:tcPr>
            <w:tcW w:w="0" w:type="auto"/>
            <w:noWrap w:val="0"/>
            <w:vAlign w:val="center"/>
          </w:tcPr>
          <w:p w14:paraId="3E0D5835">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试剂耗材产品名称</w:t>
            </w:r>
          </w:p>
          <w:p w14:paraId="23B8B37A">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（标的名称）</w:t>
            </w:r>
          </w:p>
        </w:tc>
        <w:tc>
          <w:tcPr>
            <w:tcW w:w="0" w:type="auto"/>
            <w:noWrap w:val="0"/>
            <w:vAlign w:val="center"/>
          </w:tcPr>
          <w:p w14:paraId="59C0BA66">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试剂耗材参数及用途</w:t>
            </w:r>
          </w:p>
        </w:tc>
        <w:tc>
          <w:tcPr>
            <w:tcW w:w="0" w:type="auto"/>
            <w:noWrap w:val="0"/>
            <w:vAlign w:val="center"/>
          </w:tcPr>
          <w:p w14:paraId="3FFD746D">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最小单位</w:t>
            </w:r>
          </w:p>
        </w:tc>
        <w:tc>
          <w:tcPr>
            <w:tcW w:w="0" w:type="auto"/>
            <w:noWrap w:val="0"/>
            <w:vAlign w:val="center"/>
          </w:tcPr>
          <w:p w14:paraId="4C13401B">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最高限制单价（元/最小单位）</w:t>
            </w:r>
          </w:p>
        </w:tc>
        <w:tc>
          <w:tcPr>
            <w:tcW w:w="0" w:type="auto"/>
            <w:noWrap/>
            <w:vAlign w:val="center"/>
          </w:tcPr>
          <w:p w14:paraId="6770B33A">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适配设备</w:t>
            </w:r>
          </w:p>
        </w:tc>
        <w:tc>
          <w:tcPr>
            <w:tcW w:w="0" w:type="auto"/>
            <w:noWrap/>
            <w:vAlign w:val="center"/>
          </w:tcPr>
          <w:p w14:paraId="5A0488F9">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备注</w:t>
            </w:r>
          </w:p>
        </w:tc>
      </w:tr>
      <w:tr w14:paraId="21B7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0" w:type="auto"/>
            <w:noWrap w:val="0"/>
            <w:vAlign w:val="center"/>
          </w:tcPr>
          <w:p w14:paraId="3875C189">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w:t>
            </w:r>
          </w:p>
        </w:tc>
        <w:tc>
          <w:tcPr>
            <w:tcW w:w="0" w:type="auto"/>
            <w:noWrap w:val="0"/>
            <w:vAlign w:val="center"/>
          </w:tcPr>
          <w:p w14:paraId="3932FAA5">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6"/>
                <w:szCs w:val="16"/>
                <w:highlight w:val="none"/>
                <w:u w:val="none"/>
                <w:lang w:val="en-US" w:eastAsia="zh-CN" w:bidi="ar"/>
              </w:rPr>
              <w:t>全量程C反应蛋白检测试剂盒</w:t>
            </w:r>
          </w:p>
        </w:tc>
        <w:tc>
          <w:tcPr>
            <w:tcW w:w="0" w:type="auto"/>
            <w:noWrap w:val="0"/>
            <w:vAlign w:val="center"/>
          </w:tcPr>
          <w:p w14:paraId="20022E6E">
            <w:pPr>
              <w:keepNext w:val="0"/>
              <w:keepLines w:val="0"/>
              <w:widowControl/>
              <w:suppressLineNumbers w:val="0"/>
              <w:jc w:val="left"/>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1.用于体外定量检测人血清/血浆/全血中的C反应蛋白（CRP）的含量；</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br w:type="textWrapping"/>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2.检测样本类型：血清/血浆/全血；</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br w:type="textWrapping"/>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3.线性范围：1-200 mg/L；</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br w:type="textWrapping"/>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4.批间差≤20%；</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br w:type="textWrapping"/>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5.检出限≤1mg/L；</w:t>
            </w:r>
          </w:p>
        </w:tc>
        <w:tc>
          <w:tcPr>
            <w:tcW w:w="0" w:type="auto"/>
            <w:noWrap w:val="0"/>
            <w:vAlign w:val="center"/>
          </w:tcPr>
          <w:p w14:paraId="6D7B5ACB">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人份</w:t>
            </w:r>
          </w:p>
        </w:tc>
        <w:tc>
          <w:tcPr>
            <w:tcW w:w="0" w:type="auto"/>
            <w:noWrap w:val="0"/>
            <w:vAlign w:val="center"/>
          </w:tcPr>
          <w:p w14:paraId="3DB26180">
            <w:pPr>
              <w:keepNext w:val="0"/>
              <w:keepLines w:val="0"/>
              <w:widowControl/>
              <w:suppressLineNumbers w:val="0"/>
              <w:jc w:val="center"/>
              <w:textAlignment w:val="center"/>
              <w:rPr>
                <w:rFonts w:hint="default" w:ascii="方正仿宋_GB2312" w:hAnsi="方正仿宋_GB2312" w:cs="方正仿宋_GB2312" w:eastAsiaTheme="minorEastAsia"/>
                <w:color w:val="auto"/>
                <w:sz w:val="18"/>
                <w:szCs w:val="18"/>
                <w:highlight w:val="none"/>
                <w:lang w:val="en-US" w:eastAsia="zh-CN"/>
              </w:rPr>
            </w:pPr>
            <w:r>
              <w:rPr>
                <w:rFonts w:hint="eastAsia" w:ascii="方正仿宋_GB2312" w:hAnsi="方正仿宋_GB2312" w:cs="方正仿宋_GB2312"/>
                <w:color w:val="auto"/>
                <w:sz w:val="18"/>
                <w:szCs w:val="18"/>
                <w:highlight w:val="none"/>
                <w:lang w:val="en-US" w:eastAsia="zh-CN"/>
              </w:rPr>
              <w:t>6.00</w:t>
            </w:r>
          </w:p>
        </w:tc>
        <w:tc>
          <w:tcPr>
            <w:tcW w:w="0" w:type="auto"/>
            <w:noWrap/>
            <w:vAlign w:val="center"/>
          </w:tcPr>
          <w:p w14:paraId="5D22D8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全自动荧光免疫分析仪QD-S2000</w:t>
            </w:r>
          </w:p>
        </w:tc>
        <w:tc>
          <w:tcPr>
            <w:tcW w:w="0" w:type="auto"/>
            <w:noWrap/>
            <w:vAlign w:val="center"/>
          </w:tcPr>
          <w:p w14:paraId="6F2B8CD6">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p>
        </w:tc>
      </w:tr>
    </w:tbl>
    <w:p w14:paraId="6A340FD7">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6DA50E5B">
      <w:pPr>
        <w:pStyle w:val="2"/>
        <w:ind w:left="-420" w:leftChars="-200"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标项</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：新疆医科大学第六附属医院2026年普通试剂耗材采购项目（第一批）</w:t>
      </w:r>
      <w:r>
        <w:rPr>
          <w:rFonts w:hint="eastAsia" w:ascii="仿宋" w:hAnsi="仿宋" w:eastAsia="仿宋" w:cs="仿宋"/>
          <w:color w:val="auto"/>
          <w:sz w:val="24"/>
          <w:szCs w:val="24"/>
          <w:highlight w:val="none"/>
          <w:lang w:val="en-US" w:eastAsia="zh-CN"/>
        </w:rPr>
        <w:t>3包</w:t>
      </w:r>
    </w:p>
    <w:tbl>
      <w:tblPr>
        <w:tblStyle w:val="18"/>
        <w:tblpPr w:leftFromText="180" w:rightFromText="180" w:vertAnchor="text" w:horzAnchor="page" w:tblpX="1382" w:tblpY="415"/>
        <w:tblOverlap w:val="never"/>
        <w:tblW w:w="8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9"/>
        <w:gridCol w:w="3920"/>
        <w:gridCol w:w="483"/>
        <w:gridCol w:w="934"/>
        <w:gridCol w:w="1476"/>
        <w:gridCol w:w="578"/>
      </w:tblGrid>
      <w:tr w14:paraId="62C2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0" w:type="auto"/>
            <w:noWrap w:val="0"/>
            <w:vAlign w:val="center"/>
          </w:tcPr>
          <w:p w14:paraId="1EFA5096">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序号</w:t>
            </w:r>
          </w:p>
        </w:tc>
        <w:tc>
          <w:tcPr>
            <w:tcW w:w="0" w:type="auto"/>
            <w:noWrap w:val="0"/>
            <w:vAlign w:val="center"/>
          </w:tcPr>
          <w:p w14:paraId="606046DC">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试剂耗材产品名称</w:t>
            </w:r>
          </w:p>
          <w:p w14:paraId="02C80E70">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（标的名称）</w:t>
            </w:r>
          </w:p>
        </w:tc>
        <w:tc>
          <w:tcPr>
            <w:tcW w:w="0" w:type="auto"/>
            <w:noWrap w:val="0"/>
            <w:vAlign w:val="center"/>
          </w:tcPr>
          <w:p w14:paraId="5DADE83B">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试剂耗材参数及用途</w:t>
            </w:r>
          </w:p>
        </w:tc>
        <w:tc>
          <w:tcPr>
            <w:tcW w:w="0" w:type="auto"/>
            <w:noWrap w:val="0"/>
            <w:vAlign w:val="center"/>
          </w:tcPr>
          <w:p w14:paraId="44D7198E">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最小单位</w:t>
            </w:r>
          </w:p>
        </w:tc>
        <w:tc>
          <w:tcPr>
            <w:tcW w:w="0" w:type="auto"/>
            <w:noWrap w:val="0"/>
            <w:vAlign w:val="center"/>
          </w:tcPr>
          <w:p w14:paraId="62B1D6B0">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最高限制单价（元/最小单位）</w:t>
            </w:r>
          </w:p>
        </w:tc>
        <w:tc>
          <w:tcPr>
            <w:tcW w:w="0" w:type="auto"/>
            <w:noWrap/>
            <w:vAlign w:val="center"/>
          </w:tcPr>
          <w:p w14:paraId="38A8563B">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适配设备</w:t>
            </w:r>
          </w:p>
        </w:tc>
        <w:tc>
          <w:tcPr>
            <w:tcW w:w="0" w:type="auto"/>
            <w:noWrap/>
            <w:vAlign w:val="center"/>
          </w:tcPr>
          <w:p w14:paraId="20BAEAD1">
            <w:pPr>
              <w:pStyle w:val="16"/>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方正仿宋_GB2312" w:hAnsi="方正仿宋_GB2312" w:eastAsia="方正仿宋_GB2312" w:cs="方正仿宋_GB2312"/>
                <w:b/>
                <w:bCs/>
                <w:color w:val="auto"/>
                <w:sz w:val="18"/>
                <w:szCs w:val="18"/>
                <w:highlight w:val="none"/>
                <w:lang w:val="en-US" w:eastAsia="zh-CN"/>
              </w:rPr>
            </w:pPr>
            <w:r>
              <w:rPr>
                <w:rFonts w:hint="eastAsia" w:ascii="方正仿宋_GB2312" w:hAnsi="方正仿宋_GB2312" w:eastAsia="方正仿宋_GB2312" w:cs="方正仿宋_GB2312"/>
                <w:b/>
                <w:bCs/>
                <w:color w:val="auto"/>
                <w:sz w:val="18"/>
                <w:szCs w:val="18"/>
                <w:highlight w:val="none"/>
                <w:lang w:val="en-US" w:eastAsia="zh-CN"/>
              </w:rPr>
              <w:t>备注</w:t>
            </w:r>
          </w:p>
        </w:tc>
      </w:tr>
      <w:tr w14:paraId="2D54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0" w:type="auto"/>
            <w:noWrap w:val="0"/>
            <w:vAlign w:val="center"/>
          </w:tcPr>
          <w:p w14:paraId="7D1E1199">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1</w:t>
            </w:r>
          </w:p>
        </w:tc>
        <w:tc>
          <w:tcPr>
            <w:tcW w:w="0" w:type="auto"/>
            <w:noWrap w:val="0"/>
            <w:vAlign w:val="center"/>
          </w:tcPr>
          <w:p w14:paraId="2A7A83AA">
            <w:pPr>
              <w:keepNext w:val="0"/>
              <w:keepLines w:val="0"/>
              <w:widowControl/>
              <w:suppressLineNumbers w:val="0"/>
              <w:jc w:val="left"/>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幽门螺杆菌抗体分型检测试剂盒</w:t>
            </w:r>
          </w:p>
        </w:tc>
        <w:tc>
          <w:tcPr>
            <w:tcW w:w="0" w:type="auto"/>
            <w:noWrap w:val="0"/>
            <w:vAlign w:val="center"/>
          </w:tcPr>
          <w:p w14:paraId="56646BCE">
            <w:pPr>
              <w:keepNext w:val="0"/>
              <w:keepLines w:val="0"/>
              <w:widowControl/>
              <w:suppressLineNumbers w:val="0"/>
              <w:jc w:val="left"/>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1.定性或定量检测：定性检测；2.检测指标：①对幽门螺杆菌分型：Ⅰ型和Ⅱ型； ②三项抗体检测指标：CagA 、VacA、Ure；3.检测样本：人血清；4.用途：用于定性检测人血清中抗幽门螺杆菌特异抗原 CagA、VacA、Ure 的 IgG 抗体指标并实现HP分型。</w:t>
            </w:r>
          </w:p>
        </w:tc>
        <w:tc>
          <w:tcPr>
            <w:tcW w:w="0" w:type="auto"/>
            <w:noWrap w:val="0"/>
            <w:vAlign w:val="center"/>
          </w:tcPr>
          <w:p w14:paraId="1FFC5C6E">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人份</w:t>
            </w:r>
          </w:p>
        </w:tc>
        <w:tc>
          <w:tcPr>
            <w:tcW w:w="0" w:type="auto"/>
            <w:noWrap w:val="0"/>
            <w:vAlign w:val="center"/>
          </w:tcPr>
          <w:p w14:paraId="59C2D09D">
            <w:pPr>
              <w:keepNext w:val="0"/>
              <w:keepLines w:val="0"/>
              <w:widowControl/>
              <w:suppressLineNumbers w:val="0"/>
              <w:jc w:val="center"/>
              <w:textAlignment w:val="center"/>
              <w:rPr>
                <w:rFonts w:hint="default" w:ascii="方正仿宋_GB2312" w:hAnsi="方正仿宋_GB2312" w:eastAsia="方正仿宋_GB2312" w:cs="方正仿宋_GB2312"/>
                <w:color w:val="auto"/>
                <w:sz w:val="18"/>
                <w:szCs w:val="18"/>
                <w:highlight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65.00</w:t>
            </w:r>
          </w:p>
        </w:tc>
        <w:tc>
          <w:tcPr>
            <w:tcW w:w="0" w:type="auto"/>
            <w:noWrap/>
            <w:vAlign w:val="center"/>
          </w:tcPr>
          <w:p w14:paraId="760700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生物芯片阅读仪</w:t>
            </w:r>
          </w:p>
        </w:tc>
        <w:tc>
          <w:tcPr>
            <w:tcW w:w="0" w:type="auto"/>
            <w:noWrap/>
            <w:vAlign w:val="center"/>
          </w:tcPr>
          <w:p w14:paraId="3C5A0B8A">
            <w:pPr>
              <w:keepNext w:val="0"/>
              <w:keepLines w:val="0"/>
              <w:widowControl/>
              <w:suppressLineNumbers w:val="0"/>
              <w:jc w:val="center"/>
              <w:textAlignment w:val="center"/>
              <w:rPr>
                <w:rFonts w:hint="eastAsia" w:ascii="方正仿宋_GB2312" w:hAnsi="方正仿宋_GB2312" w:eastAsia="方正仿宋_GB2312" w:cs="方正仿宋_GB2312"/>
                <w:color w:val="auto"/>
                <w:sz w:val="18"/>
                <w:szCs w:val="18"/>
                <w:highlight w:val="none"/>
                <w:lang w:val="en-US" w:eastAsia="zh-CN"/>
              </w:rPr>
            </w:pPr>
          </w:p>
        </w:tc>
      </w:tr>
    </w:tbl>
    <w:p w14:paraId="2D52ABE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二、商务要求</w:t>
      </w:r>
    </w:p>
    <w:p w14:paraId="1617A29B">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1、采购项目（标的）实施期限：供应期限1年，中标商承担试剂耗材所使用的设备的维护保养、性能验证及年度计量检定。                                                                                    </w:t>
      </w:r>
    </w:p>
    <w:p w14:paraId="775E9675">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2、采购项目（标的）实施的地点：采购人指定地点</w:t>
      </w:r>
    </w:p>
    <w:p w14:paraId="1CDFA70E">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3、付款方式：甲方应当按照实际使用量，与乙方办理结算付款。具体结算付款流程为：甲乙双方每月对实际使用的数量进行书面确认，该书面确认单作为每结算同期内确认实际供货数量的依据；乙方接受乙方供应的产品按照甲方财务结算制度确定结算付款周期为：（月/季度/半年/年）；每一结算周期届满后7个工作日内，甲乙双方依据上一结算周期内双方无异议的实际供货数量（书面确认单）结合合同约定单价确认上一周期货款数额，并于货款数额确认后30个工作日内支付至乙方指定账户。                                                                                                                                                                                                                                                                                                        </w:t>
      </w:r>
    </w:p>
    <w:p w14:paraId="5DDA9EFE">
      <w:pPr>
        <w:pStyle w:val="17"/>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0" w:firstLineChars="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0"/>
          <w:sz w:val="24"/>
          <w:szCs w:val="24"/>
          <w:highlight w:val="none"/>
          <w:lang w:val="en-US" w:eastAsia="zh-CN" w:bidi="ar-SA"/>
        </w:rPr>
        <w:t>4、</w:t>
      </w:r>
      <w:r>
        <w:rPr>
          <w:rFonts w:hint="eastAsia" w:ascii="仿宋" w:hAnsi="仿宋" w:eastAsia="仿宋" w:cs="仿宋"/>
          <w:b/>
          <w:bCs/>
          <w:color w:val="auto"/>
          <w:sz w:val="24"/>
          <w:szCs w:val="24"/>
          <w:highlight w:val="none"/>
          <w:lang w:val="en-US" w:eastAsia="zh-CN"/>
        </w:rPr>
        <w:t>报价要求：投标人以每个品目的规格要求填报最小单位单价。投标书及开标一览表中投标报价为各品目单价合计。年供货数量以实际发生数量为准。备注：最小单位指在注册证或者产品包装所体现的最小计量单位。报价还需填写入库包装规格及价格。投标报价包含成本、运输、包装、售后服务、税费及其他一切完成本项目采购需求全部内容的费用，试剂耗材报价以不高于最小单位限价为准，并且不得高于本地三级甲等医院的最低价（提供承诺函），投标人所报价格为含税、配送费用等的全包价。</w:t>
      </w:r>
    </w:p>
    <w:p w14:paraId="634D910B">
      <w:pPr>
        <w:pStyle w:val="16"/>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5、本次所采购的试剂耗材需匹配医院现有设备使用，若投标供应商成交后因供应商所投产品不能完全匹配采购单位设备机型使用，导致采购单位设备无法正常运转，采购单位有权进行退货并取消其中标资格，所产生的一切后果有投标供应商自行承担（提供承诺函）。 </w:t>
      </w:r>
    </w:p>
    <w:p w14:paraId="6EDA0136">
      <w:pPr>
        <w:pStyle w:val="17"/>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bidi="ar-SA"/>
        </w:rPr>
        <w:t>6、</w:t>
      </w:r>
      <w:r>
        <w:rPr>
          <w:rFonts w:hint="eastAsia" w:ascii="仿宋" w:hAnsi="仿宋" w:eastAsia="仿宋" w:cs="仿宋"/>
          <w:b w:val="0"/>
          <w:bCs w:val="0"/>
          <w:color w:val="auto"/>
          <w:sz w:val="24"/>
          <w:szCs w:val="24"/>
          <w:highlight w:val="none"/>
          <w:lang w:val="en-US" w:eastAsia="zh-CN"/>
        </w:rPr>
        <w:t xml:space="preserve">合同履行期间，如所供产品参加国家集中带量采购、各类省际联盟带量采购，按集采谈判的价格结果进行网上采购；如在新疆维吾尔自治区药品和医用耗材招采管理系统挂网或进入“中部联盟”中选目录等符合上级主管部门的政策性要求时，按照相关政策执行。以上项目执行后如遇政策性调价或供应商自愿降价等，按更新后的价格执行，尚未履行交付的耗材参照更新后的最低价格执行。                                                                                                  </w:t>
      </w:r>
    </w:p>
    <w:p w14:paraId="437B453C">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val="0"/>
          <w:bCs w:val="0"/>
          <w:color w:val="auto"/>
          <w:sz w:val="24"/>
          <w:szCs w:val="24"/>
          <w:highlight w:val="none"/>
          <w:lang w:val="en-US" w:eastAsia="zh-CN"/>
        </w:rPr>
      </w:pPr>
    </w:p>
    <w:p w14:paraId="410F1E25">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三、其他技术要求</w:t>
      </w:r>
    </w:p>
    <w:p w14:paraId="65C51317">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1.质量要求</w:t>
      </w:r>
    </w:p>
    <w:p w14:paraId="7E277D09">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质量标准：符合国家及行业现行相关标准。采购人对不符合质量、有效期、包装和订单数量要求的产品，有权拒绝接收，投标人应对不符合要求的产品及时进行更换，不得影响采购人的使用。采购人有权对投标人交付的产品进行抽样检验，检验应当由具备检验资质的机构实施，投标人认可检测结果并承担检测费用。</w:t>
      </w:r>
    </w:p>
    <w:p w14:paraId="3DAB5F39">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1.2所投试剂及耗材均为正品，所有产品如出现质量问题需无条件退换货。</w:t>
      </w:r>
    </w:p>
    <w:p w14:paraId="1EA3B8F9">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1.3本项目采购的试剂、耗材应经过严格质量监控，保证试剂、耗材内外包装的生产批号完全一致。</w:t>
      </w:r>
    </w:p>
    <w:p w14:paraId="4293C4A0">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中标人应保证所供产品是全新的、未使用过的，完全符合国家及行业现行相关标准规定的质量、规格、环保和性能等要求；投标货物与产品应满足国家规定的安全指标；投标人所投货物必须是国家批准正式生产和市场准入的成熟货物。</w:t>
      </w:r>
    </w:p>
    <w:p w14:paraId="4057EC99">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2.配送和运输</w:t>
      </w:r>
    </w:p>
    <w:p w14:paraId="1446F061">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货物运输符合的相关国际惯例，试剂、耗材运达所产生的费用由供应商负责。运输途中的货物破损及损失风险由供应商承担，供应商承担运费。投标人应具有与本次招标的供货规模和范围相适应的场地、标的货物供应保障、专业运输仓储设施设备。投标人需按照本项目需求提供拟定配送方案（配送方案应包括但不限于响应时间、运输仓储条件等）、应急预案（投标人应制定应急预案以应对本项目采购的试剂耗材储运过程中发生的异常情况，保证试剂耗材安全、准确、及时送达）；</w:t>
      </w:r>
    </w:p>
    <w:p w14:paraId="60759AEA">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运送本项目试剂耗材的车辆应使用专用封闭厢式货车，并针对运输试剂耗材的包装条件及道路、天气状况采取相应措施，防止对试剂耗材质量造成影响。对有温度要求试剂耗材的运输，应有冷藏或保温的措施，并严格按照《医疗器械冷链（运输、贮存）管理指南》（国家食品药品监督管理局【2016】第 154 号）要求进行贮存与运输管理。</w:t>
      </w:r>
    </w:p>
    <w:p w14:paraId="7CFA5E25">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3.售后服务</w:t>
      </w:r>
    </w:p>
    <w:p w14:paraId="790D4E0A">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3.1质保期：中标方提供的医用耗材资质齐全，内外包装上均需注明有效期,有效期与投标文件中规定的有效期相一致且不得少于12个月（或试剂实际有效期），包装符合国家、行业标准规定的保护措施。中标方送货至使用方的库存物品接近效期的，中标方有责任进行无条件调换或退货。                                                                                                                             </w:t>
      </w:r>
    </w:p>
    <w:p w14:paraId="168AC71D">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3.2产品送达后，经验收不合格的，投标人必须在 48 小时内予以更换。在质量保证期内，投标人应对由于设计、工艺或者材料的缺陷而发生的任何不足或故障负责，并承担因此而发生的一切费用。连续出现两次质量问题，采购人有权中止该投标人的供货。</w:t>
      </w:r>
    </w:p>
    <w:p w14:paraId="1A8F6B6E">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内外包装上均需注明有效期,有效期与投标文件中规定的有效期相一致且不得少于12个月（或试剂实际有效期），包装符合国家、行业标准规定的保护措施。中标方送货至使用方的库存物品接近效期的，中标方有责任进行无条件调换或退货。如在质保期内有损坏的必须无偿更换，供应商应保证在12小时内对用户提出的问题或故障予以响应及处理。中标方按照院方要求及时配送。</w:t>
      </w:r>
    </w:p>
    <w:p w14:paraId="47BDB8E4">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投标人每批所供产品的实际使用有效期（实际使用有效期指交货当日至产品失效之日）自交货当天起算应不小于6个月或不小于产品有效期的50%。如采购人存放的产品的实际使用有效期不足2个月时，投标人需按照采购人要求无条件跟换新产品。（投标人必须提供由法定代表人或法定代表人授权代表签字的承诺函原件，并加盖投标人公章，内容必须包括：我单位承诺，每批次所供产品的实际使用有效期（实际使用有效期指交货当日至产品失效之日）自交货当天起算应不小于6个月或不小于产品有效期的50%。如采购人存放的产品的实际使用有效期不足2个月时，投标人需按照采购人要求无条件跟换新产品。）</w:t>
      </w:r>
    </w:p>
    <w:p w14:paraId="73C1B222">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 投标人应针对本项目组建专有服务团队。团队人员应根据项目要求配备，包括但不限于配送人员，技术支持人员，商务人员等。</w:t>
      </w:r>
    </w:p>
    <w:p w14:paraId="655650A0">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3.6对于投标人所配送的产品由于非采购人原因的，如国家政策变化或产品本身质量原因或被国家禁用不允许使用的产品，投标人应给予无条件退货。</w:t>
      </w: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E9583C0">
      <w:pPr>
        <w:pStyle w:val="3"/>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highlight w:val="none"/>
          <w:lang w:val="en-US" w:eastAsia="zh-CN"/>
        </w:rPr>
      </w:pPr>
      <w:bookmarkStart w:id="21" w:name="_Toc21893"/>
      <w:r>
        <w:rPr>
          <w:rFonts w:hint="eastAsia" w:ascii="方正小标宋简体" w:hAnsi="方正小标宋简体" w:eastAsia="方正小标宋简体" w:cs="方正小标宋简体"/>
          <w:sz w:val="32"/>
          <w:szCs w:val="32"/>
          <w:highlight w:val="none"/>
          <w:lang w:val="en-US" w:eastAsia="zh-CN"/>
        </w:rPr>
        <w:t>评标程序、评标方法和评标标准</w:t>
      </w:r>
      <w:bookmarkEnd w:id="21"/>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47B6ABF">
      <w:pPr>
        <w:keepNext w:val="0"/>
        <w:keepLines w:val="0"/>
        <w:pageBreakBefore w:val="0"/>
        <w:widowControl w:val="0"/>
        <w:numPr>
          <w:ilvl w:val="0"/>
          <w:numId w:val="14"/>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27440"/>
      <w:r>
        <w:rPr>
          <w:rFonts w:hint="eastAsia" w:ascii="方正仿宋_GB2312" w:hAnsi="方正仿宋_GB2312" w:eastAsia="方正仿宋_GB2312" w:cs="方正仿宋_GB2312"/>
          <w:b/>
          <w:bCs/>
          <w:sz w:val="24"/>
          <w:szCs w:val="24"/>
          <w:highlight w:val="none"/>
          <w:lang w:val="en-US" w:eastAsia="zh-CN"/>
        </w:rPr>
        <w:t>评标方法</w:t>
      </w:r>
      <w:bookmarkEnd w:id="22"/>
      <w:r>
        <w:rPr>
          <w:rFonts w:hint="eastAsia" w:ascii="方正仿宋_GB2312" w:hAnsi="方正仿宋_GB2312" w:eastAsia="方正仿宋_GB2312" w:cs="方正仿宋_GB2312"/>
          <w:b/>
          <w:bCs/>
          <w:sz w:val="24"/>
          <w:szCs w:val="24"/>
          <w:highlight w:val="none"/>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12617"/>
      <w:r>
        <w:rPr>
          <w:rFonts w:hint="eastAsia" w:ascii="方正仿宋_GB2312" w:hAnsi="方正仿宋_GB2312" w:eastAsia="方正仿宋_GB2312" w:cs="方正仿宋_GB2312"/>
          <w:b/>
          <w:bCs/>
          <w:sz w:val="24"/>
          <w:szCs w:val="24"/>
          <w:highlight w:val="none"/>
          <w:lang w:val="en-US" w:eastAsia="zh-CN"/>
        </w:rPr>
        <w:t>评标原则</w:t>
      </w:r>
      <w:bookmarkEnd w:id="23"/>
    </w:p>
    <w:p w14:paraId="13FA93AF">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资格性审查</w:t>
      </w:r>
    </w:p>
    <w:p w14:paraId="3FC4CCC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处理，不进入符合性审查。</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资格审查要求（标项一、标项二、标项三）</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按照采购文件的规定提交投标保证金</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1831"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933"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方正仿宋_GB2312" w:hAnsi="方正仿宋_GB2312" w:eastAsia="方正仿宋_GB2312" w:cs="方正仿宋_GB2312"/>
                <w:b/>
                <w:bCs/>
                <w:color w:val="auto"/>
                <w:sz w:val="21"/>
                <w:szCs w:val="21"/>
                <w:highlight w:val="none"/>
                <w:vertAlign w:val="baseline"/>
                <w:lang w:val="en-US" w:eastAsia="zh-CN"/>
              </w:rPr>
              <w:t>查询结果网页截图或信用报告</w:t>
            </w:r>
            <w:r>
              <w:rPr>
                <w:rFonts w:hint="eastAsia" w:ascii="方正仿宋_GB2312" w:hAnsi="方正仿宋_GB2312" w:eastAsia="方正仿宋_GB2312" w:cs="方正仿宋_GB2312"/>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1831"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933"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r w14:paraId="45CE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261191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1831" w:type="dxa"/>
            <w:vAlign w:val="center"/>
          </w:tcPr>
          <w:p w14:paraId="0816741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本项目的特定资格要求（3）</w:t>
            </w:r>
          </w:p>
        </w:tc>
        <w:tc>
          <w:tcPr>
            <w:tcW w:w="5933" w:type="dxa"/>
            <w:vAlign w:val="center"/>
          </w:tcPr>
          <w:p w14:paraId="2782FA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仿宋" w:hAnsi="仿宋" w:eastAsia="仿宋" w:cs="仿宋"/>
                <w:b w:val="0"/>
                <w:bCs w:val="0"/>
                <w:color w:val="auto"/>
                <w:kern w:val="2"/>
                <w:sz w:val="21"/>
                <w:szCs w:val="21"/>
                <w:highlight w:val="none"/>
                <w:vertAlign w:val="baseline"/>
                <w:lang w:val="en-US" w:eastAsia="zh-CN" w:bidi="ar-SA"/>
              </w:rPr>
              <w:t>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bl>
    <w:p w14:paraId="668F67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p>
    <w:p w14:paraId="22422C3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kern w:val="2"/>
          <w:sz w:val="24"/>
          <w:szCs w:val="24"/>
          <w:highlight w:val="none"/>
          <w:lang w:val="en-US" w:eastAsia="zh-CN" w:bidi="ar-SA"/>
        </w:rPr>
      </w:pPr>
      <w:r>
        <w:rPr>
          <w:rFonts w:hint="eastAsia" w:ascii="方正仿宋_GB2312" w:hAnsi="方正仿宋_GB2312" w:eastAsia="方正仿宋_GB2312" w:cs="方正仿宋_GB2312"/>
          <w:b/>
          <w:bCs/>
          <w:kern w:val="2"/>
          <w:sz w:val="24"/>
          <w:szCs w:val="24"/>
          <w:highlight w:val="none"/>
          <w:lang w:val="en-US" w:eastAsia="zh-CN" w:bidi="ar-SA"/>
        </w:rPr>
        <w:t>符合性审查</w:t>
      </w:r>
    </w:p>
    <w:p w14:paraId="65D18778">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符合性审查要求（标项一、标项二、标项三）</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投标文件满足采购文件中※号条款要求的</w:t>
            </w:r>
          </w:p>
        </w:tc>
      </w:tr>
      <w:tr w14:paraId="5858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shd w:val="clear" w:color="auto" w:fill="auto"/>
            <w:vAlign w:val="center"/>
          </w:tcPr>
          <w:p w14:paraId="65B3F6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6BE59F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40E76A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shd w:val="clear" w:color="auto" w:fill="auto"/>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投标文件中不存在违反国家法律、法规和采购文件规定的其他无效情形</w:t>
            </w:r>
          </w:p>
        </w:tc>
      </w:tr>
    </w:tbl>
    <w:p w14:paraId="69235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96CAACD">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4" w:name="_Toc23924"/>
      <w:r>
        <w:rPr>
          <w:rFonts w:hint="eastAsia" w:ascii="方正仿宋_GB2312" w:hAnsi="方正仿宋_GB2312" w:eastAsia="方正仿宋_GB2312" w:cs="方正仿宋_GB2312"/>
          <w:b/>
          <w:bCs/>
          <w:sz w:val="24"/>
          <w:szCs w:val="24"/>
          <w:highlight w:val="none"/>
          <w:lang w:val="en-US" w:eastAsia="zh-CN"/>
        </w:rPr>
        <w:t>投标文件有关事项的澄清或者说明</w:t>
      </w:r>
      <w:bookmarkEnd w:id="24"/>
    </w:p>
    <w:p w14:paraId="2C61505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BCD98DA">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评标委员会不接受投标人主动提出的澄清、说明或补正。</w:t>
      </w:r>
    </w:p>
    <w:p w14:paraId="13931DC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对报价的计算错误按以下原则修正：</w:t>
      </w:r>
    </w:p>
    <w:p w14:paraId="6BA9F2A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大写金额和小写金额不一致的，以大写金额为准；</w:t>
      </w:r>
    </w:p>
    <w:p w14:paraId="100B9D6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w:t>
      </w:r>
    </w:p>
    <w:p w14:paraId="716C23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65C9E84">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22049"/>
      <w:r>
        <w:rPr>
          <w:rFonts w:hint="eastAsia" w:ascii="方正仿宋_GB2312" w:hAnsi="方正仿宋_GB2312" w:eastAsia="方正仿宋_GB2312" w:cs="方正仿宋_GB2312"/>
          <w:b/>
          <w:bCs/>
          <w:sz w:val="24"/>
          <w:szCs w:val="24"/>
          <w:highlight w:val="none"/>
          <w:lang w:val="en-US" w:eastAsia="zh-CN"/>
        </w:rPr>
        <w:t>详细评审</w:t>
      </w:r>
      <w:bookmarkEnd w:id="25"/>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详细评审标准</w:t>
      </w:r>
    </w:p>
    <w:p w14:paraId="2C7CDC75">
      <w:pPr>
        <w:pStyle w:val="2"/>
        <w:rPr>
          <w:rFonts w:hint="default"/>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标项1：</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86D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24C9321">
            <w:pPr>
              <w:spacing w:line="240" w:lineRule="auto"/>
              <w:ind w:left="0" w:leftChars="0" w:right="638" w:rightChars="304"/>
              <w:jc w:val="center"/>
              <w:rPr>
                <w:rFonts w:hint="eastAsia" w:ascii="方正仿宋_GB2312" w:hAnsi="方正仿宋_GB2312" w:eastAsia="方正仿宋_GB2312" w:cs="方正仿宋_GB2312"/>
                <w:b/>
                <w:bCs w:val="0"/>
                <w:color w:val="auto"/>
                <w:sz w:val="21"/>
                <w:szCs w:val="21"/>
                <w:highlight w:val="none"/>
                <w:vertAlign w:val="baseline"/>
              </w:rPr>
            </w:pPr>
            <w:r>
              <w:rPr>
                <w:rFonts w:hint="eastAsia" w:ascii="方正仿宋_GB2312" w:hAnsi="方正仿宋_GB2312" w:eastAsia="方正仿宋_GB2312" w:cs="方正仿宋_GB2312"/>
                <w:b/>
                <w:bCs w:val="0"/>
                <w:color w:val="auto"/>
                <w:kern w:val="0"/>
                <w:sz w:val="21"/>
                <w:szCs w:val="21"/>
                <w:highlight w:val="none"/>
              </w:rPr>
              <w:t>评分因素</w:t>
            </w:r>
          </w:p>
        </w:tc>
        <w:tc>
          <w:tcPr>
            <w:tcW w:w="843" w:type="dxa"/>
            <w:vAlign w:val="center"/>
          </w:tcPr>
          <w:p w14:paraId="3845D487">
            <w:pPr>
              <w:spacing w:line="240" w:lineRule="auto"/>
              <w:ind w:left="0" w:leftChars="0" w:right="0" w:rightChars="0"/>
              <w:jc w:val="center"/>
              <w:rPr>
                <w:rFonts w:hint="eastAsia" w:ascii="方正仿宋_GB2312" w:hAnsi="方正仿宋_GB2312" w:eastAsia="方正仿宋_GB2312" w:cs="方正仿宋_GB2312"/>
                <w:b/>
                <w:bCs w:val="0"/>
                <w:color w:val="auto"/>
                <w:sz w:val="21"/>
                <w:szCs w:val="21"/>
                <w:highlight w:val="none"/>
                <w:vertAlign w:val="baseline"/>
              </w:rPr>
            </w:pPr>
            <w:r>
              <w:rPr>
                <w:rFonts w:hint="eastAsia" w:ascii="方正仿宋_GB2312" w:hAnsi="方正仿宋_GB2312" w:eastAsia="方正仿宋_GB2312" w:cs="方正仿宋_GB2312"/>
                <w:b/>
                <w:bCs w:val="0"/>
                <w:color w:val="auto"/>
                <w:kern w:val="0"/>
                <w:sz w:val="21"/>
                <w:szCs w:val="21"/>
                <w:highlight w:val="none"/>
              </w:rPr>
              <w:t>分值</w:t>
            </w:r>
          </w:p>
        </w:tc>
        <w:tc>
          <w:tcPr>
            <w:tcW w:w="5611" w:type="dxa"/>
            <w:vAlign w:val="center"/>
          </w:tcPr>
          <w:p w14:paraId="34575554">
            <w:pPr>
              <w:spacing w:line="240" w:lineRule="auto"/>
              <w:ind w:left="0" w:leftChars="0" w:right="-31" w:rightChars="-15"/>
              <w:jc w:val="center"/>
              <w:rPr>
                <w:rFonts w:hint="eastAsia" w:ascii="方正仿宋_GB2312" w:hAnsi="方正仿宋_GB2312" w:eastAsia="方正仿宋_GB2312" w:cs="方正仿宋_GB2312"/>
                <w:b/>
                <w:bCs w:val="0"/>
                <w:color w:val="auto"/>
                <w:sz w:val="21"/>
                <w:szCs w:val="21"/>
                <w:highlight w:val="none"/>
                <w:vertAlign w:val="baseline"/>
              </w:rPr>
            </w:pPr>
            <w:r>
              <w:rPr>
                <w:rFonts w:hint="eastAsia" w:ascii="方正仿宋_GB2312" w:hAnsi="方正仿宋_GB2312" w:eastAsia="方正仿宋_GB2312" w:cs="方正仿宋_GB2312"/>
                <w:b/>
                <w:bCs w:val="0"/>
                <w:color w:val="auto"/>
                <w:kern w:val="0"/>
                <w:sz w:val="21"/>
                <w:szCs w:val="21"/>
                <w:highlight w:val="none"/>
              </w:rPr>
              <w:t>评分细则</w:t>
            </w:r>
          </w:p>
        </w:tc>
      </w:tr>
      <w:tr w14:paraId="399C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76F9BF61">
            <w:pPr>
              <w:spacing w:line="240" w:lineRule="auto"/>
              <w:ind w:left="0" w:leftChars="0" w:right="638" w:rightChars="304"/>
              <w:jc w:val="center"/>
              <w:rPr>
                <w:rFonts w:hint="eastAsia" w:ascii="方正仿宋_GB2312" w:hAnsi="方正仿宋_GB2312" w:eastAsia="方正仿宋_GB2312" w:cs="方正仿宋_GB2312"/>
                <w:b/>
                <w:bCs w:val="0"/>
                <w:color w:val="auto"/>
                <w:kern w:val="0"/>
                <w:sz w:val="21"/>
                <w:szCs w:val="21"/>
                <w:highlight w:val="none"/>
                <w:lang w:val="en-US" w:eastAsia="zh-CN"/>
              </w:rPr>
            </w:pPr>
            <w:r>
              <w:rPr>
                <w:rFonts w:hint="eastAsia" w:ascii="方正仿宋_GB2312" w:hAnsi="方正仿宋_GB2312" w:eastAsia="方正仿宋_GB2312" w:cs="方正仿宋_GB2312"/>
                <w:b w:val="0"/>
                <w:bCs/>
                <w:color w:val="auto"/>
                <w:kern w:val="0"/>
                <w:sz w:val="21"/>
                <w:szCs w:val="21"/>
                <w:highlight w:val="none"/>
                <w:lang w:val="en-US" w:eastAsia="zh-CN"/>
              </w:rPr>
              <w:t>分值构成</w:t>
            </w:r>
          </w:p>
        </w:tc>
        <w:tc>
          <w:tcPr>
            <w:tcW w:w="6454" w:type="dxa"/>
            <w:gridSpan w:val="2"/>
            <w:vAlign w:val="center"/>
          </w:tcPr>
          <w:p w14:paraId="7A8421C1">
            <w:pPr>
              <w:spacing w:line="240" w:lineRule="auto"/>
              <w:ind w:left="0" w:leftChars="0" w:right="-31" w:rightChars="-15"/>
              <w:jc w:val="left"/>
              <w:rPr>
                <w:rFonts w:hint="eastAsia" w:ascii="方正仿宋_GB2312" w:hAnsi="方正仿宋_GB2312" w:eastAsia="方正仿宋_GB2312" w:cs="方正仿宋_GB2312"/>
                <w:b w:val="0"/>
                <w:bCs/>
                <w:color w:val="auto"/>
                <w:kern w:val="0"/>
                <w:sz w:val="21"/>
                <w:szCs w:val="21"/>
                <w:highlight w:val="none"/>
              </w:rPr>
            </w:pPr>
            <w:r>
              <w:rPr>
                <w:rFonts w:hint="eastAsia" w:ascii="方正仿宋_GB2312" w:hAnsi="方正仿宋_GB2312" w:eastAsia="方正仿宋_GB2312" w:cs="方正仿宋_GB2312"/>
                <w:b w:val="0"/>
                <w:bCs/>
                <w:color w:val="auto"/>
                <w:kern w:val="0"/>
                <w:sz w:val="21"/>
                <w:szCs w:val="21"/>
                <w:highlight w:val="none"/>
              </w:rPr>
              <w:t>商务部分</w:t>
            </w:r>
            <w:r>
              <w:rPr>
                <w:rFonts w:hint="eastAsia" w:ascii="方正仿宋_GB2312" w:hAnsi="方正仿宋_GB2312" w:eastAsia="方正仿宋_GB2312" w:cs="方正仿宋_GB2312"/>
                <w:b w:val="0"/>
                <w:bCs/>
                <w:color w:val="auto"/>
                <w:kern w:val="0"/>
                <w:sz w:val="21"/>
                <w:szCs w:val="21"/>
                <w:highlight w:val="none"/>
                <w:lang w:val="en-US" w:eastAsia="zh-CN"/>
              </w:rPr>
              <w:t>5</w:t>
            </w:r>
            <w:r>
              <w:rPr>
                <w:rFonts w:hint="eastAsia" w:ascii="方正仿宋_GB2312" w:hAnsi="方正仿宋_GB2312" w:eastAsia="方正仿宋_GB2312" w:cs="方正仿宋_GB2312"/>
                <w:b w:val="0"/>
                <w:bCs/>
                <w:color w:val="auto"/>
                <w:kern w:val="0"/>
                <w:sz w:val="21"/>
                <w:szCs w:val="21"/>
                <w:highlight w:val="none"/>
              </w:rPr>
              <w:t>.0分</w:t>
            </w:r>
          </w:p>
          <w:p w14:paraId="1D23B24E">
            <w:pPr>
              <w:spacing w:line="240" w:lineRule="auto"/>
              <w:ind w:left="0" w:leftChars="0" w:right="-31" w:rightChars="-15"/>
              <w:jc w:val="left"/>
              <w:rPr>
                <w:rFonts w:hint="eastAsia" w:ascii="方正仿宋_GB2312" w:hAnsi="方正仿宋_GB2312" w:eastAsia="方正仿宋_GB2312" w:cs="方正仿宋_GB2312"/>
                <w:b w:val="0"/>
                <w:bCs/>
                <w:color w:val="auto"/>
                <w:kern w:val="0"/>
                <w:sz w:val="21"/>
                <w:szCs w:val="21"/>
                <w:highlight w:val="none"/>
              </w:rPr>
            </w:pPr>
            <w:r>
              <w:rPr>
                <w:rFonts w:hint="eastAsia" w:ascii="方正仿宋_GB2312" w:hAnsi="方正仿宋_GB2312" w:eastAsia="方正仿宋_GB2312" w:cs="方正仿宋_GB2312"/>
                <w:b w:val="0"/>
                <w:bCs/>
                <w:color w:val="auto"/>
                <w:kern w:val="0"/>
                <w:sz w:val="21"/>
                <w:szCs w:val="21"/>
                <w:highlight w:val="none"/>
              </w:rPr>
              <w:t>技术部分</w:t>
            </w:r>
            <w:r>
              <w:rPr>
                <w:rFonts w:hint="eastAsia" w:ascii="方正仿宋_GB2312" w:hAnsi="方正仿宋_GB2312" w:eastAsia="方正仿宋_GB2312" w:cs="方正仿宋_GB2312"/>
                <w:b w:val="0"/>
                <w:bCs/>
                <w:color w:val="auto"/>
                <w:kern w:val="0"/>
                <w:sz w:val="21"/>
                <w:szCs w:val="21"/>
                <w:highlight w:val="none"/>
                <w:lang w:val="en-US" w:eastAsia="zh-CN"/>
              </w:rPr>
              <w:t>65</w:t>
            </w:r>
            <w:r>
              <w:rPr>
                <w:rFonts w:hint="eastAsia" w:ascii="方正仿宋_GB2312" w:hAnsi="方正仿宋_GB2312" w:eastAsia="方正仿宋_GB2312" w:cs="方正仿宋_GB2312"/>
                <w:b w:val="0"/>
                <w:bCs/>
                <w:color w:val="auto"/>
                <w:kern w:val="0"/>
                <w:sz w:val="21"/>
                <w:szCs w:val="21"/>
                <w:highlight w:val="none"/>
              </w:rPr>
              <w:t>.0分</w:t>
            </w:r>
          </w:p>
          <w:p w14:paraId="562F74BB">
            <w:pPr>
              <w:spacing w:line="240" w:lineRule="auto"/>
              <w:ind w:left="0" w:leftChars="0" w:right="-31" w:rightChars="-15"/>
              <w:jc w:val="left"/>
              <w:rPr>
                <w:rFonts w:hint="eastAsia" w:ascii="方正仿宋_GB2312" w:hAnsi="方正仿宋_GB2312" w:eastAsia="方正仿宋_GB2312" w:cs="方正仿宋_GB2312"/>
                <w:b/>
                <w:bCs w:val="0"/>
                <w:color w:val="auto"/>
                <w:kern w:val="0"/>
                <w:sz w:val="21"/>
                <w:szCs w:val="21"/>
                <w:highlight w:val="none"/>
              </w:rPr>
            </w:pPr>
            <w:r>
              <w:rPr>
                <w:rFonts w:hint="eastAsia" w:ascii="方正仿宋_GB2312" w:hAnsi="方正仿宋_GB2312" w:eastAsia="方正仿宋_GB2312" w:cs="方正仿宋_GB2312"/>
                <w:b w:val="0"/>
                <w:bCs/>
                <w:color w:val="auto"/>
                <w:kern w:val="0"/>
                <w:sz w:val="21"/>
                <w:szCs w:val="21"/>
                <w:highlight w:val="none"/>
              </w:rPr>
              <w:t>报价得分</w:t>
            </w:r>
            <w:r>
              <w:rPr>
                <w:rFonts w:hint="eastAsia" w:ascii="方正仿宋_GB2312" w:hAnsi="方正仿宋_GB2312" w:eastAsia="方正仿宋_GB2312" w:cs="方正仿宋_GB2312"/>
                <w:b w:val="0"/>
                <w:bCs/>
                <w:color w:val="auto"/>
                <w:kern w:val="0"/>
                <w:sz w:val="21"/>
                <w:szCs w:val="21"/>
                <w:highlight w:val="none"/>
                <w:lang w:val="en-US" w:eastAsia="zh-CN"/>
              </w:rPr>
              <w:t>3</w:t>
            </w:r>
            <w:r>
              <w:rPr>
                <w:rFonts w:hint="eastAsia" w:ascii="方正仿宋_GB2312" w:hAnsi="方正仿宋_GB2312" w:eastAsia="方正仿宋_GB2312" w:cs="方正仿宋_GB2312"/>
                <w:b w:val="0"/>
                <w:bCs/>
                <w:color w:val="auto"/>
                <w:kern w:val="0"/>
                <w:sz w:val="21"/>
                <w:szCs w:val="21"/>
                <w:highlight w:val="none"/>
              </w:rPr>
              <w:t>0.0分</w:t>
            </w:r>
          </w:p>
        </w:tc>
      </w:tr>
      <w:tr w14:paraId="5CF7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69017064">
            <w:pPr>
              <w:pStyle w:val="2"/>
              <w:spacing w:line="240" w:lineRule="auto"/>
              <w:ind w:right="8" w:rightChars="0"/>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报价</w:t>
            </w:r>
            <w:r>
              <w:rPr>
                <w:rFonts w:hint="eastAsia" w:ascii="方正仿宋_GB2312" w:hAnsi="方正仿宋_GB2312" w:eastAsia="方正仿宋_GB2312" w:cs="方正仿宋_GB2312"/>
                <w:color w:val="auto"/>
                <w:sz w:val="21"/>
                <w:szCs w:val="21"/>
                <w:highlight w:val="none"/>
                <w:vertAlign w:val="baseline"/>
              </w:rPr>
              <w:t>部分（30 分）</w:t>
            </w:r>
          </w:p>
        </w:tc>
        <w:tc>
          <w:tcPr>
            <w:tcW w:w="843" w:type="dxa"/>
            <w:vAlign w:val="center"/>
          </w:tcPr>
          <w:p w14:paraId="2C5DB920">
            <w:pPr>
              <w:pStyle w:val="2"/>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30</w:t>
            </w:r>
          </w:p>
        </w:tc>
        <w:tc>
          <w:tcPr>
            <w:tcW w:w="5611" w:type="dxa"/>
          </w:tcPr>
          <w:p w14:paraId="74240CFC">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满足招</w:t>
            </w:r>
            <w:r>
              <w:rPr>
                <w:rFonts w:hint="eastAsia" w:ascii="方正仿宋_GB2312" w:hAnsi="方正仿宋_GB2312" w:eastAsia="方正仿宋_GB2312" w:cs="方正仿宋_GB2312"/>
                <w:color w:val="auto"/>
                <w:sz w:val="21"/>
                <w:szCs w:val="21"/>
                <w:highlight w:val="none"/>
                <w:vertAlign w:val="baseline"/>
              </w:rPr>
              <w:t>标文件要求且投标价格最低的有效投标报价（即除低于成本报价以外的报价）为评标基准价。其他</w:t>
            </w:r>
            <w:r>
              <w:rPr>
                <w:rFonts w:hint="eastAsia" w:ascii="方正仿宋_GB2312" w:hAnsi="方正仿宋_GB2312" w:eastAsia="方正仿宋_GB2312" w:cs="方正仿宋_GB2312"/>
                <w:color w:val="auto"/>
                <w:sz w:val="21"/>
                <w:szCs w:val="21"/>
                <w:highlight w:val="none"/>
                <w:vertAlign w:val="baseline"/>
                <w:lang w:val="en-US" w:eastAsia="zh-CN"/>
              </w:rPr>
              <w:t>投标人</w:t>
            </w:r>
            <w:r>
              <w:rPr>
                <w:rFonts w:hint="eastAsia" w:ascii="方正仿宋_GB2312" w:hAnsi="方正仿宋_GB2312" w:eastAsia="方正仿宋_GB2312" w:cs="方正仿宋_GB2312"/>
                <w:color w:val="auto"/>
                <w:sz w:val="21"/>
                <w:szCs w:val="21"/>
                <w:highlight w:val="none"/>
                <w:vertAlign w:val="baseline"/>
              </w:rPr>
              <w:t>的价格分统一按照下列公式计算：</w:t>
            </w:r>
          </w:p>
          <w:p w14:paraId="36B0A41B">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rPr>
              <w:t>投标报价得分=（评标基准价/投标报价）×</w:t>
            </w:r>
            <w:r>
              <w:rPr>
                <w:rFonts w:hint="eastAsia" w:ascii="方正仿宋_GB2312" w:hAnsi="方正仿宋_GB2312" w:eastAsia="方正仿宋_GB2312" w:cs="方正仿宋_GB2312"/>
                <w:color w:val="auto"/>
                <w:sz w:val="21"/>
                <w:szCs w:val="21"/>
                <w:highlight w:val="none"/>
                <w:vertAlign w:val="baseline"/>
                <w:lang w:val="en-US" w:eastAsia="zh-CN"/>
              </w:rPr>
              <w:t>价格满分分值</w:t>
            </w:r>
          </w:p>
        </w:tc>
      </w:tr>
      <w:tr w14:paraId="3101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1074" w:type="dxa"/>
            <w:tcBorders>
              <w:right w:val="single" w:color="000000" w:sz="4" w:space="0"/>
            </w:tcBorders>
            <w:vAlign w:val="center"/>
          </w:tcPr>
          <w:p w14:paraId="6E04B4CF">
            <w:pPr>
              <w:pStyle w:val="2"/>
              <w:spacing w:line="240" w:lineRule="auto"/>
              <w:ind w:right="-19" w:rightChars="-9"/>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rPr>
              <w:t>商务部分(</w:t>
            </w:r>
            <w:r>
              <w:rPr>
                <w:rFonts w:hint="eastAsia" w:ascii="方正仿宋_GB2312" w:hAnsi="方正仿宋_GB2312" w:eastAsia="方正仿宋_GB2312" w:cs="方正仿宋_GB2312"/>
                <w:color w:val="auto"/>
                <w:sz w:val="21"/>
                <w:szCs w:val="21"/>
                <w:highlight w:val="none"/>
                <w:vertAlign w:val="baseline"/>
                <w:lang w:val="en-US" w:eastAsia="zh-CN"/>
              </w:rPr>
              <w:t>5</w:t>
            </w:r>
            <w:r>
              <w:rPr>
                <w:rFonts w:hint="eastAsia" w:ascii="方正仿宋_GB2312" w:hAnsi="方正仿宋_GB2312" w:eastAsia="方正仿宋_GB2312" w:cs="方正仿宋_GB2312"/>
                <w:color w:val="auto"/>
                <w:sz w:val="21"/>
                <w:szCs w:val="21"/>
                <w:highlight w:val="none"/>
                <w:vertAlign w:val="baseline"/>
              </w:rPr>
              <w:t>分)</w:t>
            </w:r>
          </w:p>
        </w:tc>
        <w:tc>
          <w:tcPr>
            <w:tcW w:w="994" w:type="dxa"/>
            <w:tcBorders>
              <w:left w:val="single" w:color="000000" w:sz="4" w:space="0"/>
            </w:tcBorders>
            <w:vAlign w:val="center"/>
          </w:tcPr>
          <w:p w14:paraId="7A041842">
            <w:pPr>
              <w:pStyle w:val="2"/>
              <w:spacing w:line="240" w:lineRule="auto"/>
              <w:ind w:right="31"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类似项目业绩</w:t>
            </w:r>
          </w:p>
        </w:tc>
        <w:tc>
          <w:tcPr>
            <w:tcW w:w="843" w:type="dxa"/>
            <w:vAlign w:val="center"/>
          </w:tcPr>
          <w:p w14:paraId="2071A0B8">
            <w:pPr>
              <w:pStyle w:val="2"/>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5</w:t>
            </w:r>
          </w:p>
        </w:tc>
        <w:tc>
          <w:tcPr>
            <w:tcW w:w="5611" w:type="dxa"/>
          </w:tcPr>
          <w:p w14:paraId="184F159C">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投标人</w:t>
            </w:r>
            <w:r>
              <w:rPr>
                <w:rFonts w:hint="eastAsia" w:ascii="方正仿宋_GB2312" w:hAnsi="方正仿宋_GB2312" w:eastAsia="方正仿宋_GB2312" w:cs="方正仿宋_GB2312"/>
                <w:color w:val="auto"/>
                <w:sz w:val="21"/>
                <w:szCs w:val="21"/>
                <w:highlight w:val="none"/>
                <w:vertAlign w:val="baseline"/>
              </w:rPr>
              <w:t>自 20</w:t>
            </w:r>
            <w:r>
              <w:rPr>
                <w:rFonts w:hint="eastAsia" w:ascii="方正仿宋_GB2312" w:hAnsi="方正仿宋_GB2312" w:eastAsia="方正仿宋_GB2312" w:cs="方正仿宋_GB2312"/>
                <w:color w:val="auto"/>
                <w:sz w:val="21"/>
                <w:szCs w:val="21"/>
                <w:highlight w:val="none"/>
                <w:vertAlign w:val="baseline"/>
                <w:lang w:val="en-US" w:eastAsia="zh-CN"/>
              </w:rPr>
              <w:t>23</w:t>
            </w:r>
            <w:r>
              <w:rPr>
                <w:rFonts w:hint="eastAsia" w:ascii="方正仿宋_GB2312" w:hAnsi="方正仿宋_GB2312" w:eastAsia="方正仿宋_GB2312" w:cs="方正仿宋_GB2312"/>
                <w:color w:val="auto"/>
                <w:sz w:val="21"/>
                <w:szCs w:val="21"/>
                <w:highlight w:val="none"/>
                <w:vertAlign w:val="baseline"/>
              </w:rPr>
              <w:t>年</w:t>
            </w:r>
            <w:r>
              <w:rPr>
                <w:rFonts w:hint="eastAsia" w:ascii="方正仿宋_GB2312" w:hAnsi="方正仿宋_GB2312" w:eastAsia="方正仿宋_GB2312" w:cs="方正仿宋_GB2312"/>
                <w:color w:val="auto"/>
                <w:sz w:val="21"/>
                <w:szCs w:val="21"/>
                <w:highlight w:val="none"/>
                <w:vertAlign w:val="baseline"/>
                <w:lang w:val="en-US" w:eastAsia="zh-CN"/>
              </w:rPr>
              <w:t>05</w:t>
            </w:r>
            <w:r>
              <w:rPr>
                <w:rFonts w:hint="eastAsia" w:ascii="方正仿宋_GB2312" w:hAnsi="方正仿宋_GB2312" w:eastAsia="方正仿宋_GB2312" w:cs="方正仿宋_GB2312"/>
                <w:color w:val="auto"/>
                <w:sz w:val="21"/>
                <w:szCs w:val="21"/>
                <w:highlight w:val="none"/>
                <w:vertAlign w:val="baseline"/>
              </w:rPr>
              <w:t>月</w:t>
            </w:r>
            <w:r>
              <w:rPr>
                <w:rFonts w:hint="eastAsia" w:ascii="方正仿宋_GB2312" w:hAnsi="方正仿宋_GB2312" w:eastAsia="方正仿宋_GB2312" w:cs="方正仿宋_GB2312"/>
                <w:color w:val="auto"/>
                <w:sz w:val="21"/>
                <w:szCs w:val="21"/>
                <w:highlight w:val="none"/>
                <w:vertAlign w:val="baseline"/>
                <w:lang w:val="en-US" w:eastAsia="zh-CN"/>
              </w:rPr>
              <w:t>0</w:t>
            </w:r>
            <w:r>
              <w:rPr>
                <w:rFonts w:hint="eastAsia" w:ascii="方正仿宋_GB2312" w:hAnsi="方正仿宋_GB2312" w:eastAsia="方正仿宋_GB2312" w:cs="方正仿宋_GB2312"/>
                <w:color w:val="auto"/>
                <w:sz w:val="21"/>
                <w:szCs w:val="21"/>
                <w:highlight w:val="none"/>
                <w:vertAlign w:val="baseline"/>
              </w:rPr>
              <w:t xml:space="preserve">1日至投标截止日止（以合同签订合同时间为准）独立承担的类似项目，每提供 1 份有效的业绩资料得 </w:t>
            </w:r>
            <w:r>
              <w:rPr>
                <w:rFonts w:hint="eastAsia" w:ascii="方正仿宋_GB2312" w:hAnsi="方正仿宋_GB2312" w:eastAsia="方正仿宋_GB2312" w:cs="方正仿宋_GB2312"/>
                <w:color w:val="auto"/>
                <w:sz w:val="21"/>
                <w:szCs w:val="21"/>
                <w:highlight w:val="none"/>
                <w:vertAlign w:val="baseline"/>
                <w:lang w:val="en-US" w:eastAsia="zh-CN"/>
              </w:rPr>
              <w:t>1</w:t>
            </w:r>
            <w:r>
              <w:rPr>
                <w:rFonts w:hint="eastAsia" w:ascii="方正仿宋_GB2312" w:hAnsi="方正仿宋_GB2312" w:eastAsia="方正仿宋_GB2312" w:cs="方正仿宋_GB2312"/>
                <w:color w:val="auto"/>
                <w:sz w:val="21"/>
                <w:szCs w:val="21"/>
                <w:highlight w:val="none"/>
                <w:vertAlign w:val="baseline"/>
              </w:rPr>
              <w:t xml:space="preserve"> 分，满分 </w:t>
            </w:r>
            <w:r>
              <w:rPr>
                <w:rFonts w:hint="eastAsia" w:ascii="方正仿宋_GB2312" w:hAnsi="方正仿宋_GB2312" w:eastAsia="方正仿宋_GB2312" w:cs="方正仿宋_GB2312"/>
                <w:color w:val="auto"/>
                <w:sz w:val="21"/>
                <w:szCs w:val="21"/>
                <w:highlight w:val="none"/>
                <w:vertAlign w:val="baseline"/>
                <w:lang w:val="en-US" w:eastAsia="zh-CN"/>
              </w:rPr>
              <w:t>5</w:t>
            </w:r>
            <w:r>
              <w:rPr>
                <w:rFonts w:hint="eastAsia" w:ascii="方正仿宋_GB2312" w:hAnsi="方正仿宋_GB2312" w:eastAsia="方正仿宋_GB2312" w:cs="方正仿宋_GB2312"/>
                <w:color w:val="auto"/>
                <w:sz w:val="21"/>
                <w:szCs w:val="21"/>
                <w:highlight w:val="none"/>
                <w:vertAlign w:val="baseline"/>
              </w:rPr>
              <w:t xml:space="preserve"> 分。</w:t>
            </w:r>
          </w:p>
          <w:p w14:paraId="25A07BAA">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注：1.须提供业绩合同关键页（含：首页、</w:t>
            </w:r>
            <w:r>
              <w:rPr>
                <w:rFonts w:hint="eastAsia" w:ascii="方正仿宋_GB2312" w:hAnsi="方正仿宋_GB2312" w:eastAsia="方正仿宋_GB2312" w:cs="方正仿宋_GB2312"/>
                <w:color w:val="auto"/>
                <w:sz w:val="21"/>
                <w:szCs w:val="21"/>
                <w:highlight w:val="none"/>
                <w:vertAlign w:val="baseline"/>
                <w:lang w:val="en-US" w:eastAsia="zh-CN"/>
              </w:rPr>
              <w:t>标的页</w:t>
            </w:r>
            <w:r>
              <w:rPr>
                <w:rFonts w:hint="eastAsia" w:ascii="方正仿宋_GB2312" w:hAnsi="方正仿宋_GB2312" w:eastAsia="方正仿宋_GB2312" w:cs="方正仿宋_GB2312"/>
                <w:color w:val="auto"/>
                <w:sz w:val="21"/>
                <w:szCs w:val="21"/>
                <w:highlight w:val="none"/>
                <w:vertAlign w:val="baseline"/>
              </w:rPr>
              <w:t>、合同金额页、签字盖章页）。复印件加盖公章，时间以合同签订日期为准。不符合上述要求或未按要求提供有效证明文件的业绩在评审时将不予承认。</w:t>
            </w:r>
          </w:p>
          <w:p w14:paraId="7D70B2ED">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2.</w:t>
            </w:r>
            <w:r>
              <w:rPr>
                <w:rFonts w:hint="eastAsia" w:ascii="方正仿宋_GB2312" w:hAnsi="方正仿宋_GB2312" w:eastAsia="方正仿宋_GB2312" w:cs="方正仿宋_GB2312"/>
                <w:color w:val="auto"/>
                <w:sz w:val="21"/>
                <w:szCs w:val="21"/>
                <w:highlight w:val="none"/>
                <w:vertAlign w:val="baseline"/>
                <w:lang w:eastAsia="zh-CN"/>
              </w:rPr>
              <w:t>投标人</w:t>
            </w:r>
            <w:r>
              <w:rPr>
                <w:rFonts w:hint="eastAsia" w:ascii="方正仿宋_GB2312" w:hAnsi="方正仿宋_GB2312" w:eastAsia="方正仿宋_GB2312" w:cs="方正仿宋_GB2312"/>
                <w:color w:val="auto"/>
                <w:sz w:val="21"/>
                <w:szCs w:val="21"/>
                <w:highlight w:val="none"/>
                <w:vertAlign w:val="baseline"/>
              </w:rPr>
              <w:t>提供虚假合同的，按虚假投标处理。</w:t>
            </w:r>
          </w:p>
        </w:tc>
      </w:tr>
      <w:tr w14:paraId="5DE1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18382F57">
            <w:pPr>
              <w:pStyle w:val="2"/>
              <w:spacing w:line="240" w:lineRule="auto"/>
              <w:ind w:right="-19" w:rightChars="-9"/>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技术部分 (</w:t>
            </w:r>
            <w:r>
              <w:rPr>
                <w:rFonts w:hint="eastAsia" w:ascii="方正仿宋_GB2312" w:hAnsi="方正仿宋_GB2312" w:eastAsia="方正仿宋_GB2312" w:cs="方正仿宋_GB2312"/>
                <w:color w:val="auto"/>
                <w:sz w:val="21"/>
                <w:szCs w:val="21"/>
                <w:highlight w:val="none"/>
                <w:vertAlign w:val="baseline"/>
                <w:lang w:val="en-US" w:eastAsia="zh-CN"/>
              </w:rPr>
              <w:t>65</w:t>
            </w:r>
            <w:r>
              <w:rPr>
                <w:rFonts w:hint="eastAsia" w:ascii="方正仿宋_GB2312" w:hAnsi="方正仿宋_GB2312" w:eastAsia="方正仿宋_GB2312" w:cs="方正仿宋_GB2312"/>
                <w:color w:val="auto"/>
                <w:sz w:val="21"/>
                <w:szCs w:val="21"/>
                <w:highlight w:val="none"/>
                <w:vertAlign w:val="baseline"/>
              </w:rPr>
              <w:t>分)</w:t>
            </w:r>
          </w:p>
        </w:tc>
        <w:tc>
          <w:tcPr>
            <w:tcW w:w="994" w:type="dxa"/>
            <w:tcBorders>
              <w:left w:val="single" w:color="000000" w:sz="4" w:space="0"/>
            </w:tcBorders>
            <w:vAlign w:val="center"/>
          </w:tcPr>
          <w:p w14:paraId="2BD40F9F">
            <w:pPr>
              <w:pStyle w:val="2"/>
              <w:spacing w:line="240" w:lineRule="auto"/>
              <w:ind w:right="31"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技术要求</w:t>
            </w:r>
          </w:p>
        </w:tc>
        <w:tc>
          <w:tcPr>
            <w:tcW w:w="843" w:type="dxa"/>
            <w:vAlign w:val="center"/>
          </w:tcPr>
          <w:p w14:paraId="0AE6954A">
            <w:pPr>
              <w:pStyle w:val="2"/>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30</w:t>
            </w:r>
          </w:p>
        </w:tc>
        <w:tc>
          <w:tcPr>
            <w:tcW w:w="5611" w:type="dxa"/>
          </w:tcPr>
          <w:p w14:paraId="1FC870B7">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根据投标人对招标文件采购需求中</w:t>
            </w:r>
            <w:r>
              <w:rPr>
                <w:rFonts w:hint="eastAsia" w:ascii="方正仿宋_GB2312" w:hAnsi="方正仿宋_GB2312" w:eastAsia="方正仿宋_GB2312" w:cs="方正仿宋_GB2312"/>
                <w:color w:val="auto"/>
                <w:sz w:val="21"/>
                <w:szCs w:val="21"/>
                <w:highlight w:val="none"/>
                <w:vertAlign w:val="baseline"/>
                <w:lang w:val="en-US" w:eastAsia="zh-CN"/>
              </w:rPr>
              <w:t>试剂耗材参数及用途</w:t>
            </w:r>
            <w:r>
              <w:rPr>
                <w:rFonts w:hint="eastAsia" w:ascii="方正仿宋_GB2312" w:hAnsi="方正仿宋_GB2312" w:eastAsia="方正仿宋_GB2312" w:cs="方正仿宋_GB2312"/>
                <w:color w:val="auto"/>
                <w:sz w:val="21"/>
                <w:szCs w:val="21"/>
                <w:highlight w:val="none"/>
                <w:vertAlign w:val="baseline"/>
              </w:rPr>
              <w:t>响应情况进行评分。</w:t>
            </w:r>
          </w:p>
          <w:p w14:paraId="727A3C38">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eastAsia="zh-CN"/>
              </w:rPr>
            </w:pPr>
            <w:r>
              <w:rPr>
                <w:rFonts w:hint="eastAsia" w:ascii="方正仿宋_GB2312" w:hAnsi="方正仿宋_GB2312" w:eastAsia="方正仿宋_GB2312" w:cs="方正仿宋_GB2312"/>
                <w:color w:val="auto"/>
                <w:sz w:val="21"/>
                <w:szCs w:val="21"/>
                <w:highlight w:val="none"/>
                <w:vertAlign w:val="baseline"/>
              </w:rPr>
              <w:t>完全响应招标文件要求得满分</w:t>
            </w:r>
            <w:r>
              <w:rPr>
                <w:rFonts w:hint="eastAsia" w:ascii="方正仿宋_GB2312" w:hAnsi="方正仿宋_GB2312" w:eastAsia="方正仿宋_GB2312" w:cs="方正仿宋_GB2312"/>
                <w:color w:val="auto"/>
                <w:sz w:val="21"/>
                <w:szCs w:val="21"/>
                <w:highlight w:val="none"/>
                <w:vertAlign w:val="baseline"/>
                <w:lang w:val="en-US" w:eastAsia="zh-CN"/>
              </w:rPr>
              <w:t>30分</w:t>
            </w:r>
            <w:r>
              <w:rPr>
                <w:rFonts w:hint="eastAsia" w:ascii="方正仿宋_GB2312" w:hAnsi="方正仿宋_GB2312" w:eastAsia="方正仿宋_GB2312" w:cs="方正仿宋_GB2312"/>
                <w:color w:val="auto"/>
                <w:sz w:val="21"/>
                <w:szCs w:val="21"/>
                <w:highlight w:val="none"/>
                <w:vertAlign w:val="baseline"/>
              </w:rPr>
              <w:t>；一般技术条款(即非实质性要求)偏离在</w:t>
            </w:r>
            <w:r>
              <w:rPr>
                <w:rFonts w:hint="eastAsia" w:ascii="方正仿宋_GB2312" w:hAnsi="方正仿宋_GB2312" w:eastAsia="方正仿宋_GB2312" w:cs="方正仿宋_GB2312"/>
                <w:color w:val="auto"/>
                <w:sz w:val="21"/>
                <w:szCs w:val="21"/>
                <w:highlight w:val="none"/>
                <w:vertAlign w:val="baseline"/>
                <w:lang w:val="en-US" w:eastAsia="zh-CN"/>
              </w:rPr>
              <w:t>30</w:t>
            </w:r>
            <w:r>
              <w:rPr>
                <w:rFonts w:hint="eastAsia" w:ascii="方正仿宋_GB2312" w:hAnsi="方正仿宋_GB2312" w:eastAsia="方正仿宋_GB2312" w:cs="方正仿宋_GB2312"/>
                <w:color w:val="auto"/>
                <w:sz w:val="21"/>
                <w:szCs w:val="21"/>
                <w:highlight w:val="none"/>
                <w:vertAlign w:val="baseline"/>
              </w:rPr>
              <w:t>项以内(含</w:t>
            </w:r>
            <w:r>
              <w:rPr>
                <w:rFonts w:hint="eastAsia" w:ascii="方正仿宋_GB2312" w:hAnsi="方正仿宋_GB2312" w:eastAsia="方正仿宋_GB2312" w:cs="方正仿宋_GB2312"/>
                <w:color w:val="auto"/>
                <w:sz w:val="21"/>
                <w:szCs w:val="21"/>
                <w:highlight w:val="none"/>
                <w:vertAlign w:val="baseline"/>
                <w:lang w:val="en-US" w:eastAsia="zh-CN"/>
              </w:rPr>
              <w:t>3</w:t>
            </w:r>
            <w:r>
              <w:rPr>
                <w:rFonts w:hint="eastAsia" w:ascii="方正仿宋_GB2312" w:hAnsi="方正仿宋_GB2312" w:eastAsia="方正仿宋_GB2312" w:cs="方正仿宋_GB2312"/>
                <w:color w:val="auto"/>
                <w:sz w:val="21"/>
                <w:szCs w:val="21"/>
                <w:highlight w:val="none"/>
                <w:vertAlign w:val="baseline"/>
              </w:rPr>
              <w:t>0项)</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rPr>
              <w:t>有 1 项</w:t>
            </w:r>
            <w:r>
              <w:rPr>
                <w:rFonts w:hint="eastAsia" w:ascii="方正仿宋_GB2312" w:hAnsi="方正仿宋_GB2312" w:eastAsia="方正仿宋_GB2312" w:cs="方正仿宋_GB2312"/>
                <w:color w:val="auto"/>
                <w:sz w:val="21"/>
                <w:szCs w:val="21"/>
                <w:highlight w:val="none"/>
                <w:vertAlign w:val="baseline"/>
                <w:lang w:val="en-US" w:eastAsia="zh-CN"/>
              </w:rPr>
              <w:t>一般</w:t>
            </w:r>
            <w:r>
              <w:rPr>
                <w:rFonts w:hint="eastAsia" w:ascii="方正仿宋_GB2312" w:hAnsi="方正仿宋_GB2312" w:eastAsia="方正仿宋_GB2312" w:cs="方正仿宋_GB2312"/>
                <w:color w:val="auto"/>
                <w:sz w:val="21"/>
                <w:szCs w:val="21"/>
                <w:highlight w:val="none"/>
                <w:vertAlign w:val="baseline"/>
              </w:rPr>
              <w:t xml:space="preserve">条款负偏离，扣 </w:t>
            </w:r>
            <w:r>
              <w:rPr>
                <w:rFonts w:hint="eastAsia" w:ascii="方正仿宋_GB2312" w:hAnsi="方正仿宋_GB2312" w:eastAsia="方正仿宋_GB2312" w:cs="方正仿宋_GB2312"/>
                <w:color w:val="auto"/>
                <w:sz w:val="21"/>
                <w:szCs w:val="21"/>
                <w:highlight w:val="none"/>
                <w:vertAlign w:val="baseline"/>
                <w:lang w:val="en-US" w:eastAsia="zh-CN"/>
              </w:rPr>
              <w:t>1</w:t>
            </w:r>
            <w:r>
              <w:rPr>
                <w:rFonts w:hint="eastAsia" w:ascii="方正仿宋_GB2312" w:hAnsi="方正仿宋_GB2312" w:eastAsia="方正仿宋_GB2312" w:cs="方正仿宋_GB2312"/>
                <w:color w:val="auto"/>
                <w:sz w:val="21"/>
                <w:szCs w:val="21"/>
                <w:highlight w:val="none"/>
                <w:vertAlign w:val="baseline"/>
              </w:rPr>
              <w:t xml:space="preserve"> 分； 一般技术条款(即非实质性要求)偏离超过</w:t>
            </w:r>
            <w:r>
              <w:rPr>
                <w:rFonts w:hint="eastAsia" w:ascii="方正仿宋_GB2312" w:hAnsi="方正仿宋_GB2312" w:eastAsia="方正仿宋_GB2312" w:cs="方正仿宋_GB2312"/>
                <w:color w:val="auto"/>
                <w:sz w:val="21"/>
                <w:szCs w:val="21"/>
                <w:highlight w:val="none"/>
                <w:vertAlign w:val="baseline"/>
                <w:lang w:val="en-US" w:eastAsia="zh-CN"/>
              </w:rPr>
              <w:t>31</w:t>
            </w:r>
            <w:r>
              <w:rPr>
                <w:rFonts w:hint="eastAsia" w:ascii="方正仿宋_GB2312" w:hAnsi="方正仿宋_GB2312" w:eastAsia="方正仿宋_GB2312" w:cs="方正仿宋_GB2312"/>
                <w:color w:val="auto"/>
                <w:sz w:val="21"/>
                <w:szCs w:val="21"/>
                <w:highlight w:val="none"/>
                <w:vertAlign w:val="baseline"/>
              </w:rPr>
              <w:t>项(含</w:t>
            </w:r>
            <w:r>
              <w:rPr>
                <w:rFonts w:hint="eastAsia" w:ascii="方正仿宋_GB2312" w:hAnsi="方正仿宋_GB2312" w:eastAsia="方正仿宋_GB2312" w:cs="方正仿宋_GB2312"/>
                <w:color w:val="auto"/>
                <w:sz w:val="21"/>
                <w:szCs w:val="21"/>
                <w:highlight w:val="none"/>
                <w:vertAlign w:val="baseline"/>
                <w:lang w:val="en-US" w:eastAsia="zh-CN"/>
              </w:rPr>
              <w:t>31</w:t>
            </w:r>
            <w:r>
              <w:rPr>
                <w:rFonts w:hint="eastAsia" w:ascii="方正仿宋_GB2312" w:hAnsi="方正仿宋_GB2312" w:eastAsia="方正仿宋_GB2312" w:cs="方正仿宋_GB2312"/>
                <w:color w:val="auto"/>
                <w:sz w:val="21"/>
                <w:szCs w:val="21"/>
                <w:highlight w:val="none"/>
                <w:vertAlign w:val="baseline"/>
              </w:rPr>
              <w:t>项)，</w:t>
            </w:r>
            <w:r>
              <w:rPr>
                <w:rFonts w:hint="eastAsia" w:ascii="方正仿宋_GB2312" w:hAnsi="方正仿宋_GB2312" w:eastAsia="方正仿宋_GB2312" w:cs="方正仿宋_GB2312"/>
                <w:color w:val="auto"/>
                <w:sz w:val="21"/>
                <w:szCs w:val="21"/>
                <w:highlight w:val="none"/>
                <w:vertAlign w:val="baseline"/>
                <w:lang w:val="en-US" w:eastAsia="zh-CN"/>
              </w:rPr>
              <w:t>技术要求不得分。</w:t>
            </w:r>
          </w:p>
          <w:p w14:paraId="3282E78A">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注：</w:t>
            </w:r>
            <w:r>
              <w:rPr>
                <w:rFonts w:hint="eastAsia" w:ascii="方正仿宋_GB2312" w:hAnsi="方正仿宋_GB2312" w:eastAsia="方正仿宋_GB2312" w:cs="方正仿宋_GB2312"/>
                <w:color w:val="auto"/>
                <w:sz w:val="21"/>
                <w:szCs w:val="21"/>
                <w:highlight w:val="none"/>
                <w:vertAlign w:val="baseline"/>
                <w:lang w:val="en-US" w:eastAsia="zh-CN"/>
              </w:rPr>
              <w:t>投标人</w:t>
            </w:r>
            <w:r>
              <w:rPr>
                <w:rFonts w:hint="eastAsia" w:ascii="方正仿宋_GB2312" w:hAnsi="方正仿宋_GB2312" w:eastAsia="方正仿宋_GB2312" w:cs="方正仿宋_GB2312"/>
                <w:color w:val="auto"/>
                <w:sz w:val="21"/>
                <w:szCs w:val="21"/>
                <w:highlight w:val="none"/>
                <w:vertAlign w:val="baseline"/>
              </w:rPr>
              <w:t>须对本</w:t>
            </w:r>
            <w:r>
              <w:rPr>
                <w:rFonts w:hint="eastAsia" w:ascii="方正仿宋_GB2312" w:hAnsi="方正仿宋_GB2312" w:eastAsia="方正仿宋_GB2312" w:cs="方正仿宋_GB2312"/>
                <w:color w:val="auto"/>
                <w:sz w:val="21"/>
                <w:szCs w:val="21"/>
                <w:highlight w:val="none"/>
                <w:vertAlign w:val="baseline"/>
                <w:lang w:val="en-US" w:eastAsia="zh-CN"/>
              </w:rPr>
              <w:t>招标</w:t>
            </w:r>
            <w:r>
              <w:rPr>
                <w:rFonts w:hint="eastAsia" w:ascii="方正仿宋_GB2312" w:hAnsi="方正仿宋_GB2312" w:eastAsia="方正仿宋_GB2312" w:cs="方正仿宋_GB2312"/>
                <w:color w:val="auto"/>
                <w:sz w:val="21"/>
                <w:szCs w:val="21"/>
                <w:highlight w:val="none"/>
                <w:vertAlign w:val="baseline"/>
              </w:rPr>
              <w:t>文件技术要求进行点对点应答，必须在引用本采购文件的基础上,进行逐条逐项答复、说明和解释,特别对有具体参数要求的指标，</w:t>
            </w:r>
            <w:r>
              <w:rPr>
                <w:rFonts w:hint="eastAsia" w:ascii="方正仿宋_GB2312" w:hAnsi="方正仿宋_GB2312" w:eastAsia="方正仿宋_GB2312" w:cs="方正仿宋_GB2312"/>
                <w:color w:val="auto"/>
                <w:sz w:val="21"/>
                <w:szCs w:val="21"/>
                <w:highlight w:val="none"/>
                <w:vertAlign w:val="baseline"/>
                <w:lang w:val="en-US" w:eastAsia="zh-CN"/>
              </w:rPr>
              <w:t>投标人</w:t>
            </w:r>
            <w:r>
              <w:rPr>
                <w:rFonts w:hint="eastAsia" w:ascii="方正仿宋_GB2312" w:hAnsi="方正仿宋_GB2312" w:eastAsia="方正仿宋_GB2312" w:cs="方正仿宋_GB2312"/>
                <w:color w:val="auto"/>
                <w:sz w:val="21"/>
                <w:szCs w:val="21"/>
                <w:highlight w:val="none"/>
                <w:vertAlign w:val="baseline"/>
              </w:rPr>
              <w:t>必须提供所投</w:t>
            </w:r>
            <w:r>
              <w:rPr>
                <w:rFonts w:hint="eastAsia" w:ascii="方正仿宋_GB2312" w:hAnsi="方正仿宋_GB2312" w:eastAsia="方正仿宋_GB2312" w:cs="方正仿宋_GB2312"/>
                <w:color w:val="auto"/>
                <w:sz w:val="21"/>
                <w:szCs w:val="21"/>
                <w:highlight w:val="none"/>
                <w:vertAlign w:val="baseline"/>
                <w:lang w:val="en-US" w:eastAsia="zh-CN"/>
              </w:rPr>
              <w:t>货物</w:t>
            </w:r>
            <w:r>
              <w:rPr>
                <w:rFonts w:hint="eastAsia" w:ascii="方正仿宋_GB2312" w:hAnsi="方正仿宋_GB2312" w:eastAsia="方正仿宋_GB2312" w:cs="方正仿宋_GB2312"/>
                <w:color w:val="auto"/>
                <w:sz w:val="21"/>
                <w:szCs w:val="21"/>
                <w:highlight w:val="none"/>
                <w:vertAlign w:val="baseline"/>
              </w:rPr>
              <w:t>的具体参数值。</w:t>
            </w:r>
          </w:p>
        </w:tc>
      </w:tr>
      <w:tr w14:paraId="6A89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74" w:type="dxa"/>
            <w:vMerge w:val="continue"/>
            <w:tcBorders>
              <w:right w:val="single" w:color="000000" w:sz="4" w:space="0"/>
            </w:tcBorders>
            <w:vAlign w:val="center"/>
          </w:tcPr>
          <w:p w14:paraId="1A53EA2F">
            <w:pPr>
              <w:pStyle w:val="2"/>
              <w:spacing w:line="240" w:lineRule="auto"/>
              <w:ind w:right="-19" w:rightChars="-9"/>
              <w:jc w:val="center"/>
              <w:rPr>
                <w:rFonts w:hint="eastAsia" w:ascii="方正仿宋_GB2312" w:hAnsi="方正仿宋_GB2312" w:eastAsia="方正仿宋_GB2312" w:cs="方正仿宋_GB2312"/>
                <w:color w:val="auto"/>
                <w:sz w:val="21"/>
                <w:szCs w:val="21"/>
                <w:highlight w:val="none"/>
                <w:vertAlign w:val="baseline"/>
              </w:rPr>
            </w:pPr>
          </w:p>
        </w:tc>
        <w:tc>
          <w:tcPr>
            <w:tcW w:w="994" w:type="dxa"/>
            <w:tcBorders>
              <w:left w:val="single" w:color="000000" w:sz="4" w:space="0"/>
            </w:tcBorders>
            <w:vAlign w:val="center"/>
          </w:tcPr>
          <w:p w14:paraId="3D0DF19B">
            <w:pPr>
              <w:pStyle w:val="2"/>
              <w:spacing w:line="240" w:lineRule="auto"/>
              <w:ind w:right="31"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质量要求</w:t>
            </w:r>
          </w:p>
        </w:tc>
        <w:tc>
          <w:tcPr>
            <w:tcW w:w="843" w:type="dxa"/>
            <w:vAlign w:val="center"/>
          </w:tcPr>
          <w:p w14:paraId="5D92282A">
            <w:pPr>
              <w:pStyle w:val="2"/>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4</w:t>
            </w:r>
          </w:p>
        </w:tc>
        <w:tc>
          <w:tcPr>
            <w:tcW w:w="5611" w:type="dxa"/>
          </w:tcPr>
          <w:p w14:paraId="3C3D61D4">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根据投标人按照招标文件采购需求中“三、其他技术要求-</w:t>
            </w:r>
            <w:r>
              <w:rPr>
                <w:rFonts w:hint="eastAsia" w:ascii="方正仿宋_GB2312" w:hAnsi="方正仿宋_GB2312" w:eastAsia="方正仿宋_GB2312" w:cs="方正仿宋_GB2312"/>
                <w:color w:val="auto"/>
                <w:sz w:val="21"/>
                <w:szCs w:val="21"/>
                <w:highlight w:val="none"/>
                <w:vertAlign w:val="baseline"/>
                <w:lang w:val="en-US" w:eastAsia="zh-CN"/>
              </w:rPr>
              <w:t>1</w:t>
            </w:r>
            <w:r>
              <w:rPr>
                <w:rFonts w:hint="eastAsia" w:ascii="方正仿宋_GB2312" w:hAnsi="方正仿宋_GB2312" w:eastAsia="方正仿宋_GB2312" w:cs="方正仿宋_GB2312"/>
                <w:color w:val="auto"/>
                <w:sz w:val="21"/>
                <w:szCs w:val="21"/>
                <w:highlight w:val="none"/>
                <w:vertAlign w:val="baseline"/>
              </w:rPr>
              <w:t>.</w:t>
            </w:r>
            <w:r>
              <w:rPr>
                <w:rFonts w:hint="eastAsia" w:ascii="方正仿宋_GB2312" w:hAnsi="方正仿宋_GB2312" w:eastAsia="方正仿宋_GB2312" w:cs="方正仿宋_GB2312"/>
                <w:color w:val="auto"/>
                <w:sz w:val="21"/>
                <w:szCs w:val="21"/>
                <w:highlight w:val="none"/>
                <w:vertAlign w:val="baseline"/>
                <w:lang w:val="en-US" w:eastAsia="zh-CN"/>
              </w:rPr>
              <w:t>质量要求</w:t>
            </w:r>
            <w:r>
              <w:rPr>
                <w:rFonts w:hint="eastAsia" w:ascii="方正仿宋_GB2312" w:hAnsi="方正仿宋_GB2312" w:eastAsia="方正仿宋_GB2312" w:cs="方正仿宋_GB2312"/>
                <w:color w:val="auto"/>
                <w:sz w:val="21"/>
                <w:szCs w:val="21"/>
                <w:highlight w:val="none"/>
                <w:vertAlign w:val="baseline"/>
              </w:rPr>
              <w:t>”逐条响应情况进行打分。</w:t>
            </w:r>
          </w:p>
          <w:p w14:paraId="35111C17">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完全响应招标文件要求得满分</w:t>
            </w:r>
            <w:r>
              <w:rPr>
                <w:rFonts w:hint="eastAsia" w:ascii="方正仿宋_GB2312" w:hAnsi="方正仿宋_GB2312" w:eastAsia="方正仿宋_GB2312" w:cs="方正仿宋_GB2312"/>
                <w:color w:val="auto"/>
                <w:sz w:val="21"/>
                <w:szCs w:val="21"/>
                <w:highlight w:val="none"/>
                <w:vertAlign w:val="baseline"/>
                <w:lang w:val="en-US" w:eastAsia="zh-CN"/>
              </w:rPr>
              <w:t>4</w:t>
            </w:r>
            <w:r>
              <w:rPr>
                <w:rFonts w:hint="eastAsia" w:ascii="方正仿宋_GB2312" w:hAnsi="方正仿宋_GB2312" w:eastAsia="方正仿宋_GB2312" w:cs="方正仿宋_GB2312"/>
                <w:color w:val="auto"/>
                <w:sz w:val="21"/>
                <w:szCs w:val="21"/>
                <w:highlight w:val="none"/>
                <w:vertAlign w:val="baseline"/>
              </w:rPr>
              <w:t>分；</w:t>
            </w:r>
          </w:p>
          <w:p w14:paraId="695AD974">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有 1 项条款负偏离，扣 1 分；</w:t>
            </w:r>
          </w:p>
        </w:tc>
      </w:tr>
      <w:tr w14:paraId="5E2F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074" w:type="dxa"/>
            <w:vMerge w:val="continue"/>
            <w:tcBorders>
              <w:right w:val="single" w:color="000000" w:sz="4" w:space="0"/>
            </w:tcBorders>
            <w:vAlign w:val="center"/>
          </w:tcPr>
          <w:p w14:paraId="498E9CD3">
            <w:pPr>
              <w:pStyle w:val="2"/>
              <w:spacing w:line="240" w:lineRule="auto"/>
              <w:ind w:right="638" w:rightChars="304"/>
              <w:jc w:val="center"/>
              <w:rPr>
                <w:rFonts w:hint="eastAsia" w:ascii="方正仿宋_GB2312" w:hAnsi="方正仿宋_GB2312" w:eastAsia="方正仿宋_GB2312" w:cs="方正仿宋_GB2312"/>
                <w:color w:val="auto"/>
                <w:sz w:val="21"/>
                <w:szCs w:val="21"/>
                <w:highlight w:val="none"/>
                <w:vertAlign w:val="baseline"/>
              </w:rPr>
            </w:pPr>
          </w:p>
        </w:tc>
        <w:tc>
          <w:tcPr>
            <w:tcW w:w="994" w:type="dxa"/>
            <w:vMerge w:val="restart"/>
            <w:tcBorders>
              <w:left w:val="single" w:color="000000" w:sz="4" w:space="0"/>
            </w:tcBorders>
            <w:vAlign w:val="center"/>
          </w:tcPr>
          <w:p w14:paraId="5B0F9CC7">
            <w:pPr>
              <w:pStyle w:val="2"/>
              <w:spacing w:line="240" w:lineRule="auto"/>
              <w:ind w:right="31"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配送和运输</w:t>
            </w:r>
          </w:p>
        </w:tc>
        <w:tc>
          <w:tcPr>
            <w:tcW w:w="843" w:type="dxa"/>
            <w:vAlign w:val="center"/>
          </w:tcPr>
          <w:p w14:paraId="4B8450A3">
            <w:pPr>
              <w:pStyle w:val="2"/>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3</w:t>
            </w:r>
          </w:p>
        </w:tc>
        <w:tc>
          <w:tcPr>
            <w:tcW w:w="5611" w:type="dxa"/>
          </w:tcPr>
          <w:p w14:paraId="3FA36153">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 根据投标人按照招标文件采购需求中“三、其他技术要求-2.配送和运输”逐条响应情况进行打分。</w:t>
            </w:r>
          </w:p>
          <w:p w14:paraId="31CD303E">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完全响应招标文件要求得满分3分；</w:t>
            </w:r>
          </w:p>
          <w:p w14:paraId="7B10BA7B">
            <w:pPr>
              <w:pStyle w:val="2"/>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有 1 项条款负偏离，扣 1.5 分；</w:t>
            </w:r>
          </w:p>
        </w:tc>
      </w:tr>
      <w:tr w14:paraId="3A8E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1074" w:type="dxa"/>
            <w:vMerge w:val="continue"/>
            <w:tcBorders>
              <w:right w:val="single" w:color="000000" w:sz="4" w:space="0"/>
            </w:tcBorders>
            <w:vAlign w:val="center"/>
          </w:tcPr>
          <w:p w14:paraId="08C405DC">
            <w:pPr>
              <w:pStyle w:val="2"/>
              <w:spacing w:line="240" w:lineRule="auto"/>
              <w:ind w:right="638" w:rightChars="304"/>
              <w:jc w:val="center"/>
              <w:rPr>
                <w:rFonts w:hint="eastAsia" w:ascii="方正仿宋_GB2312" w:hAnsi="方正仿宋_GB2312" w:eastAsia="方正仿宋_GB2312" w:cs="方正仿宋_GB2312"/>
                <w:color w:val="auto"/>
                <w:sz w:val="21"/>
                <w:szCs w:val="21"/>
                <w:highlight w:val="none"/>
                <w:vertAlign w:val="baseline"/>
              </w:rPr>
            </w:pPr>
          </w:p>
        </w:tc>
        <w:tc>
          <w:tcPr>
            <w:tcW w:w="994" w:type="dxa"/>
            <w:vMerge w:val="continue"/>
            <w:tcBorders>
              <w:left w:val="single" w:color="000000" w:sz="4" w:space="0"/>
            </w:tcBorders>
            <w:vAlign w:val="center"/>
          </w:tcPr>
          <w:p w14:paraId="607EC17C">
            <w:pPr>
              <w:pStyle w:val="2"/>
              <w:spacing w:line="240" w:lineRule="auto"/>
              <w:ind w:right="31" w:rightChars="15"/>
              <w:jc w:val="center"/>
              <w:rPr>
                <w:rFonts w:hint="eastAsia" w:ascii="方正仿宋_GB2312" w:hAnsi="方正仿宋_GB2312" w:eastAsia="方正仿宋_GB2312" w:cs="方正仿宋_GB2312"/>
                <w:color w:val="auto"/>
                <w:sz w:val="21"/>
                <w:szCs w:val="21"/>
                <w:highlight w:val="none"/>
                <w:vertAlign w:val="baseline"/>
              </w:rPr>
            </w:pPr>
          </w:p>
        </w:tc>
        <w:tc>
          <w:tcPr>
            <w:tcW w:w="843" w:type="dxa"/>
            <w:vAlign w:val="center"/>
          </w:tcPr>
          <w:p w14:paraId="1AD8CED0">
            <w:pPr>
              <w:pStyle w:val="2"/>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6</w:t>
            </w:r>
          </w:p>
        </w:tc>
        <w:tc>
          <w:tcPr>
            <w:tcW w:w="5611" w:type="dxa"/>
          </w:tcPr>
          <w:p w14:paraId="0056C9FC">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2.根据投标人按照上述要求提供的配送方案进行打分。</w:t>
            </w:r>
          </w:p>
          <w:p w14:paraId="4C45135D">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方案细致合理，贴合技术需求得 6 分；</w:t>
            </w:r>
          </w:p>
          <w:p w14:paraId="796B7FBD">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方案较细致合理，基本贴合技术需求得 4 分；</w:t>
            </w:r>
          </w:p>
          <w:p w14:paraId="52E4C3F6">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方案简单，部分贴合技术需求得 2 分；</w:t>
            </w:r>
          </w:p>
          <w:p w14:paraId="374D08DD">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未单独提供该方案不得分。</w:t>
            </w:r>
          </w:p>
        </w:tc>
      </w:tr>
      <w:tr w14:paraId="6545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74" w:type="dxa"/>
            <w:vMerge w:val="continue"/>
            <w:tcBorders>
              <w:right w:val="single" w:color="000000" w:sz="4" w:space="0"/>
            </w:tcBorders>
            <w:vAlign w:val="center"/>
          </w:tcPr>
          <w:p w14:paraId="67E68BAB">
            <w:pPr>
              <w:pStyle w:val="2"/>
              <w:spacing w:line="240" w:lineRule="auto"/>
              <w:ind w:right="638" w:rightChars="304"/>
              <w:jc w:val="center"/>
              <w:rPr>
                <w:rFonts w:hint="eastAsia" w:ascii="方正仿宋_GB2312" w:hAnsi="方正仿宋_GB2312" w:eastAsia="方正仿宋_GB2312" w:cs="方正仿宋_GB2312"/>
                <w:color w:val="auto"/>
                <w:sz w:val="21"/>
                <w:szCs w:val="21"/>
                <w:highlight w:val="none"/>
                <w:vertAlign w:val="baseline"/>
              </w:rPr>
            </w:pPr>
          </w:p>
        </w:tc>
        <w:tc>
          <w:tcPr>
            <w:tcW w:w="994" w:type="dxa"/>
            <w:vMerge w:val="continue"/>
            <w:tcBorders>
              <w:left w:val="single" w:color="000000" w:sz="4" w:space="0"/>
            </w:tcBorders>
            <w:vAlign w:val="center"/>
          </w:tcPr>
          <w:p w14:paraId="7A966370">
            <w:pPr>
              <w:pStyle w:val="2"/>
              <w:spacing w:line="240" w:lineRule="auto"/>
              <w:ind w:right="31" w:rightChars="15"/>
              <w:jc w:val="center"/>
              <w:rPr>
                <w:rFonts w:hint="eastAsia" w:ascii="方正仿宋_GB2312" w:hAnsi="方正仿宋_GB2312" w:eastAsia="方正仿宋_GB2312" w:cs="方正仿宋_GB2312"/>
                <w:color w:val="auto"/>
                <w:sz w:val="21"/>
                <w:szCs w:val="21"/>
                <w:highlight w:val="none"/>
                <w:vertAlign w:val="baseline"/>
              </w:rPr>
            </w:pPr>
          </w:p>
        </w:tc>
        <w:tc>
          <w:tcPr>
            <w:tcW w:w="843" w:type="dxa"/>
            <w:vAlign w:val="center"/>
          </w:tcPr>
          <w:p w14:paraId="76C00442">
            <w:pPr>
              <w:pStyle w:val="2"/>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6</w:t>
            </w:r>
          </w:p>
        </w:tc>
        <w:tc>
          <w:tcPr>
            <w:tcW w:w="5611" w:type="dxa"/>
          </w:tcPr>
          <w:p w14:paraId="69A51B76">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3.根据投标人按照上述要求提供的应急预案进行打分。</w:t>
            </w:r>
          </w:p>
          <w:p w14:paraId="73304EDD">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方案细致合理，贴合技术需求得 6 分；</w:t>
            </w:r>
          </w:p>
          <w:p w14:paraId="18F3ECCC">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方案较细致合理，基本贴合技术需求得 4 分；</w:t>
            </w:r>
          </w:p>
          <w:p w14:paraId="68C7058A">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方案简单，部分贴合技术需求得 2 分；</w:t>
            </w:r>
          </w:p>
          <w:p w14:paraId="1F64F8D5">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未单独提供该方案不得分。</w:t>
            </w:r>
          </w:p>
        </w:tc>
      </w:tr>
      <w:tr w14:paraId="3386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074" w:type="dxa"/>
            <w:vMerge w:val="continue"/>
            <w:tcBorders>
              <w:right w:val="single" w:color="000000" w:sz="4" w:space="0"/>
            </w:tcBorders>
            <w:vAlign w:val="center"/>
          </w:tcPr>
          <w:p w14:paraId="29B47910">
            <w:pPr>
              <w:pStyle w:val="2"/>
              <w:spacing w:line="240" w:lineRule="auto"/>
              <w:ind w:right="638" w:rightChars="304"/>
              <w:jc w:val="center"/>
              <w:rPr>
                <w:rFonts w:hint="eastAsia" w:ascii="方正仿宋_GB2312" w:hAnsi="方正仿宋_GB2312" w:eastAsia="方正仿宋_GB2312" w:cs="方正仿宋_GB2312"/>
                <w:color w:val="auto"/>
                <w:sz w:val="21"/>
                <w:szCs w:val="21"/>
                <w:highlight w:val="none"/>
                <w:vertAlign w:val="baseline"/>
              </w:rPr>
            </w:pPr>
          </w:p>
        </w:tc>
        <w:tc>
          <w:tcPr>
            <w:tcW w:w="994" w:type="dxa"/>
            <w:vMerge w:val="restart"/>
            <w:tcBorders>
              <w:left w:val="single" w:color="000000" w:sz="4" w:space="0"/>
            </w:tcBorders>
            <w:vAlign w:val="center"/>
          </w:tcPr>
          <w:p w14:paraId="6EBD0689">
            <w:pPr>
              <w:pStyle w:val="2"/>
              <w:spacing w:line="240" w:lineRule="auto"/>
              <w:ind w:right="31"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售后服务</w:t>
            </w:r>
          </w:p>
        </w:tc>
        <w:tc>
          <w:tcPr>
            <w:tcW w:w="843" w:type="dxa"/>
            <w:vAlign w:val="center"/>
          </w:tcPr>
          <w:p w14:paraId="78EF93F2">
            <w:pPr>
              <w:pStyle w:val="2"/>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6</w:t>
            </w:r>
          </w:p>
        </w:tc>
        <w:tc>
          <w:tcPr>
            <w:tcW w:w="5611" w:type="dxa"/>
          </w:tcPr>
          <w:p w14:paraId="5DAE3D95">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 根据投标人按照招标文件采购需求中“三、其他技术要求-3.售后服务”逐条响应情况进行打分。</w:t>
            </w:r>
          </w:p>
          <w:p w14:paraId="4ACE1AF5">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完全响应招标文件要求得满分6分；</w:t>
            </w:r>
          </w:p>
          <w:p w14:paraId="7838570A">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有 1 项条款负偏离，扣 1 分；</w:t>
            </w:r>
          </w:p>
        </w:tc>
      </w:tr>
      <w:tr w14:paraId="47A5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074" w:type="dxa"/>
            <w:vMerge w:val="continue"/>
            <w:tcBorders>
              <w:right w:val="single" w:color="000000" w:sz="4" w:space="0"/>
            </w:tcBorders>
            <w:vAlign w:val="center"/>
          </w:tcPr>
          <w:p w14:paraId="18065BBB">
            <w:pPr>
              <w:pStyle w:val="2"/>
              <w:spacing w:line="240" w:lineRule="auto"/>
              <w:ind w:right="638" w:rightChars="304"/>
              <w:jc w:val="center"/>
              <w:rPr>
                <w:rFonts w:hint="eastAsia" w:ascii="方正仿宋_GB2312" w:hAnsi="方正仿宋_GB2312" w:eastAsia="方正仿宋_GB2312" w:cs="方正仿宋_GB2312"/>
                <w:color w:val="auto"/>
                <w:sz w:val="21"/>
                <w:szCs w:val="21"/>
                <w:highlight w:val="none"/>
                <w:vertAlign w:val="baseline"/>
              </w:rPr>
            </w:pPr>
          </w:p>
        </w:tc>
        <w:tc>
          <w:tcPr>
            <w:tcW w:w="994" w:type="dxa"/>
            <w:vMerge w:val="continue"/>
            <w:tcBorders>
              <w:left w:val="single" w:color="000000" w:sz="4" w:space="0"/>
            </w:tcBorders>
            <w:vAlign w:val="center"/>
          </w:tcPr>
          <w:p w14:paraId="47DE2894">
            <w:pPr>
              <w:pStyle w:val="2"/>
              <w:spacing w:line="240" w:lineRule="auto"/>
              <w:ind w:right="31" w:rightChars="15"/>
              <w:jc w:val="center"/>
              <w:rPr>
                <w:rFonts w:hint="eastAsia" w:ascii="方正仿宋_GB2312" w:hAnsi="方正仿宋_GB2312" w:eastAsia="方正仿宋_GB2312" w:cs="方正仿宋_GB2312"/>
                <w:color w:val="auto"/>
                <w:sz w:val="21"/>
                <w:szCs w:val="21"/>
                <w:highlight w:val="none"/>
                <w:vertAlign w:val="baseline"/>
              </w:rPr>
            </w:pPr>
          </w:p>
        </w:tc>
        <w:tc>
          <w:tcPr>
            <w:tcW w:w="843" w:type="dxa"/>
            <w:vAlign w:val="center"/>
          </w:tcPr>
          <w:p w14:paraId="4F753115">
            <w:pPr>
              <w:pStyle w:val="2"/>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10</w:t>
            </w:r>
          </w:p>
        </w:tc>
        <w:tc>
          <w:tcPr>
            <w:tcW w:w="5611" w:type="dxa"/>
          </w:tcPr>
          <w:p w14:paraId="7908919E">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2.根据投标人按照上述要求提供的服务团队方案进行打分。</w:t>
            </w:r>
          </w:p>
          <w:p w14:paraId="7A51F34B">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方案细致合理，贴合技术需求得 10 分；</w:t>
            </w:r>
          </w:p>
          <w:p w14:paraId="36351C30">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方案较细致合理，基本贴合技术需求得 7 分；</w:t>
            </w:r>
          </w:p>
          <w:p w14:paraId="1662A9AE">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方案简单，部分贴合技术需求得 4 分；</w:t>
            </w:r>
          </w:p>
          <w:p w14:paraId="78E7A087">
            <w:pPr>
              <w:pStyle w:val="2"/>
              <w:numPr>
                <w:ilvl w:val="0"/>
                <w:numId w:val="0"/>
              </w:numPr>
              <w:spacing w:line="240" w:lineRule="auto"/>
              <w:ind w:right="-31"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未单独提供该方案不得分。</w:t>
            </w:r>
          </w:p>
        </w:tc>
      </w:tr>
    </w:tbl>
    <w:p w14:paraId="4C64F59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58AF2EDC">
      <w:pPr>
        <w:pStyle w:val="2"/>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标项2：</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6B1D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7D7D0A37">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5D6F056F">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6FB1B8B0">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14DA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556CB9A9">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1C210AFD">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5</w:t>
            </w:r>
            <w:r>
              <w:rPr>
                <w:rFonts w:hint="eastAsia" w:ascii="仿宋" w:hAnsi="仿宋" w:eastAsia="仿宋" w:cs="仿宋"/>
                <w:b w:val="0"/>
                <w:bCs/>
                <w:color w:val="auto"/>
                <w:kern w:val="0"/>
                <w:sz w:val="21"/>
                <w:szCs w:val="21"/>
                <w:highlight w:val="none"/>
              </w:rPr>
              <w:t>.0分</w:t>
            </w:r>
          </w:p>
          <w:p w14:paraId="542EDBAC">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65</w:t>
            </w:r>
            <w:r>
              <w:rPr>
                <w:rFonts w:hint="eastAsia" w:ascii="仿宋" w:hAnsi="仿宋" w:eastAsia="仿宋" w:cs="仿宋"/>
                <w:b w:val="0"/>
                <w:bCs/>
                <w:color w:val="auto"/>
                <w:kern w:val="0"/>
                <w:sz w:val="21"/>
                <w:szCs w:val="21"/>
                <w:highlight w:val="none"/>
              </w:rPr>
              <w:t>.0分</w:t>
            </w:r>
          </w:p>
          <w:p w14:paraId="7319D1E6">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7437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0356D462">
            <w:pPr>
              <w:pStyle w:val="2"/>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4DE76F66">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3A0A16D7">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25A6270D">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7807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1074" w:type="dxa"/>
            <w:tcBorders>
              <w:right w:val="single" w:color="000000" w:sz="4" w:space="0"/>
            </w:tcBorders>
            <w:vAlign w:val="center"/>
          </w:tcPr>
          <w:p w14:paraId="423C340D">
            <w:pPr>
              <w:pStyle w:val="2"/>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0F64F4B3">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02EAA923">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w:t>
            </w:r>
          </w:p>
        </w:tc>
        <w:tc>
          <w:tcPr>
            <w:tcW w:w="5611" w:type="dxa"/>
          </w:tcPr>
          <w:p w14:paraId="00DB2510">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自 20</w:t>
            </w:r>
            <w:r>
              <w:rPr>
                <w:rFonts w:hint="eastAsia" w:ascii="仿宋" w:hAnsi="仿宋" w:eastAsia="仿宋" w:cs="仿宋"/>
                <w:color w:val="auto"/>
                <w:sz w:val="21"/>
                <w:szCs w:val="21"/>
                <w:highlight w:val="none"/>
                <w:vertAlign w:val="baseline"/>
                <w:lang w:val="en-US" w:eastAsia="zh-CN"/>
              </w:rPr>
              <w:t>23</w:t>
            </w:r>
            <w:r>
              <w:rPr>
                <w:rFonts w:hint="eastAsia" w:ascii="仿宋" w:hAnsi="仿宋" w:eastAsia="仿宋" w:cs="仿宋"/>
                <w:color w:val="auto"/>
                <w:sz w:val="21"/>
                <w:szCs w:val="21"/>
                <w:highlight w:val="none"/>
                <w:vertAlign w:val="baseline"/>
              </w:rPr>
              <w:t>年</w:t>
            </w:r>
            <w:r>
              <w:rPr>
                <w:rFonts w:hint="eastAsia" w:ascii="仿宋" w:hAnsi="仿宋" w:eastAsia="仿宋" w:cs="仿宋"/>
                <w:color w:val="auto"/>
                <w:sz w:val="21"/>
                <w:szCs w:val="21"/>
                <w:highlight w:val="none"/>
                <w:vertAlign w:val="baseline"/>
                <w:lang w:val="en-US" w:eastAsia="zh-CN"/>
              </w:rPr>
              <w:t>05</w:t>
            </w:r>
            <w:r>
              <w:rPr>
                <w:rFonts w:hint="eastAsia" w:ascii="仿宋" w:hAnsi="仿宋" w:eastAsia="仿宋" w:cs="仿宋"/>
                <w:color w:val="auto"/>
                <w:sz w:val="21"/>
                <w:szCs w:val="21"/>
                <w:highlight w:val="none"/>
                <w:vertAlign w:val="baseline"/>
              </w:rPr>
              <w:t>月</w:t>
            </w:r>
            <w:r>
              <w:rPr>
                <w:rFonts w:hint="eastAsia" w:ascii="仿宋" w:hAnsi="仿宋" w:eastAsia="仿宋" w:cs="仿宋"/>
                <w:color w:val="auto"/>
                <w:sz w:val="21"/>
                <w:szCs w:val="21"/>
                <w:highlight w:val="none"/>
                <w:vertAlign w:val="baseline"/>
                <w:lang w:val="en-US" w:eastAsia="zh-CN"/>
              </w:rPr>
              <w:t>0</w:t>
            </w:r>
            <w:r>
              <w:rPr>
                <w:rFonts w:hint="eastAsia" w:ascii="仿宋" w:hAnsi="仿宋" w:eastAsia="仿宋" w:cs="仿宋"/>
                <w:color w:val="auto"/>
                <w:sz w:val="21"/>
                <w:szCs w:val="21"/>
                <w:highlight w:val="none"/>
                <w:vertAlign w:val="baseline"/>
              </w:rPr>
              <w:t xml:space="preserve">1日至投标截止日止（以合同签订合同时间为准）独立承担的类似项目，每提供 1 份有效的业绩资料得 </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 xml:space="preserve"> 分，满分 </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 xml:space="preserve"> 分。</w:t>
            </w:r>
          </w:p>
          <w:p w14:paraId="1C80B2FD">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注：1.须提供业绩合同关键页（含：首页、</w:t>
            </w:r>
            <w:r>
              <w:rPr>
                <w:rFonts w:hint="eastAsia" w:ascii="仿宋" w:hAnsi="仿宋" w:eastAsia="仿宋" w:cs="仿宋"/>
                <w:color w:val="auto"/>
                <w:sz w:val="21"/>
                <w:szCs w:val="21"/>
                <w:highlight w:val="none"/>
                <w:vertAlign w:val="baseline"/>
                <w:lang w:val="en-US" w:eastAsia="zh-CN"/>
              </w:rPr>
              <w:t>标的页</w:t>
            </w:r>
            <w:r>
              <w:rPr>
                <w:rFonts w:hint="eastAsia" w:ascii="仿宋" w:hAnsi="仿宋" w:eastAsia="仿宋" w:cs="仿宋"/>
                <w:color w:val="auto"/>
                <w:sz w:val="21"/>
                <w:szCs w:val="21"/>
                <w:highlight w:val="none"/>
                <w:vertAlign w:val="baseline"/>
              </w:rPr>
              <w:t>、合同金额页、签字盖章页）。复印件加盖公章，时间以合同签订日期为准。不符合上述要求或未按要求提供有效证明文件的业绩在评审时将不予承认。</w:t>
            </w:r>
          </w:p>
          <w:p w14:paraId="7D5F3E01">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w:t>
            </w:r>
            <w:r>
              <w:rPr>
                <w:rFonts w:hint="eastAsia" w:ascii="仿宋" w:hAnsi="仿宋" w:eastAsia="仿宋" w:cs="仿宋"/>
                <w:color w:val="auto"/>
                <w:sz w:val="21"/>
                <w:szCs w:val="21"/>
                <w:highlight w:val="none"/>
                <w:vertAlign w:val="baseline"/>
                <w:lang w:eastAsia="zh-CN"/>
              </w:rPr>
              <w:t>投标人</w:t>
            </w:r>
            <w:r>
              <w:rPr>
                <w:rFonts w:hint="eastAsia" w:ascii="仿宋" w:hAnsi="仿宋" w:eastAsia="仿宋" w:cs="仿宋"/>
                <w:color w:val="auto"/>
                <w:sz w:val="21"/>
                <w:szCs w:val="21"/>
                <w:highlight w:val="none"/>
                <w:vertAlign w:val="baseline"/>
              </w:rPr>
              <w:t>提供虚假合同的，按虚假投标处理。</w:t>
            </w:r>
          </w:p>
        </w:tc>
      </w:tr>
      <w:tr w14:paraId="2AA4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4C752971">
            <w:pPr>
              <w:pStyle w:val="2"/>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65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52F9B81C">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技术要求</w:t>
            </w:r>
          </w:p>
        </w:tc>
        <w:tc>
          <w:tcPr>
            <w:tcW w:w="843" w:type="dxa"/>
            <w:vAlign w:val="center"/>
          </w:tcPr>
          <w:p w14:paraId="4A9049A4">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6D673287">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根据投标人对招标文件采购需求中</w:t>
            </w:r>
            <w:r>
              <w:rPr>
                <w:rFonts w:hint="eastAsia" w:ascii="仿宋" w:hAnsi="仿宋" w:eastAsia="仿宋" w:cs="仿宋"/>
                <w:color w:val="auto"/>
                <w:sz w:val="21"/>
                <w:szCs w:val="21"/>
                <w:highlight w:val="none"/>
                <w:vertAlign w:val="baseline"/>
                <w:lang w:val="en-US" w:eastAsia="zh-CN"/>
              </w:rPr>
              <w:t>试剂耗材参数及用途</w:t>
            </w:r>
            <w:r>
              <w:rPr>
                <w:rFonts w:hint="eastAsia" w:ascii="仿宋" w:hAnsi="仿宋" w:eastAsia="仿宋" w:cs="仿宋"/>
                <w:color w:val="auto"/>
                <w:sz w:val="21"/>
                <w:szCs w:val="21"/>
                <w:highlight w:val="none"/>
                <w:vertAlign w:val="baseline"/>
              </w:rPr>
              <w:t>响应情况进行评分。</w:t>
            </w:r>
          </w:p>
          <w:p w14:paraId="76417CAE">
            <w:pPr>
              <w:pStyle w:val="2"/>
              <w:spacing w:line="240" w:lineRule="auto"/>
              <w:ind w:right="-31" w:rightChars="-15"/>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30分</w:t>
            </w:r>
            <w:r>
              <w:rPr>
                <w:rFonts w:hint="eastAsia" w:ascii="仿宋" w:hAnsi="仿宋" w:eastAsia="仿宋" w:cs="仿宋"/>
                <w:color w:val="auto"/>
                <w:sz w:val="21"/>
                <w:szCs w:val="21"/>
                <w:highlight w:val="none"/>
                <w:vertAlign w:val="baseline"/>
              </w:rPr>
              <w:t>；一般技术条款(即非实质性要求)</w:t>
            </w:r>
            <w:r>
              <w:rPr>
                <w:rFonts w:hint="eastAsia" w:ascii="仿宋" w:hAnsi="仿宋" w:eastAsia="仿宋" w:cs="仿宋"/>
                <w:color w:val="auto"/>
                <w:sz w:val="21"/>
                <w:szCs w:val="21"/>
                <w:highlight w:val="none"/>
                <w:vertAlign w:val="baseline"/>
                <w:lang w:val="en-US" w:eastAsia="zh-CN"/>
              </w:rPr>
              <w:t>共5</w:t>
            </w:r>
            <w:r>
              <w:rPr>
                <w:rFonts w:hint="eastAsia" w:ascii="仿宋" w:hAnsi="仿宋" w:eastAsia="仿宋" w:cs="仿宋"/>
                <w:color w:val="auto"/>
                <w:sz w:val="21"/>
                <w:szCs w:val="21"/>
                <w:highlight w:val="none"/>
                <w:vertAlign w:val="baseline"/>
              </w:rPr>
              <w:t>项</w:t>
            </w: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每</w:t>
            </w:r>
            <w:r>
              <w:rPr>
                <w:rFonts w:hint="eastAsia" w:ascii="仿宋" w:hAnsi="仿宋" w:eastAsia="仿宋" w:cs="仿宋"/>
                <w:color w:val="auto"/>
                <w:sz w:val="21"/>
                <w:szCs w:val="21"/>
                <w:highlight w:val="none"/>
                <w:vertAlign w:val="baseline"/>
              </w:rPr>
              <w:t>有 1 项负偏离，扣</w:t>
            </w:r>
            <w:r>
              <w:rPr>
                <w:rFonts w:hint="eastAsia" w:ascii="仿宋" w:hAnsi="仿宋" w:eastAsia="仿宋" w:cs="仿宋"/>
                <w:color w:val="auto"/>
                <w:sz w:val="21"/>
                <w:szCs w:val="21"/>
                <w:highlight w:val="none"/>
                <w:vertAlign w:val="baseline"/>
                <w:lang w:val="en-US" w:eastAsia="zh-CN"/>
              </w:rPr>
              <w:t>6</w:t>
            </w:r>
            <w:r>
              <w:rPr>
                <w:rFonts w:hint="eastAsia" w:ascii="仿宋" w:hAnsi="仿宋" w:eastAsia="仿宋" w:cs="仿宋"/>
                <w:color w:val="auto"/>
                <w:sz w:val="21"/>
                <w:szCs w:val="21"/>
                <w:highlight w:val="none"/>
                <w:vertAlign w:val="baseline"/>
              </w:rPr>
              <w:t xml:space="preserve"> 分； </w:t>
            </w:r>
            <w:r>
              <w:rPr>
                <w:rFonts w:hint="eastAsia" w:ascii="仿宋" w:hAnsi="仿宋" w:eastAsia="仿宋" w:cs="仿宋"/>
                <w:color w:val="auto"/>
                <w:sz w:val="21"/>
                <w:szCs w:val="21"/>
                <w:highlight w:val="none"/>
                <w:vertAlign w:val="baseline"/>
                <w:lang w:val="en-US" w:eastAsia="zh-CN"/>
              </w:rPr>
              <w:t>满分30分，扣完为止。</w:t>
            </w:r>
          </w:p>
          <w:p w14:paraId="0C50D583">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须对本</w:t>
            </w:r>
            <w:r>
              <w:rPr>
                <w:rFonts w:hint="eastAsia" w:ascii="仿宋" w:hAnsi="仿宋" w:eastAsia="仿宋" w:cs="仿宋"/>
                <w:color w:val="auto"/>
                <w:sz w:val="21"/>
                <w:szCs w:val="21"/>
                <w:highlight w:val="none"/>
                <w:vertAlign w:val="baseline"/>
                <w:lang w:val="en-US" w:eastAsia="zh-CN"/>
              </w:rPr>
              <w:t>招标</w:t>
            </w:r>
            <w:r>
              <w:rPr>
                <w:rFonts w:hint="eastAsia" w:ascii="仿宋" w:hAnsi="仿宋" w:eastAsia="仿宋" w:cs="仿宋"/>
                <w:color w:val="auto"/>
                <w:sz w:val="21"/>
                <w:szCs w:val="21"/>
                <w:highlight w:val="none"/>
                <w:vertAlign w:val="baseline"/>
              </w:rPr>
              <w:t>文件技术要求进行点对点应答，必须在引用本采购文件的基础上,进行逐条逐项答复、说明和解释,特别对有具体参数要求的指标，</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必须提供所投</w:t>
            </w:r>
            <w:r>
              <w:rPr>
                <w:rFonts w:hint="eastAsia" w:ascii="仿宋" w:hAnsi="仿宋" w:eastAsia="仿宋" w:cs="仿宋"/>
                <w:color w:val="auto"/>
                <w:sz w:val="21"/>
                <w:szCs w:val="21"/>
                <w:highlight w:val="none"/>
                <w:vertAlign w:val="baseline"/>
                <w:lang w:val="en-US" w:eastAsia="zh-CN"/>
              </w:rPr>
              <w:t>货物</w:t>
            </w:r>
            <w:r>
              <w:rPr>
                <w:rFonts w:hint="eastAsia" w:ascii="仿宋" w:hAnsi="仿宋" w:eastAsia="仿宋" w:cs="仿宋"/>
                <w:color w:val="auto"/>
                <w:sz w:val="21"/>
                <w:szCs w:val="21"/>
                <w:highlight w:val="none"/>
                <w:vertAlign w:val="baseline"/>
              </w:rPr>
              <w:t>的具体参数值。</w:t>
            </w:r>
          </w:p>
        </w:tc>
      </w:tr>
      <w:tr w14:paraId="0537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74" w:type="dxa"/>
            <w:vMerge w:val="continue"/>
            <w:tcBorders>
              <w:right w:val="single" w:color="000000" w:sz="4" w:space="0"/>
            </w:tcBorders>
            <w:vAlign w:val="center"/>
          </w:tcPr>
          <w:p w14:paraId="75D2DAF6">
            <w:pPr>
              <w:pStyle w:val="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7571ADD">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质量要求</w:t>
            </w:r>
          </w:p>
        </w:tc>
        <w:tc>
          <w:tcPr>
            <w:tcW w:w="843" w:type="dxa"/>
            <w:vAlign w:val="center"/>
          </w:tcPr>
          <w:p w14:paraId="796DB7C0">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4</w:t>
            </w:r>
          </w:p>
        </w:tc>
        <w:tc>
          <w:tcPr>
            <w:tcW w:w="5611" w:type="dxa"/>
          </w:tcPr>
          <w:p w14:paraId="52ACA337">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根据投标人按照招标文件采购需求中“三、其他技术要求-</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w:t>
            </w:r>
            <w:r>
              <w:rPr>
                <w:rFonts w:hint="eastAsia" w:ascii="仿宋" w:hAnsi="仿宋" w:eastAsia="仿宋" w:cs="仿宋"/>
                <w:color w:val="auto"/>
                <w:sz w:val="21"/>
                <w:szCs w:val="21"/>
                <w:highlight w:val="none"/>
                <w:vertAlign w:val="baseline"/>
                <w:lang w:val="en-US" w:eastAsia="zh-CN"/>
              </w:rPr>
              <w:t>质量要求</w:t>
            </w:r>
            <w:r>
              <w:rPr>
                <w:rFonts w:hint="eastAsia" w:ascii="仿宋" w:hAnsi="仿宋" w:eastAsia="仿宋" w:cs="仿宋"/>
                <w:color w:val="auto"/>
                <w:sz w:val="21"/>
                <w:szCs w:val="21"/>
                <w:highlight w:val="none"/>
                <w:vertAlign w:val="baseline"/>
              </w:rPr>
              <w:t>”逐条响应情况进行打分。</w:t>
            </w:r>
          </w:p>
          <w:p w14:paraId="64729E10">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4</w:t>
            </w:r>
            <w:r>
              <w:rPr>
                <w:rFonts w:hint="eastAsia" w:ascii="仿宋" w:hAnsi="仿宋" w:eastAsia="仿宋" w:cs="仿宋"/>
                <w:color w:val="auto"/>
                <w:sz w:val="21"/>
                <w:szCs w:val="21"/>
                <w:highlight w:val="none"/>
                <w:vertAlign w:val="baseline"/>
              </w:rPr>
              <w:t>分；</w:t>
            </w:r>
          </w:p>
          <w:p w14:paraId="54B7F3F4">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有 1 项条款负偏离，扣 1 分；</w:t>
            </w:r>
          </w:p>
        </w:tc>
      </w:tr>
      <w:tr w14:paraId="773C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074" w:type="dxa"/>
            <w:vMerge w:val="continue"/>
            <w:tcBorders>
              <w:right w:val="single" w:color="000000" w:sz="4" w:space="0"/>
            </w:tcBorders>
            <w:vAlign w:val="center"/>
          </w:tcPr>
          <w:p w14:paraId="17B49944">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5FDD1503">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配送和运输</w:t>
            </w:r>
          </w:p>
        </w:tc>
        <w:tc>
          <w:tcPr>
            <w:tcW w:w="843" w:type="dxa"/>
            <w:vAlign w:val="center"/>
          </w:tcPr>
          <w:p w14:paraId="4B1C6892">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w:t>
            </w:r>
          </w:p>
        </w:tc>
        <w:tc>
          <w:tcPr>
            <w:tcW w:w="5611" w:type="dxa"/>
          </w:tcPr>
          <w:p w14:paraId="3667245D">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根据投标人按照招标文件采购需求中“三、其他技术要求-2.配送和运输”逐条响应情况进行打分。</w:t>
            </w:r>
          </w:p>
          <w:p w14:paraId="1D1437A3">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完全响应招标文件要求得满分3分；</w:t>
            </w:r>
          </w:p>
          <w:p w14:paraId="27E2F4A3">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1.5 分；</w:t>
            </w:r>
          </w:p>
        </w:tc>
      </w:tr>
      <w:tr w14:paraId="6FCC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1074" w:type="dxa"/>
            <w:vMerge w:val="continue"/>
            <w:tcBorders>
              <w:right w:val="single" w:color="000000" w:sz="4" w:space="0"/>
            </w:tcBorders>
            <w:vAlign w:val="center"/>
          </w:tcPr>
          <w:p w14:paraId="3452480F">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45612A04">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161A05CA">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28ECE949">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2.根据投标人按照上述要求提供的配送方案进行打分。</w:t>
            </w:r>
          </w:p>
          <w:p w14:paraId="7F43C17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6 分；</w:t>
            </w:r>
          </w:p>
          <w:p w14:paraId="7609FDF6">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4 分；</w:t>
            </w:r>
          </w:p>
          <w:p w14:paraId="60CB159B">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2 分；</w:t>
            </w:r>
          </w:p>
          <w:p w14:paraId="4AFB843D">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3EEC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74" w:type="dxa"/>
            <w:vMerge w:val="continue"/>
            <w:tcBorders>
              <w:right w:val="single" w:color="000000" w:sz="4" w:space="0"/>
            </w:tcBorders>
            <w:vAlign w:val="center"/>
          </w:tcPr>
          <w:p w14:paraId="2172041D">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5C858312">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08978164">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29A04DEF">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3.根据投标人按照上述要求提供的应急预案进行打分。</w:t>
            </w:r>
          </w:p>
          <w:p w14:paraId="653E0BD9">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6 分；</w:t>
            </w:r>
          </w:p>
          <w:p w14:paraId="02D73F7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4 分；</w:t>
            </w:r>
          </w:p>
          <w:p w14:paraId="1D60DA20">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2 分；</w:t>
            </w:r>
          </w:p>
          <w:p w14:paraId="168C3225">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170E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074" w:type="dxa"/>
            <w:vMerge w:val="continue"/>
            <w:tcBorders>
              <w:right w:val="single" w:color="000000" w:sz="4" w:space="0"/>
            </w:tcBorders>
            <w:vAlign w:val="center"/>
          </w:tcPr>
          <w:p w14:paraId="151F7AEF">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59A715B3">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售后服务</w:t>
            </w:r>
          </w:p>
        </w:tc>
        <w:tc>
          <w:tcPr>
            <w:tcW w:w="843" w:type="dxa"/>
            <w:vAlign w:val="center"/>
          </w:tcPr>
          <w:p w14:paraId="726EDECB">
            <w:pPr>
              <w:pStyle w:val="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3EB5CEFC">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根据投标人按照招标文件采购需求中“三、其他技术要求-3.售后服务”逐条响应情况进行打分。</w:t>
            </w:r>
          </w:p>
          <w:p w14:paraId="37B086BB">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完全响应招标文件要求得满分6分；</w:t>
            </w:r>
          </w:p>
          <w:p w14:paraId="5F5A435C">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 分；</w:t>
            </w:r>
          </w:p>
        </w:tc>
      </w:tr>
      <w:tr w14:paraId="1505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074" w:type="dxa"/>
            <w:vMerge w:val="continue"/>
            <w:tcBorders>
              <w:right w:val="single" w:color="000000" w:sz="4" w:space="0"/>
            </w:tcBorders>
            <w:vAlign w:val="center"/>
          </w:tcPr>
          <w:p w14:paraId="67379503">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6B74748A">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4309F6FE">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21799C6E">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2.根据投标人按照上述要求提供的服务团队方案进行打分。</w:t>
            </w:r>
          </w:p>
          <w:p w14:paraId="3FEDDB9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10 分；</w:t>
            </w:r>
          </w:p>
          <w:p w14:paraId="01806522">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7 分；</w:t>
            </w:r>
          </w:p>
          <w:p w14:paraId="5AB638D1">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4 分；</w:t>
            </w:r>
          </w:p>
          <w:p w14:paraId="23BAFA8B">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bl>
    <w:p w14:paraId="52C7A999">
      <w:pPr>
        <w:pStyle w:val="2"/>
        <w:rPr>
          <w:rFonts w:hint="eastAsia"/>
          <w:highlight w:val="none"/>
          <w:lang w:val="en-US" w:eastAsia="zh-CN"/>
        </w:rPr>
      </w:pPr>
    </w:p>
    <w:p w14:paraId="24C7046F">
      <w:pPr>
        <w:pStyle w:val="2"/>
        <w:rPr>
          <w:rFonts w:hint="eastAsia"/>
          <w:highlight w:val="none"/>
          <w:lang w:val="en-US" w:eastAsia="zh-CN"/>
        </w:rPr>
      </w:pPr>
    </w:p>
    <w:p w14:paraId="7358AC9F">
      <w:pPr>
        <w:pStyle w:val="2"/>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标项3：</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6CCB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58D220A1">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4FF9E27D">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6D2535E6">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71D4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2CEBD0A8">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3940B6D3">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5</w:t>
            </w:r>
            <w:r>
              <w:rPr>
                <w:rFonts w:hint="eastAsia" w:ascii="仿宋" w:hAnsi="仿宋" w:eastAsia="仿宋" w:cs="仿宋"/>
                <w:b w:val="0"/>
                <w:bCs/>
                <w:color w:val="auto"/>
                <w:kern w:val="0"/>
                <w:sz w:val="21"/>
                <w:szCs w:val="21"/>
                <w:highlight w:val="none"/>
              </w:rPr>
              <w:t>.0分</w:t>
            </w:r>
          </w:p>
          <w:p w14:paraId="7A329173">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65</w:t>
            </w:r>
            <w:r>
              <w:rPr>
                <w:rFonts w:hint="eastAsia" w:ascii="仿宋" w:hAnsi="仿宋" w:eastAsia="仿宋" w:cs="仿宋"/>
                <w:b w:val="0"/>
                <w:bCs/>
                <w:color w:val="auto"/>
                <w:kern w:val="0"/>
                <w:sz w:val="21"/>
                <w:szCs w:val="21"/>
                <w:highlight w:val="none"/>
              </w:rPr>
              <w:t>.0分</w:t>
            </w:r>
          </w:p>
          <w:p w14:paraId="69D94017">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1EE0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12F1630E">
            <w:pPr>
              <w:pStyle w:val="2"/>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7C338450">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0139E989">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37DC1698">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4E9C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1074" w:type="dxa"/>
            <w:tcBorders>
              <w:right w:val="single" w:color="000000" w:sz="4" w:space="0"/>
            </w:tcBorders>
            <w:vAlign w:val="center"/>
          </w:tcPr>
          <w:p w14:paraId="5AAF439D">
            <w:pPr>
              <w:pStyle w:val="2"/>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7ADBCC01">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0470B6B8">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w:t>
            </w:r>
          </w:p>
        </w:tc>
        <w:tc>
          <w:tcPr>
            <w:tcW w:w="5611" w:type="dxa"/>
          </w:tcPr>
          <w:p w14:paraId="581DD04F">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自 20</w:t>
            </w:r>
            <w:r>
              <w:rPr>
                <w:rFonts w:hint="eastAsia" w:ascii="仿宋" w:hAnsi="仿宋" w:eastAsia="仿宋" w:cs="仿宋"/>
                <w:color w:val="auto"/>
                <w:sz w:val="21"/>
                <w:szCs w:val="21"/>
                <w:highlight w:val="none"/>
                <w:vertAlign w:val="baseline"/>
                <w:lang w:val="en-US" w:eastAsia="zh-CN"/>
              </w:rPr>
              <w:t>23</w:t>
            </w:r>
            <w:r>
              <w:rPr>
                <w:rFonts w:hint="eastAsia" w:ascii="仿宋" w:hAnsi="仿宋" w:eastAsia="仿宋" w:cs="仿宋"/>
                <w:color w:val="auto"/>
                <w:sz w:val="21"/>
                <w:szCs w:val="21"/>
                <w:highlight w:val="none"/>
                <w:vertAlign w:val="baseline"/>
              </w:rPr>
              <w:t>年</w:t>
            </w:r>
            <w:r>
              <w:rPr>
                <w:rFonts w:hint="eastAsia" w:ascii="仿宋" w:hAnsi="仿宋" w:eastAsia="仿宋" w:cs="仿宋"/>
                <w:color w:val="auto"/>
                <w:sz w:val="21"/>
                <w:szCs w:val="21"/>
                <w:highlight w:val="none"/>
                <w:vertAlign w:val="baseline"/>
                <w:lang w:val="en-US" w:eastAsia="zh-CN"/>
              </w:rPr>
              <w:t>05</w:t>
            </w:r>
            <w:r>
              <w:rPr>
                <w:rFonts w:hint="eastAsia" w:ascii="仿宋" w:hAnsi="仿宋" w:eastAsia="仿宋" w:cs="仿宋"/>
                <w:color w:val="auto"/>
                <w:sz w:val="21"/>
                <w:szCs w:val="21"/>
                <w:highlight w:val="none"/>
                <w:vertAlign w:val="baseline"/>
              </w:rPr>
              <w:t>月</w:t>
            </w:r>
            <w:r>
              <w:rPr>
                <w:rFonts w:hint="eastAsia" w:ascii="仿宋" w:hAnsi="仿宋" w:eastAsia="仿宋" w:cs="仿宋"/>
                <w:color w:val="auto"/>
                <w:sz w:val="21"/>
                <w:szCs w:val="21"/>
                <w:highlight w:val="none"/>
                <w:vertAlign w:val="baseline"/>
                <w:lang w:val="en-US" w:eastAsia="zh-CN"/>
              </w:rPr>
              <w:t>0</w:t>
            </w:r>
            <w:r>
              <w:rPr>
                <w:rFonts w:hint="eastAsia" w:ascii="仿宋" w:hAnsi="仿宋" w:eastAsia="仿宋" w:cs="仿宋"/>
                <w:color w:val="auto"/>
                <w:sz w:val="21"/>
                <w:szCs w:val="21"/>
                <w:highlight w:val="none"/>
                <w:vertAlign w:val="baseline"/>
              </w:rPr>
              <w:t xml:space="preserve">1日至投标截止日止（以合同签订合同时间为准）独立承担的类似项目，每提供 1 份有效的业绩资料得 </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 xml:space="preserve"> 分，满分 </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 xml:space="preserve"> 分。</w:t>
            </w:r>
          </w:p>
          <w:p w14:paraId="34ADC5E7">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注：1.须提供业绩合同关键页（含：首页、</w:t>
            </w:r>
            <w:r>
              <w:rPr>
                <w:rFonts w:hint="eastAsia" w:ascii="仿宋" w:hAnsi="仿宋" w:eastAsia="仿宋" w:cs="仿宋"/>
                <w:color w:val="auto"/>
                <w:sz w:val="21"/>
                <w:szCs w:val="21"/>
                <w:highlight w:val="none"/>
                <w:vertAlign w:val="baseline"/>
                <w:lang w:val="en-US" w:eastAsia="zh-CN"/>
              </w:rPr>
              <w:t>标的页</w:t>
            </w:r>
            <w:r>
              <w:rPr>
                <w:rFonts w:hint="eastAsia" w:ascii="仿宋" w:hAnsi="仿宋" w:eastAsia="仿宋" w:cs="仿宋"/>
                <w:color w:val="auto"/>
                <w:sz w:val="21"/>
                <w:szCs w:val="21"/>
                <w:highlight w:val="none"/>
                <w:vertAlign w:val="baseline"/>
              </w:rPr>
              <w:t>、合同金额页、签字盖章页）。复印件加盖公章，时间以合同签订日期为准。不符合上述要求或未按要求提供有效证明文件的业绩在评审时将不予承认。</w:t>
            </w:r>
          </w:p>
          <w:p w14:paraId="140C4CF3">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w:t>
            </w:r>
            <w:r>
              <w:rPr>
                <w:rFonts w:hint="eastAsia" w:ascii="仿宋" w:hAnsi="仿宋" w:eastAsia="仿宋" w:cs="仿宋"/>
                <w:color w:val="auto"/>
                <w:sz w:val="21"/>
                <w:szCs w:val="21"/>
                <w:highlight w:val="none"/>
                <w:vertAlign w:val="baseline"/>
                <w:lang w:eastAsia="zh-CN"/>
              </w:rPr>
              <w:t>投标人</w:t>
            </w:r>
            <w:r>
              <w:rPr>
                <w:rFonts w:hint="eastAsia" w:ascii="仿宋" w:hAnsi="仿宋" w:eastAsia="仿宋" w:cs="仿宋"/>
                <w:color w:val="auto"/>
                <w:sz w:val="21"/>
                <w:szCs w:val="21"/>
                <w:highlight w:val="none"/>
                <w:vertAlign w:val="baseline"/>
              </w:rPr>
              <w:t>提供虚假合同的，按虚假投标处理。</w:t>
            </w:r>
          </w:p>
        </w:tc>
      </w:tr>
      <w:tr w14:paraId="5FB8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0FDCC746">
            <w:pPr>
              <w:pStyle w:val="2"/>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65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0FFC6A0A">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技术要求</w:t>
            </w:r>
          </w:p>
        </w:tc>
        <w:tc>
          <w:tcPr>
            <w:tcW w:w="843" w:type="dxa"/>
            <w:vAlign w:val="center"/>
          </w:tcPr>
          <w:p w14:paraId="46A40DA1">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40</w:t>
            </w:r>
          </w:p>
        </w:tc>
        <w:tc>
          <w:tcPr>
            <w:tcW w:w="5611" w:type="dxa"/>
          </w:tcPr>
          <w:p w14:paraId="66896CD8">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根据投标人对招标文件采购需求中</w:t>
            </w:r>
            <w:r>
              <w:rPr>
                <w:rFonts w:hint="eastAsia" w:ascii="仿宋" w:hAnsi="仿宋" w:eastAsia="仿宋" w:cs="仿宋"/>
                <w:color w:val="auto"/>
                <w:sz w:val="21"/>
                <w:szCs w:val="21"/>
                <w:highlight w:val="none"/>
                <w:vertAlign w:val="baseline"/>
                <w:lang w:val="en-US" w:eastAsia="zh-CN"/>
              </w:rPr>
              <w:t>试剂耗材参数及用途</w:t>
            </w:r>
            <w:r>
              <w:rPr>
                <w:rFonts w:hint="eastAsia" w:ascii="仿宋" w:hAnsi="仿宋" w:eastAsia="仿宋" w:cs="仿宋"/>
                <w:color w:val="auto"/>
                <w:sz w:val="21"/>
                <w:szCs w:val="21"/>
                <w:highlight w:val="none"/>
                <w:vertAlign w:val="baseline"/>
              </w:rPr>
              <w:t>响应情况进行评分。</w:t>
            </w:r>
          </w:p>
          <w:p w14:paraId="31EE1A9F">
            <w:pPr>
              <w:pStyle w:val="2"/>
              <w:spacing w:line="240" w:lineRule="auto"/>
              <w:ind w:right="-31" w:rightChars="-15"/>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40分</w:t>
            </w:r>
            <w:r>
              <w:rPr>
                <w:rFonts w:hint="eastAsia" w:ascii="仿宋" w:hAnsi="仿宋" w:eastAsia="仿宋" w:cs="仿宋"/>
                <w:color w:val="auto"/>
                <w:sz w:val="21"/>
                <w:szCs w:val="21"/>
                <w:highlight w:val="none"/>
                <w:vertAlign w:val="baseline"/>
              </w:rPr>
              <w:t>；一般技术条款(即非实质性要求)</w:t>
            </w:r>
            <w:r>
              <w:rPr>
                <w:rFonts w:hint="eastAsia" w:ascii="仿宋" w:hAnsi="仿宋" w:eastAsia="仿宋" w:cs="仿宋"/>
                <w:color w:val="auto"/>
                <w:sz w:val="21"/>
                <w:szCs w:val="21"/>
                <w:highlight w:val="none"/>
                <w:vertAlign w:val="baseline"/>
                <w:lang w:val="en-US" w:eastAsia="zh-CN"/>
              </w:rPr>
              <w:t>共4</w:t>
            </w:r>
            <w:r>
              <w:rPr>
                <w:rFonts w:hint="eastAsia" w:ascii="仿宋" w:hAnsi="仿宋" w:eastAsia="仿宋" w:cs="仿宋"/>
                <w:color w:val="auto"/>
                <w:sz w:val="21"/>
                <w:szCs w:val="21"/>
                <w:highlight w:val="none"/>
                <w:vertAlign w:val="baseline"/>
              </w:rPr>
              <w:t>项</w:t>
            </w: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每</w:t>
            </w:r>
            <w:r>
              <w:rPr>
                <w:rFonts w:hint="eastAsia" w:ascii="仿宋" w:hAnsi="仿宋" w:eastAsia="仿宋" w:cs="仿宋"/>
                <w:color w:val="auto"/>
                <w:sz w:val="21"/>
                <w:szCs w:val="21"/>
                <w:highlight w:val="none"/>
                <w:vertAlign w:val="baseline"/>
              </w:rPr>
              <w:t>有 1 项负偏离，扣</w:t>
            </w:r>
            <w:r>
              <w:rPr>
                <w:rFonts w:hint="eastAsia" w:ascii="仿宋" w:hAnsi="仿宋" w:eastAsia="仿宋" w:cs="仿宋"/>
                <w:color w:val="auto"/>
                <w:sz w:val="21"/>
                <w:szCs w:val="21"/>
                <w:highlight w:val="none"/>
                <w:vertAlign w:val="baseline"/>
                <w:lang w:val="en-US" w:eastAsia="zh-CN"/>
              </w:rPr>
              <w:t>10</w:t>
            </w:r>
            <w:r>
              <w:rPr>
                <w:rFonts w:hint="eastAsia" w:ascii="仿宋" w:hAnsi="仿宋" w:eastAsia="仿宋" w:cs="仿宋"/>
                <w:color w:val="auto"/>
                <w:sz w:val="21"/>
                <w:szCs w:val="21"/>
                <w:highlight w:val="none"/>
                <w:vertAlign w:val="baseline"/>
              </w:rPr>
              <w:t xml:space="preserve"> 分； </w:t>
            </w:r>
            <w:r>
              <w:rPr>
                <w:rFonts w:hint="eastAsia" w:ascii="仿宋" w:hAnsi="仿宋" w:eastAsia="仿宋" w:cs="仿宋"/>
                <w:color w:val="auto"/>
                <w:sz w:val="21"/>
                <w:szCs w:val="21"/>
                <w:highlight w:val="none"/>
                <w:vertAlign w:val="baseline"/>
                <w:lang w:val="en-US" w:eastAsia="zh-CN"/>
              </w:rPr>
              <w:t>满分40分，扣完为止。</w:t>
            </w:r>
            <w:bookmarkStart w:id="71" w:name="_GoBack"/>
            <w:bookmarkEnd w:id="71"/>
          </w:p>
          <w:p w14:paraId="0613F9AA">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注：</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须对本</w:t>
            </w:r>
            <w:r>
              <w:rPr>
                <w:rFonts w:hint="eastAsia" w:ascii="仿宋" w:hAnsi="仿宋" w:eastAsia="仿宋" w:cs="仿宋"/>
                <w:color w:val="auto"/>
                <w:sz w:val="21"/>
                <w:szCs w:val="21"/>
                <w:highlight w:val="none"/>
                <w:vertAlign w:val="baseline"/>
                <w:lang w:val="en-US" w:eastAsia="zh-CN"/>
              </w:rPr>
              <w:t>招标</w:t>
            </w:r>
            <w:r>
              <w:rPr>
                <w:rFonts w:hint="eastAsia" w:ascii="仿宋" w:hAnsi="仿宋" w:eastAsia="仿宋" w:cs="仿宋"/>
                <w:color w:val="auto"/>
                <w:sz w:val="21"/>
                <w:szCs w:val="21"/>
                <w:highlight w:val="none"/>
                <w:vertAlign w:val="baseline"/>
              </w:rPr>
              <w:t>文件技术要求进行点对点应答，必须在引用本采购文件的基础上,进行逐条逐项答复、说明和解释,特别对有具体参数要求的指标，</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必须提供所投</w:t>
            </w:r>
            <w:r>
              <w:rPr>
                <w:rFonts w:hint="eastAsia" w:ascii="仿宋" w:hAnsi="仿宋" w:eastAsia="仿宋" w:cs="仿宋"/>
                <w:color w:val="auto"/>
                <w:sz w:val="21"/>
                <w:szCs w:val="21"/>
                <w:highlight w:val="none"/>
                <w:vertAlign w:val="baseline"/>
                <w:lang w:val="en-US" w:eastAsia="zh-CN"/>
              </w:rPr>
              <w:t>货物</w:t>
            </w:r>
            <w:r>
              <w:rPr>
                <w:rFonts w:hint="eastAsia" w:ascii="仿宋" w:hAnsi="仿宋" w:eastAsia="仿宋" w:cs="仿宋"/>
                <w:color w:val="auto"/>
                <w:sz w:val="21"/>
                <w:szCs w:val="21"/>
                <w:highlight w:val="none"/>
                <w:vertAlign w:val="baseline"/>
              </w:rPr>
              <w:t>的具体参数值。</w:t>
            </w:r>
          </w:p>
        </w:tc>
      </w:tr>
      <w:tr w14:paraId="2086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74" w:type="dxa"/>
            <w:vMerge w:val="continue"/>
            <w:tcBorders>
              <w:right w:val="single" w:color="000000" w:sz="4" w:space="0"/>
            </w:tcBorders>
            <w:vAlign w:val="center"/>
          </w:tcPr>
          <w:p w14:paraId="182C333E">
            <w:pPr>
              <w:pStyle w:val="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76AA22B7">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质量要求</w:t>
            </w:r>
          </w:p>
        </w:tc>
        <w:tc>
          <w:tcPr>
            <w:tcW w:w="843" w:type="dxa"/>
            <w:vAlign w:val="center"/>
          </w:tcPr>
          <w:p w14:paraId="03BA6A29">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4</w:t>
            </w:r>
          </w:p>
        </w:tc>
        <w:tc>
          <w:tcPr>
            <w:tcW w:w="5611" w:type="dxa"/>
          </w:tcPr>
          <w:p w14:paraId="181842DB">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根据投标人按照招标文件采购需求中“三、其他技术要求-</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w:t>
            </w:r>
            <w:r>
              <w:rPr>
                <w:rFonts w:hint="eastAsia" w:ascii="仿宋" w:hAnsi="仿宋" w:eastAsia="仿宋" w:cs="仿宋"/>
                <w:color w:val="auto"/>
                <w:sz w:val="21"/>
                <w:szCs w:val="21"/>
                <w:highlight w:val="none"/>
                <w:vertAlign w:val="baseline"/>
                <w:lang w:val="en-US" w:eastAsia="zh-CN"/>
              </w:rPr>
              <w:t>质量要求</w:t>
            </w:r>
            <w:r>
              <w:rPr>
                <w:rFonts w:hint="eastAsia" w:ascii="仿宋" w:hAnsi="仿宋" w:eastAsia="仿宋" w:cs="仿宋"/>
                <w:color w:val="auto"/>
                <w:sz w:val="21"/>
                <w:szCs w:val="21"/>
                <w:highlight w:val="none"/>
                <w:vertAlign w:val="baseline"/>
              </w:rPr>
              <w:t>”逐条响应情况进行打分。</w:t>
            </w:r>
          </w:p>
          <w:p w14:paraId="43D6C6AB">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完全响应招标文件要求得满分</w:t>
            </w:r>
            <w:r>
              <w:rPr>
                <w:rFonts w:hint="eastAsia" w:ascii="仿宋" w:hAnsi="仿宋" w:eastAsia="仿宋" w:cs="仿宋"/>
                <w:color w:val="auto"/>
                <w:sz w:val="21"/>
                <w:szCs w:val="21"/>
                <w:highlight w:val="none"/>
                <w:vertAlign w:val="baseline"/>
                <w:lang w:val="en-US" w:eastAsia="zh-CN"/>
              </w:rPr>
              <w:t>4</w:t>
            </w:r>
            <w:r>
              <w:rPr>
                <w:rFonts w:hint="eastAsia" w:ascii="仿宋" w:hAnsi="仿宋" w:eastAsia="仿宋" w:cs="仿宋"/>
                <w:color w:val="auto"/>
                <w:sz w:val="21"/>
                <w:szCs w:val="21"/>
                <w:highlight w:val="none"/>
                <w:vertAlign w:val="baseline"/>
              </w:rPr>
              <w:t>分；</w:t>
            </w:r>
          </w:p>
          <w:p w14:paraId="5E6D88A5">
            <w:pPr>
              <w:pStyle w:val="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有 1 项条款负偏离，扣 1 分；</w:t>
            </w:r>
          </w:p>
        </w:tc>
      </w:tr>
      <w:tr w14:paraId="39B3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074" w:type="dxa"/>
            <w:vMerge w:val="continue"/>
            <w:tcBorders>
              <w:right w:val="single" w:color="000000" w:sz="4" w:space="0"/>
            </w:tcBorders>
            <w:vAlign w:val="center"/>
          </w:tcPr>
          <w:p w14:paraId="70DAD89D">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5CD0CC45">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配送和运输</w:t>
            </w:r>
          </w:p>
        </w:tc>
        <w:tc>
          <w:tcPr>
            <w:tcW w:w="843" w:type="dxa"/>
            <w:vAlign w:val="center"/>
          </w:tcPr>
          <w:p w14:paraId="7A8F7B09">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w:t>
            </w:r>
          </w:p>
        </w:tc>
        <w:tc>
          <w:tcPr>
            <w:tcW w:w="5611" w:type="dxa"/>
          </w:tcPr>
          <w:p w14:paraId="7F19A958">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根据投标人按照招标文件采购需求中“三、其他技术要求-2.配送和运输”逐条响应情况进行打分。</w:t>
            </w:r>
          </w:p>
          <w:p w14:paraId="73A3AA8B">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完全响应招标文件要求得满分2分；</w:t>
            </w:r>
          </w:p>
          <w:p w14:paraId="739D41FB">
            <w:pPr>
              <w:pStyle w:val="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 分；</w:t>
            </w:r>
          </w:p>
        </w:tc>
      </w:tr>
      <w:tr w14:paraId="51BF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1074" w:type="dxa"/>
            <w:vMerge w:val="continue"/>
            <w:tcBorders>
              <w:right w:val="single" w:color="000000" w:sz="4" w:space="0"/>
            </w:tcBorders>
            <w:vAlign w:val="center"/>
          </w:tcPr>
          <w:p w14:paraId="3ADA61BA">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5D10E586">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4E5C5F85">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w:t>
            </w:r>
          </w:p>
        </w:tc>
        <w:tc>
          <w:tcPr>
            <w:tcW w:w="5611" w:type="dxa"/>
          </w:tcPr>
          <w:p w14:paraId="43961F71">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2.根据投标人按照上述要求提供的配送方案进行打分。</w:t>
            </w:r>
          </w:p>
          <w:p w14:paraId="1F402CC7">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3 分；</w:t>
            </w:r>
          </w:p>
          <w:p w14:paraId="48D4A683">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2 分；</w:t>
            </w:r>
          </w:p>
          <w:p w14:paraId="7E3ADEF4">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1 分；</w:t>
            </w:r>
          </w:p>
          <w:p w14:paraId="35D25E17">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10FA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074" w:type="dxa"/>
            <w:vMerge w:val="continue"/>
            <w:tcBorders>
              <w:right w:val="single" w:color="000000" w:sz="4" w:space="0"/>
            </w:tcBorders>
            <w:vAlign w:val="center"/>
          </w:tcPr>
          <w:p w14:paraId="03D92D58">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0D29E62F">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4C84628D">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w:t>
            </w:r>
          </w:p>
        </w:tc>
        <w:tc>
          <w:tcPr>
            <w:tcW w:w="5611" w:type="dxa"/>
          </w:tcPr>
          <w:p w14:paraId="669BCCB0">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3.根据投标人按照上述要求提供的应急预案进行打分。</w:t>
            </w:r>
          </w:p>
          <w:p w14:paraId="44DAD455">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3 分；</w:t>
            </w:r>
          </w:p>
          <w:p w14:paraId="74B4F7D6">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2 分；</w:t>
            </w:r>
          </w:p>
          <w:p w14:paraId="2A013FF2">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1 分；</w:t>
            </w:r>
          </w:p>
          <w:p w14:paraId="66CEAF63">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r w14:paraId="0D07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074" w:type="dxa"/>
            <w:vMerge w:val="continue"/>
            <w:tcBorders>
              <w:right w:val="single" w:color="000000" w:sz="4" w:space="0"/>
            </w:tcBorders>
            <w:vAlign w:val="center"/>
          </w:tcPr>
          <w:p w14:paraId="5573C0FE">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restart"/>
            <w:tcBorders>
              <w:left w:val="single" w:color="000000" w:sz="4" w:space="0"/>
            </w:tcBorders>
            <w:vAlign w:val="center"/>
          </w:tcPr>
          <w:p w14:paraId="4DD69B7D">
            <w:pPr>
              <w:pStyle w:val="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售后服务</w:t>
            </w:r>
          </w:p>
        </w:tc>
        <w:tc>
          <w:tcPr>
            <w:tcW w:w="843" w:type="dxa"/>
            <w:vAlign w:val="center"/>
          </w:tcPr>
          <w:p w14:paraId="72425FFB">
            <w:pPr>
              <w:pStyle w:val="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14833A69">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 根据投标人按照招标文件采购需求中“三、其他技术要求-3.售后服务”逐条响应情况进行打分。</w:t>
            </w:r>
          </w:p>
          <w:p w14:paraId="2F64C6EA">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完全响应招标文件要求得满分6分；</w:t>
            </w:r>
          </w:p>
          <w:p w14:paraId="20395C67">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有 1 项条款负偏离，扣 1 分；</w:t>
            </w:r>
          </w:p>
        </w:tc>
      </w:tr>
      <w:tr w14:paraId="79EE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074" w:type="dxa"/>
            <w:vMerge w:val="continue"/>
            <w:tcBorders>
              <w:right w:val="single" w:color="000000" w:sz="4" w:space="0"/>
            </w:tcBorders>
            <w:vAlign w:val="center"/>
          </w:tcPr>
          <w:p w14:paraId="4A86BA4F">
            <w:pPr>
              <w:pStyle w:val="2"/>
              <w:spacing w:line="240" w:lineRule="auto"/>
              <w:ind w:right="638" w:rightChars="304"/>
              <w:jc w:val="center"/>
              <w:rPr>
                <w:rFonts w:hint="eastAsia" w:ascii="仿宋" w:hAnsi="仿宋" w:eastAsia="仿宋" w:cs="仿宋"/>
                <w:color w:val="auto"/>
                <w:sz w:val="21"/>
                <w:szCs w:val="21"/>
                <w:highlight w:val="none"/>
                <w:vertAlign w:val="baseline"/>
              </w:rPr>
            </w:pPr>
          </w:p>
        </w:tc>
        <w:tc>
          <w:tcPr>
            <w:tcW w:w="994" w:type="dxa"/>
            <w:vMerge w:val="continue"/>
            <w:tcBorders>
              <w:left w:val="single" w:color="000000" w:sz="4" w:space="0"/>
            </w:tcBorders>
            <w:vAlign w:val="center"/>
          </w:tcPr>
          <w:p w14:paraId="18A0113A">
            <w:pPr>
              <w:pStyle w:val="2"/>
              <w:spacing w:line="240" w:lineRule="auto"/>
              <w:ind w:right="31" w:rightChars="15"/>
              <w:jc w:val="center"/>
              <w:rPr>
                <w:rFonts w:hint="eastAsia" w:ascii="仿宋" w:hAnsi="仿宋" w:eastAsia="仿宋" w:cs="仿宋"/>
                <w:color w:val="auto"/>
                <w:sz w:val="21"/>
                <w:szCs w:val="21"/>
                <w:highlight w:val="none"/>
                <w:vertAlign w:val="baseline"/>
              </w:rPr>
            </w:pPr>
          </w:p>
        </w:tc>
        <w:tc>
          <w:tcPr>
            <w:tcW w:w="843" w:type="dxa"/>
            <w:vAlign w:val="center"/>
          </w:tcPr>
          <w:p w14:paraId="1E18766C">
            <w:pPr>
              <w:pStyle w:val="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7</w:t>
            </w:r>
          </w:p>
        </w:tc>
        <w:tc>
          <w:tcPr>
            <w:tcW w:w="5611" w:type="dxa"/>
          </w:tcPr>
          <w:p w14:paraId="7E846A3B">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2.根据投标人按照上述要求提供的服务团队方案进行打分。</w:t>
            </w:r>
          </w:p>
          <w:p w14:paraId="71D39173">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方案细致合理，贴合技术需求得 7 分；</w:t>
            </w:r>
          </w:p>
          <w:p w14:paraId="128BB289">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方案较细致合理，基本贴合技术需求得 4 分；</w:t>
            </w:r>
          </w:p>
          <w:p w14:paraId="5FC74012">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方案简单，部分贴合技术需求得 1 分；</w:t>
            </w:r>
          </w:p>
          <w:p w14:paraId="322575E5">
            <w:pPr>
              <w:pStyle w:val="2"/>
              <w:numPr>
                <w:ilvl w:val="0"/>
                <w:numId w:val="0"/>
              </w:numPr>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未单独提供该方案不得分。</w:t>
            </w:r>
          </w:p>
        </w:tc>
      </w:tr>
    </w:tbl>
    <w:p w14:paraId="4A9080F2">
      <w:pPr>
        <w:pStyle w:val="2"/>
        <w:rPr>
          <w:rFonts w:hint="eastAsia"/>
          <w:highlight w:val="none"/>
          <w:lang w:val="en-US" w:eastAsia="zh-CN"/>
        </w:rPr>
      </w:pPr>
    </w:p>
    <w:p w14:paraId="6EB8BA43">
      <w:pPr>
        <w:pStyle w:val="2"/>
        <w:rPr>
          <w:rFonts w:hint="eastAsia"/>
          <w:highlight w:val="none"/>
          <w:lang w:val="en-US" w:eastAsia="zh-CN"/>
        </w:rPr>
      </w:pPr>
    </w:p>
    <w:p w14:paraId="60226BF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落实中小企业政府采购政策的价格调整：</w:t>
      </w:r>
    </w:p>
    <w:p w14:paraId="7D9D5DE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b w:val="0"/>
          <w:bCs w:val="0"/>
          <w:sz w:val="24"/>
          <w:szCs w:val="24"/>
          <w:highlight w:val="none"/>
          <w:u w:val="single"/>
          <w:lang w:val="en-US" w:eastAsia="zh-CN"/>
        </w:rPr>
        <w:t xml:space="preserve"> 10 % </w:t>
      </w:r>
      <w:r>
        <w:rPr>
          <w:rFonts w:hint="eastAsia" w:ascii="方正仿宋_GB2312" w:hAnsi="方正仿宋_GB2312" w:eastAsia="方正仿宋_GB2312" w:cs="方正仿宋_GB2312"/>
          <w:b w:val="0"/>
          <w:bCs w:val="0"/>
          <w:sz w:val="24"/>
          <w:szCs w:val="24"/>
          <w:highlight w:val="none"/>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b w:val="0"/>
          <w:bCs w:val="0"/>
          <w:sz w:val="24"/>
          <w:szCs w:val="24"/>
          <w:highlight w:val="none"/>
          <w:u w:val="single"/>
          <w:lang w:val="en-US" w:eastAsia="zh-CN"/>
        </w:rPr>
        <w:t xml:space="preserve"> 30 %</w:t>
      </w:r>
      <w:r>
        <w:rPr>
          <w:rFonts w:hint="eastAsia" w:ascii="方正仿宋_GB2312" w:hAnsi="方正仿宋_GB2312" w:eastAsia="方正仿宋_GB2312" w:cs="方正仿宋_GB2312"/>
          <w:b w:val="0"/>
          <w:bCs w:val="0"/>
          <w:sz w:val="24"/>
          <w:szCs w:val="24"/>
          <w:highlight w:val="none"/>
          <w:lang w:val="en-US" w:eastAsia="zh-CN"/>
        </w:rPr>
        <w:t>以上的联合体或者大中型企业的报价给予</w:t>
      </w:r>
      <w:r>
        <w:rPr>
          <w:rFonts w:hint="eastAsia" w:ascii="方正仿宋_GB2312" w:hAnsi="方正仿宋_GB2312" w:eastAsia="方正仿宋_GB2312" w:cs="方正仿宋_GB2312"/>
          <w:b w:val="0"/>
          <w:bCs w:val="0"/>
          <w:sz w:val="24"/>
          <w:szCs w:val="24"/>
          <w:highlight w:val="none"/>
          <w:u w:val="single"/>
          <w:lang w:val="en-US" w:eastAsia="zh-CN"/>
        </w:rPr>
        <w:t xml:space="preserve"> 4% </w:t>
      </w:r>
      <w:r>
        <w:rPr>
          <w:rFonts w:hint="eastAsia" w:ascii="方正仿宋_GB2312" w:hAnsi="方正仿宋_GB2312" w:eastAsia="方正仿宋_GB2312" w:cs="方正仿宋_GB2312"/>
          <w:b w:val="0"/>
          <w:bCs w:val="0"/>
          <w:sz w:val="24"/>
          <w:szCs w:val="24"/>
          <w:highlight w:val="none"/>
          <w:lang w:val="en-US" w:eastAsia="zh-CN"/>
        </w:rPr>
        <w:t>的扣除，用扣除后的价格参加评审。</w:t>
      </w:r>
    </w:p>
    <w:p w14:paraId="3D4C67C0">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价格扣除比例对小型企业和微型企业同等对待，不作区分。</w:t>
      </w:r>
    </w:p>
    <w:p w14:paraId="57811A6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落实对本国产品的支持政策的价格调整：</w:t>
      </w:r>
    </w:p>
    <w:p w14:paraId="1A3F2D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w:t>
      </w:r>
    </w:p>
    <w:p w14:paraId="425BBF6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szCs w:val="24"/>
          <w:highlight w:val="none"/>
          <w:u w:val="none"/>
          <w:lang w:val="en-US" w:eastAsia="zh-CN"/>
        </w:rPr>
        <w:t>无效投标</w:t>
      </w:r>
      <w:r>
        <w:rPr>
          <w:rFonts w:hint="eastAsia" w:ascii="方正仿宋_GB2312" w:hAnsi="方正仿宋_GB2312" w:eastAsia="方正仿宋_GB2312" w:cs="方正仿宋_GB2312"/>
          <w:b w:val="0"/>
          <w:bCs w:val="0"/>
          <w:sz w:val="24"/>
          <w:szCs w:val="24"/>
          <w:highlight w:val="none"/>
          <w:u w:val="none"/>
          <w:lang w:val="en-US" w:eastAsia="zh-CN"/>
        </w:rPr>
        <w:t>被拒绝。</w:t>
      </w:r>
    </w:p>
    <w:p w14:paraId="5CFA5CF8">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投标人所投产品列入无线局域网产品清单，应提供相关证明，在评标时予以优先采购，具体优惠措施为：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 。</w:t>
      </w:r>
    </w:p>
    <w:p w14:paraId="545FE18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同品牌处理办法：</w:t>
      </w:r>
    </w:p>
    <w:p w14:paraId="733A9E77">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如采用最低评标办法，则：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如采用综合评标法，则：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如一个分包内包含多种产品的，采购人或采购代理机构将在</w:t>
      </w:r>
      <w:r>
        <w:rPr>
          <w:rFonts w:hint="eastAsia" w:ascii="方正仿宋_GB2312" w:hAnsi="方正仿宋_GB2312" w:eastAsia="方正仿宋_GB2312" w:cs="方正仿宋_GB2312"/>
          <w:b w:val="0"/>
          <w:bCs w:val="0"/>
          <w:sz w:val="24"/>
          <w:szCs w:val="24"/>
          <w:highlight w:val="none"/>
          <w:u w:val="single"/>
          <w:lang w:val="en-US" w:eastAsia="zh-CN"/>
        </w:rPr>
        <w:t>投标人须知前附表</w:t>
      </w:r>
      <w:r>
        <w:rPr>
          <w:rFonts w:hint="eastAsia" w:ascii="方正仿宋_GB2312" w:hAnsi="方正仿宋_GB2312" w:eastAsia="方正仿宋_GB2312" w:cs="方正仿宋_GB2312"/>
          <w:b w:val="0"/>
          <w:bCs w:val="0"/>
          <w:sz w:val="24"/>
          <w:szCs w:val="24"/>
          <w:highlight w:val="none"/>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确定中标候选人名单</w:t>
      </w:r>
    </w:p>
    <w:p w14:paraId="06C280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方正仿宋_GB2312" w:hAnsi="方正仿宋_GB2312" w:eastAsia="方正仿宋_GB2312" w:cs="方正仿宋_GB2312"/>
          <w:b w:val="0"/>
          <w:bCs w:val="0"/>
          <w:sz w:val="24"/>
          <w:szCs w:val="24"/>
          <w:highlight w:val="none"/>
          <w:u w:val="single"/>
          <w:lang w:val="en-US" w:eastAsia="zh-CN"/>
        </w:rPr>
        <w:t xml:space="preserve"> 3 </w:t>
      </w:r>
      <w:r>
        <w:rPr>
          <w:rFonts w:hint="eastAsia" w:ascii="方正仿宋_GB2312" w:hAnsi="方正仿宋_GB2312" w:eastAsia="方正仿宋_GB2312" w:cs="方正仿宋_GB2312"/>
          <w:b w:val="0"/>
          <w:bCs w:val="0"/>
          <w:sz w:val="24"/>
          <w:szCs w:val="24"/>
          <w:highlight w:val="none"/>
          <w:u w:val="none"/>
          <w:lang w:val="en-US" w:eastAsia="zh-CN"/>
        </w:rPr>
        <w:t>名中标候选人。</w:t>
      </w:r>
    </w:p>
    <w:p w14:paraId="5E1D7ED9">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3F71ADC6">
      <w:pPr>
        <w:pStyle w:val="3"/>
        <w:numPr>
          <w:ilvl w:val="0"/>
          <w:numId w:val="1"/>
        </w:numPr>
        <w:bidi w:val="0"/>
        <w:jc w:val="center"/>
        <w:rPr>
          <w:rFonts w:hint="eastAsia" w:ascii="方正仿宋_GB2312" w:hAnsi="方正仿宋_GB2312" w:eastAsia="方正仿宋_GB2312" w:cs="方正仿宋_GB2312"/>
          <w:sz w:val="32"/>
          <w:szCs w:val="32"/>
          <w:highlight w:val="none"/>
          <w:lang w:val="en-US" w:eastAsia="zh-CN"/>
        </w:rPr>
      </w:pPr>
      <w:bookmarkStart w:id="26" w:name="_Toc31337"/>
      <w:r>
        <w:rPr>
          <w:rFonts w:hint="eastAsia" w:ascii="方正仿宋_GB2312" w:hAnsi="方正仿宋_GB2312" w:eastAsia="方正仿宋_GB2312" w:cs="方正仿宋_GB2312"/>
          <w:sz w:val="32"/>
          <w:szCs w:val="32"/>
          <w:highlight w:val="none"/>
          <w:lang w:val="en-US" w:eastAsia="zh-CN"/>
        </w:rPr>
        <w:t>投标文件格式</w:t>
      </w:r>
      <w:bookmarkEnd w:id="26"/>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u w:val="none"/>
          <w:lang w:val="en-US" w:eastAsia="zh-CN"/>
        </w:rPr>
      </w:pPr>
      <w:r>
        <w:rPr>
          <w:rFonts w:hint="eastAsia" w:ascii="方正仿宋_GB2312" w:hAnsi="方正仿宋_GB2312" w:eastAsia="方正仿宋_GB2312" w:cs="方正仿宋_GB2312"/>
          <w:b/>
          <w:bCs/>
          <w:sz w:val="24"/>
          <w:szCs w:val="24"/>
          <w:highlight w:val="none"/>
          <w:u w:val="none"/>
          <w:lang w:val="en-US" w:eastAsia="zh-CN"/>
        </w:rPr>
        <w:t>投标人编制文件须知</w:t>
      </w:r>
    </w:p>
    <w:p w14:paraId="6B0A964B">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全部声明和问题的回答及所附材料必须是真实的、准确的和完整的。</w:t>
      </w:r>
    </w:p>
    <w:p w14:paraId="119B645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highlight w:val="none"/>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27" w:name="_Toc10196"/>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27"/>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341A2660">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536E4C12">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1C3C2D5">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法人或者其他组织的营业执照等证明文件或自然人的身份证明扫描件并加盖本单位电子公章;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DAA4C0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28" w:name="_Toc16703"/>
      <w:r>
        <w:rPr>
          <w:rFonts w:hint="eastAsia" w:ascii="仿宋_GB2312" w:hAnsi="仿宋_GB2312" w:eastAsia="仿宋_GB2312" w:cs="仿宋_GB2312"/>
          <w:color w:val="000000"/>
          <w:kern w:val="0"/>
          <w:sz w:val="24"/>
          <w:highlight w:val="none"/>
          <w:u w:val="none"/>
          <w:lang w:bidi="ar"/>
        </w:rPr>
        <w:t>1、扫描件并加盖本单位</w:t>
      </w:r>
      <w:r>
        <w:rPr>
          <w:rFonts w:hint="eastAsia" w:ascii="仿宋_GB2312" w:hAnsi="仿宋_GB2312" w:eastAsia="仿宋_GB2312" w:cs="仿宋_GB2312"/>
          <w:color w:val="000000"/>
          <w:kern w:val="0"/>
          <w:sz w:val="24"/>
          <w:highlight w:val="none"/>
          <w:u w:val="none"/>
          <w:lang w:val="en-US" w:eastAsia="zh-CN" w:bidi="ar"/>
        </w:rPr>
        <w:t>电子</w:t>
      </w:r>
      <w:r>
        <w:rPr>
          <w:rFonts w:hint="eastAsia" w:ascii="仿宋_GB2312" w:hAnsi="仿宋_GB2312" w:eastAsia="仿宋_GB2312" w:cs="仿宋_GB2312"/>
          <w:color w:val="000000"/>
          <w:kern w:val="0"/>
          <w:sz w:val="24"/>
          <w:highlight w:val="none"/>
          <w:u w:val="none"/>
          <w:lang w:bidi="ar"/>
        </w:rPr>
        <w:t>公章</w:t>
      </w:r>
      <w:bookmarkEnd w:id="28"/>
      <w:r>
        <w:rPr>
          <w:rFonts w:hint="eastAsia" w:ascii="仿宋_GB2312" w:hAnsi="仿宋_GB2312" w:eastAsia="仿宋_GB2312" w:cs="仿宋_GB2312"/>
          <w:color w:val="000000"/>
          <w:kern w:val="0"/>
          <w:sz w:val="24"/>
          <w:highlight w:val="none"/>
          <w:u w:val="none"/>
          <w:lang w:eastAsia="zh-CN" w:bidi="ar"/>
        </w:rPr>
        <w:t>。</w:t>
      </w:r>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9" w:name="_Toc32425"/>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29"/>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0" w:name="_Toc7512"/>
      <w:r>
        <w:rPr>
          <w:rFonts w:hint="eastAsia" w:ascii="仿宋_GB2312" w:hAnsi="仿宋_GB2312" w:eastAsia="仿宋_GB2312" w:cs="仿宋_GB2312"/>
          <w:color w:val="000000"/>
          <w:kern w:val="0"/>
          <w:sz w:val="24"/>
          <w:highlight w:val="none"/>
          <w:u w:val="none"/>
          <w:lang w:bidi="ar"/>
        </w:rPr>
        <w:t>1、</w:t>
      </w:r>
      <w:bookmarkEnd w:id="30"/>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eastAsia="仿宋_GB2312" w:cs="仿宋_GB2312"/>
          <w:color w:val="000000"/>
          <w:kern w:val="0"/>
          <w:sz w:val="24"/>
          <w:highlight w:val="none"/>
          <w:u w:val="none"/>
          <w:lang w:eastAsia="zh-CN" w:bidi="ar"/>
        </w:rPr>
        <w:t>。</w:t>
      </w:r>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1" w:name="_Toc8376"/>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1"/>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2" w:name="_Toc3006"/>
      <w:r>
        <w:rPr>
          <w:rFonts w:hint="eastAsia" w:ascii="仿宋_GB2312" w:hAnsi="仿宋_GB2312" w:eastAsia="仿宋_GB2312" w:cs="仿宋_GB2312"/>
          <w:color w:val="000000"/>
          <w:kern w:val="0"/>
          <w:sz w:val="24"/>
          <w:highlight w:val="none"/>
          <w:u w:val="none"/>
          <w:lang w:bidi="ar"/>
        </w:rPr>
        <w:t>1、</w:t>
      </w:r>
      <w:bookmarkEnd w:id="32"/>
      <w:r>
        <w:rPr>
          <w:rFonts w:hint="eastAsia" w:ascii="仿宋_GB2312" w:hAnsi="仿宋_GB2312" w:eastAsia="仿宋_GB2312" w:cs="仿宋_GB2312"/>
          <w:color w:val="000000"/>
          <w:kern w:val="0"/>
          <w:sz w:val="24"/>
          <w:highlight w:val="none"/>
          <w:u w:val="none"/>
          <w:lang w:bidi="ar"/>
        </w:rPr>
        <w:t>扫描件并加盖本单位电子公章</w:t>
      </w:r>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3" w:name="_Toc28907"/>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3"/>
    </w:p>
    <w:p w14:paraId="3DC93A5A">
      <w:pPr>
        <w:rPr>
          <w:rFonts w:hint="eastAsia" w:ascii="仿宋_GB2312" w:hAnsi="仿宋_GB2312" w:eastAsia="仿宋_GB2312" w:cs="仿宋_GB2312"/>
          <w:color w:val="000000"/>
          <w:kern w:val="0"/>
          <w:sz w:val="24"/>
          <w:highlight w:val="none"/>
          <w:u w:val="none"/>
          <w:lang w:bidi="ar"/>
        </w:rPr>
      </w:pPr>
    </w:p>
    <w:p w14:paraId="17BAC0BF">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A0561F2">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投标人资格声明书</w:t>
      </w:r>
    </w:p>
    <w:p w14:paraId="012E3139">
      <w:pPr>
        <w:rPr>
          <w:rFonts w:hint="eastAsia" w:ascii="仿宋_GB2312" w:hAnsi="仿宋_GB2312" w:eastAsia="仿宋_GB2312" w:cs="仿宋_GB2312"/>
          <w:color w:val="000000"/>
          <w:kern w:val="0"/>
          <w:sz w:val="24"/>
          <w:highlight w:val="none"/>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r>
        <w:rPr>
          <w:rFonts w:hint="eastAsia" w:ascii="仿宋_GB2312" w:hAnsi="仿宋_GB2312" w:eastAsia="仿宋_GB2312" w:cs="仿宋_GB2312"/>
          <w:b w:val="0"/>
          <w:bCs w:val="0"/>
          <w:color w:val="000000"/>
          <w:kern w:val="0"/>
          <w:sz w:val="32"/>
          <w:szCs w:val="32"/>
          <w:highlight w:val="none"/>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7F9198">
      <w:pPr>
        <w:rPr>
          <w:rFonts w:hint="eastAsia" w:ascii="仿宋_GB2312" w:hAnsi="仿宋_GB2312" w:eastAsia="仿宋_GB2312" w:cs="仿宋_GB2312"/>
          <w:color w:val="000000"/>
          <w:kern w:val="0"/>
          <w:sz w:val="24"/>
          <w:szCs w:val="24"/>
          <w:highlight w:val="none"/>
          <w:lang w:val="en-US" w:eastAsia="zh-CN" w:bidi="ar"/>
        </w:rPr>
      </w:pPr>
    </w:p>
    <w:p w14:paraId="07DD6F5E">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4" w:name="_Toc32152"/>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34"/>
      <w:r>
        <w:rPr>
          <w:rFonts w:hint="eastAsia" w:ascii="仿宋_GB2312" w:hAnsi="仿宋_GB2312" w:eastAsia="仿宋_GB2312" w:cs="仿宋_GB2312"/>
          <w:color w:val="000000"/>
          <w:kern w:val="0"/>
          <w:sz w:val="24"/>
          <w:szCs w:val="24"/>
          <w:highlight w:val="none"/>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F1470A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中小企业声明函格式文件由供应商根据需要选用</w:t>
      </w:r>
    </w:p>
    <w:p w14:paraId="09C00B7C">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中小企业声明函（所投产品制造商为中小企业时提交本函，所属行业应符合采购文件中明确的本项目所属行业）</w:t>
      </w:r>
    </w:p>
    <w:p w14:paraId="2061065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1"/>
          <w:rFonts w:hint="eastAsia" w:ascii="仿宋_GB2312" w:hAnsi="仿宋_GB2312" w:eastAsia="仿宋_GB2312" w:cs="仿宋_GB2312"/>
          <w:i w:val="0"/>
          <w:iCs w:val="0"/>
          <w:caps w:val="0"/>
          <w:color w:val="000000"/>
          <w:spacing w:val="0"/>
          <w:sz w:val="32"/>
          <w:szCs w:val="32"/>
          <w:highlight w:val="none"/>
        </w:rPr>
      </w:pPr>
    </w:p>
    <w:p w14:paraId="5B0137AA">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highlight w:val="none"/>
          <w:lang w:val="en-US" w:eastAsia="zh-CN"/>
        </w:rPr>
      </w:pPr>
      <w:r>
        <w:rPr>
          <w:rStyle w:val="21"/>
          <w:rFonts w:hint="eastAsia" w:ascii="仿宋_GB2312" w:hAnsi="仿宋_GB2312" w:eastAsia="仿宋_GB2312" w:cs="仿宋_GB2312"/>
          <w:i w:val="0"/>
          <w:iCs w:val="0"/>
          <w:caps w:val="0"/>
          <w:color w:val="000000"/>
          <w:spacing w:val="0"/>
          <w:sz w:val="32"/>
          <w:szCs w:val="32"/>
          <w:highlight w:val="none"/>
        </w:rPr>
        <w:t>中小企业声明函</w:t>
      </w:r>
      <w:r>
        <w:rPr>
          <w:rStyle w:val="21"/>
          <w:rFonts w:hint="eastAsia" w:ascii="仿宋_GB2312" w:hAnsi="仿宋_GB2312" w:eastAsia="仿宋_GB2312" w:cs="仿宋_GB2312"/>
          <w:i w:val="0"/>
          <w:iCs w:val="0"/>
          <w:caps w:val="0"/>
          <w:color w:val="000000"/>
          <w:spacing w:val="0"/>
          <w:sz w:val="32"/>
          <w:szCs w:val="32"/>
          <w:highlight w:val="none"/>
          <w:lang w:eastAsia="zh-CN"/>
        </w:rPr>
        <w:t>（</w:t>
      </w:r>
      <w:r>
        <w:rPr>
          <w:rStyle w:val="21"/>
          <w:rFonts w:hint="eastAsia" w:ascii="仿宋_GB2312" w:hAnsi="仿宋_GB2312" w:eastAsia="仿宋_GB2312" w:cs="仿宋_GB2312"/>
          <w:i w:val="0"/>
          <w:iCs w:val="0"/>
          <w:caps w:val="0"/>
          <w:color w:val="000000"/>
          <w:spacing w:val="0"/>
          <w:sz w:val="32"/>
          <w:szCs w:val="32"/>
          <w:highlight w:val="none"/>
        </w:rPr>
        <w:t>货物</w:t>
      </w:r>
      <w:r>
        <w:rPr>
          <w:rStyle w:val="21"/>
          <w:rFonts w:hint="eastAsia" w:ascii="仿宋_GB2312" w:hAnsi="仿宋_GB2312" w:eastAsia="仿宋_GB2312" w:cs="仿宋_GB2312"/>
          <w:i w:val="0"/>
          <w:iCs w:val="0"/>
          <w:caps w:val="0"/>
          <w:color w:val="000000"/>
          <w:spacing w:val="0"/>
          <w:sz w:val="32"/>
          <w:szCs w:val="32"/>
          <w:highlight w:val="none"/>
          <w:lang w:eastAsia="zh-CN"/>
        </w:rPr>
        <w:t>）</w:t>
      </w:r>
    </w:p>
    <w:p w14:paraId="4B1DA70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highlight w:val="none"/>
        </w:rPr>
      </w:pPr>
      <w:r>
        <w:rPr>
          <w:rFonts w:hint="eastAsia" w:ascii="仿宋_GB2312" w:hAnsi="仿宋_GB2312" w:eastAsia="仿宋_GB2312" w:cs="仿宋_GB2312"/>
          <w:i w:val="0"/>
          <w:iCs w:val="0"/>
          <w:caps w:val="0"/>
          <w:color w:val="000000"/>
          <w:spacing w:val="0"/>
          <w:sz w:val="27"/>
          <w:szCs w:val="27"/>
          <w:highlight w:val="none"/>
        </w:rPr>
        <w:t> </w:t>
      </w:r>
    </w:p>
    <w:p w14:paraId="08DC606D">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highlight w:val="none"/>
          <w:u w:val="single"/>
        </w:rPr>
        <w:t>（单位名称）</w:t>
      </w:r>
      <w:r>
        <w:rPr>
          <w:rFonts w:hint="eastAsia" w:ascii="仿宋_GB2312" w:hAnsi="仿宋_GB2312" w:eastAsia="仿宋_GB2312" w:cs="仿宋_GB2312"/>
          <w:i w:val="0"/>
          <w:iCs w:val="0"/>
          <w:caps w:val="0"/>
          <w:color w:val="000000"/>
          <w:spacing w:val="0"/>
          <w:sz w:val="24"/>
          <w:szCs w:val="24"/>
          <w:highlight w:val="none"/>
        </w:rPr>
        <w:t>的</w:t>
      </w:r>
      <w:r>
        <w:rPr>
          <w:rFonts w:hint="eastAsia" w:ascii="仿宋_GB2312" w:hAnsi="仿宋_GB2312" w:eastAsia="仿宋_GB2312" w:cs="仿宋_GB2312"/>
          <w:i/>
          <w:iCs/>
          <w:caps w:val="0"/>
          <w:color w:val="000000"/>
          <w:spacing w:val="0"/>
          <w:sz w:val="24"/>
          <w:szCs w:val="24"/>
          <w:highlight w:val="none"/>
          <w:u w:val="single"/>
        </w:rPr>
        <w:t>（项目名称）</w:t>
      </w:r>
      <w:r>
        <w:rPr>
          <w:rFonts w:hint="eastAsia" w:ascii="仿宋_GB2312" w:hAnsi="仿宋_GB2312" w:eastAsia="仿宋_GB2312" w:cs="仿宋_GB2312"/>
          <w:i w:val="0"/>
          <w:iCs w:val="0"/>
          <w:caps w:val="0"/>
          <w:color w:val="000000"/>
          <w:spacing w:val="0"/>
          <w:sz w:val="24"/>
          <w:szCs w:val="24"/>
          <w:highlight w:val="none"/>
        </w:rPr>
        <w:t>采购活动，提供的货物全部由符合政策要求的中小企业制造。相关企业（含联合体中的中小企业、签订分包意向协议的中小企业）的具体情况如下：</w:t>
      </w:r>
    </w:p>
    <w:p w14:paraId="7A74E47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1.</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1CA9812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2.</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74CBE8D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w:t>
      </w:r>
    </w:p>
    <w:p w14:paraId="276DBEF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以上企业，不属于大企业的分支机构，不存在控股股东为大企业的情形，也不存在与大企业的负责人为同一人的情形。</w:t>
      </w:r>
    </w:p>
    <w:p w14:paraId="5104EB9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本企业对上述声明内容的真实性负责。如有虚假，将依法承担相应责任。</w:t>
      </w:r>
    </w:p>
    <w:p w14:paraId="457F931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 </w:t>
      </w:r>
    </w:p>
    <w:p w14:paraId="7183578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344C176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highlight w:val="none"/>
          <w:lang w:val="en-US" w:eastAsia="zh-CN" w:bidi="ar"/>
        </w:rPr>
      </w:pPr>
    </w:p>
    <w:p w14:paraId="52A08A18">
      <w:pPr>
        <w:rPr>
          <w:rFonts w:hint="eastAsia" w:ascii="仿宋_GB2312" w:hAnsi="仿宋_GB2312" w:eastAsia="仿宋_GB2312" w:cs="仿宋_GB2312"/>
          <w:b w:val="0"/>
          <w:bCs w:val="0"/>
          <w:color w:val="000000"/>
          <w:kern w:val="0"/>
          <w:sz w:val="21"/>
          <w:szCs w:val="21"/>
          <w:highlight w:val="none"/>
          <w:lang w:val="en-US" w:eastAsia="zh-CN" w:bidi="ar"/>
        </w:rPr>
      </w:pPr>
    </w:p>
    <w:p w14:paraId="73486D88">
      <w:pPr>
        <w:rPr>
          <w:rFonts w:hint="eastAsia" w:ascii="仿宋_GB2312" w:hAnsi="仿宋_GB2312" w:eastAsia="仿宋_GB2312" w:cs="仿宋_GB2312"/>
          <w:b w:val="0"/>
          <w:bCs w:val="0"/>
          <w:color w:val="000000"/>
          <w:kern w:val="0"/>
          <w:sz w:val="21"/>
          <w:szCs w:val="21"/>
          <w:highlight w:val="none"/>
          <w:lang w:val="en-US" w:eastAsia="zh-CN" w:bidi="ar"/>
        </w:rPr>
      </w:pPr>
    </w:p>
    <w:p w14:paraId="13166243">
      <w:pPr>
        <w:rPr>
          <w:rFonts w:hint="eastAsia" w:ascii="仿宋_GB2312" w:hAnsi="仿宋_GB2312" w:eastAsia="仿宋_GB2312" w:cs="仿宋_GB2312"/>
          <w:b w:val="0"/>
          <w:bCs w:val="0"/>
          <w:color w:val="000000"/>
          <w:kern w:val="0"/>
          <w:sz w:val="21"/>
          <w:szCs w:val="21"/>
          <w:highlight w:val="none"/>
          <w:lang w:val="en-US" w:eastAsia="zh-CN" w:bidi="ar"/>
        </w:rPr>
      </w:pPr>
    </w:p>
    <w:p w14:paraId="15276C09">
      <w:pPr>
        <w:rPr>
          <w:rFonts w:hint="eastAsia" w:ascii="仿宋_GB2312" w:hAnsi="仿宋_GB2312" w:eastAsia="仿宋_GB2312" w:cs="仿宋_GB2312"/>
          <w:b w:val="0"/>
          <w:bCs w:val="0"/>
          <w:color w:val="000000"/>
          <w:kern w:val="0"/>
          <w:sz w:val="21"/>
          <w:szCs w:val="21"/>
          <w:highlight w:val="none"/>
          <w:lang w:val="en-US" w:eastAsia="zh-CN" w:bidi="ar"/>
        </w:rPr>
      </w:pPr>
    </w:p>
    <w:p w14:paraId="0E97BD63">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（填写采购项目编号）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27E55176">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本表仅在投标人“为落实政府采购政策”而向中小企业分包时填写。</w:t>
      </w:r>
    </w:p>
    <w:p w14:paraId="460F75CE">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如本采购文件《投标人须知资料表》载明本项目分包承担主体应具备的相应资质条件，则投标人须在本表中列明分包承担主体的资质等级，并后附资质证书复印件加盖投标人公章，否则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highlight w:val="none"/>
          <w:lang w:val="en-US" w:eastAsia="zh-CN" w:bidi="ar"/>
        </w:rPr>
        <w:t>投标无效</w:t>
      </w:r>
      <w:r>
        <w:rPr>
          <w:rFonts w:hint="eastAsia" w:ascii="仿宋_GB2312" w:hAnsi="仿宋_GB2312" w:eastAsia="仿宋_GB2312" w:cs="仿宋_GB2312"/>
          <w:color w:val="000000"/>
          <w:kern w:val="0"/>
          <w:sz w:val="24"/>
          <w:szCs w:val="24"/>
          <w:highlight w:val="none"/>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A02B3F2">
      <w:pPr>
        <w:pStyle w:val="17"/>
        <w:ind w:left="0" w:leftChars="0" w:firstLine="0" w:firstLineChars="0"/>
        <w:jc w:val="center"/>
        <w:rPr>
          <w:rFonts w:hint="eastAsia"/>
          <w:b/>
          <w:bCs/>
          <w:sz w:val="32"/>
          <w:szCs w:val="32"/>
          <w:highlight w:val="none"/>
          <w:lang w:val="en-US" w:eastAsia="zh-CN"/>
        </w:rPr>
      </w:pPr>
      <w:r>
        <w:rPr>
          <w:rFonts w:hint="eastAsia"/>
          <w:b/>
          <w:bCs/>
          <w:sz w:val="32"/>
          <w:szCs w:val="32"/>
          <w:highlight w:val="none"/>
          <w:lang w:val="en-US" w:eastAsia="zh-CN"/>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联系方式：</w:t>
      </w:r>
      <w:r>
        <w:rPr>
          <w:rFonts w:hint="eastAsia" w:ascii="仿宋_GB2312" w:hAnsi="仿宋_GB2312" w:eastAsia="仿宋_GB2312" w:cs="仿宋_GB2312"/>
          <w:sz w:val="24"/>
          <w:szCs w:val="24"/>
          <w:highlight w:val="none"/>
          <w:u w:val="single"/>
          <w:lang w:val="en-US" w:eastAsia="zh-CN"/>
        </w:rPr>
        <w:t xml:space="preserve">                                </w:t>
      </w:r>
    </w:p>
    <w:p w14:paraId="15B3372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pStyle w:val="17"/>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附件（如有可根据实际情况提供）</w:t>
      </w:r>
    </w:p>
    <w:p w14:paraId="5B4928AC">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乙方《中小企业声明函》（货物/服务/工程）加盖乙方公章的扫描件（如有）；</w:t>
      </w:r>
    </w:p>
    <w:p w14:paraId="34A95EE4">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  乙方企业资质证明文件加盖乙方公章的扫描件（如有）；</w:t>
      </w:r>
    </w:p>
    <w:p w14:paraId="670B7A11">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74F4E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spacing w:line="360" w:lineRule="auto"/>
        <w:rPr>
          <w:rFonts w:hint="eastAsia" w:ascii="仿宋_GB2312" w:hAnsi="仿宋_GB2312" w:eastAsia="仿宋_GB2312" w:cs="仿宋_GB2312"/>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highlight w:val="none"/>
        </w:rPr>
      </w:pPr>
    </w:p>
    <w:p w14:paraId="2C6D7CFB">
      <w:pPr>
        <w:spacing w:line="360" w:lineRule="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05BC52D">
      <w:pP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color w:val="000000"/>
          <w:kern w:val="0"/>
          <w:sz w:val="24"/>
          <w:szCs w:val="24"/>
          <w:highlight w:val="none"/>
          <w:lang w:val="en-US" w:eastAsia="zh-CN" w:bidi="ar"/>
        </w:rPr>
        <w:br w:type="page"/>
      </w:r>
    </w:p>
    <w:p w14:paraId="7BA18489">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497E5C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5" w:name="_Toc30504"/>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我方已详细审查全部采购文件，自愿参与投标并承诺如下：</w:t>
      </w:r>
      <w:bookmarkEnd w:id="35"/>
      <w:r>
        <w:rPr>
          <w:rFonts w:hint="eastAsia" w:ascii="仿宋_GB2312" w:hAnsi="仿宋_GB2312" w:eastAsia="仿宋_GB2312" w:cs="仿宋_GB2312"/>
          <w:color w:val="000000"/>
          <w:kern w:val="0"/>
          <w:sz w:val="24"/>
          <w:szCs w:val="24"/>
          <w:highlight w:val="none"/>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6" w:name="_Toc24785"/>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6"/>
      <w:r>
        <w:rPr>
          <w:rFonts w:hint="eastAsia" w:ascii="仿宋_GB2312" w:hAnsi="仿宋_GB2312" w:eastAsia="仿宋_GB2312" w:cs="仿宋_GB2312"/>
          <w:color w:val="000000"/>
          <w:kern w:val="0"/>
          <w:sz w:val="24"/>
          <w:szCs w:val="24"/>
          <w:highlight w:val="none"/>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联系人及电话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电子邮箱</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7" w:name="_Toc6076"/>
      <w:r>
        <w:rPr>
          <w:rFonts w:hint="eastAsia" w:ascii="仿宋_GB2312" w:hAnsi="仿宋_GB2312" w:eastAsia="仿宋_GB2312" w:cs="仿宋_GB2312"/>
          <w:color w:val="000000"/>
          <w:kern w:val="0"/>
          <w:sz w:val="24"/>
          <w:szCs w:val="24"/>
          <w:highlight w:val="none"/>
          <w:lang w:val="en-US" w:eastAsia="zh-CN" w:bidi="ar"/>
        </w:rPr>
        <w:t>6  授权委托书</w:t>
      </w:r>
      <w:bookmarkEnd w:id="37"/>
      <w:r>
        <w:rPr>
          <w:rFonts w:hint="eastAsia" w:ascii="仿宋_GB2312" w:hAnsi="仿宋_GB2312" w:eastAsia="仿宋_GB2312" w:cs="仿宋_GB2312"/>
          <w:color w:val="000000"/>
          <w:kern w:val="0"/>
          <w:sz w:val="24"/>
          <w:szCs w:val="24"/>
          <w:highlight w:val="none"/>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仿宋_GB2312" w:hAnsi="仿宋_GB2312" w:eastAsia="仿宋_GB2312" w:cs="仿宋_GB2312"/>
          <w:sz w:val="24"/>
          <w:szCs w:val="24"/>
          <w:highlight w:val="none"/>
        </w:rPr>
      </w:pPr>
      <w:bookmarkStart w:id="38" w:name="_Toc18807"/>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38"/>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（投标人名称）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237225C">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9F9A582">
      <w:pPr>
        <w:outlineLvl w:val="1"/>
        <w:rPr>
          <w:rFonts w:hint="default" w:ascii="仿宋_GB2312" w:hAnsi="仿宋_GB2312" w:eastAsia="仿宋_GB2312" w:cs="仿宋_GB2312"/>
          <w:sz w:val="24"/>
          <w:szCs w:val="24"/>
          <w:highlight w:val="none"/>
          <w:lang w:val="en-US" w:eastAsia="zh-CN"/>
        </w:rPr>
      </w:pPr>
      <w:bookmarkStart w:id="39" w:name="_Toc23107"/>
      <w:r>
        <w:rPr>
          <w:rFonts w:hint="eastAsia" w:ascii="仿宋_GB2312" w:hAnsi="仿宋_GB2312" w:eastAsia="仿宋_GB2312" w:cs="仿宋_GB2312"/>
          <w:sz w:val="24"/>
          <w:szCs w:val="24"/>
          <w:highlight w:val="none"/>
          <w:lang w:val="en-US" w:eastAsia="zh-CN"/>
        </w:rPr>
        <w:t>7  开标一览表</w:t>
      </w:r>
      <w:bookmarkEnd w:id="39"/>
      <w:r>
        <w:rPr>
          <w:rFonts w:hint="eastAsia" w:ascii="仿宋_GB2312" w:hAnsi="仿宋_GB2312" w:eastAsia="仿宋_GB2312" w:cs="仿宋_GB2312"/>
          <w:sz w:val="24"/>
          <w:szCs w:val="24"/>
          <w:highlight w:val="none"/>
          <w:lang w:val="en-US" w:eastAsia="zh-CN"/>
        </w:rPr>
        <w:t>及分项报价表</w:t>
      </w:r>
    </w:p>
    <w:p w14:paraId="475CD945">
      <w:pPr>
        <w:rPr>
          <w:rFonts w:hint="eastAsia" w:ascii="仿宋_GB2312" w:hAnsi="仿宋_GB2312" w:eastAsia="仿宋_GB2312" w:cs="仿宋_GB2312"/>
          <w:highlight w:val="none"/>
          <w:lang w:val="en-US" w:eastAsia="zh-CN"/>
        </w:rPr>
      </w:pPr>
    </w:p>
    <w:p w14:paraId="53D5C84E">
      <w:pPr>
        <w:jc w:val="center"/>
        <w:rPr>
          <w:rFonts w:hint="eastAsia" w:ascii="仿宋_GB2312" w:hAnsi="仿宋_GB2312" w:eastAsia="仿宋_GB2312" w:cs="仿宋_GB2312"/>
          <w:b/>
          <w:bCs/>
          <w:sz w:val="32"/>
          <w:szCs w:val="32"/>
          <w:highlight w:val="none"/>
          <w:lang w:val="en-US" w:eastAsia="zh-CN"/>
        </w:rPr>
      </w:pPr>
    </w:p>
    <w:p w14:paraId="010BF100">
      <w:pPr>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开标一览表</w:t>
      </w:r>
    </w:p>
    <w:p w14:paraId="5D9EB27D">
      <w:pPr>
        <w:rPr>
          <w:rFonts w:hint="eastAsia" w:ascii="仿宋_GB2312" w:hAnsi="仿宋_GB2312" w:eastAsia="仿宋_GB2312" w:cs="仿宋_GB2312"/>
          <w:highlight w:val="none"/>
          <w:lang w:val="en-US" w:eastAsia="zh-CN"/>
        </w:rPr>
      </w:pPr>
    </w:p>
    <w:p w14:paraId="7D30BC28">
      <w:pPr>
        <w:rPr>
          <w:rFonts w:hint="eastAsia" w:ascii="仿宋_GB2312" w:hAnsi="仿宋_GB2312" w:eastAsia="仿宋_GB2312" w:cs="仿宋_GB2312"/>
          <w:highlight w:val="none"/>
          <w:lang w:val="en-US" w:eastAsia="zh-CN"/>
        </w:rPr>
      </w:pPr>
    </w:p>
    <w:p w14:paraId="22C827FB">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9E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0427A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序号</w:t>
            </w:r>
          </w:p>
        </w:tc>
        <w:tc>
          <w:tcPr>
            <w:tcW w:w="2130" w:type="dxa"/>
            <w:vMerge w:val="restart"/>
            <w:vAlign w:val="center"/>
          </w:tcPr>
          <w:p w14:paraId="11B3BDB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投标人名称</w:t>
            </w:r>
          </w:p>
        </w:tc>
        <w:tc>
          <w:tcPr>
            <w:tcW w:w="4262" w:type="dxa"/>
            <w:gridSpan w:val="2"/>
            <w:vAlign w:val="center"/>
          </w:tcPr>
          <w:p w14:paraId="5B340C4F">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投标报价（元）</w:t>
            </w:r>
          </w:p>
        </w:tc>
      </w:tr>
      <w:tr w14:paraId="331A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91C65B8">
            <w:pPr>
              <w:pStyle w:val="17"/>
              <w:jc w:val="center"/>
              <w:rPr>
                <w:rFonts w:hint="eastAsia" w:ascii="仿宋" w:hAnsi="仿宋" w:eastAsia="仿宋" w:cs="仿宋"/>
                <w:b/>
                <w:bCs/>
                <w:color w:val="auto"/>
                <w:highlight w:val="none"/>
                <w:vertAlign w:val="baseline"/>
                <w:lang w:val="en-US" w:eastAsia="zh-CN"/>
              </w:rPr>
            </w:pPr>
          </w:p>
        </w:tc>
        <w:tc>
          <w:tcPr>
            <w:tcW w:w="2130" w:type="dxa"/>
            <w:vMerge w:val="continue"/>
            <w:vAlign w:val="center"/>
          </w:tcPr>
          <w:p w14:paraId="44AFAA7D">
            <w:pPr>
              <w:pStyle w:val="17"/>
              <w:jc w:val="center"/>
              <w:rPr>
                <w:rFonts w:hint="eastAsia" w:ascii="仿宋" w:hAnsi="仿宋" w:eastAsia="仿宋" w:cs="仿宋"/>
                <w:b/>
                <w:bCs/>
                <w:color w:val="auto"/>
                <w:highlight w:val="none"/>
                <w:vertAlign w:val="baseline"/>
                <w:lang w:val="en-US" w:eastAsia="zh-CN"/>
              </w:rPr>
            </w:pPr>
          </w:p>
        </w:tc>
        <w:tc>
          <w:tcPr>
            <w:tcW w:w="2131" w:type="dxa"/>
            <w:vAlign w:val="center"/>
          </w:tcPr>
          <w:p w14:paraId="2BE2D0E6">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大写</w:t>
            </w:r>
          </w:p>
        </w:tc>
        <w:tc>
          <w:tcPr>
            <w:tcW w:w="2131" w:type="dxa"/>
            <w:vAlign w:val="center"/>
          </w:tcPr>
          <w:p w14:paraId="19384D7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小写</w:t>
            </w:r>
          </w:p>
        </w:tc>
      </w:tr>
      <w:tr w14:paraId="737E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31DA8E">
            <w:pPr>
              <w:pStyle w:val="17"/>
              <w:jc w:val="center"/>
              <w:rPr>
                <w:rFonts w:hint="eastAsia" w:ascii="仿宋" w:hAnsi="仿宋" w:eastAsia="仿宋" w:cs="仿宋"/>
                <w:color w:val="auto"/>
                <w:highlight w:val="none"/>
                <w:vertAlign w:val="baseline"/>
                <w:lang w:val="en-US" w:eastAsia="zh-CN"/>
              </w:rPr>
            </w:pPr>
          </w:p>
        </w:tc>
        <w:tc>
          <w:tcPr>
            <w:tcW w:w="2130" w:type="dxa"/>
            <w:vAlign w:val="center"/>
          </w:tcPr>
          <w:p w14:paraId="55E611F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23CD508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7B0EAA04">
            <w:pPr>
              <w:pStyle w:val="17"/>
              <w:jc w:val="center"/>
              <w:rPr>
                <w:rFonts w:hint="eastAsia" w:ascii="仿宋" w:hAnsi="仿宋" w:eastAsia="仿宋" w:cs="仿宋"/>
                <w:color w:val="auto"/>
                <w:highlight w:val="none"/>
                <w:vertAlign w:val="baseline"/>
                <w:lang w:val="en-US" w:eastAsia="zh-CN"/>
              </w:rPr>
            </w:pPr>
          </w:p>
        </w:tc>
      </w:tr>
      <w:tr w14:paraId="0790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0B464A45">
            <w:pPr>
              <w:pStyle w:val="17"/>
              <w:jc w:val="left"/>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合同履约期限：</w:t>
            </w:r>
          </w:p>
        </w:tc>
      </w:tr>
      <w:tr w14:paraId="5092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110AC336">
            <w:pPr>
              <w:pStyle w:val="17"/>
              <w:jc w:val="left"/>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备注：投标报价为各品目最小单位单价合计金额。</w:t>
            </w:r>
          </w:p>
        </w:tc>
      </w:tr>
    </w:tbl>
    <w:p w14:paraId="6A4E8BAF">
      <w:pPr>
        <w:pStyle w:val="17"/>
        <w:ind w:left="0" w:leftChars="0" w:firstLine="0" w:firstLineChars="0"/>
        <w:rPr>
          <w:rFonts w:hint="eastAsia" w:ascii="仿宋_GB2312" w:hAnsi="仿宋_GB2312" w:eastAsia="仿宋_GB2312" w:cs="仿宋_GB2312"/>
          <w:highlight w:val="none"/>
          <w:lang w:val="en-US" w:eastAsia="zh-CN"/>
        </w:rPr>
      </w:pPr>
    </w:p>
    <w:p w14:paraId="29811EF2">
      <w:pPr>
        <w:pStyle w:val="16"/>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注：1.此表中，每包（标项）的投标报价应和《投标分项报价表》中的总价相一致。</w:t>
      </w:r>
    </w:p>
    <w:p w14:paraId="703979CA">
      <w:pPr>
        <w:pStyle w:val="16"/>
        <w:outlineLvl w:val="1"/>
        <w:rPr>
          <w:rFonts w:hint="eastAsia" w:ascii="仿宋_GB2312" w:hAnsi="仿宋_GB2312" w:eastAsia="仿宋_GB2312" w:cs="仿宋_GB2312"/>
          <w:highlight w:val="none"/>
          <w:lang w:val="en-US" w:eastAsia="zh-CN"/>
        </w:rPr>
      </w:pPr>
      <w:bookmarkStart w:id="40" w:name="_Toc31128"/>
      <w:r>
        <w:rPr>
          <w:rFonts w:hint="eastAsia" w:ascii="仿宋_GB2312" w:hAnsi="仿宋_GB2312" w:eastAsia="仿宋_GB2312" w:cs="仿宋_GB2312"/>
          <w:highlight w:val="none"/>
          <w:lang w:val="en-US" w:eastAsia="zh-CN"/>
        </w:rPr>
        <w:t>2.本表必须按包（标项）分别填写。</w:t>
      </w:r>
      <w:bookmarkEnd w:id="40"/>
    </w:p>
    <w:p w14:paraId="17A7AACE">
      <w:pPr>
        <w:pStyle w:val="14"/>
        <w:ind w:left="0" w:leftChars="0" w:firstLine="210" w:firstLineChars="100"/>
        <w:rPr>
          <w:rFonts w:hint="eastAsia" w:ascii="仿宋_GB2312" w:hAnsi="仿宋_GB2312" w:eastAsia="仿宋_GB2312" w:cs="仿宋_GB2312"/>
          <w:kern w:val="2"/>
          <w:sz w:val="21"/>
          <w:szCs w:val="24"/>
          <w:highlight w:val="none"/>
          <w:lang w:val="en-US" w:eastAsia="zh-CN" w:bidi="zh-CN"/>
        </w:rPr>
      </w:pPr>
      <w:r>
        <w:rPr>
          <w:rFonts w:hint="eastAsia" w:ascii="仿宋_GB2312" w:hAnsi="仿宋_GB2312" w:eastAsia="仿宋_GB2312" w:cs="仿宋_GB2312"/>
          <w:kern w:val="2"/>
          <w:sz w:val="21"/>
          <w:szCs w:val="24"/>
          <w:highlight w:val="none"/>
          <w:lang w:val="en-US" w:eastAsia="zh-CN" w:bidi="zh-CN"/>
        </w:rPr>
        <w:t>3.本表中投标报价为每包各品目单价合计，合计金额与投标分项报价表中的合计金额一致。</w:t>
      </w:r>
    </w:p>
    <w:p w14:paraId="13D8BF2D">
      <w:pPr>
        <w:pStyle w:val="16"/>
        <w:rPr>
          <w:rFonts w:hint="eastAsia" w:ascii="仿宋_GB2312" w:hAnsi="仿宋_GB2312" w:eastAsia="仿宋_GB2312" w:cs="仿宋_GB2312"/>
          <w:highlight w:val="none"/>
          <w:lang w:val="en-US" w:eastAsia="zh-CN"/>
        </w:rPr>
      </w:pPr>
    </w:p>
    <w:p w14:paraId="31E5E455">
      <w:pPr>
        <w:pStyle w:val="16"/>
        <w:rPr>
          <w:rFonts w:hint="eastAsia" w:ascii="仿宋_GB2312" w:hAnsi="仿宋_GB2312" w:eastAsia="仿宋_GB2312" w:cs="仿宋_GB2312"/>
          <w:highlight w:val="none"/>
          <w:lang w:val="en-US" w:eastAsia="zh-CN"/>
        </w:rPr>
      </w:pPr>
    </w:p>
    <w:p w14:paraId="76073FBF">
      <w:pPr>
        <w:pStyle w:val="16"/>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w:t>
      </w:r>
      <w:r>
        <w:rPr>
          <w:rFonts w:hint="eastAsia" w:ascii="仿宋_GB2312" w:hAnsi="仿宋_GB2312" w:eastAsia="仿宋_GB2312" w:cs="仿宋_GB2312"/>
          <w:sz w:val="24"/>
          <w:szCs w:val="24"/>
          <w:highlight w:val="none"/>
          <w:u w:val="single"/>
          <w:lang w:val="en-US" w:eastAsia="zh-CN"/>
        </w:rPr>
        <w:t xml:space="preserve">             </w:t>
      </w:r>
    </w:p>
    <w:p w14:paraId="4C3E6A74">
      <w:pPr>
        <w:pStyle w:val="16"/>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年</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月</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日</w:t>
      </w:r>
    </w:p>
    <w:p w14:paraId="234892EA">
      <w:pPr>
        <w:pStyle w:val="14"/>
        <w:rPr>
          <w:rFonts w:hint="eastAsia" w:ascii="仿宋_GB2312" w:hAnsi="仿宋_GB2312" w:eastAsia="仿宋_GB2312" w:cs="仿宋_GB2312"/>
          <w:highlight w:val="none"/>
          <w:lang w:val="en-US" w:eastAsia="zh-CN"/>
        </w:rPr>
      </w:pPr>
    </w:p>
    <w:p w14:paraId="3F45E30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9EFA4E7">
      <w:pPr>
        <w:pStyle w:val="17"/>
        <w:ind w:left="0" w:leftChars="0" w:firstLine="0" w:firstLineChars="0"/>
        <w:outlineLvl w:val="1"/>
        <w:rPr>
          <w:rFonts w:hint="eastAsia" w:ascii="仿宋_GB2312" w:hAnsi="仿宋_GB2312" w:eastAsia="仿宋_GB2312" w:cs="仿宋_GB2312"/>
          <w:sz w:val="24"/>
          <w:szCs w:val="24"/>
          <w:highlight w:val="none"/>
          <w:lang w:val="en-US" w:eastAsia="zh-CN"/>
        </w:rPr>
      </w:pPr>
    </w:p>
    <w:p w14:paraId="00398A5D">
      <w:pPr>
        <w:pStyle w:val="17"/>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w:t>
      </w:r>
    </w:p>
    <w:p w14:paraId="11950117">
      <w:pPr>
        <w:pStyle w:val="16"/>
        <w:rPr>
          <w:rFonts w:hint="eastAsia" w:ascii="仿宋_GB2312" w:hAnsi="仿宋_GB2312" w:eastAsia="仿宋_GB2312" w:cs="仿宋_GB2312"/>
          <w:kern w:val="0"/>
          <w:sz w:val="21"/>
          <w:szCs w:val="24"/>
          <w:highlight w:val="none"/>
          <w:lang w:val="en-US" w:eastAsia="zh-CN" w:bidi="ar-SA"/>
        </w:rPr>
      </w:pPr>
      <w:r>
        <w:rPr>
          <w:rFonts w:hint="eastAsia" w:ascii="仿宋_GB2312" w:hAnsi="仿宋_GB2312" w:eastAsia="仿宋_GB2312" w:cs="仿宋_GB2312"/>
          <w:kern w:val="0"/>
          <w:sz w:val="21"/>
          <w:szCs w:val="24"/>
          <w:highlight w:val="none"/>
          <w:lang w:val="en-US" w:eastAsia="zh-CN" w:bidi="ar-SA"/>
        </w:rPr>
        <w:t>（标项1：新疆医科大学第六附属医院2026年普通试剂耗材采购项目（第一批）1包）</w:t>
      </w:r>
    </w:p>
    <w:p w14:paraId="2502CC12">
      <w:pPr>
        <w:pStyle w:val="17"/>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4"/>
        <w:gridCol w:w="1582"/>
        <w:gridCol w:w="594"/>
        <w:gridCol w:w="524"/>
        <w:gridCol w:w="453"/>
        <w:gridCol w:w="633"/>
        <w:gridCol w:w="597"/>
        <w:gridCol w:w="597"/>
        <w:gridCol w:w="1148"/>
        <w:gridCol w:w="1257"/>
        <w:gridCol w:w="633"/>
      </w:tblGrid>
      <w:tr w14:paraId="55969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747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序号</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059F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品目名称（标的名称）</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4F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所属行业</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2D2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制造商</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CC46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品牌</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C3A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产地/国别</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DF1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最小单位</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10AA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入库规格</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EE7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单价（元/最小单位）</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7DF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入库价格（元/入库规格）</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03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备注/说明</w:t>
            </w:r>
          </w:p>
        </w:tc>
      </w:tr>
      <w:tr w14:paraId="21B50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D8E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1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D6A8">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18"/>
                <w:szCs w:val="18"/>
                <w:highlight w:val="none"/>
                <w:lang w:val="en-US" w:eastAsia="zh-CN" w:bidi="ar-SA"/>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乙型肝炎病毒核酸测定试剂盒（PCR-荧光探针法）</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DD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01B6">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9A73">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FF70A">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1DB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37A2">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ADD50">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9BAE9">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5EB4">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23073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EBB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2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C5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丙型肝炎病毒核酸测定试剂盒 (PCR-荧光探针法)</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42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BFCD">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3CDDF">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3E01C">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5FBF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46CF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FD2FC">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30C87">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05C01">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3E41F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2C0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3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2C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新型冠状病毒2019-nCoV核酸检测试剂盒（荧光PCR法）</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120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D292">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621D9">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F2CC">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64B7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5CB66">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C44A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D8C7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4381B">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6D4F1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C8C8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4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D9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甲型流感病毒核酸检测试剂盒（PCR-荧光探针法）</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E27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53584">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D25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81FF">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940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591A7">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5922">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9B371">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739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5568E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1211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5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78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乙型流感病毒核酸检测试剂盒（PCR-荧光探针法）</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58E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19EB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336F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8820">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064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6801C">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BC50">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5E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988D">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2642B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DEC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6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35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CYP2D6*10、CYP2C9*3、ADRB1(1165G&gt;C)、AGTR1(1166A&gt;C)、 ACE(I/D)检测试剂盒（PCR-熔解曲线法）</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8D1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197F">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A8FA">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99B0">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E66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1E73A">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07A2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FD927">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34DC">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3680B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3A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7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7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人类SLCO1B1和ApoE基因检测试剂盒（PCR-荧光探针法）</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82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BAEA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5E9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228A">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2CE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199B">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7D4A8">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AECF">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AB4AF">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28F3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47D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8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12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人类 CYP2C19 基因检测试剂盒（PCR-荧光探针法）</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8B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0DA6">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EE5A">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F75F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A4D4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BA36D">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147F">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67B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66450">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385C6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215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9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12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人类CYP2C9和VKORC1基因检测试剂盒(PCR-荧光探针法)</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32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8B23C">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F303B">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DDD3">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770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55F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9D2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D2D5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36426">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079C6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1A54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10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4B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乙型肝炎病毒脱氧核糖核酸（HBV DNA）血清（液体）室内质控品</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48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E283">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F693">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8D41">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06F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E12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933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1ED4">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EA21">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2F1B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954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11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D0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丙型肝炎病毒核糖核酸（HCV RNA）血清（液体）室内质控品</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008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375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F37C3">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81F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DF6E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AEC8">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D688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AC0D6">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7448">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r w14:paraId="56932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57D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12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41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2019 新型冠状病毒核糖核酸（2019-nCoV RNA）液体室内质控品</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A90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D4F6">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5656">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9117">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0F6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71B8A">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02D09">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5C32">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6A810">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bl>
    <w:p w14:paraId="1F868A91">
      <w:pPr>
        <w:pStyle w:val="16"/>
        <w:ind w:left="0" w:leftChars="0" w:firstLine="0" w:firstLineChars="0"/>
        <w:rPr>
          <w:rFonts w:hint="eastAsia" w:ascii="仿宋_GB2312" w:hAnsi="仿宋_GB2312" w:eastAsia="仿宋_GB2312" w:cs="仿宋_GB2312"/>
          <w:highlight w:val="none"/>
          <w:lang w:val="en-US" w:eastAsia="zh-CN"/>
        </w:rPr>
      </w:pPr>
    </w:p>
    <w:p w14:paraId="63420442">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注：1.本表应按包（标项）分别填写。</w:t>
      </w:r>
    </w:p>
    <w:p w14:paraId="62D0656B">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2.如果不提供分项报价将视为没有实质性响应采购文件。</w:t>
      </w:r>
    </w:p>
    <w:p w14:paraId="0810ADD4">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03B83AAD">
      <w:pPr>
        <w:spacing w:line="360" w:lineRule="auto"/>
        <w:rPr>
          <w:rFonts w:hint="eastAsia" w:ascii="仿宋_GB2312" w:hAnsi="仿宋_GB2312" w:eastAsia="仿宋_GB2312" w:cs="仿宋_GB2312"/>
          <w:sz w:val="24"/>
          <w:szCs w:val="24"/>
          <w:highlight w:val="none"/>
          <w:lang w:val="en-US" w:eastAsia="zh-CN"/>
        </w:rPr>
      </w:pPr>
    </w:p>
    <w:p w14:paraId="4E203336">
      <w:pPr>
        <w:spacing w:line="360" w:lineRule="auto"/>
        <w:rPr>
          <w:rFonts w:hint="eastAsia" w:ascii="仿宋_GB2312" w:hAnsi="仿宋_GB2312" w:eastAsia="仿宋_GB2312" w:cs="仿宋_GB2312"/>
          <w:sz w:val="24"/>
          <w:szCs w:val="24"/>
          <w:highlight w:val="none"/>
          <w:lang w:val="en-US" w:eastAsia="zh-CN"/>
        </w:rPr>
      </w:pPr>
    </w:p>
    <w:p w14:paraId="281CF734">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5B310665">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3F11968A">
      <w:pPr>
        <w:jc w:val="center"/>
        <w:rPr>
          <w:rFonts w:hint="eastAsia" w:ascii="仿宋_GB2312" w:hAnsi="仿宋_GB2312" w:eastAsia="仿宋_GB2312" w:cs="仿宋_GB2312"/>
          <w:b/>
          <w:bCs/>
          <w:sz w:val="32"/>
          <w:szCs w:val="32"/>
          <w:highlight w:val="none"/>
          <w:lang w:val="en-US" w:eastAsia="zh-CN"/>
        </w:rPr>
      </w:pPr>
      <w:bookmarkStart w:id="41" w:name="_Toc6119"/>
      <w:r>
        <w:rPr>
          <w:rFonts w:hint="eastAsia" w:ascii="仿宋_GB2312" w:hAnsi="仿宋_GB2312" w:eastAsia="仿宋_GB2312" w:cs="仿宋_GB2312"/>
          <w:sz w:val="24"/>
          <w:szCs w:val="24"/>
          <w:highlight w:val="none"/>
          <w:lang w:val="en-US" w:eastAsia="zh-CN"/>
        </w:rPr>
        <w:br w:type="page"/>
      </w:r>
      <w:r>
        <w:rPr>
          <w:rFonts w:hint="eastAsia" w:ascii="仿宋_GB2312" w:hAnsi="仿宋_GB2312" w:eastAsia="仿宋_GB2312" w:cs="仿宋_GB2312"/>
          <w:b/>
          <w:bCs/>
          <w:sz w:val="32"/>
          <w:szCs w:val="32"/>
          <w:highlight w:val="none"/>
          <w:lang w:val="en-US" w:eastAsia="zh-CN"/>
        </w:rPr>
        <w:t>投标分项报价表</w:t>
      </w:r>
    </w:p>
    <w:p w14:paraId="05DA84E0">
      <w:pPr>
        <w:pStyle w:val="16"/>
        <w:rPr>
          <w:rFonts w:hint="eastAsia" w:ascii="仿宋_GB2312" w:hAnsi="仿宋_GB2312" w:eastAsia="仿宋_GB2312" w:cs="仿宋_GB2312"/>
          <w:kern w:val="0"/>
          <w:sz w:val="21"/>
          <w:szCs w:val="24"/>
          <w:highlight w:val="none"/>
          <w:lang w:val="en-US" w:eastAsia="zh-CN" w:bidi="ar-SA"/>
        </w:rPr>
      </w:pPr>
      <w:r>
        <w:rPr>
          <w:rFonts w:hint="eastAsia" w:ascii="仿宋_GB2312" w:hAnsi="仿宋_GB2312" w:eastAsia="仿宋_GB2312" w:cs="仿宋_GB2312"/>
          <w:kern w:val="0"/>
          <w:sz w:val="21"/>
          <w:szCs w:val="24"/>
          <w:highlight w:val="none"/>
          <w:lang w:val="en-US" w:eastAsia="zh-CN" w:bidi="ar-SA"/>
        </w:rPr>
        <w:t>（标项2：新疆医科大学第六附属医院2026年普通试剂耗材采购项目（第一批）2包）</w:t>
      </w:r>
    </w:p>
    <w:p w14:paraId="08A82EEC">
      <w:pPr>
        <w:pStyle w:val="17"/>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3"/>
        <w:gridCol w:w="1583"/>
        <w:gridCol w:w="594"/>
        <w:gridCol w:w="524"/>
        <w:gridCol w:w="452"/>
        <w:gridCol w:w="633"/>
        <w:gridCol w:w="597"/>
        <w:gridCol w:w="597"/>
        <w:gridCol w:w="1148"/>
        <w:gridCol w:w="1257"/>
        <w:gridCol w:w="634"/>
      </w:tblGrid>
      <w:tr w14:paraId="1FE4E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95A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序号</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EDD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品目名称（标的名称）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819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所属行业</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C57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制造商</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E7F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品牌</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F8C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产地/国别</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B2F2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最小单位</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9DBF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入库规格</w:t>
            </w:r>
          </w:p>
        </w:tc>
        <w:tc>
          <w:tcPr>
            <w:tcW w:w="6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2266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单价（元/最小单位）</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981E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入库价格（元/入库规格）</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EE6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备注/说明</w:t>
            </w:r>
          </w:p>
        </w:tc>
      </w:tr>
      <w:tr w14:paraId="4F72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5A4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1 </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4E5EC">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18"/>
                <w:szCs w:val="18"/>
                <w:highlight w:val="none"/>
                <w:lang w:val="en-US" w:eastAsia="zh-CN" w:bidi="ar-SA"/>
              </w:rPr>
            </w:pPr>
            <w:r>
              <w:rPr>
                <w:rFonts w:hint="eastAsia" w:ascii="方正仿宋_GB2312" w:hAnsi="方正仿宋_GB2312" w:eastAsia="方正仿宋_GB2312" w:cs="方正仿宋_GB2312"/>
                <w:color w:val="auto"/>
                <w:kern w:val="2"/>
                <w:sz w:val="18"/>
                <w:szCs w:val="18"/>
                <w:highlight w:val="none"/>
                <w:lang w:val="en-US" w:eastAsia="zh-CN" w:bidi="ar-SA"/>
              </w:rPr>
              <w:t>全量程C反应蛋白检测试剂盒</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1B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F5470">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1BE2">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D7AC">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DF2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CB1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6DA7">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7912">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6EB9">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bl>
    <w:p w14:paraId="661FFF0F">
      <w:pPr>
        <w:pStyle w:val="16"/>
        <w:ind w:left="0" w:leftChars="0" w:firstLine="0" w:firstLineChars="0"/>
        <w:rPr>
          <w:rFonts w:hint="eastAsia" w:ascii="仿宋_GB2312" w:hAnsi="仿宋_GB2312" w:eastAsia="仿宋_GB2312" w:cs="仿宋_GB2312"/>
          <w:highlight w:val="none"/>
          <w:lang w:val="en-US" w:eastAsia="zh-CN"/>
        </w:rPr>
      </w:pPr>
    </w:p>
    <w:p w14:paraId="28FA449B">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注：1.本表应按包（标项）分别填写。</w:t>
      </w:r>
    </w:p>
    <w:p w14:paraId="5E10DBFB">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2.如果不提供分项报价将视为没有实质性响应采购文件。</w:t>
      </w:r>
    </w:p>
    <w:p w14:paraId="75DC9571">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75662C4D">
      <w:pPr>
        <w:spacing w:line="360" w:lineRule="auto"/>
        <w:rPr>
          <w:rFonts w:hint="eastAsia" w:ascii="仿宋_GB2312" w:hAnsi="仿宋_GB2312" w:eastAsia="仿宋_GB2312" w:cs="仿宋_GB2312"/>
          <w:sz w:val="24"/>
          <w:szCs w:val="24"/>
          <w:highlight w:val="none"/>
          <w:lang w:val="en-US" w:eastAsia="zh-CN"/>
        </w:rPr>
      </w:pPr>
    </w:p>
    <w:p w14:paraId="587F6355">
      <w:pPr>
        <w:spacing w:line="360" w:lineRule="auto"/>
        <w:rPr>
          <w:rFonts w:hint="eastAsia" w:ascii="仿宋_GB2312" w:hAnsi="仿宋_GB2312" w:eastAsia="仿宋_GB2312" w:cs="仿宋_GB2312"/>
          <w:sz w:val="24"/>
          <w:szCs w:val="24"/>
          <w:highlight w:val="none"/>
          <w:lang w:val="en-US" w:eastAsia="zh-CN"/>
        </w:rPr>
      </w:pPr>
    </w:p>
    <w:p w14:paraId="7BC9CCE0">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2D833D31">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32D15412">
      <w:pPr>
        <w:rPr>
          <w:rFonts w:hint="eastAsia"/>
          <w:highlight w:val="none"/>
          <w:lang w:val="en-US" w:eastAsia="zh-CN"/>
        </w:rPr>
      </w:pPr>
      <w:r>
        <w:rPr>
          <w:rFonts w:hint="eastAsia"/>
          <w:highlight w:val="none"/>
          <w:lang w:val="en-US" w:eastAsia="zh-CN"/>
        </w:rPr>
        <w:br w:type="page"/>
      </w:r>
    </w:p>
    <w:p w14:paraId="355A0BE1">
      <w:pPr>
        <w:pStyle w:val="2"/>
        <w:rPr>
          <w:rFonts w:hint="eastAsia"/>
          <w:highlight w:val="none"/>
          <w:lang w:val="en-US" w:eastAsia="zh-CN"/>
        </w:rPr>
      </w:pPr>
    </w:p>
    <w:p w14:paraId="7F660D63">
      <w:pPr>
        <w:pStyle w:val="17"/>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w:t>
      </w:r>
    </w:p>
    <w:p w14:paraId="5D28A756">
      <w:pPr>
        <w:pStyle w:val="16"/>
        <w:rPr>
          <w:rFonts w:hint="eastAsia" w:ascii="仿宋_GB2312" w:hAnsi="仿宋_GB2312" w:eastAsia="仿宋_GB2312" w:cs="仿宋_GB2312"/>
          <w:kern w:val="0"/>
          <w:sz w:val="21"/>
          <w:szCs w:val="24"/>
          <w:highlight w:val="none"/>
          <w:lang w:val="en-US" w:eastAsia="zh-CN" w:bidi="ar-SA"/>
        </w:rPr>
      </w:pPr>
      <w:r>
        <w:rPr>
          <w:rFonts w:hint="eastAsia" w:ascii="仿宋_GB2312" w:hAnsi="仿宋_GB2312" w:eastAsia="仿宋_GB2312" w:cs="仿宋_GB2312"/>
          <w:kern w:val="0"/>
          <w:sz w:val="21"/>
          <w:szCs w:val="24"/>
          <w:highlight w:val="none"/>
          <w:lang w:val="en-US" w:eastAsia="zh-CN" w:bidi="ar-SA"/>
        </w:rPr>
        <w:t>（标项3：新疆医科大学第六附属医院2026年普通试剂耗材采购项目（第一批）3包）</w:t>
      </w:r>
    </w:p>
    <w:p w14:paraId="0B64FEA3">
      <w:pPr>
        <w:pStyle w:val="17"/>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3"/>
        <w:gridCol w:w="1583"/>
        <w:gridCol w:w="594"/>
        <w:gridCol w:w="524"/>
        <w:gridCol w:w="452"/>
        <w:gridCol w:w="633"/>
        <w:gridCol w:w="597"/>
        <w:gridCol w:w="597"/>
        <w:gridCol w:w="1148"/>
        <w:gridCol w:w="1257"/>
        <w:gridCol w:w="634"/>
      </w:tblGrid>
      <w:tr w14:paraId="53BC5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A6A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序号</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BAA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品目名称（标的名称）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ABD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所属行业</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4BA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制造商</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E34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品牌</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601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产地/国别</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5D8D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最小单位</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2C5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入库规格</w:t>
            </w:r>
          </w:p>
        </w:tc>
        <w:tc>
          <w:tcPr>
            <w:tcW w:w="6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45F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单价（元/最小单位）</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336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入库价格（元/入库规格）</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8C7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备注/说明</w:t>
            </w:r>
          </w:p>
        </w:tc>
      </w:tr>
      <w:tr w14:paraId="43140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40D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t xml:space="preserve">1 </w:t>
            </w:r>
          </w:p>
        </w:tc>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A09DC">
            <w:pPr>
              <w:keepNext w:val="0"/>
              <w:keepLines w:val="0"/>
              <w:widowControl/>
              <w:suppressLineNumbers w:val="0"/>
              <w:jc w:val="center"/>
              <w:textAlignment w:val="center"/>
              <w:rPr>
                <w:rFonts w:hint="eastAsia" w:ascii="方正仿宋_GB2312" w:hAnsi="方正仿宋_GB2312" w:eastAsia="方正仿宋_GB2312" w:cs="方正仿宋_GB2312"/>
                <w:color w:val="auto"/>
                <w:kern w:val="2"/>
                <w:sz w:val="18"/>
                <w:szCs w:val="18"/>
                <w:highlight w:val="none"/>
                <w:lang w:val="en-US" w:eastAsia="zh-CN" w:bidi="ar-SA"/>
              </w:rPr>
            </w:pPr>
            <w:r>
              <w:rPr>
                <w:rFonts w:hint="eastAsia" w:ascii="方正仿宋_GB2312" w:hAnsi="方正仿宋_GB2312" w:eastAsia="方正仿宋_GB2312" w:cs="方正仿宋_GB2312"/>
                <w:color w:val="auto"/>
                <w:kern w:val="2"/>
                <w:sz w:val="18"/>
                <w:szCs w:val="18"/>
                <w:highlight w:val="none"/>
                <w:lang w:val="en-US" w:eastAsia="zh-CN" w:bidi="ar-SA"/>
              </w:rPr>
              <w:t>幽门螺杆菌抗体分型检测试剂盒</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58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kern w:val="0"/>
                <w:sz w:val="18"/>
                <w:szCs w:val="18"/>
                <w:highlight w:val="none"/>
                <w:u w:val="none"/>
                <w:lang w:val="en-US" w:eastAsia="zh-CN" w:bidi="ar"/>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0A91E">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487E3">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C051">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8BF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仿宋_GB2312" w:hAnsi="方正仿宋_GB2312" w:eastAsia="方正仿宋_GB2312" w:cs="方正仿宋_GB2312"/>
                <w:i w:val="0"/>
                <w:iCs w:val="0"/>
                <w:color w:val="auto"/>
                <w:sz w:val="18"/>
                <w:szCs w:val="18"/>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B4A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82B55">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ADF9">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E540">
            <w:pPr>
              <w:keepNext w:val="0"/>
              <w:keepLines w:val="0"/>
              <w:pageBreakBefore w:val="0"/>
              <w:kinsoku/>
              <w:wordWrap/>
              <w:overflowPunct/>
              <w:topLinePunct w:val="0"/>
              <w:autoSpaceDE/>
              <w:autoSpaceDN/>
              <w:bidi w:val="0"/>
              <w:adjustRightInd/>
              <w:snapToGrid/>
              <w:spacing w:line="240" w:lineRule="exact"/>
              <w:rPr>
                <w:rFonts w:hint="eastAsia" w:ascii="方正仿宋_GB2312" w:hAnsi="方正仿宋_GB2312" w:eastAsia="方正仿宋_GB2312" w:cs="方正仿宋_GB2312"/>
                <w:i w:val="0"/>
                <w:iCs w:val="0"/>
                <w:color w:val="auto"/>
                <w:sz w:val="18"/>
                <w:szCs w:val="18"/>
                <w:highlight w:val="none"/>
                <w:u w:val="none"/>
              </w:rPr>
            </w:pPr>
          </w:p>
        </w:tc>
      </w:tr>
    </w:tbl>
    <w:p w14:paraId="233F0CDE">
      <w:pPr>
        <w:pStyle w:val="16"/>
        <w:ind w:left="0" w:leftChars="0" w:firstLine="0" w:firstLineChars="0"/>
        <w:rPr>
          <w:rFonts w:hint="eastAsia" w:ascii="仿宋_GB2312" w:hAnsi="仿宋_GB2312" w:eastAsia="仿宋_GB2312" w:cs="仿宋_GB2312"/>
          <w:highlight w:val="none"/>
          <w:lang w:val="en-US" w:eastAsia="zh-CN"/>
        </w:rPr>
      </w:pPr>
    </w:p>
    <w:p w14:paraId="710EE8C1">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注：1.本表应按包（标项）分别填写。</w:t>
      </w:r>
    </w:p>
    <w:p w14:paraId="1AAF1ACE">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2.如果不提供分项报价将视为没有实质性响应采购文件。</w:t>
      </w:r>
    </w:p>
    <w:p w14:paraId="7934AC91">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2125D499">
      <w:pPr>
        <w:spacing w:line="360" w:lineRule="auto"/>
        <w:rPr>
          <w:rFonts w:hint="eastAsia" w:ascii="仿宋_GB2312" w:hAnsi="仿宋_GB2312" w:eastAsia="仿宋_GB2312" w:cs="仿宋_GB2312"/>
          <w:sz w:val="24"/>
          <w:szCs w:val="24"/>
          <w:highlight w:val="none"/>
          <w:lang w:val="en-US" w:eastAsia="zh-CN"/>
        </w:rPr>
      </w:pPr>
    </w:p>
    <w:p w14:paraId="256892B1">
      <w:pPr>
        <w:spacing w:line="360" w:lineRule="auto"/>
        <w:rPr>
          <w:rFonts w:hint="eastAsia" w:ascii="仿宋_GB2312" w:hAnsi="仿宋_GB2312" w:eastAsia="仿宋_GB2312" w:cs="仿宋_GB2312"/>
          <w:sz w:val="24"/>
          <w:szCs w:val="24"/>
          <w:highlight w:val="none"/>
          <w:lang w:val="en-US" w:eastAsia="zh-CN"/>
        </w:rPr>
      </w:pPr>
    </w:p>
    <w:p w14:paraId="7D33E24A">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5F33C083">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618C0289">
      <w:pPr>
        <w:rPr>
          <w:rFonts w:hint="eastAsia"/>
          <w:highlight w:val="none"/>
          <w:lang w:val="en-US" w:eastAsia="zh-CN"/>
        </w:rPr>
      </w:pPr>
      <w:r>
        <w:rPr>
          <w:rFonts w:hint="eastAsia"/>
          <w:highlight w:val="none"/>
          <w:lang w:val="en-US" w:eastAsia="zh-CN"/>
        </w:rPr>
        <w:br w:type="page"/>
      </w:r>
    </w:p>
    <w:p w14:paraId="42A4F56D">
      <w:pPr>
        <w:pStyle w:val="2"/>
        <w:rPr>
          <w:rFonts w:hint="eastAsia"/>
          <w:highlight w:val="none"/>
          <w:lang w:val="en-US" w:eastAsia="zh-CN"/>
        </w:rPr>
      </w:pPr>
    </w:p>
    <w:p w14:paraId="59525C0C">
      <w:pPr>
        <w:pStyle w:val="14"/>
        <w:ind w:left="0" w:leftChars="0" w:firstLine="0" w:firstLineChars="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  合同条款偏离表</w:t>
      </w:r>
      <w:bookmarkEnd w:id="41"/>
    </w:p>
    <w:p w14:paraId="79C944CA">
      <w:pPr>
        <w:pStyle w:val="14"/>
        <w:ind w:left="0" w:leftChars="0" w:firstLine="0" w:firstLineChars="0"/>
        <w:jc w:val="center"/>
        <w:rPr>
          <w:rFonts w:hint="eastAsia" w:ascii="仿宋_GB2312" w:hAnsi="仿宋_GB2312" w:eastAsia="仿宋_GB2312" w:cs="仿宋_GB2312"/>
          <w:sz w:val="32"/>
          <w:szCs w:val="32"/>
          <w:highlight w:val="none"/>
          <w:lang w:val="en-US" w:eastAsia="zh-CN"/>
        </w:rPr>
      </w:pPr>
    </w:p>
    <w:p w14:paraId="66D05901">
      <w:pPr>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5ED3B3B4">
      <w:pPr>
        <w:pStyle w:val="17"/>
        <w:ind w:left="0" w:leftChars="0" w:firstLine="0" w:firstLineChars="0"/>
        <w:rPr>
          <w:rFonts w:hint="eastAsia"/>
          <w:highlight w:val="none"/>
          <w:lang w:val="en-US" w:eastAsia="zh-CN"/>
        </w:rPr>
      </w:pPr>
    </w:p>
    <w:p w14:paraId="10CB3041">
      <w:pPr>
        <w:pStyle w:val="14"/>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w:t>
            </w:r>
          </w:p>
          <w:p w14:paraId="08291FF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条目号</w:t>
            </w:r>
          </w:p>
          <w:p w14:paraId="67F888C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753" w:type="dxa"/>
            <w:vAlign w:val="center"/>
          </w:tcPr>
          <w:p w14:paraId="40680A0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highlight w:val="none"/>
                <w:vertAlign w:val="baseline"/>
                <w:lang w:val="en-US" w:eastAsia="zh-CN"/>
              </w:rPr>
            </w:pPr>
          </w:p>
        </w:tc>
        <w:tc>
          <w:tcPr>
            <w:tcW w:w="1421" w:type="dxa"/>
          </w:tcPr>
          <w:p w14:paraId="71510325">
            <w:pPr>
              <w:rPr>
                <w:rFonts w:hint="eastAsia" w:ascii="仿宋_GB2312" w:hAnsi="仿宋_GB2312" w:eastAsia="仿宋_GB2312" w:cs="仿宋_GB2312"/>
                <w:sz w:val="24"/>
                <w:szCs w:val="24"/>
                <w:highlight w:val="none"/>
                <w:vertAlign w:val="baseline"/>
                <w:lang w:val="en-US" w:eastAsia="zh-CN"/>
              </w:rPr>
            </w:pPr>
          </w:p>
        </w:tc>
        <w:tc>
          <w:tcPr>
            <w:tcW w:w="1901" w:type="dxa"/>
          </w:tcPr>
          <w:p w14:paraId="2A7E19BC">
            <w:pPr>
              <w:rPr>
                <w:rFonts w:hint="eastAsia" w:ascii="仿宋_GB2312" w:hAnsi="仿宋_GB2312" w:eastAsia="仿宋_GB2312" w:cs="仿宋_GB2312"/>
                <w:sz w:val="24"/>
                <w:szCs w:val="24"/>
                <w:highlight w:val="none"/>
                <w:vertAlign w:val="baseline"/>
                <w:lang w:val="en-US" w:eastAsia="zh-CN"/>
              </w:rPr>
            </w:pPr>
          </w:p>
        </w:tc>
        <w:tc>
          <w:tcPr>
            <w:tcW w:w="1753" w:type="dxa"/>
          </w:tcPr>
          <w:p w14:paraId="6667F79E">
            <w:pPr>
              <w:rPr>
                <w:rFonts w:hint="eastAsia" w:ascii="仿宋_GB2312" w:hAnsi="仿宋_GB2312" w:eastAsia="仿宋_GB2312" w:cs="仿宋_GB2312"/>
                <w:sz w:val="24"/>
                <w:szCs w:val="24"/>
                <w:highlight w:val="none"/>
                <w:vertAlign w:val="baseline"/>
                <w:lang w:val="en-US" w:eastAsia="zh-CN"/>
              </w:rPr>
            </w:pPr>
          </w:p>
        </w:tc>
        <w:tc>
          <w:tcPr>
            <w:tcW w:w="1561" w:type="dxa"/>
          </w:tcPr>
          <w:p w14:paraId="265E7A2D">
            <w:pPr>
              <w:rPr>
                <w:rFonts w:hint="eastAsia" w:ascii="仿宋_GB2312" w:hAnsi="仿宋_GB2312" w:eastAsia="仿宋_GB2312" w:cs="仿宋_GB2312"/>
                <w:sz w:val="24"/>
                <w:szCs w:val="24"/>
                <w:highlight w:val="none"/>
                <w:vertAlign w:val="baseline"/>
                <w:lang w:val="en-US" w:eastAsia="zh-CN"/>
              </w:rPr>
            </w:pPr>
          </w:p>
        </w:tc>
        <w:tc>
          <w:tcPr>
            <w:tcW w:w="1052" w:type="dxa"/>
          </w:tcPr>
          <w:p w14:paraId="4281193A">
            <w:pPr>
              <w:rPr>
                <w:rFonts w:hint="eastAsia" w:ascii="仿宋_GB2312" w:hAnsi="仿宋_GB2312" w:eastAsia="仿宋_GB2312" w:cs="仿宋_GB2312"/>
                <w:sz w:val="24"/>
                <w:szCs w:val="24"/>
                <w:highlight w:val="none"/>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highlight w:val="none"/>
                <w:vertAlign w:val="baseline"/>
                <w:lang w:val="en-US" w:eastAsia="zh-CN"/>
              </w:rPr>
            </w:pPr>
          </w:p>
        </w:tc>
        <w:tc>
          <w:tcPr>
            <w:tcW w:w="1421" w:type="dxa"/>
          </w:tcPr>
          <w:p w14:paraId="0F15DDA1">
            <w:pPr>
              <w:rPr>
                <w:rFonts w:hint="eastAsia" w:ascii="仿宋_GB2312" w:hAnsi="仿宋_GB2312" w:eastAsia="仿宋_GB2312" w:cs="仿宋_GB2312"/>
                <w:sz w:val="24"/>
                <w:szCs w:val="24"/>
                <w:highlight w:val="none"/>
                <w:vertAlign w:val="baseline"/>
                <w:lang w:val="en-US" w:eastAsia="zh-CN"/>
              </w:rPr>
            </w:pPr>
          </w:p>
        </w:tc>
        <w:tc>
          <w:tcPr>
            <w:tcW w:w="1901" w:type="dxa"/>
          </w:tcPr>
          <w:p w14:paraId="68011AB1">
            <w:pPr>
              <w:rPr>
                <w:rFonts w:hint="eastAsia" w:ascii="仿宋_GB2312" w:hAnsi="仿宋_GB2312" w:eastAsia="仿宋_GB2312" w:cs="仿宋_GB2312"/>
                <w:sz w:val="24"/>
                <w:szCs w:val="24"/>
                <w:highlight w:val="none"/>
                <w:vertAlign w:val="baseline"/>
                <w:lang w:val="en-US" w:eastAsia="zh-CN"/>
              </w:rPr>
            </w:pPr>
          </w:p>
        </w:tc>
        <w:tc>
          <w:tcPr>
            <w:tcW w:w="1753" w:type="dxa"/>
          </w:tcPr>
          <w:p w14:paraId="2DC71EF2">
            <w:pPr>
              <w:rPr>
                <w:rFonts w:hint="eastAsia" w:ascii="仿宋_GB2312" w:hAnsi="仿宋_GB2312" w:eastAsia="仿宋_GB2312" w:cs="仿宋_GB2312"/>
                <w:sz w:val="24"/>
                <w:szCs w:val="24"/>
                <w:highlight w:val="none"/>
                <w:vertAlign w:val="baseline"/>
                <w:lang w:val="en-US" w:eastAsia="zh-CN"/>
              </w:rPr>
            </w:pPr>
          </w:p>
        </w:tc>
        <w:tc>
          <w:tcPr>
            <w:tcW w:w="1561" w:type="dxa"/>
          </w:tcPr>
          <w:p w14:paraId="7958F49E">
            <w:pPr>
              <w:rPr>
                <w:rFonts w:hint="eastAsia" w:ascii="仿宋_GB2312" w:hAnsi="仿宋_GB2312" w:eastAsia="仿宋_GB2312" w:cs="仿宋_GB2312"/>
                <w:sz w:val="24"/>
                <w:szCs w:val="24"/>
                <w:highlight w:val="none"/>
                <w:vertAlign w:val="baseline"/>
                <w:lang w:val="en-US" w:eastAsia="zh-CN"/>
              </w:rPr>
            </w:pPr>
          </w:p>
        </w:tc>
        <w:tc>
          <w:tcPr>
            <w:tcW w:w="1052" w:type="dxa"/>
          </w:tcPr>
          <w:p w14:paraId="1AD48850">
            <w:pPr>
              <w:rPr>
                <w:rFonts w:hint="eastAsia" w:ascii="仿宋_GB2312" w:hAnsi="仿宋_GB2312" w:eastAsia="仿宋_GB2312" w:cs="仿宋_GB2312"/>
                <w:sz w:val="24"/>
                <w:szCs w:val="24"/>
                <w:highlight w:val="none"/>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highlight w:val="none"/>
                <w:vertAlign w:val="baseline"/>
                <w:lang w:val="en-US" w:eastAsia="zh-CN"/>
              </w:rPr>
            </w:pPr>
          </w:p>
        </w:tc>
        <w:tc>
          <w:tcPr>
            <w:tcW w:w="1421" w:type="dxa"/>
          </w:tcPr>
          <w:p w14:paraId="461E3C88">
            <w:pPr>
              <w:rPr>
                <w:rFonts w:hint="eastAsia" w:ascii="仿宋_GB2312" w:hAnsi="仿宋_GB2312" w:eastAsia="仿宋_GB2312" w:cs="仿宋_GB2312"/>
                <w:sz w:val="24"/>
                <w:szCs w:val="24"/>
                <w:highlight w:val="none"/>
                <w:vertAlign w:val="baseline"/>
                <w:lang w:val="en-US" w:eastAsia="zh-CN"/>
              </w:rPr>
            </w:pPr>
          </w:p>
        </w:tc>
        <w:tc>
          <w:tcPr>
            <w:tcW w:w="1901" w:type="dxa"/>
          </w:tcPr>
          <w:p w14:paraId="10AEC831">
            <w:pPr>
              <w:rPr>
                <w:rFonts w:hint="eastAsia" w:ascii="仿宋_GB2312" w:hAnsi="仿宋_GB2312" w:eastAsia="仿宋_GB2312" w:cs="仿宋_GB2312"/>
                <w:sz w:val="24"/>
                <w:szCs w:val="24"/>
                <w:highlight w:val="none"/>
                <w:vertAlign w:val="baseline"/>
                <w:lang w:val="en-US" w:eastAsia="zh-CN"/>
              </w:rPr>
            </w:pPr>
          </w:p>
        </w:tc>
        <w:tc>
          <w:tcPr>
            <w:tcW w:w="1753" w:type="dxa"/>
          </w:tcPr>
          <w:p w14:paraId="6D936F5C">
            <w:pPr>
              <w:rPr>
                <w:rFonts w:hint="eastAsia" w:ascii="仿宋_GB2312" w:hAnsi="仿宋_GB2312" w:eastAsia="仿宋_GB2312" w:cs="仿宋_GB2312"/>
                <w:sz w:val="24"/>
                <w:szCs w:val="24"/>
                <w:highlight w:val="none"/>
                <w:vertAlign w:val="baseline"/>
                <w:lang w:val="en-US" w:eastAsia="zh-CN"/>
              </w:rPr>
            </w:pPr>
          </w:p>
        </w:tc>
        <w:tc>
          <w:tcPr>
            <w:tcW w:w="1561" w:type="dxa"/>
          </w:tcPr>
          <w:p w14:paraId="013BFB7C">
            <w:pPr>
              <w:rPr>
                <w:rFonts w:hint="eastAsia" w:ascii="仿宋_GB2312" w:hAnsi="仿宋_GB2312" w:eastAsia="仿宋_GB2312" w:cs="仿宋_GB2312"/>
                <w:sz w:val="24"/>
                <w:szCs w:val="24"/>
                <w:highlight w:val="none"/>
                <w:vertAlign w:val="baseline"/>
                <w:lang w:val="en-US" w:eastAsia="zh-CN"/>
              </w:rPr>
            </w:pPr>
          </w:p>
        </w:tc>
        <w:tc>
          <w:tcPr>
            <w:tcW w:w="1052" w:type="dxa"/>
          </w:tcPr>
          <w:p w14:paraId="61D87199">
            <w:pPr>
              <w:rPr>
                <w:rFonts w:hint="eastAsia" w:ascii="仿宋_GB2312" w:hAnsi="仿宋_GB2312" w:eastAsia="仿宋_GB2312" w:cs="仿宋_GB2312"/>
                <w:sz w:val="24"/>
                <w:szCs w:val="24"/>
                <w:highlight w:val="none"/>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834" w:type="dxa"/>
          </w:tcPr>
          <w:p w14:paraId="472C71A4">
            <w:pPr>
              <w:rPr>
                <w:rFonts w:hint="eastAsia" w:ascii="仿宋_GB2312" w:hAnsi="仿宋_GB2312" w:eastAsia="仿宋_GB2312" w:cs="仿宋_GB2312"/>
                <w:sz w:val="24"/>
                <w:szCs w:val="24"/>
                <w:highlight w:val="none"/>
                <w:vertAlign w:val="baseline"/>
                <w:lang w:val="en-US" w:eastAsia="zh-CN"/>
              </w:rPr>
            </w:pPr>
          </w:p>
        </w:tc>
        <w:tc>
          <w:tcPr>
            <w:tcW w:w="1421" w:type="dxa"/>
          </w:tcPr>
          <w:p w14:paraId="173AD64B">
            <w:pPr>
              <w:rPr>
                <w:rFonts w:hint="eastAsia" w:ascii="仿宋_GB2312" w:hAnsi="仿宋_GB2312" w:eastAsia="仿宋_GB2312" w:cs="仿宋_GB2312"/>
                <w:sz w:val="24"/>
                <w:szCs w:val="24"/>
                <w:highlight w:val="none"/>
                <w:vertAlign w:val="baseline"/>
                <w:lang w:val="en-US" w:eastAsia="zh-CN"/>
              </w:rPr>
            </w:pPr>
          </w:p>
        </w:tc>
        <w:tc>
          <w:tcPr>
            <w:tcW w:w="1901" w:type="dxa"/>
          </w:tcPr>
          <w:p w14:paraId="481BC029">
            <w:pPr>
              <w:rPr>
                <w:rFonts w:hint="eastAsia" w:ascii="仿宋_GB2312" w:hAnsi="仿宋_GB2312" w:eastAsia="仿宋_GB2312" w:cs="仿宋_GB2312"/>
                <w:sz w:val="24"/>
                <w:szCs w:val="24"/>
                <w:highlight w:val="none"/>
                <w:vertAlign w:val="baseline"/>
                <w:lang w:val="en-US" w:eastAsia="zh-CN"/>
              </w:rPr>
            </w:pPr>
          </w:p>
        </w:tc>
        <w:tc>
          <w:tcPr>
            <w:tcW w:w="1753" w:type="dxa"/>
          </w:tcPr>
          <w:p w14:paraId="2C92EE44">
            <w:pPr>
              <w:rPr>
                <w:rFonts w:hint="eastAsia" w:ascii="仿宋_GB2312" w:hAnsi="仿宋_GB2312" w:eastAsia="仿宋_GB2312" w:cs="仿宋_GB2312"/>
                <w:sz w:val="24"/>
                <w:szCs w:val="24"/>
                <w:highlight w:val="none"/>
                <w:vertAlign w:val="baseline"/>
                <w:lang w:val="en-US" w:eastAsia="zh-CN"/>
              </w:rPr>
            </w:pPr>
          </w:p>
        </w:tc>
        <w:tc>
          <w:tcPr>
            <w:tcW w:w="1561" w:type="dxa"/>
          </w:tcPr>
          <w:p w14:paraId="73444AB4">
            <w:pPr>
              <w:rPr>
                <w:rFonts w:hint="eastAsia" w:ascii="仿宋_GB2312" w:hAnsi="仿宋_GB2312" w:eastAsia="仿宋_GB2312" w:cs="仿宋_GB2312"/>
                <w:sz w:val="24"/>
                <w:szCs w:val="24"/>
                <w:highlight w:val="none"/>
                <w:vertAlign w:val="baseline"/>
                <w:lang w:val="en-US" w:eastAsia="zh-CN"/>
              </w:rPr>
            </w:pPr>
          </w:p>
        </w:tc>
        <w:tc>
          <w:tcPr>
            <w:tcW w:w="1052" w:type="dxa"/>
          </w:tcPr>
          <w:p w14:paraId="3429AA56">
            <w:pPr>
              <w:rPr>
                <w:rFonts w:hint="eastAsia" w:ascii="仿宋_GB2312" w:hAnsi="仿宋_GB2312" w:eastAsia="仿宋_GB2312" w:cs="仿宋_GB2312"/>
                <w:sz w:val="24"/>
                <w:szCs w:val="24"/>
                <w:highlight w:val="none"/>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highlight w:val="none"/>
                <w:vertAlign w:val="baseline"/>
                <w:lang w:val="en-US" w:eastAsia="zh-CN"/>
              </w:rPr>
            </w:pPr>
          </w:p>
        </w:tc>
        <w:tc>
          <w:tcPr>
            <w:tcW w:w="1421" w:type="dxa"/>
          </w:tcPr>
          <w:p w14:paraId="3F22D53C">
            <w:pPr>
              <w:rPr>
                <w:rFonts w:hint="eastAsia" w:ascii="仿宋_GB2312" w:hAnsi="仿宋_GB2312" w:eastAsia="仿宋_GB2312" w:cs="仿宋_GB2312"/>
                <w:sz w:val="24"/>
                <w:szCs w:val="24"/>
                <w:highlight w:val="none"/>
                <w:vertAlign w:val="baseline"/>
                <w:lang w:val="en-US" w:eastAsia="zh-CN"/>
              </w:rPr>
            </w:pPr>
          </w:p>
        </w:tc>
        <w:tc>
          <w:tcPr>
            <w:tcW w:w="1901" w:type="dxa"/>
          </w:tcPr>
          <w:p w14:paraId="5BDB8EA2">
            <w:pPr>
              <w:rPr>
                <w:rFonts w:hint="eastAsia" w:ascii="仿宋_GB2312" w:hAnsi="仿宋_GB2312" w:eastAsia="仿宋_GB2312" w:cs="仿宋_GB2312"/>
                <w:sz w:val="24"/>
                <w:szCs w:val="24"/>
                <w:highlight w:val="none"/>
                <w:vertAlign w:val="baseline"/>
                <w:lang w:val="en-US" w:eastAsia="zh-CN"/>
              </w:rPr>
            </w:pPr>
          </w:p>
        </w:tc>
        <w:tc>
          <w:tcPr>
            <w:tcW w:w="1753" w:type="dxa"/>
          </w:tcPr>
          <w:p w14:paraId="57DF6391">
            <w:pPr>
              <w:rPr>
                <w:rFonts w:hint="eastAsia" w:ascii="仿宋_GB2312" w:hAnsi="仿宋_GB2312" w:eastAsia="仿宋_GB2312" w:cs="仿宋_GB2312"/>
                <w:sz w:val="24"/>
                <w:szCs w:val="24"/>
                <w:highlight w:val="none"/>
                <w:vertAlign w:val="baseline"/>
                <w:lang w:val="en-US" w:eastAsia="zh-CN"/>
              </w:rPr>
            </w:pPr>
          </w:p>
        </w:tc>
        <w:tc>
          <w:tcPr>
            <w:tcW w:w="1561" w:type="dxa"/>
          </w:tcPr>
          <w:p w14:paraId="7BDB1293">
            <w:pPr>
              <w:rPr>
                <w:rFonts w:hint="eastAsia" w:ascii="仿宋_GB2312" w:hAnsi="仿宋_GB2312" w:eastAsia="仿宋_GB2312" w:cs="仿宋_GB2312"/>
                <w:sz w:val="24"/>
                <w:szCs w:val="24"/>
                <w:highlight w:val="none"/>
                <w:vertAlign w:val="baseline"/>
                <w:lang w:val="en-US" w:eastAsia="zh-CN"/>
              </w:rPr>
            </w:pPr>
          </w:p>
        </w:tc>
        <w:tc>
          <w:tcPr>
            <w:tcW w:w="1052" w:type="dxa"/>
          </w:tcPr>
          <w:p w14:paraId="4D1BFCF4">
            <w:pPr>
              <w:rPr>
                <w:rFonts w:hint="eastAsia" w:ascii="仿宋_GB2312" w:hAnsi="仿宋_GB2312" w:eastAsia="仿宋_GB2312" w:cs="仿宋_GB2312"/>
                <w:sz w:val="24"/>
                <w:szCs w:val="24"/>
                <w:highlight w:val="none"/>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42" w:name="_Toc6441"/>
      <w:r>
        <w:rPr>
          <w:rFonts w:hint="eastAsia" w:ascii="仿宋_GB2312" w:hAnsi="仿宋_GB2312" w:eastAsia="仿宋_GB2312" w:cs="仿宋_GB2312"/>
          <w:sz w:val="24"/>
          <w:szCs w:val="24"/>
          <w:highlight w:val="none"/>
          <w:lang w:val="en-US" w:eastAsia="zh-CN"/>
        </w:rPr>
        <w:t>2. “偏离情况”列应据实填写“正偏离”或“负偏离”。</w:t>
      </w:r>
      <w:bookmarkEnd w:id="42"/>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E5F7EC1">
      <w:pPr>
        <w:pStyle w:val="17"/>
        <w:rPr>
          <w:rFonts w:hint="eastAsia" w:ascii="仿宋_GB2312" w:hAnsi="仿宋_GB2312" w:eastAsia="仿宋_GB2312" w:cs="仿宋_GB2312"/>
          <w:sz w:val="24"/>
          <w:szCs w:val="24"/>
          <w:highlight w:val="none"/>
          <w:lang w:val="en-US" w:eastAsia="zh-CN"/>
        </w:rPr>
      </w:pPr>
    </w:p>
    <w:p w14:paraId="302868F5">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295605CA">
      <w:pPr>
        <w:pStyle w:val="14"/>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3" w:name="_Toc7042"/>
      <w:r>
        <w:rPr>
          <w:rFonts w:hint="eastAsia" w:ascii="仿宋_GB2312" w:hAnsi="仿宋_GB2312" w:eastAsia="仿宋_GB2312" w:cs="仿宋_GB2312"/>
          <w:sz w:val="24"/>
          <w:szCs w:val="24"/>
          <w:highlight w:val="none"/>
          <w:lang w:val="en-US" w:eastAsia="zh-CN"/>
        </w:rPr>
        <w:t xml:space="preserve">9  </w:t>
      </w:r>
      <w:bookmarkEnd w:id="43"/>
      <w:r>
        <w:rPr>
          <w:rFonts w:hint="eastAsia" w:ascii="仿宋_GB2312" w:hAnsi="仿宋_GB2312" w:eastAsia="仿宋_GB2312" w:cs="仿宋_GB2312"/>
          <w:sz w:val="24"/>
          <w:szCs w:val="24"/>
          <w:highlight w:val="none"/>
          <w:lang w:val="en-US" w:eastAsia="zh-CN"/>
        </w:rPr>
        <w:t>采购需求偏离表</w:t>
      </w:r>
    </w:p>
    <w:p w14:paraId="13FD61CA">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9E32208">
      <w:pPr>
        <w:pStyle w:val="14"/>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2A771FC1">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BCEFC7E">
      <w:pPr>
        <w:pStyle w:val="14"/>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项目编号/包（标项）号：                 项目名称：           </w:t>
      </w:r>
    </w:p>
    <w:tbl>
      <w:tblPr>
        <w:tblStyle w:val="19"/>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0D5A9861">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5D2DC8C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pStyle w:val="16"/>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业绩一览表（格式）</w:t>
      </w:r>
    </w:p>
    <w:p w14:paraId="44C9C318">
      <w:pPr>
        <w:pStyle w:val="16"/>
        <w:numPr>
          <w:ilvl w:val="0"/>
          <w:numId w:val="0"/>
        </w:numPr>
        <w:ind w:leftChars="0"/>
        <w:rPr>
          <w:rFonts w:hint="eastAsia" w:ascii="仿宋_GB2312" w:hAnsi="仿宋_GB2312" w:eastAsia="仿宋_GB2312" w:cs="仿宋_GB2312"/>
          <w:sz w:val="24"/>
          <w:szCs w:val="24"/>
          <w:highlight w:val="none"/>
          <w:vertAlign w:val="baseline"/>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115" w:type="dxa"/>
          </w:tcPr>
          <w:p w14:paraId="35503AF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订货时间</w:t>
            </w:r>
          </w:p>
        </w:tc>
        <w:tc>
          <w:tcPr>
            <w:tcW w:w="1414" w:type="dxa"/>
          </w:tcPr>
          <w:p w14:paraId="52FD392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型号（规格）</w:t>
            </w:r>
          </w:p>
        </w:tc>
        <w:tc>
          <w:tcPr>
            <w:tcW w:w="1062" w:type="dxa"/>
          </w:tcPr>
          <w:p w14:paraId="627AB27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数量（台/套）</w:t>
            </w:r>
          </w:p>
        </w:tc>
        <w:tc>
          <w:tcPr>
            <w:tcW w:w="1062" w:type="dxa"/>
          </w:tcPr>
          <w:p w14:paraId="2F6D24D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合同签订时间</w:t>
            </w:r>
          </w:p>
        </w:tc>
        <w:tc>
          <w:tcPr>
            <w:tcW w:w="1062" w:type="dxa"/>
          </w:tcPr>
          <w:p w14:paraId="6467EB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采购单位</w:t>
            </w:r>
          </w:p>
        </w:tc>
        <w:tc>
          <w:tcPr>
            <w:tcW w:w="1063" w:type="dxa"/>
          </w:tcPr>
          <w:p w14:paraId="17DD252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联系人及</w:t>
            </w:r>
          </w:p>
          <w:p w14:paraId="475A495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电话</w:t>
            </w:r>
          </w:p>
        </w:tc>
        <w:tc>
          <w:tcPr>
            <w:tcW w:w="1063" w:type="dxa"/>
          </w:tcPr>
          <w:p w14:paraId="5EBEE56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413996C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AE8F53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4E460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9D3710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060E46E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CE243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10DC309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245FBA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4686D4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43C12B3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6D623D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F0C3DE">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84A816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3FDFFF0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0BB4B9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434C678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2BF518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692F67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DE5B73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DA70D2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2D5ED5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bl>
    <w:p w14:paraId="05F6FF6F">
      <w:pPr>
        <w:pStyle w:val="16"/>
        <w:numPr>
          <w:ilvl w:val="0"/>
          <w:numId w:val="0"/>
        </w:numPr>
        <w:ind w:left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  </w:t>
      </w:r>
    </w:p>
    <w:p w14:paraId="4BD457A9">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投标无效</w:t>
      </w:r>
      <w:r>
        <w:rPr>
          <w:rFonts w:hint="eastAsia" w:ascii="仿宋_GB2312" w:hAnsi="仿宋_GB2312" w:eastAsia="仿宋_GB2312" w:cs="仿宋_GB2312"/>
          <w:kern w:val="2"/>
          <w:sz w:val="24"/>
          <w:szCs w:val="24"/>
          <w:highlight w:val="none"/>
          <w:lang w:val="en-US" w:eastAsia="zh-CN" w:bidi="ar-SA"/>
        </w:rPr>
        <w:t>并被拒绝。 2.投标人应按照采购文件第六章评标程序、评标方法和评标标准中的要求提供业绩证明材料。</w:t>
      </w:r>
    </w:p>
    <w:p w14:paraId="2FFA81F1">
      <w:pPr>
        <w:pStyle w:val="16"/>
        <w:ind w:left="0" w:leftChars="0" w:firstLine="0" w:firstLineChars="0"/>
        <w:rPr>
          <w:rFonts w:hint="eastAsia" w:ascii="仿宋_GB2312" w:hAnsi="仿宋_GB2312" w:eastAsia="仿宋_GB2312" w:cs="仿宋_GB2312"/>
          <w:sz w:val="24"/>
          <w:szCs w:val="24"/>
          <w:highlight w:val="none"/>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pStyle w:val="17"/>
        <w:rPr>
          <w:rFonts w:hint="eastAsia"/>
          <w:highlight w:val="none"/>
          <w:lang w:val="en-US" w:eastAsia="zh-CN"/>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11、</w:t>
      </w:r>
      <w:r>
        <w:rPr>
          <w:rFonts w:hint="eastAsia" w:ascii="仿宋_GB2312" w:hAnsi="仿宋_GB2312" w:eastAsia="仿宋_GB2312" w:cs="仿宋_GB2312"/>
          <w:sz w:val="24"/>
          <w:szCs w:val="24"/>
          <w:highlight w:val="none"/>
          <w:lang w:val="en-US" w:eastAsia="zh-CN"/>
        </w:rPr>
        <w:t>供应商所投的产品，符合节能产品、环境标志产品政策要求的，按以下格式提供说明</w:t>
      </w:r>
    </w:p>
    <w:p w14:paraId="47DF6476">
      <w:pPr>
        <w:numPr>
          <w:ilvl w:val="0"/>
          <w:numId w:val="0"/>
        </w:numPr>
        <w:rPr>
          <w:rFonts w:hint="eastAsia" w:ascii="仿宋_GB2312" w:hAnsi="仿宋_GB2312" w:eastAsia="仿宋_GB2312" w:cs="仿宋_GB2312"/>
          <w:sz w:val="24"/>
          <w:szCs w:val="24"/>
          <w:highlight w:val="none"/>
          <w:lang w:val="en-US" w:eastAsia="zh-CN"/>
        </w:rPr>
      </w:pPr>
    </w:p>
    <w:p w14:paraId="68A255F3">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25982DE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56E7E097">
      <w:pPr>
        <w:numPr>
          <w:ilvl w:val="0"/>
          <w:numId w:val="0"/>
        </w:numPr>
        <w:rPr>
          <w:rFonts w:hint="eastAsia" w:ascii="仿宋_GB2312" w:hAnsi="仿宋_GB2312" w:eastAsia="仿宋_GB2312" w:cs="仿宋_GB2312"/>
          <w:sz w:val="24"/>
          <w:szCs w:val="24"/>
          <w:highlight w:val="none"/>
          <w:lang w:val="en-US" w:eastAsia="zh-CN"/>
        </w:rPr>
      </w:pPr>
    </w:p>
    <w:p w14:paraId="736BCE8D">
      <w:pPr>
        <w:numPr>
          <w:ilvl w:val="0"/>
          <w:numId w:val="0"/>
        </w:numPr>
        <w:rPr>
          <w:rFonts w:hint="eastAsia" w:ascii="仿宋_GB2312" w:hAnsi="仿宋_GB2312" w:eastAsia="仿宋_GB2312" w:cs="仿宋_GB2312"/>
          <w:sz w:val="24"/>
          <w:szCs w:val="24"/>
          <w:highlight w:val="none"/>
          <w:lang w:val="en-US" w:eastAsia="zh-CN"/>
        </w:rPr>
      </w:pPr>
    </w:p>
    <w:p w14:paraId="334834FD">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3C1BAF5D">
      <w:pPr>
        <w:numPr>
          <w:ilvl w:val="0"/>
          <w:numId w:val="0"/>
        </w:numPr>
        <w:rPr>
          <w:rFonts w:hint="eastAsia" w:ascii="仿宋_GB2312" w:hAnsi="仿宋_GB2312" w:eastAsia="仿宋_GB2312" w:cs="仿宋_GB2312"/>
          <w:sz w:val="24"/>
          <w:szCs w:val="24"/>
          <w:highlight w:val="none"/>
          <w:lang w:val="en-US" w:eastAsia="zh-CN"/>
        </w:rPr>
      </w:pPr>
    </w:p>
    <w:p w14:paraId="0D7D061B">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0840F5F9">
      <w:pPr>
        <w:numPr>
          <w:ilvl w:val="0"/>
          <w:numId w:val="0"/>
        </w:numPr>
        <w:rPr>
          <w:rFonts w:hint="eastAsia" w:ascii="仿宋_GB2312" w:hAnsi="仿宋_GB2312" w:eastAsia="仿宋_GB2312" w:cs="仿宋_GB2312"/>
          <w:sz w:val="24"/>
          <w:szCs w:val="24"/>
          <w:highlight w:val="none"/>
          <w:lang w:val="en-US" w:eastAsia="zh-CN"/>
        </w:rPr>
      </w:pPr>
    </w:p>
    <w:p w14:paraId="7E07D425">
      <w:pPr>
        <w:numPr>
          <w:ilvl w:val="0"/>
          <w:numId w:val="0"/>
        </w:numPr>
        <w:rPr>
          <w:rFonts w:hint="eastAsia" w:ascii="仿宋_GB2312" w:hAnsi="仿宋_GB2312" w:eastAsia="仿宋_GB2312" w:cs="仿宋_GB2312"/>
          <w:sz w:val="24"/>
          <w:szCs w:val="24"/>
          <w:highlight w:val="none"/>
          <w:lang w:val="en-US" w:eastAsia="zh-CN"/>
        </w:rPr>
      </w:pPr>
    </w:p>
    <w:p w14:paraId="61D8E7C6">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7E567251">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4E300812">
      <w:pPr>
        <w:numPr>
          <w:ilvl w:val="0"/>
          <w:numId w:val="0"/>
        </w:numPr>
        <w:rPr>
          <w:rFonts w:hint="eastAsia" w:ascii="仿宋_GB2312" w:hAnsi="仿宋_GB2312" w:eastAsia="仿宋_GB2312" w:cs="仿宋_GB2312"/>
          <w:sz w:val="24"/>
          <w:szCs w:val="24"/>
          <w:highlight w:val="none"/>
          <w:lang w:val="en-US" w:eastAsia="zh-CN"/>
        </w:rPr>
      </w:pPr>
    </w:p>
    <w:p w14:paraId="6E3E1512">
      <w:pPr>
        <w:numPr>
          <w:ilvl w:val="0"/>
          <w:numId w:val="0"/>
        </w:numPr>
        <w:rPr>
          <w:rFonts w:hint="eastAsia" w:ascii="仿宋_GB2312" w:hAnsi="仿宋_GB2312" w:eastAsia="仿宋_GB2312" w:cs="仿宋_GB2312"/>
          <w:sz w:val="24"/>
          <w:szCs w:val="24"/>
          <w:highlight w:val="none"/>
          <w:lang w:val="en-US" w:eastAsia="zh-CN"/>
        </w:rPr>
      </w:pPr>
    </w:p>
    <w:p w14:paraId="5655A20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40BDEADD">
      <w:pPr>
        <w:numPr>
          <w:ilvl w:val="0"/>
          <w:numId w:val="0"/>
        </w:numPr>
        <w:rPr>
          <w:rFonts w:hint="eastAsia" w:ascii="仿宋_GB2312" w:hAnsi="仿宋_GB2312" w:eastAsia="仿宋_GB2312" w:cs="仿宋_GB2312"/>
          <w:sz w:val="24"/>
          <w:szCs w:val="24"/>
          <w:highlight w:val="none"/>
          <w:lang w:val="en-US" w:eastAsia="zh-CN"/>
        </w:rPr>
      </w:pPr>
    </w:p>
    <w:p w14:paraId="4B2EFE94">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47C8C061">
      <w:pPr>
        <w:numPr>
          <w:ilvl w:val="0"/>
          <w:numId w:val="0"/>
        </w:numPr>
        <w:rPr>
          <w:rFonts w:hint="eastAsia" w:ascii="仿宋_GB2312" w:hAnsi="仿宋_GB2312" w:eastAsia="仿宋_GB2312" w:cs="仿宋_GB2312"/>
          <w:sz w:val="24"/>
          <w:szCs w:val="24"/>
          <w:highlight w:val="none"/>
          <w:lang w:val="en-US" w:eastAsia="zh-CN"/>
        </w:rPr>
      </w:pPr>
    </w:p>
    <w:p w14:paraId="2DDB0F26">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52904815">
      <w:pPr>
        <w:numPr>
          <w:ilvl w:val="0"/>
          <w:numId w:val="0"/>
        </w:numPr>
        <w:rPr>
          <w:rFonts w:hint="eastAsia" w:ascii="仿宋_GB2312" w:hAnsi="仿宋_GB2312" w:eastAsia="仿宋_GB2312" w:cs="仿宋_GB2312"/>
          <w:sz w:val="21"/>
          <w:szCs w:val="21"/>
          <w:highlight w:val="none"/>
          <w:lang w:val="en-US" w:eastAsia="zh-CN"/>
        </w:rPr>
      </w:pPr>
    </w:p>
    <w:p w14:paraId="4F7AAA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123251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7A38589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06019EB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2"/>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2"/>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2"/>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2"/>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2"/>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28"/>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28"/>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7746A76">
      <w:pPr>
        <w:pStyle w:val="16"/>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13、采购文件要求提供或投标人认为应附的其他材料</w:t>
      </w:r>
    </w:p>
    <w:p w14:paraId="74EC9DAD">
      <w:pPr>
        <w:pStyle w:val="14"/>
        <w:rPr>
          <w:rFonts w:hint="eastAsia" w:ascii="仿宋_GB2312" w:hAnsi="仿宋_GB2312" w:eastAsia="仿宋_GB2312" w:cs="仿宋_GB2312"/>
          <w:highlight w:val="none"/>
          <w:lang w:val="en-US" w:eastAsia="zh-CN"/>
        </w:rPr>
      </w:pPr>
    </w:p>
    <w:p w14:paraId="4902779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44" w:name="_Ref467988543"/>
      <w:bookmarkStart w:id="45" w:name="_Toc480942355"/>
      <w:bookmarkStart w:id="46" w:name="_Toc216582819"/>
      <w:bookmarkStart w:id="47" w:name="_Toc520356224"/>
      <w:bookmarkStart w:id="48" w:name="_Toc20238"/>
      <w:bookmarkStart w:id="49" w:name="_Toc21320"/>
      <w:bookmarkStart w:id="50" w:name="_Toc17143"/>
      <w:bookmarkStart w:id="51" w:name="_Toc15963"/>
      <w:bookmarkStart w:id="52" w:name="_Toc522"/>
      <w:bookmarkStart w:id="53" w:name="_Toc4183"/>
      <w:bookmarkStart w:id="54" w:name="_Toc507399535"/>
      <w:bookmarkStart w:id="55" w:name="_Toc9592"/>
      <w:bookmarkStart w:id="56" w:name="_Toc3420"/>
      <w:bookmarkStart w:id="57" w:name="_Toc8281"/>
      <w:r>
        <w:rPr>
          <w:rFonts w:hint="eastAsia" w:ascii="仿宋_GB2312" w:hAnsi="仿宋_GB2312" w:eastAsia="仿宋_GB2312" w:cs="仿宋_GB2312"/>
          <w:b/>
          <w:bCs/>
          <w:kern w:val="2"/>
          <w:sz w:val="24"/>
          <w:szCs w:val="32"/>
          <w:highlight w:val="none"/>
          <w:lang w:val="en-US" w:eastAsia="zh-CN" w:bidi="ar-SA"/>
        </w:rPr>
        <w:t xml:space="preserve">14   </w:t>
      </w:r>
      <w:bookmarkEnd w:id="44"/>
      <w:bookmarkEnd w:id="45"/>
      <w:bookmarkEnd w:id="46"/>
      <w:bookmarkEnd w:id="47"/>
      <w:bookmarkStart w:id="58" w:name="_Hlt520343000"/>
      <w:bookmarkEnd w:id="58"/>
      <w:bookmarkStart w:id="59" w:name="_Hlt520273711"/>
      <w:bookmarkEnd w:id="59"/>
      <w:bookmarkStart w:id="60" w:name="_Hlt520350918"/>
      <w:bookmarkEnd w:id="60"/>
      <w:bookmarkStart w:id="61" w:name="_Hlt520274911"/>
      <w:bookmarkEnd w:id="61"/>
      <w:bookmarkStart w:id="62" w:name="_Hlt520274065"/>
      <w:bookmarkEnd w:id="62"/>
      <w:bookmarkStart w:id="63" w:name="_Hlt520350957"/>
      <w:bookmarkEnd w:id="63"/>
      <w:bookmarkStart w:id="64" w:name="_Hlt520274407"/>
      <w:bookmarkEnd w:id="64"/>
      <w:bookmarkStart w:id="65" w:name="_Hlt520271212"/>
      <w:bookmarkEnd w:id="65"/>
      <w:bookmarkStart w:id="66" w:name="_Hlt520343392"/>
      <w:bookmarkEnd w:id="66"/>
      <w:bookmarkStart w:id="67" w:name="_Hlt520274393"/>
      <w:bookmarkEnd w:id="67"/>
      <w:bookmarkStart w:id="68" w:name="_Hlt520273973"/>
      <w:bookmarkEnd w:id="68"/>
      <w:bookmarkStart w:id="69" w:name="_Toc216582821"/>
      <w:bookmarkStart w:id="70" w:name="_Toc216513801"/>
      <w:r>
        <w:rPr>
          <w:rFonts w:hint="eastAsia" w:ascii="仿宋_GB2312" w:hAnsi="仿宋_GB2312" w:eastAsia="仿宋_GB2312" w:cs="仿宋_GB2312"/>
          <w:b/>
          <w:bCs/>
          <w:kern w:val="2"/>
          <w:sz w:val="24"/>
          <w:szCs w:val="32"/>
          <w:highlight w:val="none"/>
          <w:lang w:val="en-US" w:eastAsia="zh-CN" w:bidi="ar-SA"/>
        </w:rPr>
        <w:t>中标服务费承诺书</w:t>
      </w:r>
      <w:bookmarkEnd w:id="48"/>
      <w:bookmarkEnd w:id="49"/>
      <w:bookmarkEnd w:id="50"/>
      <w:bookmarkEnd w:id="51"/>
      <w:bookmarkEnd w:id="52"/>
      <w:bookmarkEnd w:id="53"/>
      <w:bookmarkEnd w:id="54"/>
      <w:bookmarkEnd w:id="55"/>
    </w:p>
    <w:p w14:paraId="4E67CB56">
      <w:pPr>
        <w:spacing w:line="240" w:lineRule="atLeast"/>
        <w:ind w:left="1080" w:leftChars="257" w:hanging="540"/>
        <w:rPr>
          <w:rFonts w:hint="eastAsia" w:ascii="仿宋_GB2312" w:hAnsi="仿宋_GB2312" w:eastAsia="仿宋_GB2312" w:cs="仿宋_GB2312"/>
          <w:b/>
          <w:sz w:val="24"/>
          <w:highlight w:val="none"/>
        </w:rPr>
      </w:pPr>
    </w:p>
    <w:p w14:paraId="51D19976">
      <w:pPr>
        <w:spacing w:line="240" w:lineRule="atLeast"/>
        <w:ind w:left="1080"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pacing w:line="440" w:lineRule="exact"/>
        <w:ind w:left="1080" w:hanging="1080"/>
        <w:rPr>
          <w:rFonts w:hint="eastAsia" w:ascii="仿宋_GB2312" w:hAnsi="仿宋_GB2312" w:eastAsia="仿宋_GB2312" w:cs="仿宋_GB2312"/>
          <w:sz w:val="24"/>
          <w:highlight w:val="none"/>
        </w:rPr>
      </w:pPr>
    </w:p>
    <w:p w14:paraId="7B0F7B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highlight w:val="none"/>
        </w:rPr>
      </w:pPr>
    </w:p>
    <w:p w14:paraId="03435E33">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pacing w:line="440" w:lineRule="exact"/>
        <w:ind w:left="1080" w:leftChars="257" w:hanging="540"/>
        <w:rPr>
          <w:rFonts w:hint="eastAsia" w:ascii="仿宋_GB2312" w:hAnsi="仿宋_GB2312" w:eastAsia="仿宋_GB2312" w:cs="仿宋_GB2312"/>
          <w:sz w:val="24"/>
          <w:highlight w:val="none"/>
        </w:rPr>
      </w:pPr>
    </w:p>
    <w:p w14:paraId="58630916">
      <w:pPr>
        <w:spacing w:line="440" w:lineRule="exact"/>
        <w:ind w:left="1080" w:leftChars="257" w:hanging="540"/>
        <w:rPr>
          <w:rFonts w:hint="eastAsia" w:ascii="仿宋_GB2312" w:hAnsi="仿宋_GB2312" w:eastAsia="仿宋_GB2312" w:cs="仿宋_GB2312"/>
          <w:sz w:val="24"/>
          <w:highlight w:val="none"/>
        </w:rPr>
      </w:pPr>
    </w:p>
    <w:p w14:paraId="436BA01B">
      <w:pPr>
        <w:spacing w:line="440" w:lineRule="exact"/>
        <w:ind w:left="1080" w:leftChars="257" w:hanging="540"/>
        <w:rPr>
          <w:rFonts w:hint="eastAsia" w:ascii="仿宋_GB2312" w:hAnsi="仿宋_GB2312" w:eastAsia="仿宋_GB2312" w:cs="仿宋_GB2312"/>
          <w:sz w:val="24"/>
          <w:highlight w:val="none"/>
        </w:rPr>
      </w:pPr>
    </w:p>
    <w:p w14:paraId="574B7AFD">
      <w:pPr>
        <w:spacing w:line="440" w:lineRule="exact"/>
        <w:ind w:left="1080" w:leftChars="257" w:hanging="540"/>
        <w:rPr>
          <w:rFonts w:hint="eastAsia" w:ascii="仿宋_GB2312" w:hAnsi="仿宋_GB2312" w:eastAsia="仿宋_GB2312" w:cs="仿宋_GB2312"/>
          <w:sz w:val="24"/>
          <w:highlight w:val="none"/>
        </w:rPr>
      </w:pPr>
    </w:p>
    <w:p w14:paraId="0921CCAD">
      <w:pPr>
        <w:spacing w:line="440" w:lineRule="exact"/>
        <w:ind w:left="1080" w:hanging="1080"/>
        <w:rPr>
          <w:rFonts w:hint="eastAsia" w:ascii="仿宋_GB2312" w:hAnsi="仿宋_GB2312" w:eastAsia="仿宋_GB2312" w:cs="仿宋_GB2312"/>
          <w:sz w:val="24"/>
          <w:highlight w:val="none"/>
        </w:rPr>
      </w:pPr>
    </w:p>
    <w:p w14:paraId="3852A371">
      <w:pPr>
        <w:spacing w:line="440" w:lineRule="exact"/>
        <w:ind w:left="1413"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pacing w:line="440" w:lineRule="exact"/>
        <w:ind w:left="1620"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69"/>
      <w:bookmarkEnd w:id="70"/>
    </w:p>
    <w:bookmarkEnd w:id="56"/>
    <w:bookmarkEnd w:id="57"/>
    <w:p w14:paraId="0F5F0768">
      <w:pPr>
        <w:rPr>
          <w:rFonts w:hint="eastAsia" w:ascii="仿宋_GB2312" w:hAnsi="仿宋_GB2312" w:eastAsia="仿宋_GB2312" w:cs="仿宋_GB2312"/>
          <w:b w:val="0"/>
          <w:bCs w:val="0"/>
          <w:color w:val="000000"/>
          <w:kern w:val="0"/>
          <w:sz w:val="24"/>
          <w:szCs w:val="24"/>
          <w:highlight w:val="none"/>
          <w:lang w:val="en-US" w:eastAsia="zh-CN" w:bidi="ar"/>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486721-A3DB-46A6-94A1-7ACEB3C2229D}"/>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D082EC9E-AB54-4EB6-9EC5-E37EA2711E2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D145FA70-0B7E-4137-A244-6496DEC09834}"/>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embedRegular r:id="rId4" w:fontKey="{ADEE3D64-7488-4AFA-A13E-4048478C77E5}"/>
  </w:font>
  <w:font w:name="微软雅黑">
    <w:panose1 w:val="020B0503020204020204"/>
    <w:charset w:val="86"/>
    <w:family w:val="auto"/>
    <w:pitch w:val="default"/>
    <w:sig w:usb0="80000287" w:usb1="2ACF3C50" w:usb2="00000016" w:usb3="00000000" w:csb0="0004001F" w:csb1="00000000"/>
    <w:embedRegular r:id="rId5" w:fontKey="{B019AB38-F47F-4319-A947-A126641F217B}"/>
  </w:font>
  <w:font w:name="方正小标宋简体">
    <w:panose1 w:val="02000000000000000000"/>
    <w:charset w:val="86"/>
    <w:family w:val="auto"/>
    <w:pitch w:val="default"/>
    <w:sig w:usb0="00000001" w:usb1="08000000" w:usb2="00000000" w:usb3="00000000" w:csb0="00040000" w:csb1="00000000"/>
    <w:embedRegular r:id="rId6" w:fontKey="{8A322B53-B98B-4D2E-93E9-34C4458DE80B}"/>
  </w:font>
  <w:font w:name="Microsoft JhengHei UI">
    <w:panose1 w:val="020B0604030504040204"/>
    <w:charset w:val="88"/>
    <w:family w:val="auto"/>
    <w:pitch w:val="default"/>
    <w:sig w:usb0="000002A7" w:usb1="28CF4400" w:usb2="00000016" w:usb3="00000000" w:csb0="00100009" w:csb1="00000000"/>
    <w:embedRegular r:id="rId7" w:fontKey="{BDBC4965-5EC4-4341-93A2-03B9A9ED39E9}"/>
  </w:font>
  <w:font w:name="方正仿宋_GB2312">
    <w:panose1 w:val="02000000000000000000"/>
    <w:charset w:val="86"/>
    <w:family w:val="auto"/>
    <w:pitch w:val="default"/>
    <w:sig w:usb0="A00002BF" w:usb1="184F6CFA" w:usb2="00000012" w:usb3="00000000" w:csb0="00040001" w:csb1="00000000"/>
    <w:embedRegular r:id="rId8" w:fontKey="{1F0071BE-DD62-46D6-B2A5-42021BACB700}"/>
  </w:font>
  <w:font w:name="华文中宋">
    <w:panose1 w:val="02010600040101010101"/>
    <w:charset w:val="86"/>
    <w:family w:val="auto"/>
    <w:pitch w:val="default"/>
    <w:sig w:usb0="00000287" w:usb1="080F0000" w:usb2="00000000" w:usb3="00000000" w:csb0="0004009F" w:csb1="DFD70000"/>
    <w:embedRegular r:id="rId9" w:fontKey="{82B1023C-88C2-4C00-BA66-E7A6AFB31524}"/>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4E8E">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1C18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901C18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3"/>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3"/>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7839">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5FE2DA7"/>
    <w:multiLevelType w:val="singleLevel"/>
    <w:tmpl w:val="05FE2DA7"/>
    <w:lvl w:ilvl="0" w:tentative="0">
      <w:start w:val="1"/>
      <w:numFmt w:val="chineseCounting"/>
      <w:suff w:val="space"/>
      <w:lvlText w:val="第%1章"/>
      <w:lvlJc w:val="left"/>
      <w:rPr>
        <w:rFonts w:hint="eastAsia"/>
      </w:rPr>
    </w:lvl>
  </w:abstractNum>
  <w:abstractNum w:abstractNumId="8">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09E5A242"/>
    <w:multiLevelType w:val="singleLevel"/>
    <w:tmpl w:val="09E5A242"/>
    <w:lvl w:ilvl="0" w:tentative="0">
      <w:start w:val="2"/>
      <w:numFmt w:val="chineseCounting"/>
      <w:suff w:val="nothing"/>
      <w:lvlText w:val="%1、"/>
      <w:lvlJc w:val="left"/>
      <w:rPr>
        <w:rFonts w:hint="eastAsia"/>
      </w:rPr>
    </w:lvl>
  </w:abstractNum>
  <w:abstractNum w:abstractNumId="10">
    <w:nsid w:val="0F118BC3"/>
    <w:multiLevelType w:val="singleLevel"/>
    <w:tmpl w:val="0F118BC3"/>
    <w:lvl w:ilvl="0" w:tentative="0">
      <w:start w:val="1"/>
      <w:numFmt w:val="chineseCounting"/>
      <w:suff w:val="nothing"/>
      <w:lvlText w:val="%1、"/>
      <w:lvlJc w:val="left"/>
      <w:rPr>
        <w:rFonts w:hint="eastAsia"/>
      </w:rPr>
    </w:lvl>
  </w:abstractNum>
  <w:abstractNum w:abstractNumId="11">
    <w:nsid w:val="3BC6F39C"/>
    <w:multiLevelType w:val="singleLevel"/>
    <w:tmpl w:val="3BC6F39C"/>
    <w:lvl w:ilvl="0" w:tentative="0">
      <w:start w:val="1"/>
      <w:numFmt w:val="decimal"/>
      <w:suff w:val="space"/>
      <w:lvlText w:val="%1."/>
      <w:lvlJc w:val="left"/>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5">
    <w:nsid w:val="78F60E4F"/>
    <w:multiLevelType w:val="singleLevel"/>
    <w:tmpl w:val="78F60E4F"/>
    <w:lvl w:ilvl="0" w:tentative="0">
      <w:start w:val="1"/>
      <w:numFmt w:val="chineseCounting"/>
      <w:suff w:val="nothing"/>
      <w:lvlText w:val="%1、"/>
      <w:lvlJc w:val="left"/>
      <w:rPr>
        <w:rFonts w:hint="eastAsia"/>
      </w:rPr>
    </w:lvl>
  </w:abstractNum>
  <w:abstractNum w:abstractNumId="16">
    <w:nsid w:val="7A0F6431"/>
    <w:multiLevelType w:val="singleLevel"/>
    <w:tmpl w:val="7A0F6431"/>
    <w:lvl w:ilvl="0" w:tentative="0">
      <w:start w:val="1"/>
      <w:numFmt w:val="decimal"/>
      <w:suff w:val="space"/>
      <w:lvlText w:val="%1."/>
      <w:lvlJc w:val="left"/>
    </w:lvl>
  </w:abstractNum>
  <w:num w:numId="1">
    <w:abstractNumId w:val="7"/>
  </w:num>
  <w:num w:numId="2">
    <w:abstractNumId w:val="15"/>
  </w:num>
  <w:num w:numId="3">
    <w:abstractNumId w:val="14"/>
  </w:num>
  <w:num w:numId="4">
    <w:abstractNumId w:val="8"/>
  </w:num>
  <w:num w:numId="5">
    <w:abstractNumId w:val="3"/>
  </w:num>
  <w:num w:numId="6">
    <w:abstractNumId w:val="12"/>
  </w:num>
  <w:num w:numId="7">
    <w:abstractNumId w:val="1"/>
  </w:num>
  <w:num w:numId="8">
    <w:abstractNumId w:val="9"/>
  </w:num>
  <w:num w:numId="9">
    <w:abstractNumId w:val="16"/>
  </w:num>
  <w:num w:numId="10">
    <w:abstractNumId w:val="4"/>
  </w:num>
  <w:num w:numId="11">
    <w:abstractNumId w:val="6"/>
  </w:num>
  <w:num w:numId="12">
    <w:abstractNumId w:val="5"/>
  </w:num>
  <w:num w:numId="13">
    <w:abstractNumId w:val="10"/>
  </w:num>
  <w:num w:numId="14">
    <w:abstractNumId w:val="1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9444C8"/>
    <w:rsid w:val="00EF7950"/>
    <w:rsid w:val="010827C0"/>
    <w:rsid w:val="01616098"/>
    <w:rsid w:val="01B12E58"/>
    <w:rsid w:val="01B327A1"/>
    <w:rsid w:val="01D86637"/>
    <w:rsid w:val="01DD3C4D"/>
    <w:rsid w:val="01FF1E15"/>
    <w:rsid w:val="02662FA4"/>
    <w:rsid w:val="02A50F15"/>
    <w:rsid w:val="02D33993"/>
    <w:rsid w:val="02D36DFE"/>
    <w:rsid w:val="034C72DC"/>
    <w:rsid w:val="03C2759E"/>
    <w:rsid w:val="03D03F34"/>
    <w:rsid w:val="040E43DE"/>
    <w:rsid w:val="0411533A"/>
    <w:rsid w:val="041515B9"/>
    <w:rsid w:val="0422003D"/>
    <w:rsid w:val="04A22F2C"/>
    <w:rsid w:val="04D836CC"/>
    <w:rsid w:val="04DF1A8A"/>
    <w:rsid w:val="04EF43C3"/>
    <w:rsid w:val="052E656D"/>
    <w:rsid w:val="055F4854"/>
    <w:rsid w:val="05775429"/>
    <w:rsid w:val="068C3E93"/>
    <w:rsid w:val="06A64F55"/>
    <w:rsid w:val="06FC007C"/>
    <w:rsid w:val="07352DC2"/>
    <w:rsid w:val="07A74594"/>
    <w:rsid w:val="07AF3996"/>
    <w:rsid w:val="080D4B60"/>
    <w:rsid w:val="083500E3"/>
    <w:rsid w:val="085D1644"/>
    <w:rsid w:val="08A06841"/>
    <w:rsid w:val="08B374B6"/>
    <w:rsid w:val="08FE75D7"/>
    <w:rsid w:val="09322AD0"/>
    <w:rsid w:val="096174F4"/>
    <w:rsid w:val="097D1872"/>
    <w:rsid w:val="09EF36DF"/>
    <w:rsid w:val="09FE6BD3"/>
    <w:rsid w:val="0A3604C6"/>
    <w:rsid w:val="0A7D5FCD"/>
    <w:rsid w:val="0ABD6A5D"/>
    <w:rsid w:val="0B230E75"/>
    <w:rsid w:val="0B3A5C6C"/>
    <w:rsid w:val="0BA54947"/>
    <w:rsid w:val="0BD75BB1"/>
    <w:rsid w:val="0CB97065"/>
    <w:rsid w:val="0D007375"/>
    <w:rsid w:val="0D166265"/>
    <w:rsid w:val="0D240982"/>
    <w:rsid w:val="0D2F0B75"/>
    <w:rsid w:val="0D3861DB"/>
    <w:rsid w:val="0D5D1B80"/>
    <w:rsid w:val="0D774F56"/>
    <w:rsid w:val="0DF201AC"/>
    <w:rsid w:val="0E08233E"/>
    <w:rsid w:val="0E340E7E"/>
    <w:rsid w:val="0E3D7B44"/>
    <w:rsid w:val="0EA24254"/>
    <w:rsid w:val="0F026AA1"/>
    <w:rsid w:val="0F33766C"/>
    <w:rsid w:val="0FAC4A5B"/>
    <w:rsid w:val="108571AB"/>
    <w:rsid w:val="10E70644"/>
    <w:rsid w:val="10EC6CF5"/>
    <w:rsid w:val="110F36F7"/>
    <w:rsid w:val="11ED63EA"/>
    <w:rsid w:val="121D3BF2"/>
    <w:rsid w:val="12371157"/>
    <w:rsid w:val="12753A67"/>
    <w:rsid w:val="12986F2D"/>
    <w:rsid w:val="130059ED"/>
    <w:rsid w:val="13516249"/>
    <w:rsid w:val="13517FF7"/>
    <w:rsid w:val="136F66CF"/>
    <w:rsid w:val="139C2C55"/>
    <w:rsid w:val="13B30B50"/>
    <w:rsid w:val="141352AC"/>
    <w:rsid w:val="147C72F5"/>
    <w:rsid w:val="15673B02"/>
    <w:rsid w:val="15AE15FA"/>
    <w:rsid w:val="15E348F4"/>
    <w:rsid w:val="16192669"/>
    <w:rsid w:val="16201F02"/>
    <w:rsid w:val="1658169C"/>
    <w:rsid w:val="16651E05"/>
    <w:rsid w:val="169E7D63"/>
    <w:rsid w:val="17011D34"/>
    <w:rsid w:val="17737AB1"/>
    <w:rsid w:val="17E92EF4"/>
    <w:rsid w:val="17F83137"/>
    <w:rsid w:val="180C6E5D"/>
    <w:rsid w:val="1890336F"/>
    <w:rsid w:val="19105E10"/>
    <w:rsid w:val="19720CC7"/>
    <w:rsid w:val="197607B7"/>
    <w:rsid w:val="197C38F4"/>
    <w:rsid w:val="19F636A6"/>
    <w:rsid w:val="1A05721A"/>
    <w:rsid w:val="1A383CBF"/>
    <w:rsid w:val="1A7A6085"/>
    <w:rsid w:val="1AB53523"/>
    <w:rsid w:val="1AB66A5D"/>
    <w:rsid w:val="1AC00AF1"/>
    <w:rsid w:val="1ADD31AF"/>
    <w:rsid w:val="1B011FED"/>
    <w:rsid w:val="1B0562A3"/>
    <w:rsid w:val="1BED2887"/>
    <w:rsid w:val="1BEF4851"/>
    <w:rsid w:val="1C8F4B77"/>
    <w:rsid w:val="1CD02907"/>
    <w:rsid w:val="1D1327C1"/>
    <w:rsid w:val="1D331864"/>
    <w:rsid w:val="1D8B7ED2"/>
    <w:rsid w:val="1DE91501"/>
    <w:rsid w:val="1DFB74DD"/>
    <w:rsid w:val="1E0565AE"/>
    <w:rsid w:val="1E4C7D38"/>
    <w:rsid w:val="1E88173F"/>
    <w:rsid w:val="1EA57449"/>
    <w:rsid w:val="1FC2094F"/>
    <w:rsid w:val="20370574"/>
    <w:rsid w:val="207B66B3"/>
    <w:rsid w:val="20F85F56"/>
    <w:rsid w:val="211F1734"/>
    <w:rsid w:val="217F75ED"/>
    <w:rsid w:val="218179E5"/>
    <w:rsid w:val="218B501C"/>
    <w:rsid w:val="21A8172A"/>
    <w:rsid w:val="21B53E47"/>
    <w:rsid w:val="22C96D6A"/>
    <w:rsid w:val="230C35B3"/>
    <w:rsid w:val="23574571"/>
    <w:rsid w:val="23D129B9"/>
    <w:rsid w:val="23FF75FB"/>
    <w:rsid w:val="244D480A"/>
    <w:rsid w:val="24E96B72"/>
    <w:rsid w:val="256E67E6"/>
    <w:rsid w:val="26143832"/>
    <w:rsid w:val="262319BC"/>
    <w:rsid w:val="26B446CD"/>
    <w:rsid w:val="26DB2065"/>
    <w:rsid w:val="28003E99"/>
    <w:rsid w:val="28292E99"/>
    <w:rsid w:val="28445F24"/>
    <w:rsid w:val="284B72B3"/>
    <w:rsid w:val="28560F12"/>
    <w:rsid w:val="28BE1833"/>
    <w:rsid w:val="29001E4B"/>
    <w:rsid w:val="29361D11"/>
    <w:rsid w:val="293715E5"/>
    <w:rsid w:val="29785E86"/>
    <w:rsid w:val="297C681F"/>
    <w:rsid w:val="2A0911D4"/>
    <w:rsid w:val="2A331DAD"/>
    <w:rsid w:val="2A5D1834"/>
    <w:rsid w:val="2A9C76A8"/>
    <w:rsid w:val="2AF07C9E"/>
    <w:rsid w:val="2B1E1887"/>
    <w:rsid w:val="2B2D2CA0"/>
    <w:rsid w:val="2B8C679F"/>
    <w:rsid w:val="2CA945A8"/>
    <w:rsid w:val="2CAB441F"/>
    <w:rsid w:val="2DC45E34"/>
    <w:rsid w:val="2DD12008"/>
    <w:rsid w:val="2E393998"/>
    <w:rsid w:val="2E4072A5"/>
    <w:rsid w:val="2EEF6CA3"/>
    <w:rsid w:val="2F835584"/>
    <w:rsid w:val="2FD309CC"/>
    <w:rsid w:val="2FFD5337"/>
    <w:rsid w:val="30007685"/>
    <w:rsid w:val="300C37CC"/>
    <w:rsid w:val="30BC6FA0"/>
    <w:rsid w:val="31344D88"/>
    <w:rsid w:val="313D6184"/>
    <w:rsid w:val="3172701E"/>
    <w:rsid w:val="320A7897"/>
    <w:rsid w:val="32393423"/>
    <w:rsid w:val="329B7A40"/>
    <w:rsid w:val="32B709CB"/>
    <w:rsid w:val="32C40CF3"/>
    <w:rsid w:val="32C71C2C"/>
    <w:rsid w:val="331D7A9E"/>
    <w:rsid w:val="33380434"/>
    <w:rsid w:val="337C0B48"/>
    <w:rsid w:val="33B01385"/>
    <w:rsid w:val="33C63C91"/>
    <w:rsid w:val="341A78AC"/>
    <w:rsid w:val="343244E2"/>
    <w:rsid w:val="343926B5"/>
    <w:rsid w:val="346A6D13"/>
    <w:rsid w:val="347570F2"/>
    <w:rsid w:val="349F4C0E"/>
    <w:rsid w:val="358B178E"/>
    <w:rsid w:val="35BB7A8A"/>
    <w:rsid w:val="36347E04"/>
    <w:rsid w:val="3671332B"/>
    <w:rsid w:val="36BA5F23"/>
    <w:rsid w:val="375A4E1C"/>
    <w:rsid w:val="37BA3B0D"/>
    <w:rsid w:val="380A43CD"/>
    <w:rsid w:val="38C500B3"/>
    <w:rsid w:val="38C613AA"/>
    <w:rsid w:val="38DF6B1E"/>
    <w:rsid w:val="39317DFF"/>
    <w:rsid w:val="398B39B3"/>
    <w:rsid w:val="3A4678DA"/>
    <w:rsid w:val="3AAE5C07"/>
    <w:rsid w:val="3AE03859"/>
    <w:rsid w:val="3AEF1D20"/>
    <w:rsid w:val="3B64270E"/>
    <w:rsid w:val="3C0161AE"/>
    <w:rsid w:val="3C2E6878"/>
    <w:rsid w:val="3C406CD7"/>
    <w:rsid w:val="3CFB4C5D"/>
    <w:rsid w:val="3D4C50EB"/>
    <w:rsid w:val="3DC56D68"/>
    <w:rsid w:val="3DDB0CD9"/>
    <w:rsid w:val="3E491747"/>
    <w:rsid w:val="3E502AD5"/>
    <w:rsid w:val="3E557779"/>
    <w:rsid w:val="3E895FE7"/>
    <w:rsid w:val="3F451BB4"/>
    <w:rsid w:val="3F7647BE"/>
    <w:rsid w:val="3F942E96"/>
    <w:rsid w:val="3FBE50D4"/>
    <w:rsid w:val="3FC82EE3"/>
    <w:rsid w:val="3FC90D91"/>
    <w:rsid w:val="3FE07E89"/>
    <w:rsid w:val="40022408"/>
    <w:rsid w:val="40636989"/>
    <w:rsid w:val="40A23390"/>
    <w:rsid w:val="41004C87"/>
    <w:rsid w:val="412C782A"/>
    <w:rsid w:val="41680CFD"/>
    <w:rsid w:val="41760AA5"/>
    <w:rsid w:val="41E81277"/>
    <w:rsid w:val="41E910AE"/>
    <w:rsid w:val="4206121C"/>
    <w:rsid w:val="421D7172"/>
    <w:rsid w:val="421E2900"/>
    <w:rsid w:val="4246491B"/>
    <w:rsid w:val="42AE426E"/>
    <w:rsid w:val="42B90842"/>
    <w:rsid w:val="42DE0FF8"/>
    <w:rsid w:val="43064193"/>
    <w:rsid w:val="432F53AF"/>
    <w:rsid w:val="4369289F"/>
    <w:rsid w:val="43A538C3"/>
    <w:rsid w:val="445D7CFA"/>
    <w:rsid w:val="447D65EE"/>
    <w:rsid w:val="44910D58"/>
    <w:rsid w:val="44ED5522"/>
    <w:rsid w:val="44F3065E"/>
    <w:rsid w:val="456F23DB"/>
    <w:rsid w:val="4597548E"/>
    <w:rsid w:val="459C4852"/>
    <w:rsid w:val="45A31772"/>
    <w:rsid w:val="45CF4C28"/>
    <w:rsid w:val="45D93CF8"/>
    <w:rsid w:val="46095888"/>
    <w:rsid w:val="4685178A"/>
    <w:rsid w:val="47525B10"/>
    <w:rsid w:val="475573AE"/>
    <w:rsid w:val="48181044"/>
    <w:rsid w:val="4867383D"/>
    <w:rsid w:val="49771967"/>
    <w:rsid w:val="49C5081B"/>
    <w:rsid w:val="4A7712EA"/>
    <w:rsid w:val="4BD71EB9"/>
    <w:rsid w:val="4C0E2F1B"/>
    <w:rsid w:val="4CA87F80"/>
    <w:rsid w:val="4D7E14B4"/>
    <w:rsid w:val="4DBA563F"/>
    <w:rsid w:val="4E6B74B7"/>
    <w:rsid w:val="4E74636C"/>
    <w:rsid w:val="4EC310A1"/>
    <w:rsid w:val="4ECB281C"/>
    <w:rsid w:val="4EE71C25"/>
    <w:rsid w:val="501C315F"/>
    <w:rsid w:val="50EC48E0"/>
    <w:rsid w:val="5101103A"/>
    <w:rsid w:val="51085492"/>
    <w:rsid w:val="51F642DD"/>
    <w:rsid w:val="522400A9"/>
    <w:rsid w:val="5233653E"/>
    <w:rsid w:val="52862DFA"/>
    <w:rsid w:val="53172FF5"/>
    <w:rsid w:val="53184624"/>
    <w:rsid w:val="531B5950"/>
    <w:rsid w:val="535F4778"/>
    <w:rsid w:val="53654E1D"/>
    <w:rsid w:val="537D5CC3"/>
    <w:rsid w:val="53F266B1"/>
    <w:rsid w:val="54143903"/>
    <w:rsid w:val="54D8332D"/>
    <w:rsid w:val="54E35FFA"/>
    <w:rsid w:val="550C692B"/>
    <w:rsid w:val="551A773C"/>
    <w:rsid w:val="553A6FC3"/>
    <w:rsid w:val="553C5CE7"/>
    <w:rsid w:val="554F7B33"/>
    <w:rsid w:val="556F3D31"/>
    <w:rsid w:val="55935F48"/>
    <w:rsid w:val="55A0038E"/>
    <w:rsid w:val="55D65293"/>
    <w:rsid w:val="569972B8"/>
    <w:rsid w:val="56AD4B11"/>
    <w:rsid w:val="56BF4844"/>
    <w:rsid w:val="56C703BD"/>
    <w:rsid w:val="56FC15F5"/>
    <w:rsid w:val="57807D09"/>
    <w:rsid w:val="57F86260"/>
    <w:rsid w:val="587C7ECD"/>
    <w:rsid w:val="58A106A5"/>
    <w:rsid w:val="58A40196"/>
    <w:rsid w:val="58BB370F"/>
    <w:rsid w:val="58F85DEC"/>
    <w:rsid w:val="594B23BF"/>
    <w:rsid w:val="596671F9"/>
    <w:rsid w:val="59A93A45"/>
    <w:rsid w:val="59A95F7B"/>
    <w:rsid w:val="5AD54636"/>
    <w:rsid w:val="5B0311A3"/>
    <w:rsid w:val="5B4D241F"/>
    <w:rsid w:val="5B9B762E"/>
    <w:rsid w:val="5C5A7F7F"/>
    <w:rsid w:val="5D5A2308"/>
    <w:rsid w:val="5F182D44"/>
    <w:rsid w:val="5F441D8B"/>
    <w:rsid w:val="5F8D1984"/>
    <w:rsid w:val="5FF83899"/>
    <w:rsid w:val="607246D5"/>
    <w:rsid w:val="61170069"/>
    <w:rsid w:val="61F62764"/>
    <w:rsid w:val="62347F47"/>
    <w:rsid w:val="62774225"/>
    <w:rsid w:val="627C183B"/>
    <w:rsid w:val="627C4C03"/>
    <w:rsid w:val="62CF5E0F"/>
    <w:rsid w:val="62F31AFE"/>
    <w:rsid w:val="63293771"/>
    <w:rsid w:val="635B76A3"/>
    <w:rsid w:val="638C5AAE"/>
    <w:rsid w:val="63911317"/>
    <w:rsid w:val="63C33BC6"/>
    <w:rsid w:val="63C96D02"/>
    <w:rsid w:val="63F7386F"/>
    <w:rsid w:val="64320204"/>
    <w:rsid w:val="64833355"/>
    <w:rsid w:val="649B2971"/>
    <w:rsid w:val="64CD45D0"/>
    <w:rsid w:val="64F16511"/>
    <w:rsid w:val="65085608"/>
    <w:rsid w:val="652341F0"/>
    <w:rsid w:val="65423A05"/>
    <w:rsid w:val="65501489"/>
    <w:rsid w:val="65536958"/>
    <w:rsid w:val="65866006"/>
    <w:rsid w:val="65907AD8"/>
    <w:rsid w:val="65A9656A"/>
    <w:rsid w:val="66196518"/>
    <w:rsid w:val="661E1587"/>
    <w:rsid w:val="669B097F"/>
    <w:rsid w:val="671E1113"/>
    <w:rsid w:val="672E75A8"/>
    <w:rsid w:val="67902011"/>
    <w:rsid w:val="67B65075"/>
    <w:rsid w:val="67BB4BB4"/>
    <w:rsid w:val="67ED07E2"/>
    <w:rsid w:val="68832A45"/>
    <w:rsid w:val="68E819D9"/>
    <w:rsid w:val="693C6A86"/>
    <w:rsid w:val="69C74BE0"/>
    <w:rsid w:val="69FA10B6"/>
    <w:rsid w:val="69FF522C"/>
    <w:rsid w:val="6A07121D"/>
    <w:rsid w:val="6A325601"/>
    <w:rsid w:val="6AA819B9"/>
    <w:rsid w:val="6AB9187F"/>
    <w:rsid w:val="6B140CE2"/>
    <w:rsid w:val="6B471811"/>
    <w:rsid w:val="6B7E03D2"/>
    <w:rsid w:val="6BC507ED"/>
    <w:rsid w:val="6BD050D2"/>
    <w:rsid w:val="6C0B435C"/>
    <w:rsid w:val="6C163F72"/>
    <w:rsid w:val="6C6D0B73"/>
    <w:rsid w:val="6CCD1611"/>
    <w:rsid w:val="6CEC6AB0"/>
    <w:rsid w:val="6CFA1CDB"/>
    <w:rsid w:val="6D434711"/>
    <w:rsid w:val="6DD30EA9"/>
    <w:rsid w:val="6DE704B1"/>
    <w:rsid w:val="6DFE57FA"/>
    <w:rsid w:val="6E1E5238"/>
    <w:rsid w:val="6E524566"/>
    <w:rsid w:val="6E624984"/>
    <w:rsid w:val="6F1928EC"/>
    <w:rsid w:val="6F1F7D65"/>
    <w:rsid w:val="6F9C5EB1"/>
    <w:rsid w:val="6FC54073"/>
    <w:rsid w:val="6FC62754"/>
    <w:rsid w:val="705E150A"/>
    <w:rsid w:val="7064403B"/>
    <w:rsid w:val="70816B5F"/>
    <w:rsid w:val="70904E30"/>
    <w:rsid w:val="70F76C5D"/>
    <w:rsid w:val="71445C1A"/>
    <w:rsid w:val="71527F65"/>
    <w:rsid w:val="716A5681"/>
    <w:rsid w:val="71C51DA1"/>
    <w:rsid w:val="71DE7825"/>
    <w:rsid w:val="728118F5"/>
    <w:rsid w:val="73084FC0"/>
    <w:rsid w:val="73880040"/>
    <w:rsid w:val="73BC5F3C"/>
    <w:rsid w:val="746B40D6"/>
    <w:rsid w:val="74806F69"/>
    <w:rsid w:val="74BB2697"/>
    <w:rsid w:val="74E8308A"/>
    <w:rsid w:val="752B5127"/>
    <w:rsid w:val="753D151B"/>
    <w:rsid w:val="759E6B23"/>
    <w:rsid w:val="75F776FF"/>
    <w:rsid w:val="76742AFE"/>
    <w:rsid w:val="76A84CD5"/>
    <w:rsid w:val="76EC08E6"/>
    <w:rsid w:val="77E06D61"/>
    <w:rsid w:val="77F772DB"/>
    <w:rsid w:val="782B2DC7"/>
    <w:rsid w:val="785E3A65"/>
    <w:rsid w:val="787D038F"/>
    <w:rsid w:val="788447A4"/>
    <w:rsid w:val="788B1CC4"/>
    <w:rsid w:val="78EC1071"/>
    <w:rsid w:val="790A14F7"/>
    <w:rsid w:val="79490272"/>
    <w:rsid w:val="79725E79"/>
    <w:rsid w:val="79747548"/>
    <w:rsid w:val="79A33E26"/>
    <w:rsid w:val="79A951B4"/>
    <w:rsid w:val="7A970B51"/>
    <w:rsid w:val="7AF95CC7"/>
    <w:rsid w:val="7B2014A6"/>
    <w:rsid w:val="7B810197"/>
    <w:rsid w:val="7BBA5457"/>
    <w:rsid w:val="7BEB5610"/>
    <w:rsid w:val="7C304928"/>
    <w:rsid w:val="7CB9284E"/>
    <w:rsid w:val="7CE0713F"/>
    <w:rsid w:val="7E394D59"/>
    <w:rsid w:val="7E586892"/>
    <w:rsid w:val="7E665422"/>
    <w:rsid w:val="7EB55151"/>
    <w:rsid w:val="7EF6482C"/>
    <w:rsid w:val="7F052E8D"/>
    <w:rsid w:val="7F0F5AB9"/>
    <w:rsid w:val="7F222F3F"/>
    <w:rsid w:val="7F6827BA"/>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7">
    <w:name w:val="annotation text"/>
    <w:basedOn w:val="1"/>
    <w:autoRedefine/>
    <w:qFormat/>
    <w:uiPriority w:val="0"/>
    <w:pPr>
      <w:jc w:val="left"/>
    </w:pPr>
  </w:style>
  <w:style w:type="paragraph" w:styleId="8">
    <w:name w:val="Body Text"/>
    <w:autoRedefine/>
    <w:qFormat/>
    <w:uiPriority w:val="1"/>
    <w:pPr>
      <w:widowControl w:val="0"/>
      <w:jc w:val="both"/>
    </w:pPr>
    <w:rPr>
      <w:rFonts w:ascii="楷体" w:hAnsi="楷体" w:eastAsia="楷体" w:cs="楷体"/>
      <w:kern w:val="2"/>
      <w:sz w:val="24"/>
      <w:szCs w:val="24"/>
      <w:lang w:val="zh-CN" w:eastAsia="zh-CN" w:bidi="zh-CN"/>
    </w:rPr>
  </w:style>
  <w:style w:type="paragraph" w:styleId="9">
    <w:name w:val="Body Text Indent"/>
    <w:next w:val="10"/>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0">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1">
    <w:name w:val="Plain Text"/>
    <w:basedOn w:val="1"/>
    <w:qFormat/>
    <w:uiPriority w:val="0"/>
    <w:rPr>
      <w:rFonts w:ascii="宋体" w:hAnsi="Courier New"/>
      <w:szCs w:val="22"/>
    </w:rPr>
  </w:style>
  <w:style w:type="paragraph" w:styleId="12">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next w:val="14"/>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7">
    <w:name w:val="Body Text First Indent 2"/>
    <w:next w:val="16"/>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Emphasis"/>
    <w:basedOn w:val="20"/>
    <w:qFormat/>
    <w:uiPriority w:val="0"/>
    <w:rPr>
      <w:i/>
    </w:rPr>
  </w:style>
  <w:style w:type="paragraph" w:customStyle="1" w:styleId="23">
    <w:name w:val="表格文字2"/>
    <w:basedOn w:val="24"/>
    <w:autoRedefine/>
    <w:qFormat/>
    <w:uiPriority w:val="99"/>
    <w:pPr>
      <w:spacing w:before="25" w:after="25"/>
      <w:jc w:val="left"/>
    </w:pPr>
    <w:rPr>
      <w:bCs/>
      <w:spacing w:val="10"/>
      <w:kern w:val="0"/>
    </w:rPr>
  </w:style>
  <w:style w:type="paragraph" w:customStyle="1" w:styleId="24">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5">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6">
    <w:name w:val="WPSOffice手动目录 1"/>
    <w:autoRedefine/>
    <w:qFormat/>
    <w:uiPriority w:val="0"/>
    <w:pPr>
      <w:ind w:leftChars="0"/>
    </w:pPr>
    <w:rPr>
      <w:rFonts w:ascii="Times New Roman" w:hAnsi="Times New Roman" w:eastAsia="宋体" w:cs="Times New Roman"/>
      <w:sz w:val="20"/>
      <w:szCs w:val="20"/>
    </w:rPr>
  </w:style>
  <w:style w:type="paragraph" w:customStyle="1" w:styleId="27">
    <w:name w:val="WPSOffice手动目录 2"/>
    <w:autoRedefine/>
    <w:qFormat/>
    <w:uiPriority w:val="0"/>
    <w:pPr>
      <w:ind w:leftChars="200"/>
    </w:pPr>
    <w:rPr>
      <w:rFonts w:ascii="Times New Roman" w:hAnsi="Times New Roman" w:eastAsia="宋体" w:cs="Times New Roman"/>
      <w:sz w:val="20"/>
      <w:szCs w:val="20"/>
    </w:rPr>
  </w:style>
  <w:style w:type="paragraph" w:customStyle="1" w:styleId="28">
    <w:name w:val="null3"/>
    <w:hidden/>
    <w:qFormat/>
    <w:uiPriority w:val="0"/>
    <w:rPr>
      <w:rFonts w:hint="eastAsia" w:asciiTheme="minorHAnsi" w:hAnsiTheme="minorHAnsi" w:eastAsiaTheme="minorEastAsia" w:cstheme="minorBidi"/>
      <w:lang w:val="en-US" w:eastAsia="zh-Hans"/>
    </w:rPr>
  </w:style>
  <w:style w:type="paragraph" w:customStyle="1" w:styleId="2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0">
    <w:name w:val="列出段落1"/>
    <w:basedOn w:val="1"/>
    <w:autoRedefine/>
    <w:qFormat/>
    <w:uiPriority w:val="34"/>
    <w:pPr>
      <w:widowControl/>
      <w:autoSpaceDE w:val="0"/>
      <w:autoSpaceDN w:val="0"/>
      <w:spacing w:before="5" w:afterLines="50" w:line="312" w:lineRule="auto"/>
      <w:ind w:firstLine="420" w:firstLineChars="200"/>
      <w:jc w:val="left"/>
    </w:pPr>
    <w:rPr>
      <w:rFonts w:ascii="Calibri" w:hAnsi="Calibri" w:eastAsia="宋体" w:cs="Times New Roman"/>
      <w:kern w:val="0"/>
      <w:sz w:val="24"/>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683</Words>
  <Characters>801</Characters>
  <Lines>0</Lines>
  <Paragraphs>0</Paragraphs>
  <TotalTime>51</TotalTime>
  <ScaleCrop>false</ScaleCrop>
  <LinksUpToDate>false</LinksUpToDate>
  <CharactersWithSpaces>908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WPS_1598088910</cp:lastModifiedBy>
  <dcterms:modified xsi:type="dcterms:W3CDTF">2026-04-28T07:42:33Z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111EA845004B41708086C36A501D3F70_13</vt:lpwstr>
  </property>
  <property fmtid="{D5CDD505-2E9C-101B-9397-08002B2CF9AE}" pid="4" name="KSOTemplateDocerSaveRecord">
    <vt:lpwstr>eyJoZGlkIjoiYjc1M2ZiNmI2YmMyMTNjMmFlZDBhNDJiNjIwMWE3MWIiLCJ1c2VySWQiOiIxMDY0Njk2Mjk2In0=</vt:lpwstr>
  </property>
</Properties>
</file>