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5F2DA">
      <w:pPr>
        <w:pStyle w:val="122"/>
        <w:ind w:firstLine="0"/>
        <w:jc w:val="both"/>
        <w:rPr>
          <w:rFonts w:hint="eastAsia" w:eastAsia="黑体"/>
          <w:b/>
          <w:bCs/>
          <w:color w:val="auto"/>
          <w:sz w:val="84"/>
          <w:highlight w:val="none"/>
        </w:rPr>
      </w:pPr>
    </w:p>
    <w:p w14:paraId="6E9CC743">
      <w:pPr>
        <w:jc w:val="center"/>
        <w:rPr>
          <w:b/>
          <w:color w:val="auto"/>
          <w:sz w:val="72"/>
          <w:szCs w:val="72"/>
          <w:highlight w:val="none"/>
        </w:rPr>
      </w:pPr>
      <w:r>
        <w:rPr>
          <w:rFonts w:hint="eastAsia" w:ascii="方正小标宋_GBK" w:hAnsi="方正小标宋_GBK" w:eastAsia="方正小标宋_GBK" w:cs="方正小标宋_GBK"/>
          <w:b w:val="0"/>
          <w:bCs/>
          <w:color w:val="auto"/>
          <w:sz w:val="72"/>
          <w:szCs w:val="72"/>
          <w:highlight w:val="none"/>
        </w:rPr>
        <w:t>政府采购</w:t>
      </w:r>
      <w:r>
        <w:rPr>
          <w:rFonts w:hint="eastAsia" w:ascii="方正小标宋_GBK" w:hAnsi="方正小标宋_GBK" w:eastAsia="方正小标宋_GBK" w:cs="方正小标宋_GBK"/>
          <w:b w:val="0"/>
          <w:bCs/>
          <w:color w:val="auto"/>
          <w:sz w:val="72"/>
          <w:szCs w:val="72"/>
          <w:highlight w:val="none"/>
          <w:lang w:val="en-US" w:eastAsia="zh-CN"/>
        </w:rPr>
        <w:t>公开</w:t>
      </w:r>
      <w:r>
        <w:rPr>
          <w:rFonts w:hint="eastAsia" w:ascii="方正小标宋_GBK" w:hAnsi="方正小标宋_GBK" w:eastAsia="方正小标宋_GBK" w:cs="方正小标宋_GBK"/>
          <w:b w:val="0"/>
          <w:bCs/>
          <w:color w:val="auto"/>
          <w:sz w:val="72"/>
          <w:szCs w:val="72"/>
          <w:highlight w:val="none"/>
        </w:rPr>
        <w:t>招标文件</w:t>
      </w:r>
    </w:p>
    <w:p w14:paraId="0231C394">
      <w:pPr>
        <w:jc w:val="center"/>
        <w:rPr>
          <w:rFonts w:hint="eastAsia"/>
          <w:b w:val="0"/>
          <w:bCs/>
          <w:color w:val="auto"/>
          <w:sz w:val="52"/>
          <w:szCs w:val="52"/>
          <w:highlight w:val="none"/>
        </w:rPr>
      </w:pPr>
      <w:r>
        <w:rPr>
          <w:rFonts w:hint="eastAsia" w:ascii="方正小标宋_GBK" w:hAnsi="方正小标宋_GBK" w:eastAsia="方正小标宋_GBK" w:cs="方正小标宋_GBK"/>
          <w:b w:val="0"/>
          <w:bCs/>
          <w:color w:val="auto"/>
          <w:sz w:val="52"/>
          <w:szCs w:val="52"/>
          <w:highlight w:val="none"/>
        </w:rPr>
        <w:t>（</w:t>
      </w:r>
      <w:r>
        <w:rPr>
          <w:rFonts w:hint="eastAsia" w:ascii="方正小标宋_GBK" w:hAnsi="方正小标宋_GBK" w:eastAsia="方正小标宋_GBK" w:cs="方正小标宋_GBK"/>
          <w:b w:val="0"/>
          <w:bCs/>
          <w:color w:val="auto"/>
          <w:sz w:val="52"/>
          <w:szCs w:val="52"/>
          <w:highlight w:val="none"/>
          <w:lang w:val="en-US" w:eastAsia="zh-CN"/>
        </w:rPr>
        <w:t>货物</w:t>
      </w:r>
      <w:r>
        <w:rPr>
          <w:rFonts w:hint="eastAsia" w:ascii="方正小标宋_GBK" w:hAnsi="方正小标宋_GBK" w:eastAsia="方正小标宋_GBK" w:cs="方正小标宋_GBK"/>
          <w:b w:val="0"/>
          <w:bCs/>
          <w:color w:val="auto"/>
          <w:sz w:val="52"/>
          <w:szCs w:val="52"/>
          <w:highlight w:val="none"/>
        </w:rPr>
        <w:t>类）</w:t>
      </w:r>
    </w:p>
    <w:p w14:paraId="2CA637BC">
      <w:pPr>
        <w:pStyle w:val="122"/>
        <w:ind w:left="0" w:leftChars="0" w:firstLine="0" w:firstLineChars="0"/>
        <w:jc w:val="both"/>
        <w:rPr>
          <w:rFonts w:hint="eastAsia" w:eastAsia="宋体"/>
          <w:b/>
          <w:bCs/>
          <w:color w:val="auto"/>
          <w:sz w:val="32"/>
          <w:highlight w:val="none"/>
          <w:lang w:val="en-US" w:eastAsia="zh-CN"/>
        </w:rPr>
      </w:pPr>
    </w:p>
    <w:p w14:paraId="0344A429">
      <w:pPr>
        <w:pStyle w:val="122"/>
        <w:ind w:left="0" w:leftChars="0" w:firstLine="321" w:firstLineChars="100"/>
        <w:jc w:val="both"/>
        <w:rPr>
          <w:rFonts w:hint="default" w:ascii="方正小标宋_GBK" w:hAnsi="方正小标宋_GBK" w:eastAsia="方正小标宋_GBK" w:cs="方正小标宋_GBK"/>
          <w:b/>
          <w:bCs/>
          <w:color w:val="auto"/>
          <w:sz w:val="32"/>
          <w:highlight w:val="none"/>
          <w:lang w:val="en-US" w:eastAsia="zh-CN"/>
        </w:rPr>
      </w:pPr>
      <w:r>
        <w:rPr>
          <w:rFonts w:hint="eastAsia" w:ascii="方正小标宋_GBK" w:hAnsi="方正小标宋_GBK" w:eastAsia="方正小标宋_GBK" w:cs="方正小标宋_GBK"/>
          <w:b/>
          <w:bCs/>
          <w:color w:val="auto"/>
          <w:sz w:val="32"/>
          <w:highlight w:val="none"/>
          <w:lang w:val="en-US" w:eastAsia="zh-CN"/>
        </w:rPr>
        <w:t>项目名称：大数据与智能应用综合教学实训基地实训节点（计算机）采购项目</w:t>
      </w:r>
    </w:p>
    <w:p w14:paraId="25971E8F">
      <w:pPr>
        <w:pStyle w:val="122"/>
        <w:ind w:firstLine="321" w:firstLineChars="100"/>
        <w:jc w:val="both"/>
        <w:rPr>
          <w:rFonts w:hint="default" w:ascii="方正小标宋_GBK" w:hAnsi="方正小标宋_GBK" w:eastAsia="方正小标宋_GBK" w:cs="方正小标宋_GBK"/>
          <w:b/>
          <w:bCs/>
          <w:color w:val="auto"/>
          <w:sz w:val="32"/>
          <w:highlight w:val="none"/>
          <w:lang w:val="en-US" w:eastAsia="zh-CN"/>
        </w:rPr>
      </w:pPr>
      <w:r>
        <w:rPr>
          <w:rFonts w:hint="eastAsia" w:ascii="方正小标宋_GBK" w:hAnsi="方正小标宋_GBK" w:eastAsia="方正小标宋_GBK" w:cs="方正小标宋_GBK"/>
          <w:b/>
          <w:bCs/>
          <w:color w:val="auto"/>
          <w:sz w:val="32"/>
          <w:highlight w:val="none"/>
          <w:lang w:val="en-US" w:eastAsia="zh-CN"/>
        </w:rPr>
        <w:t>项目编号：BZZZZX（GK）2026-008号</w:t>
      </w:r>
    </w:p>
    <w:p w14:paraId="45A147FE">
      <w:pPr>
        <w:pStyle w:val="122"/>
        <w:ind w:left="0" w:leftChars="0" w:firstLine="321" w:firstLineChars="100"/>
        <w:jc w:val="both"/>
        <w:rPr>
          <w:rFonts w:hint="eastAsia" w:ascii="方正小标宋_GBK" w:hAnsi="方正小标宋_GBK" w:eastAsia="方正小标宋_GBK" w:cs="方正小标宋_GBK"/>
          <w:b/>
          <w:bCs/>
          <w:color w:val="auto"/>
          <w:sz w:val="32"/>
          <w:highlight w:val="none"/>
          <w:lang w:val="en-US" w:eastAsia="zh-CN"/>
        </w:rPr>
      </w:pPr>
    </w:p>
    <w:p w14:paraId="64D6BB2E">
      <w:pPr>
        <w:pStyle w:val="122"/>
        <w:ind w:firstLine="0"/>
        <w:jc w:val="both"/>
        <w:rPr>
          <w:rFonts w:hint="eastAsia" w:ascii="方正小标宋_GBK" w:hAnsi="方正小标宋_GBK" w:eastAsia="方正小标宋_GBK" w:cs="方正小标宋_GBK"/>
          <w:b/>
          <w:bCs/>
          <w:color w:val="auto"/>
          <w:sz w:val="32"/>
          <w:highlight w:val="none"/>
        </w:rPr>
      </w:pPr>
    </w:p>
    <w:tbl>
      <w:tblPr>
        <w:tblStyle w:val="40"/>
        <w:tblpPr w:leftFromText="180" w:rightFromText="180" w:vertAnchor="page" w:horzAnchor="page" w:tblpX="1480" w:tblpY="8460"/>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896"/>
      </w:tblGrid>
      <w:tr w14:paraId="1C31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434" w:type="dxa"/>
            <w:noWrap w:val="0"/>
            <w:vAlign w:val="center"/>
          </w:tcPr>
          <w:p w14:paraId="00B5A9C4">
            <w:pPr>
              <w:jc w:val="center"/>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采购人</w:t>
            </w:r>
          </w:p>
          <w:p w14:paraId="2858AC5D">
            <w:pPr>
              <w:jc w:val="center"/>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审核意见</w:t>
            </w:r>
          </w:p>
        </w:tc>
        <w:tc>
          <w:tcPr>
            <w:tcW w:w="7896" w:type="dxa"/>
            <w:noWrap w:val="0"/>
            <w:vAlign w:val="top"/>
          </w:tcPr>
          <w:p w14:paraId="59FC2574">
            <w:pPr>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　　　　　　　　　　　　　　　　　　　</w:t>
            </w:r>
          </w:p>
          <w:p w14:paraId="6D5F7126">
            <w:pPr>
              <w:rPr>
                <w:rFonts w:hint="eastAsia" w:ascii="方正小标宋_GBK" w:hAnsi="方正小标宋_GBK" w:eastAsia="方正小标宋_GBK" w:cs="方正小标宋_GBK"/>
                <w:color w:val="auto"/>
                <w:sz w:val="28"/>
                <w:szCs w:val="28"/>
                <w:highlight w:val="none"/>
              </w:rPr>
            </w:pPr>
          </w:p>
          <w:p w14:paraId="1B975AB0">
            <w:pPr>
              <w:ind w:firstLine="4620" w:firstLineChars="1650"/>
              <w:rPr>
                <w:rFonts w:hint="eastAsia" w:ascii="方正小标宋_GBK" w:hAnsi="方正小标宋_GBK" w:eastAsia="方正小标宋_GBK" w:cs="方正小标宋_GBK"/>
                <w:color w:val="auto"/>
                <w:sz w:val="28"/>
                <w:szCs w:val="28"/>
                <w:highlight w:val="none"/>
              </w:rPr>
            </w:pPr>
          </w:p>
          <w:p w14:paraId="4D1BEEA8">
            <w:pPr>
              <w:ind w:firstLine="4620" w:firstLineChars="1650"/>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采购人签章：</w:t>
            </w:r>
          </w:p>
          <w:p w14:paraId="43A2122D">
            <w:pPr>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　　　　　　　　　　　　　　　　            年  月  日</w:t>
            </w:r>
          </w:p>
        </w:tc>
      </w:tr>
    </w:tbl>
    <w:p w14:paraId="7D742C7E">
      <w:pPr>
        <w:pStyle w:val="122"/>
        <w:spacing w:before="0" w:after="0"/>
        <w:ind w:firstLine="1285" w:firstLineChars="400"/>
        <w:rPr>
          <w:rFonts w:hint="eastAsia" w:ascii="方正小标宋_GBK" w:hAnsi="方正小标宋_GBK" w:eastAsia="方正小标宋_GBK" w:cs="方正小标宋_GBK"/>
          <w:b/>
          <w:bCs/>
          <w:color w:val="auto"/>
          <w:sz w:val="32"/>
          <w:highlight w:val="none"/>
          <w:lang w:val="en-US" w:eastAsia="zh-CN"/>
        </w:rPr>
      </w:pPr>
    </w:p>
    <w:p w14:paraId="2B3B30F6">
      <w:pPr>
        <w:pStyle w:val="122"/>
        <w:spacing w:before="0" w:after="0"/>
        <w:ind w:firstLine="1054" w:firstLineChars="328"/>
        <w:rPr>
          <w:rFonts w:hint="eastAsia" w:ascii="方正小标宋_GBK" w:hAnsi="方正小标宋_GBK" w:eastAsia="方正小标宋_GBK" w:cs="方正小标宋_GBK"/>
          <w:b/>
          <w:bCs/>
          <w:color w:val="auto"/>
          <w:sz w:val="32"/>
          <w:highlight w:val="none"/>
          <w:lang w:val="en-US" w:eastAsia="zh-CN"/>
        </w:rPr>
      </w:pPr>
      <w:r>
        <w:rPr>
          <w:rFonts w:hint="eastAsia" w:ascii="方正小标宋_GBK" w:hAnsi="方正小标宋_GBK" w:eastAsia="方正小标宋_GBK" w:cs="方正小标宋_GBK"/>
          <w:b/>
          <w:bCs/>
          <w:color w:val="auto"/>
          <w:sz w:val="32"/>
          <w:highlight w:val="none"/>
          <w:lang w:val="en-US" w:eastAsia="zh-CN"/>
        </w:rPr>
        <w:t xml:space="preserve"> </w:t>
      </w:r>
    </w:p>
    <w:p w14:paraId="27B0600C">
      <w:pPr>
        <w:pStyle w:val="122"/>
        <w:spacing w:before="0" w:after="0"/>
        <w:ind w:firstLine="1054" w:firstLineChars="328"/>
        <w:rPr>
          <w:rFonts w:hint="eastAsia" w:ascii="方正小标宋_GBK" w:hAnsi="方正小标宋_GBK" w:eastAsia="方正小标宋_GBK" w:cs="方正小标宋_GBK"/>
          <w:b/>
          <w:bCs/>
          <w:color w:val="auto"/>
          <w:sz w:val="32"/>
          <w:highlight w:val="none"/>
        </w:rPr>
      </w:pPr>
      <w:r>
        <w:rPr>
          <w:rFonts w:hint="eastAsia" w:ascii="方正小标宋_GBK" w:hAnsi="方正小标宋_GBK" w:eastAsia="方正小标宋_GBK" w:cs="方正小标宋_GBK"/>
          <w:b/>
          <w:bCs/>
          <w:color w:val="auto"/>
          <w:sz w:val="32"/>
          <w:highlight w:val="none"/>
          <w:lang w:val="en-US" w:eastAsia="zh-CN"/>
        </w:rPr>
        <w:t>巴音郭楞蒙古自治州</w:t>
      </w:r>
      <w:r>
        <w:rPr>
          <w:rFonts w:hint="eastAsia" w:ascii="方正小标宋_GBK" w:hAnsi="方正小标宋_GBK" w:eastAsia="方正小标宋_GBK" w:cs="方正小标宋_GBK"/>
          <w:b/>
          <w:bCs/>
          <w:color w:val="auto"/>
          <w:sz w:val="32"/>
          <w:highlight w:val="none"/>
        </w:rPr>
        <w:t>政务服务和公共资源交易中心</w:t>
      </w:r>
    </w:p>
    <w:p w14:paraId="1356DD62">
      <w:pPr>
        <w:pStyle w:val="122"/>
        <w:spacing w:before="0" w:after="0"/>
        <w:ind w:left="0" w:leftChars="0" w:firstLine="0" w:firstLineChars="0"/>
        <w:jc w:val="center"/>
        <w:rPr>
          <w:rFonts w:hint="eastAsia" w:ascii="方正小标宋_GBK" w:hAnsi="方正小标宋_GBK" w:eastAsia="方正小标宋_GBK" w:cs="方正小标宋_GBK"/>
          <w:b/>
          <w:bCs/>
          <w:color w:val="auto"/>
          <w:sz w:val="32"/>
          <w:highlight w:val="none"/>
          <w:lang w:val="en-US" w:eastAsia="zh-CN"/>
        </w:rPr>
      </w:pPr>
      <w:r>
        <w:rPr>
          <w:rFonts w:hint="eastAsia" w:ascii="方正小标宋_GBK" w:hAnsi="方正小标宋_GBK" w:eastAsia="方正小标宋_GBK" w:cs="方正小标宋_GBK"/>
          <w:b/>
          <w:bCs/>
          <w:color w:val="auto"/>
          <w:sz w:val="32"/>
          <w:highlight w:val="none"/>
          <w:lang w:val="en-US" w:eastAsia="zh-CN"/>
        </w:rPr>
        <w:t>2026年04月13日</w:t>
      </w:r>
    </w:p>
    <w:p w14:paraId="02DED361">
      <w:pPr>
        <w:widowControl/>
        <w:spacing w:beforeAutospacing="1" w:afterAutospacing="1"/>
        <w:jc w:val="center"/>
        <w:outlineLvl w:val="1"/>
        <w:rPr>
          <w:rFonts w:hint="eastAsia" w:ascii="黑体" w:hAnsi="宋体" w:eastAsia="黑体" w:cs="黑体"/>
          <w:color w:val="auto"/>
          <w:kern w:val="0"/>
          <w:sz w:val="44"/>
          <w:szCs w:val="44"/>
          <w:highlight w:val="none"/>
        </w:rPr>
      </w:pPr>
    </w:p>
    <w:p w14:paraId="485E1528">
      <w:pPr>
        <w:widowControl/>
        <w:spacing w:beforeAutospacing="1" w:afterAutospacing="1"/>
        <w:jc w:val="center"/>
        <w:outlineLvl w:val="1"/>
        <w:rPr>
          <w:rFonts w:hint="eastAsia" w:ascii="黑体" w:hAnsi="宋体" w:eastAsia="黑体" w:cs="黑体"/>
          <w:color w:val="auto"/>
          <w:kern w:val="0"/>
          <w:sz w:val="44"/>
          <w:szCs w:val="44"/>
          <w:highlight w:val="none"/>
        </w:rPr>
      </w:pPr>
    </w:p>
    <w:p w14:paraId="727E6140">
      <w:pPr>
        <w:widowControl/>
        <w:spacing w:beforeAutospacing="1" w:afterAutospacing="1"/>
        <w:jc w:val="center"/>
        <w:outlineLvl w:val="1"/>
        <w:rPr>
          <w:color w:val="auto"/>
          <w:highlight w:val="none"/>
        </w:rPr>
      </w:pPr>
      <w:r>
        <w:rPr>
          <w:rFonts w:hint="eastAsia" w:ascii="黑体" w:hAnsi="宋体" w:eastAsia="黑体" w:cs="黑体"/>
          <w:color w:val="auto"/>
          <w:kern w:val="0"/>
          <w:sz w:val="44"/>
          <w:szCs w:val="44"/>
          <w:highlight w:val="none"/>
        </w:rPr>
        <w:t>招标文件信息</w:t>
      </w:r>
    </w:p>
    <w:tbl>
      <w:tblPr>
        <w:tblStyle w:val="40"/>
        <w:tblW w:w="79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2723"/>
        <w:gridCol w:w="5220"/>
      </w:tblGrid>
      <w:tr w14:paraId="0378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18A4CB23">
            <w:pPr>
              <w:widowControl/>
              <w:jc w:val="center"/>
              <w:rPr>
                <w:color w:val="auto"/>
                <w:sz w:val="30"/>
                <w:szCs w:val="30"/>
                <w:highlight w:val="none"/>
              </w:rPr>
            </w:pPr>
            <w:r>
              <w:rPr>
                <w:rFonts w:ascii="宋体" w:hAnsi="宋体" w:cs="宋体"/>
                <w:color w:val="auto"/>
                <w:kern w:val="0"/>
                <w:sz w:val="30"/>
                <w:szCs w:val="30"/>
                <w:highlight w:val="none"/>
              </w:rPr>
              <w:t>项目编号：</w:t>
            </w:r>
          </w:p>
        </w:tc>
        <w:tc>
          <w:tcPr>
            <w:tcW w:w="5220" w:type="dxa"/>
            <w:noWrap w:val="0"/>
            <w:vAlign w:val="center"/>
          </w:tcPr>
          <w:p w14:paraId="256A945E">
            <w:pPr>
              <w:widowControl/>
              <w:jc w:val="center"/>
              <w:rPr>
                <w:rFonts w:hint="eastAsia" w:ascii="宋体" w:hAnsi="宋体" w:eastAsia="宋体" w:cs="宋体"/>
                <w:color w:val="auto"/>
                <w:sz w:val="30"/>
                <w:szCs w:val="30"/>
                <w:highlight w:val="none"/>
                <w:u w:val="none"/>
              </w:rPr>
            </w:pPr>
            <w:r>
              <w:rPr>
                <w:rFonts w:hint="eastAsia" w:ascii="宋体" w:hAnsi="宋体" w:eastAsia="宋体" w:cs="宋体"/>
                <w:color w:val="auto"/>
                <w:sz w:val="30"/>
                <w:szCs w:val="30"/>
                <w:highlight w:val="none"/>
                <w:u w:val="none"/>
              </w:rPr>
              <w:t>BZZZZX(GK)20</w:t>
            </w:r>
            <w:r>
              <w:rPr>
                <w:rFonts w:hint="eastAsia" w:ascii="宋体" w:hAnsi="宋体" w:eastAsia="宋体" w:cs="宋体"/>
                <w:color w:val="auto"/>
                <w:sz w:val="30"/>
                <w:szCs w:val="30"/>
                <w:highlight w:val="none"/>
                <w:u w:val="none"/>
                <w:lang w:val="en-US" w:eastAsia="zh-CN"/>
              </w:rPr>
              <w:t>26</w:t>
            </w:r>
            <w:r>
              <w:rPr>
                <w:rFonts w:hint="eastAsia" w:ascii="宋体" w:hAnsi="宋体" w:eastAsia="宋体" w:cs="宋体"/>
                <w:color w:val="auto"/>
                <w:sz w:val="30"/>
                <w:szCs w:val="30"/>
                <w:highlight w:val="none"/>
                <w:u w:val="none"/>
              </w:rPr>
              <w:t>-00</w:t>
            </w:r>
            <w:r>
              <w:rPr>
                <w:rFonts w:hint="eastAsia" w:ascii="宋体" w:hAnsi="宋体" w:eastAsia="宋体" w:cs="宋体"/>
                <w:color w:val="auto"/>
                <w:sz w:val="30"/>
                <w:szCs w:val="30"/>
                <w:highlight w:val="none"/>
                <w:u w:val="none"/>
                <w:lang w:val="en-US" w:eastAsia="zh-CN"/>
              </w:rPr>
              <w:t>8</w:t>
            </w:r>
            <w:r>
              <w:rPr>
                <w:rFonts w:hint="eastAsia" w:ascii="宋体" w:hAnsi="宋体" w:eastAsia="宋体" w:cs="宋体"/>
                <w:color w:val="auto"/>
                <w:sz w:val="30"/>
                <w:szCs w:val="30"/>
                <w:highlight w:val="none"/>
                <w:u w:val="none"/>
              </w:rPr>
              <w:t>号</w:t>
            </w:r>
          </w:p>
        </w:tc>
      </w:tr>
      <w:tr w14:paraId="1159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51ABA0A4">
            <w:pPr>
              <w:widowControl/>
              <w:jc w:val="center"/>
              <w:rPr>
                <w:color w:val="auto"/>
                <w:sz w:val="30"/>
                <w:szCs w:val="30"/>
                <w:highlight w:val="none"/>
              </w:rPr>
            </w:pPr>
            <w:r>
              <w:rPr>
                <w:rFonts w:ascii="宋体" w:hAnsi="宋体" w:cs="宋体"/>
                <w:color w:val="auto"/>
                <w:kern w:val="0"/>
                <w:sz w:val="30"/>
                <w:szCs w:val="30"/>
                <w:highlight w:val="none"/>
              </w:rPr>
              <w:t>项目名称：</w:t>
            </w:r>
          </w:p>
        </w:tc>
        <w:tc>
          <w:tcPr>
            <w:tcW w:w="5220" w:type="dxa"/>
            <w:noWrap w:val="0"/>
            <w:vAlign w:val="center"/>
          </w:tcPr>
          <w:p w14:paraId="4B1BD0A1">
            <w:pPr>
              <w:widowControl/>
              <w:jc w:val="center"/>
              <w:rPr>
                <w:rFonts w:hint="eastAsia" w:ascii="宋体" w:hAnsi="宋体" w:eastAsia="宋体" w:cs="宋体"/>
                <w:color w:val="auto"/>
                <w:sz w:val="30"/>
                <w:szCs w:val="30"/>
                <w:highlight w:val="none"/>
                <w:u w:val="none"/>
              </w:rPr>
            </w:pPr>
            <w:r>
              <w:rPr>
                <w:rFonts w:hint="eastAsia" w:ascii="宋体" w:hAnsi="宋体" w:eastAsia="宋体" w:cs="宋体"/>
                <w:color w:val="auto"/>
                <w:sz w:val="30"/>
                <w:szCs w:val="30"/>
                <w:highlight w:val="none"/>
                <w:u w:val="none"/>
                <w:lang w:val="en-US" w:eastAsia="zh-CN"/>
              </w:rPr>
              <w:t>大数据与智能应用综合教学实训基地实训节点（计算机）采购项目</w:t>
            </w:r>
          </w:p>
        </w:tc>
      </w:tr>
      <w:tr w14:paraId="2CFE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3ECEC858">
            <w:pPr>
              <w:widowControl/>
              <w:jc w:val="center"/>
              <w:rPr>
                <w:color w:val="auto"/>
                <w:sz w:val="30"/>
                <w:szCs w:val="30"/>
                <w:highlight w:val="none"/>
              </w:rPr>
            </w:pPr>
            <w:r>
              <w:rPr>
                <w:rFonts w:hint="eastAsia" w:ascii="宋体" w:hAnsi="宋体" w:cs="宋体"/>
                <w:color w:val="auto"/>
                <w:kern w:val="0"/>
                <w:sz w:val="30"/>
                <w:szCs w:val="30"/>
                <w:highlight w:val="none"/>
                <w:lang w:val="en-US" w:eastAsia="zh-CN"/>
              </w:rPr>
              <w:t>标项</w:t>
            </w:r>
            <w:r>
              <w:rPr>
                <w:rFonts w:ascii="宋体" w:hAnsi="宋体" w:cs="宋体"/>
                <w:color w:val="auto"/>
                <w:kern w:val="0"/>
                <w:sz w:val="30"/>
                <w:szCs w:val="30"/>
                <w:highlight w:val="none"/>
              </w:rPr>
              <w:t>：</w:t>
            </w:r>
          </w:p>
        </w:tc>
        <w:tc>
          <w:tcPr>
            <w:tcW w:w="5220" w:type="dxa"/>
            <w:noWrap w:val="0"/>
            <w:vAlign w:val="center"/>
          </w:tcPr>
          <w:p w14:paraId="325D6E85">
            <w:pPr>
              <w:widowControl/>
              <w:jc w:val="center"/>
              <w:rPr>
                <w:rFonts w:hint="default"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val="en-US" w:eastAsia="zh-CN"/>
              </w:rPr>
              <w:t>1</w:t>
            </w:r>
          </w:p>
        </w:tc>
      </w:tr>
      <w:tr w14:paraId="2D38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blCellSpacing w:w="0" w:type="dxa"/>
          <w:jc w:val="center"/>
        </w:trPr>
        <w:tc>
          <w:tcPr>
            <w:tcW w:w="2723" w:type="dxa"/>
            <w:noWrap w:val="0"/>
            <w:vAlign w:val="center"/>
          </w:tcPr>
          <w:p w14:paraId="599A0CBF">
            <w:pPr>
              <w:widowControl/>
              <w:jc w:val="center"/>
              <w:rPr>
                <w:rFonts w:hint="default" w:ascii="宋体" w:hAnsi="宋体" w:eastAsia="宋体" w:cs="宋体"/>
                <w:color w:val="auto"/>
                <w:kern w:val="0"/>
                <w:sz w:val="30"/>
                <w:szCs w:val="30"/>
                <w:highlight w:val="none"/>
                <w:lang w:val="en-US" w:eastAsia="zh-CN"/>
              </w:rPr>
            </w:pPr>
            <w:r>
              <w:rPr>
                <w:rFonts w:hint="eastAsia" w:ascii="宋体" w:hAnsi="宋体" w:cs="宋体"/>
                <w:color w:val="auto"/>
                <w:kern w:val="0"/>
                <w:sz w:val="30"/>
                <w:szCs w:val="30"/>
                <w:highlight w:val="none"/>
                <w:lang w:val="en-US" w:eastAsia="zh-CN"/>
              </w:rPr>
              <w:t>采购单位：</w:t>
            </w:r>
          </w:p>
        </w:tc>
        <w:tc>
          <w:tcPr>
            <w:tcW w:w="5220" w:type="dxa"/>
            <w:noWrap w:val="0"/>
            <w:vAlign w:val="center"/>
          </w:tcPr>
          <w:p w14:paraId="1F1C1683">
            <w:pPr>
              <w:widowControl/>
              <w:jc w:val="center"/>
              <w:rPr>
                <w:rFonts w:hint="eastAsia" w:ascii="宋体" w:hAnsi="宋体" w:eastAsia="宋体" w:cs="宋体"/>
                <w:color w:val="auto"/>
                <w:kern w:val="0"/>
                <w:sz w:val="30"/>
                <w:szCs w:val="30"/>
                <w:highlight w:val="none"/>
                <w:u w:val="none"/>
              </w:rPr>
            </w:pPr>
            <w:r>
              <w:rPr>
                <w:rFonts w:hint="eastAsia" w:ascii="宋体" w:hAnsi="宋体" w:eastAsia="宋体" w:cs="宋体"/>
                <w:color w:val="auto"/>
                <w:sz w:val="30"/>
                <w:szCs w:val="30"/>
                <w:highlight w:val="none"/>
                <w:u w:val="none"/>
                <w:lang w:val="en-US" w:eastAsia="zh-CN"/>
              </w:rPr>
              <w:t xml:space="preserve">巴音郭楞职业技术学院 </w:t>
            </w:r>
          </w:p>
        </w:tc>
      </w:tr>
      <w:tr w14:paraId="338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69D615EC">
            <w:pPr>
              <w:widowControl/>
              <w:jc w:val="center"/>
              <w:rPr>
                <w:color w:val="auto"/>
                <w:sz w:val="30"/>
                <w:szCs w:val="30"/>
                <w:highlight w:val="none"/>
              </w:rPr>
            </w:pPr>
            <w:r>
              <w:rPr>
                <w:rFonts w:ascii="宋体" w:hAnsi="宋体" w:cs="宋体"/>
                <w:color w:val="auto"/>
                <w:kern w:val="0"/>
                <w:sz w:val="30"/>
                <w:szCs w:val="30"/>
                <w:highlight w:val="none"/>
              </w:rPr>
              <w:t>项目类型：</w:t>
            </w:r>
          </w:p>
        </w:tc>
        <w:tc>
          <w:tcPr>
            <w:tcW w:w="5220" w:type="dxa"/>
            <w:noWrap w:val="0"/>
            <w:vAlign w:val="center"/>
          </w:tcPr>
          <w:p w14:paraId="4FF85224">
            <w:pPr>
              <w:widowControl/>
              <w:jc w:val="center"/>
              <w:rPr>
                <w:rFonts w:hint="default" w:ascii="宋体" w:hAnsi="宋体" w:eastAsia="宋体" w:cs="宋体"/>
                <w:color w:val="auto"/>
                <w:sz w:val="30"/>
                <w:szCs w:val="30"/>
                <w:highlight w:val="none"/>
                <w:u w:val="none"/>
                <w:lang w:val="en-US"/>
              </w:rPr>
            </w:pPr>
            <w:r>
              <w:rPr>
                <w:rFonts w:hint="eastAsia" w:ascii="宋体" w:hAnsi="宋体" w:eastAsia="宋体" w:cs="宋体"/>
                <w:color w:val="auto"/>
                <w:kern w:val="0"/>
                <w:sz w:val="30"/>
                <w:szCs w:val="30"/>
                <w:highlight w:val="none"/>
                <w:u w:val="none"/>
                <w:lang w:val="en-US" w:eastAsia="zh-CN"/>
              </w:rPr>
              <w:t>货物类</w:t>
            </w:r>
          </w:p>
        </w:tc>
      </w:tr>
      <w:tr w14:paraId="7595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34D41360">
            <w:pPr>
              <w:widowControl/>
              <w:jc w:val="center"/>
              <w:rPr>
                <w:rFonts w:hint="default" w:ascii="宋体" w:hAnsi="宋体" w:eastAsia="宋体" w:cs="宋体"/>
                <w:color w:val="auto"/>
                <w:kern w:val="0"/>
                <w:sz w:val="30"/>
                <w:szCs w:val="30"/>
                <w:highlight w:val="none"/>
                <w:lang w:val="en-US" w:eastAsia="zh-CN"/>
              </w:rPr>
            </w:pPr>
            <w:r>
              <w:rPr>
                <w:rFonts w:hint="eastAsia" w:ascii="宋体" w:hAnsi="宋体" w:cs="宋体"/>
                <w:color w:val="auto"/>
                <w:kern w:val="0"/>
                <w:sz w:val="30"/>
                <w:szCs w:val="30"/>
                <w:highlight w:val="none"/>
                <w:lang w:val="en-US" w:eastAsia="zh-CN"/>
              </w:rPr>
              <w:t>预算金额：</w:t>
            </w:r>
          </w:p>
        </w:tc>
        <w:tc>
          <w:tcPr>
            <w:tcW w:w="5220" w:type="dxa"/>
            <w:noWrap w:val="0"/>
            <w:vAlign w:val="center"/>
          </w:tcPr>
          <w:p w14:paraId="0DA2AE35">
            <w:pPr>
              <w:widowControl/>
              <w:jc w:val="center"/>
              <w:rPr>
                <w:rFonts w:hint="eastAsia" w:ascii="宋体" w:hAnsi="宋体" w:eastAsia="宋体" w:cs="宋体"/>
                <w:color w:val="auto"/>
                <w:kern w:val="0"/>
                <w:sz w:val="30"/>
                <w:szCs w:val="30"/>
                <w:highlight w:val="none"/>
                <w:u w:val="none"/>
                <w:lang w:val="en-US" w:eastAsia="zh-CN"/>
              </w:rPr>
            </w:pPr>
            <w:r>
              <w:rPr>
                <w:rFonts w:hint="eastAsia" w:ascii="宋体" w:hAnsi="宋体" w:eastAsia="宋体" w:cs="宋体"/>
                <w:color w:val="auto"/>
                <w:kern w:val="0"/>
                <w:sz w:val="30"/>
                <w:szCs w:val="30"/>
                <w:highlight w:val="none"/>
                <w:u w:val="none"/>
                <w:lang w:val="en-US" w:eastAsia="zh-CN"/>
              </w:rPr>
              <w:t>101万元</w:t>
            </w:r>
          </w:p>
        </w:tc>
      </w:tr>
      <w:tr w14:paraId="3208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3E6009E6">
            <w:pPr>
              <w:widowControl/>
              <w:jc w:val="center"/>
              <w:rPr>
                <w:color w:val="auto"/>
                <w:sz w:val="30"/>
                <w:szCs w:val="30"/>
                <w:highlight w:val="none"/>
              </w:rPr>
            </w:pPr>
            <w:r>
              <w:rPr>
                <w:rFonts w:ascii="宋体" w:hAnsi="宋体" w:cs="宋体"/>
                <w:color w:val="auto"/>
                <w:kern w:val="0"/>
                <w:sz w:val="30"/>
                <w:szCs w:val="30"/>
                <w:highlight w:val="none"/>
              </w:rPr>
              <w:t>采购方式：</w:t>
            </w:r>
          </w:p>
        </w:tc>
        <w:tc>
          <w:tcPr>
            <w:tcW w:w="5220" w:type="dxa"/>
            <w:noWrap w:val="0"/>
            <w:vAlign w:val="center"/>
          </w:tcPr>
          <w:p w14:paraId="4F047AC6">
            <w:pPr>
              <w:widowControl/>
              <w:jc w:val="center"/>
              <w:rPr>
                <w:rFonts w:hint="eastAsia" w:ascii="宋体" w:hAnsi="宋体" w:eastAsia="宋体" w:cs="宋体"/>
                <w:color w:val="auto"/>
                <w:sz w:val="30"/>
                <w:szCs w:val="30"/>
                <w:highlight w:val="none"/>
                <w:u w:val="none"/>
              </w:rPr>
            </w:pPr>
            <w:r>
              <w:rPr>
                <w:rFonts w:hint="eastAsia" w:ascii="宋体" w:hAnsi="宋体" w:eastAsia="宋体" w:cs="宋体"/>
                <w:color w:val="auto"/>
                <w:kern w:val="0"/>
                <w:sz w:val="30"/>
                <w:szCs w:val="30"/>
                <w:highlight w:val="none"/>
                <w:u w:val="none"/>
              </w:rPr>
              <w:t>公开招标</w:t>
            </w:r>
          </w:p>
        </w:tc>
      </w:tr>
      <w:tr w14:paraId="3EFB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6289B885">
            <w:pPr>
              <w:widowControl/>
              <w:jc w:val="center"/>
              <w:rPr>
                <w:color w:val="auto"/>
                <w:sz w:val="30"/>
                <w:szCs w:val="30"/>
                <w:highlight w:val="none"/>
              </w:rPr>
            </w:pPr>
            <w:r>
              <w:rPr>
                <w:rFonts w:ascii="宋体" w:hAnsi="宋体" w:cs="宋体"/>
                <w:color w:val="auto"/>
                <w:kern w:val="0"/>
                <w:sz w:val="30"/>
                <w:szCs w:val="30"/>
                <w:highlight w:val="none"/>
              </w:rPr>
              <w:t>货币类型：</w:t>
            </w:r>
          </w:p>
        </w:tc>
        <w:tc>
          <w:tcPr>
            <w:tcW w:w="5220" w:type="dxa"/>
            <w:noWrap w:val="0"/>
            <w:vAlign w:val="center"/>
          </w:tcPr>
          <w:p w14:paraId="68DFFA1F">
            <w:pPr>
              <w:widowControl/>
              <w:jc w:val="center"/>
              <w:rPr>
                <w:rFonts w:hint="eastAsia" w:ascii="宋体" w:hAnsi="宋体" w:eastAsia="宋体" w:cs="宋体"/>
                <w:color w:val="auto"/>
                <w:sz w:val="30"/>
                <w:szCs w:val="30"/>
                <w:highlight w:val="none"/>
                <w:u w:val="none"/>
              </w:rPr>
            </w:pPr>
            <w:r>
              <w:rPr>
                <w:rFonts w:hint="eastAsia" w:ascii="宋体" w:hAnsi="宋体" w:eastAsia="宋体" w:cs="宋体"/>
                <w:color w:val="auto"/>
                <w:kern w:val="0"/>
                <w:sz w:val="30"/>
                <w:szCs w:val="30"/>
                <w:highlight w:val="none"/>
                <w:u w:val="none"/>
              </w:rPr>
              <w:t>人民币</w:t>
            </w:r>
          </w:p>
        </w:tc>
      </w:tr>
      <w:tr w14:paraId="365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14:paraId="598BC3C4">
            <w:pPr>
              <w:widowControl/>
              <w:jc w:val="center"/>
              <w:rPr>
                <w:color w:val="auto"/>
                <w:sz w:val="30"/>
                <w:szCs w:val="30"/>
                <w:highlight w:val="none"/>
              </w:rPr>
            </w:pPr>
            <w:r>
              <w:rPr>
                <w:rFonts w:ascii="宋体" w:hAnsi="宋体" w:cs="宋体"/>
                <w:color w:val="auto"/>
                <w:kern w:val="0"/>
                <w:sz w:val="30"/>
                <w:szCs w:val="30"/>
                <w:highlight w:val="none"/>
              </w:rPr>
              <w:t>评标方法：</w:t>
            </w:r>
          </w:p>
        </w:tc>
        <w:tc>
          <w:tcPr>
            <w:tcW w:w="5220" w:type="dxa"/>
            <w:noWrap w:val="0"/>
            <w:vAlign w:val="center"/>
          </w:tcPr>
          <w:p w14:paraId="272909BA">
            <w:pPr>
              <w:widowControl/>
              <w:jc w:val="center"/>
              <w:rPr>
                <w:rFonts w:hint="eastAsia" w:ascii="宋体" w:hAnsi="宋体" w:eastAsia="宋体" w:cs="宋体"/>
                <w:color w:val="auto"/>
                <w:sz w:val="30"/>
                <w:szCs w:val="30"/>
                <w:highlight w:val="none"/>
                <w:u w:val="none"/>
              </w:rPr>
            </w:pPr>
            <w:r>
              <w:rPr>
                <w:rFonts w:hint="eastAsia" w:ascii="宋体" w:hAnsi="宋体" w:eastAsia="宋体" w:cs="宋体"/>
                <w:color w:val="auto"/>
                <w:kern w:val="0"/>
                <w:sz w:val="30"/>
                <w:szCs w:val="30"/>
                <w:highlight w:val="none"/>
                <w:u w:val="none"/>
              </w:rPr>
              <w:t>综合评分法</w:t>
            </w:r>
          </w:p>
        </w:tc>
      </w:tr>
    </w:tbl>
    <w:p w14:paraId="3C9AC915">
      <w:pPr>
        <w:pStyle w:val="122"/>
        <w:ind w:firstLine="0"/>
        <w:jc w:val="center"/>
        <w:rPr>
          <w:rFonts w:hint="eastAsia" w:ascii="宋体" w:hAnsi="宋体" w:eastAsia="宋体" w:cs="宋体"/>
          <w:b/>
          <w:bCs/>
          <w:color w:val="auto"/>
          <w:sz w:val="32"/>
          <w:highlight w:val="none"/>
        </w:rPr>
      </w:pPr>
    </w:p>
    <w:p w14:paraId="58AF21C9">
      <w:pPr>
        <w:rPr>
          <w:color w:val="auto"/>
          <w:highlight w:val="none"/>
        </w:rPr>
      </w:pPr>
    </w:p>
    <w:p w14:paraId="3A315210">
      <w:pPr>
        <w:jc w:val="center"/>
        <w:rPr>
          <w:rFonts w:hint="eastAsia" w:ascii="宋体" w:hAnsi="宋体" w:eastAsia="黑体"/>
          <w:b/>
          <w:bCs/>
          <w:color w:val="auto"/>
          <w:kern w:val="44"/>
          <w:sz w:val="36"/>
          <w:szCs w:val="36"/>
          <w:highlight w:val="none"/>
        </w:rPr>
      </w:pPr>
      <w:r>
        <w:rPr>
          <w:rFonts w:hint="eastAsia" w:ascii="宋体" w:hAnsi="宋体" w:eastAsia="黑体"/>
          <w:b/>
          <w:bCs/>
          <w:color w:val="auto"/>
          <w:kern w:val="44"/>
          <w:sz w:val="36"/>
          <w:szCs w:val="36"/>
          <w:highlight w:val="none"/>
        </w:rPr>
        <w:br w:type="page"/>
      </w:r>
    </w:p>
    <w:p w14:paraId="1AEEC048">
      <w:pPr>
        <w:jc w:val="center"/>
        <w:rPr>
          <w:rFonts w:hint="eastAsia" w:ascii="宋体" w:hAnsi="宋体" w:eastAsia="黑体"/>
          <w:b/>
          <w:bCs/>
          <w:color w:val="FF0000"/>
          <w:kern w:val="44"/>
          <w:sz w:val="36"/>
          <w:szCs w:val="36"/>
          <w:highlight w:val="none"/>
        </w:rPr>
      </w:pPr>
    </w:p>
    <w:p w14:paraId="6E9D0D8F">
      <w:pPr>
        <w:jc w:val="center"/>
        <w:rPr>
          <w:rFonts w:hint="eastAsia" w:ascii="宋体" w:hAnsi="宋体"/>
          <w:b/>
          <w:bCs/>
          <w:color w:val="FF0000"/>
          <w:sz w:val="20"/>
          <w:szCs w:val="20"/>
          <w:highlight w:val="none"/>
        </w:rPr>
      </w:pPr>
      <w:r>
        <w:rPr>
          <w:rFonts w:hint="eastAsia" w:ascii="宋体" w:hAnsi="宋体" w:eastAsia="黑体"/>
          <w:b/>
          <w:bCs/>
          <w:color w:val="FF0000"/>
          <w:kern w:val="44"/>
          <w:sz w:val="36"/>
          <w:szCs w:val="36"/>
          <w:highlight w:val="none"/>
        </w:rPr>
        <w:t>警示条款</w:t>
      </w:r>
    </w:p>
    <w:p w14:paraId="27426C18">
      <w:pPr>
        <w:pStyle w:val="39"/>
        <w:rPr>
          <w:rFonts w:hint="eastAsia"/>
          <w:color w:val="FF0000"/>
          <w:highlight w:val="none"/>
        </w:rPr>
      </w:pPr>
    </w:p>
    <w:p w14:paraId="45A37198">
      <w:pPr>
        <w:ind w:firstLine="402" w:firstLineChars="200"/>
        <w:rPr>
          <w:rFonts w:ascii="宋体" w:hAnsi="宋体"/>
          <w:b/>
          <w:bCs/>
          <w:color w:val="FF0000"/>
          <w:sz w:val="20"/>
          <w:szCs w:val="20"/>
          <w:highlight w:val="none"/>
        </w:rPr>
      </w:pPr>
      <w:r>
        <w:rPr>
          <w:rFonts w:hint="eastAsia" w:ascii="宋体" w:hAnsi="宋体"/>
          <w:b/>
          <w:bCs/>
          <w:color w:val="FF0000"/>
          <w:sz w:val="20"/>
          <w:szCs w:val="20"/>
          <w:highlight w:val="none"/>
        </w:rPr>
        <w:t>一、 供应商在本项目政府采购中，有下列行为之一的，</w:t>
      </w:r>
      <w:r>
        <w:rPr>
          <w:rFonts w:hint="eastAsia" w:ascii="宋体" w:hAnsi="宋体"/>
          <w:b/>
          <w:bCs/>
          <w:color w:val="FF0000"/>
          <w:sz w:val="20"/>
          <w:szCs w:val="20"/>
          <w:highlight w:val="none"/>
          <w:lang w:val="en-US" w:eastAsia="zh-CN"/>
        </w:rPr>
        <w:t>属于无效投标，</w:t>
      </w:r>
      <w:r>
        <w:rPr>
          <w:rFonts w:hint="eastAsia" w:ascii="宋体" w:hAnsi="宋体"/>
          <w:b/>
          <w:bCs/>
          <w:color w:val="FF0000"/>
          <w:sz w:val="20"/>
          <w:szCs w:val="20"/>
          <w:highlight w:val="none"/>
        </w:rPr>
        <w:t>报财政主管部门记入供应商诚信档案，在一至三年内禁止参加政府采购活动；有违法所得的，并处没收违法所得；情节严重的，由工商行政管理机关依法吊销其营业执照；给他人造成损失的，依法承担赔偿责任；构成犯罪的，依法追究刑事责任：</w:t>
      </w:r>
    </w:p>
    <w:p w14:paraId="27EE2D1D">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5AAC17D0">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69F53574">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0E8DC944">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1.通过转让或者租借等方式从其他单位获取资格或者资质证书投标的；</w:t>
      </w:r>
    </w:p>
    <w:p w14:paraId="7CAA8E44">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2.由其他单位或者其他单位负责人在投标供应商编制的投标文件上加盖印章或者签字的；</w:t>
      </w:r>
    </w:p>
    <w:p w14:paraId="5CE2A151">
      <w:pPr>
        <w:ind w:left="399" w:leftChars="190" w:firstLine="400" w:firstLineChars="200"/>
        <w:rPr>
          <w:rFonts w:ascii="宋体" w:hAnsi="宋体"/>
          <w:color w:val="FF0000"/>
          <w:sz w:val="20"/>
          <w:szCs w:val="20"/>
          <w:highlight w:val="none"/>
        </w:rPr>
      </w:pPr>
      <w:r>
        <w:rPr>
          <w:rFonts w:hint="eastAsia" w:ascii="宋体" w:hAnsi="宋体"/>
          <w:color w:val="FF0000"/>
          <w:sz w:val="20"/>
          <w:szCs w:val="20"/>
          <w:highlight w:val="none"/>
        </w:rPr>
        <w:t>3.投标供应商的项目负责人或者主要技术人员不是本单位人员的，不能提供项目负责人或者主要技术人员的劳动合同、社会保险等劳动关系证明材料的。</w:t>
      </w:r>
    </w:p>
    <w:p w14:paraId="737436C8">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4.投标保证金不是从投标供应商基本账户转出的；</w:t>
      </w:r>
    </w:p>
    <w:p w14:paraId="09D434C4">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5.其他隐瞒真实情况、提供虚假资料的行为。</w:t>
      </w:r>
    </w:p>
    <w:p w14:paraId="20E52C51">
      <w:pPr>
        <w:ind w:firstLine="400" w:firstLineChars="200"/>
        <w:rPr>
          <w:rFonts w:eastAsia="楷体_GB2312"/>
          <w:color w:val="FF0000"/>
          <w:highlight w:val="none"/>
        </w:rPr>
      </w:pPr>
      <w:r>
        <w:rPr>
          <w:rFonts w:hint="eastAsia" w:ascii="宋体" w:hAnsi="宋体"/>
          <w:color w:val="FF0000"/>
          <w:sz w:val="20"/>
          <w:szCs w:val="20"/>
          <w:highlight w:val="none"/>
        </w:rPr>
        <w:t>（四）以非法手段排斥其他供应商参与竞争的；</w:t>
      </w:r>
    </w:p>
    <w:p w14:paraId="2E1389E0">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57FD81FD">
      <w:pPr>
        <w:ind w:firstLine="420" w:firstLineChars="200"/>
        <w:rPr>
          <w:rFonts w:hint="eastAsia" w:ascii="宋体" w:hAnsi="宋体"/>
          <w:color w:val="FF0000"/>
          <w:sz w:val="20"/>
          <w:szCs w:val="20"/>
          <w:highlight w:val="none"/>
        </w:rPr>
      </w:pPr>
      <w:r>
        <w:rPr>
          <w:rFonts w:hint="eastAsia"/>
          <w:color w:val="FF0000"/>
          <w:highlight w:val="none"/>
        </w:rPr>
        <w:t xml:space="preserve">    1.</w:t>
      </w:r>
      <w:r>
        <w:rPr>
          <w:rFonts w:hint="eastAsia" w:ascii="宋体" w:hAnsi="宋体"/>
          <w:color w:val="FF0000"/>
          <w:sz w:val="20"/>
          <w:szCs w:val="20"/>
          <w:highlight w:val="none"/>
        </w:rPr>
        <w:t>投标供应商之间相互约定给予未中标的供应商利益补偿；</w:t>
      </w:r>
    </w:p>
    <w:p w14:paraId="1818BCA5">
      <w:pPr>
        <w:ind w:left="399" w:leftChars="190"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2.不同投标供应商的法定代表人、主要经营负责人、项目投标授权代表人、项目负责人、</w:t>
      </w:r>
    </w:p>
    <w:p w14:paraId="373397FC">
      <w:pPr>
        <w:ind w:left="0" w:leftChars="0" w:firstLine="0" w:firstLineChars="0"/>
        <w:rPr>
          <w:rFonts w:hint="eastAsia" w:ascii="宋体" w:hAnsi="宋体"/>
          <w:color w:val="FF0000"/>
          <w:sz w:val="20"/>
          <w:szCs w:val="20"/>
          <w:highlight w:val="none"/>
        </w:rPr>
      </w:pPr>
      <w:r>
        <w:rPr>
          <w:rFonts w:hint="eastAsia" w:ascii="宋体" w:hAnsi="宋体"/>
          <w:color w:val="FF0000"/>
          <w:sz w:val="20"/>
          <w:szCs w:val="20"/>
          <w:highlight w:val="none"/>
        </w:rPr>
        <w:t>主要技术人员为同一人、属同一单位或者在同一单位缴纳社会保险；</w:t>
      </w:r>
    </w:p>
    <w:p w14:paraId="6AB7A0BA">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3.不同投标供应商的投标文件由同一单位或者同一人编制，或者由同一人分阶段参与编制的；</w:t>
      </w:r>
    </w:p>
    <w:p w14:paraId="7AAFD2BE">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4.不同投标供应商的投标文件或部分投标文件相互混装；</w:t>
      </w:r>
    </w:p>
    <w:p w14:paraId="0CB9E7AB">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5.不同投标供应商的投标文件内容存在非正常一致；</w:t>
      </w:r>
    </w:p>
    <w:p w14:paraId="6FCC0268">
      <w:pPr>
        <w:ind w:firstLine="800" w:firstLineChars="400"/>
        <w:rPr>
          <w:rFonts w:hint="eastAsia" w:ascii="宋体" w:hAnsi="宋体"/>
          <w:color w:val="FF0000"/>
          <w:sz w:val="20"/>
          <w:szCs w:val="20"/>
          <w:highlight w:val="none"/>
        </w:rPr>
      </w:pPr>
      <w:r>
        <w:rPr>
          <w:rFonts w:hint="eastAsia" w:ascii="宋体" w:hAnsi="宋体"/>
          <w:color w:val="FF0000"/>
          <w:sz w:val="20"/>
          <w:szCs w:val="20"/>
          <w:highlight w:val="none"/>
        </w:rPr>
        <w:t>6.由同一单位工作人员为两家以上（含两家）供应商进行同一项投标活动的；</w:t>
      </w:r>
    </w:p>
    <w:p w14:paraId="325606D0">
      <w:pPr>
        <w:ind w:firstLine="800" w:firstLineChars="400"/>
        <w:rPr>
          <w:rFonts w:ascii="宋体" w:hAnsi="宋体"/>
          <w:color w:val="FF0000"/>
          <w:sz w:val="20"/>
          <w:szCs w:val="20"/>
          <w:highlight w:val="none"/>
        </w:rPr>
      </w:pPr>
      <w:r>
        <w:rPr>
          <w:rFonts w:hint="eastAsia" w:ascii="宋体" w:hAnsi="宋体"/>
          <w:color w:val="FF0000"/>
          <w:sz w:val="20"/>
          <w:szCs w:val="20"/>
          <w:highlight w:val="none"/>
        </w:rPr>
        <w:t>7.主管部门依照法律、法规认定的其他情形。</w:t>
      </w:r>
    </w:p>
    <w:p w14:paraId="15CF814C">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（六）恶意投诉的；</w:t>
      </w:r>
    </w:p>
    <w:p w14:paraId="7199643B">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2BC178FB">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4F2967EB">
      <w:pPr>
        <w:ind w:firstLine="402" w:firstLineChars="200"/>
        <w:rPr>
          <w:rFonts w:hint="eastAsia" w:ascii="宋体" w:hAnsi="宋体"/>
          <w:b/>
          <w:bCs/>
          <w:color w:val="FF0000"/>
          <w:sz w:val="20"/>
          <w:szCs w:val="20"/>
          <w:highlight w:val="none"/>
        </w:rPr>
      </w:pPr>
      <w:r>
        <w:rPr>
          <w:rFonts w:hint="eastAsia" w:ascii="宋体" w:hAnsi="宋体"/>
          <w:b/>
          <w:bCs/>
          <w:color w:val="FF0000"/>
          <w:sz w:val="20"/>
          <w:szCs w:val="20"/>
          <w:highlight w:val="none"/>
        </w:rPr>
        <w:t>二、请投标供应商</w:t>
      </w:r>
      <w:r>
        <w:rPr>
          <w:rFonts w:hint="eastAsia" w:ascii="宋体" w:hAnsi="宋体"/>
          <w:b/>
          <w:bCs/>
          <w:color w:val="FF0000"/>
          <w:sz w:val="20"/>
          <w:szCs w:val="20"/>
          <w:highlight w:val="none"/>
          <w:lang w:val="en-US" w:eastAsia="zh-CN"/>
        </w:rPr>
        <w:t>认真</w:t>
      </w:r>
      <w:r>
        <w:rPr>
          <w:rFonts w:hint="eastAsia" w:ascii="宋体" w:hAnsi="宋体"/>
          <w:b/>
          <w:bCs/>
          <w:color w:val="FF0000"/>
          <w:sz w:val="20"/>
          <w:szCs w:val="20"/>
          <w:highlight w:val="none"/>
        </w:rPr>
        <w:t>阅读《政府采购违法行为风险知悉确认书》</w:t>
      </w:r>
      <w:r>
        <w:rPr>
          <w:rFonts w:hint="eastAsia" w:ascii="宋体" w:hAnsi="宋体"/>
          <w:b/>
          <w:bCs/>
          <w:color w:val="FF0000"/>
          <w:sz w:val="20"/>
          <w:szCs w:val="20"/>
          <w:highlight w:val="none"/>
          <w:lang w:eastAsia="zh-CN"/>
        </w:rPr>
        <w:t>，</w:t>
      </w:r>
      <w:r>
        <w:rPr>
          <w:rFonts w:hint="eastAsia" w:ascii="宋体" w:hAnsi="宋体"/>
          <w:b/>
          <w:bCs/>
          <w:color w:val="FF0000"/>
          <w:sz w:val="20"/>
          <w:szCs w:val="20"/>
          <w:highlight w:val="none"/>
        </w:rPr>
        <w:t>并经</w:t>
      </w:r>
      <w:r>
        <w:rPr>
          <w:rFonts w:hint="eastAsia" w:ascii="宋体" w:hAnsi="宋体"/>
          <w:b/>
          <w:bCs/>
          <w:color w:val="FF0000"/>
          <w:sz w:val="20"/>
          <w:szCs w:val="20"/>
          <w:highlight w:val="none"/>
          <w:lang w:val="en-US" w:eastAsia="zh-CN"/>
        </w:rPr>
        <w:t>企业法人</w:t>
      </w:r>
      <w:r>
        <w:rPr>
          <w:rFonts w:hint="eastAsia" w:ascii="宋体" w:hAnsi="宋体"/>
          <w:b/>
          <w:bCs/>
          <w:color w:val="FF0000"/>
          <w:sz w:val="20"/>
          <w:szCs w:val="20"/>
          <w:highlight w:val="none"/>
        </w:rPr>
        <w:t>或投标授权代表签字并加盖单位公章后，扫描上传至投标文件一并提交。</w:t>
      </w:r>
    </w:p>
    <w:p w14:paraId="113773E4">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注：该风险知悉确认书用于对供应商违法行为的警示，不作为供应商资格性审查及符合性审查条件。</w:t>
      </w:r>
    </w:p>
    <w:p w14:paraId="18050E6E">
      <w:pPr>
        <w:pStyle w:val="34"/>
        <w:rPr>
          <w:color w:val="auto"/>
          <w:highlight w:val="none"/>
        </w:rPr>
      </w:pPr>
    </w:p>
    <w:p w14:paraId="256C6447">
      <w:pPr>
        <w:rPr>
          <w:color w:val="auto"/>
          <w:highlight w:val="none"/>
        </w:rPr>
      </w:pPr>
    </w:p>
    <w:p w14:paraId="70EB93E8">
      <w:pPr>
        <w:pStyle w:val="36"/>
        <w:jc w:val="center"/>
        <w:outlineLvl w:val="1"/>
        <w:rPr>
          <w:rFonts w:hint="eastAsia" w:ascii="黑体" w:hAnsi="黑体" w:eastAsia="黑体"/>
          <w:color w:val="auto"/>
          <w:sz w:val="40"/>
          <w:szCs w:val="40"/>
          <w:highlight w:val="none"/>
        </w:rPr>
      </w:pPr>
      <w:r>
        <w:rPr>
          <w:rFonts w:hint="eastAsia" w:ascii="黑体" w:hAnsi="黑体" w:eastAsia="黑体"/>
          <w:color w:val="auto"/>
          <w:sz w:val="40"/>
          <w:szCs w:val="40"/>
          <w:highlight w:val="none"/>
        </w:rPr>
        <w:br w:type="page"/>
      </w:r>
      <w:r>
        <w:rPr>
          <w:rFonts w:hint="eastAsia" w:ascii="黑体" w:hAnsi="黑体" w:eastAsia="黑体"/>
          <w:color w:val="auto"/>
          <w:sz w:val="40"/>
          <w:szCs w:val="40"/>
          <w:highlight w:val="none"/>
        </w:rPr>
        <w:t>资格性审查表</w:t>
      </w:r>
    </w:p>
    <w:tbl>
      <w:tblPr>
        <w:tblStyle w:val="40"/>
        <w:tblW w:w="498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7"/>
        <w:gridCol w:w="8341"/>
      </w:tblGrid>
      <w:tr w14:paraId="3E34E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41" w:hRule="atLeast"/>
          <w:jc w:val="center"/>
        </w:trPr>
        <w:tc>
          <w:tcPr>
            <w:tcW w:w="436"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45487536">
            <w:pPr>
              <w:jc w:val="center"/>
              <w:rPr>
                <w:rFonts w:ascii="宋体" w:hAnsi="宋体" w:cs="宋体"/>
                <w:color w:val="auto"/>
                <w:sz w:val="28"/>
                <w:szCs w:val="28"/>
                <w:highlight w:val="none"/>
              </w:rPr>
            </w:pPr>
            <w:r>
              <w:rPr>
                <w:color w:val="auto"/>
                <w:sz w:val="28"/>
                <w:szCs w:val="28"/>
                <w:highlight w:val="none"/>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A03A9E7">
            <w:pPr>
              <w:jc w:val="center"/>
              <w:rPr>
                <w:rFonts w:ascii="宋体" w:hAnsi="宋体" w:cs="宋体"/>
                <w:color w:val="auto"/>
                <w:sz w:val="28"/>
                <w:szCs w:val="28"/>
                <w:highlight w:val="none"/>
              </w:rPr>
            </w:pPr>
            <w:r>
              <w:rPr>
                <w:color w:val="auto"/>
                <w:sz w:val="28"/>
                <w:szCs w:val="28"/>
                <w:highlight w:val="none"/>
              </w:rPr>
              <w:t>内容</w:t>
            </w:r>
          </w:p>
        </w:tc>
      </w:tr>
      <w:tr w14:paraId="284BA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908"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55D48388">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63" w:type="pct"/>
            <w:tcBorders>
              <w:top w:val="single" w:color="000000" w:sz="8" w:space="0"/>
              <w:left w:val="single" w:color="000000" w:sz="8" w:space="0"/>
              <w:bottom w:val="single" w:color="000000" w:sz="8" w:space="0"/>
              <w:right w:val="single" w:color="000000" w:sz="8" w:space="0"/>
            </w:tcBorders>
            <w:noWrap w:val="0"/>
            <w:vAlign w:val="top"/>
          </w:tcPr>
          <w:p w14:paraId="13CB4725">
            <w:pPr>
              <w:rPr>
                <w:rFonts w:hint="eastAsia"/>
                <w:b/>
                <w:bCs/>
                <w:color w:val="auto"/>
                <w:highlight w:val="none"/>
                <w:lang w:val="en-US" w:eastAsia="zh-CN"/>
              </w:rPr>
            </w:pPr>
            <w:r>
              <w:rPr>
                <w:rFonts w:hint="eastAsia"/>
                <w:b/>
                <w:bCs/>
                <w:color w:val="auto"/>
                <w:highlight w:val="none"/>
                <w:lang w:val="en-US" w:eastAsia="zh-CN"/>
              </w:rPr>
              <w:t>具有独立承担民事责任的能力：</w:t>
            </w:r>
          </w:p>
          <w:p w14:paraId="7882F125">
            <w:pPr>
              <w:ind w:firstLine="210" w:firstLineChars="100"/>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w:t>
            </w:r>
          </w:p>
          <w:p w14:paraId="670A4D56">
            <w:pPr>
              <w:rPr>
                <w:rFonts w:hint="eastAsia" w:ascii="宋体" w:hAnsi="宋体" w:eastAsia="宋体" w:cs="宋体"/>
                <w:color w:val="auto"/>
                <w:szCs w:val="21"/>
                <w:highlight w:val="none"/>
                <w:lang w:eastAsia="zh-CN"/>
              </w:rPr>
            </w:pPr>
            <w:r>
              <w:rPr>
                <w:rFonts w:hint="eastAsia" w:eastAsia="宋体"/>
                <w:b w:val="0"/>
                <w:bCs w:val="0"/>
                <w:color w:val="auto"/>
                <w:highlight w:val="none"/>
                <w:lang w:val="en-US" w:eastAsia="zh-CN"/>
              </w:rPr>
              <w:t>备注：</w:t>
            </w:r>
            <w:r>
              <w:rPr>
                <w:rFonts w:hint="eastAsia" w:ascii="Times New Roman" w:hAnsi="Times New Roman" w:eastAsia="宋体" w:cs="Times New Roman"/>
                <w:color w:val="auto"/>
                <w:highlight w:val="none"/>
              </w:rPr>
              <w:t>分支机构</w:t>
            </w:r>
            <w:r>
              <w:rPr>
                <w:rFonts w:hint="eastAsia" w:ascii="Times New Roman" w:hAnsi="Times New Roman" w:eastAsia="宋体" w:cs="Times New Roman"/>
                <w:color w:val="auto"/>
                <w:highlight w:val="none"/>
                <w:lang w:val="en-US" w:eastAsia="zh-CN"/>
              </w:rPr>
              <w:t>投标</w:t>
            </w:r>
            <w:r>
              <w:rPr>
                <w:rFonts w:hint="eastAsia" w:ascii="Times New Roman" w:hAnsi="Times New Roman" w:eastAsia="宋体" w:cs="Times New Roman"/>
                <w:color w:val="auto"/>
                <w:highlight w:val="none"/>
              </w:rPr>
              <w:t>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仅限</w:t>
            </w:r>
            <w:r>
              <w:rPr>
                <w:rFonts w:hint="eastAsia" w:ascii="Times New Roman" w:hAnsi="Times New Roman" w:eastAsia="宋体" w:cs="Times New Roman"/>
                <w:color w:val="auto"/>
                <w:highlight w:val="none"/>
              </w:rPr>
              <w:t>银行</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保险</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石油石化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电力</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电信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邮政</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铁路等特殊</w:t>
            </w:r>
            <w:r>
              <w:rPr>
                <w:rFonts w:hint="eastAsia" w:ascii="Times New Roman" w:hAnsi="Times New Roman" w:eastAsia="宋体" w:cs="Times New Roman"/>
                <w:color w:val="auto"/>
                <w:highlight w:val="none"/>
                <w:lang w:val="en-US" w:eastAsia="zh-CN"/>
              </w:rPr>
              <w:t>行业</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，须提供总公司和分公司营业执照</w:t>
            </w:r>
            <w:r>
              <w:rPr>
                <w:rFonts w:hint="eastAsia" w:ascii="Times New Roman" w:hAnsi="Times New Roman" w:eastAsia="宋体" w:cs="Times New Roman"/>
                <w:color w:val="auto"/>
                <w:highlight w:val="none"/>
                <w:lang w:val="en-US" w:eastAsia="zh-CN"/>
              </w:rPr>
              <w:t>扫描件</w:t>
            </w:r>
            <w:r>
              <w:rPr>
                <w:rFonts w:hint="eastAsia" w:ascii="Times New Roman" w:hAnsi="Times New Roman" w:eastAsia="宋体" w:cs="Times New Roman"/>
                <w:color w:val="auto"/>
                <w:highlight w:val="none"/>
              </w:rPr>
              <w:t>，总公司出具给分支机构的授权书</w:t>
            </w:r>
            <w:r>
              <w:rPr>
                <w:rFonts w:hint="eastAsia" w:ascii="Times New Roman" w:hAnsi="Times New Roman" w:eastAsia="宋体" w:cs="Times New Roman"/>
                <w:color w:val="auto"/>
                <w:highlight w:val="none"/>
                <w:lang w:eastAsia="zh-CN"/>
              </w:rPr>
              <w:t>。</w:t>
            </w:r>
          </w:p>
        </w:tc>
      </w:tr>
      <w:tr w14:paraId="489FC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97"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3A0B83C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4563" w:type="pct"/>
            <w:tcBorders>
              <w:top w:val="single" w:color="000000" w:sz="8" w:space="0"/>
              <w:left w:val="single" w:color="000000" w:sz="8" w:space="0"/>
              <w:bottom w:val="single" w:color="000000" w:sz="8" w:space="0"/>
              <w:right w:val="single" w:color="000000" w:sz="8" w:space="0"/>
            </w:tcBorders>
            <w:noWrap w:val="0"/>
            <w:vAlign w:val="center"/>
          </w:tcPr>
          <w:p w14:paraId="76228221">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具有健全的财务会计制度：</w:t>
            </w:r>
          </w:p>
          <w:p w14:paraId="4E4A109C">
            <w:pPr>
              <w:spacing w:line="240" w:lineRule="auto"/>
              <w:rPr>
                <w:rFonts w:hint="eastAsia" w:ascii="宋体" w:hAnsi="宋体" w:eastAsia="宋体" w:cs="宋体"/>
                <w:iCs/>
                <w:color w:val="auto"/>
                <w:kern w:val="2"/>
                <w:sz w:val="21"/>
                <w:szCs w:val="21"/>
                <w:highlight w:val="none"/>
                <w:lang w:val="en-US" w:eastAsia="zh-CN" w:bidi="ar-SA"/>
              </w:rPr>
            </w:pPr>
            <w:r>
              <w:rPr>
                <w:rFonts w:hint="eastAsia" w:ascii="宋体" w:hAnsi="宋体" w:cs="宋体"/>
                <w:color w:val="auto"/>
                <w:highlight w:val="none"/>
                <w:lang w:val="en-US" w:eastAsia="zh-CN"/>
              </w:rPr>
              <w:t>投标供应商须提供2025</w:t>
            </w:r>
            <w:r>
              <w:rPr>
                <w:rFonts w:hint="eastAsia" w:ascii="宋体" w:hAnsi="宋体" w:cs="宋体"/>
                <w:color w:val="auto"/>
                <w:highlight w:val="none"/>
              </w:rPr>
              <w:t>年度财务状况报告（资产负债表、利润表）或</w:t>
            </w:r>
            <w:r>
              <w:rPr>
                <w:rFonts w:hint="eastAsia" w:ascii="宋体" w:hAnsi="宋体" w:cs="宋体"/>
                <w:color w:val="auto"/>
                <w:highlight w:val="none"/>
                <w:lang w:val="en-US" w:eastAsia="zh-CN"/>
              </w:rPr>
              <w:t>2025年</w:t>
            </w:r>
            <w:r>
              <w:rPr>
                <w:rFonts w:hint="eastAsia" w:ascii="宋体" w:hAnsi="宋体" w:cs="宋体"/>
                <w:color w:val="auto"/>
                <w:highlight w:val="none"/>
              </w:rPr>
              <w:t>财务审计报告，成立不满一年不需提供；</w:t>
            </w:r>
          </w:p>
        </w:tc>
      </w:tr>
      <w:tr w14:paraId="30A04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52"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05558D7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563" w:type="pct"/>
            <w:tcBorders>
              <w:top w:val="single" w:color="000000" w:sz="8" w:space="0"/>
              <w:left w:val="single" w:color="000000" w:sz="8" w:space="0"/>
              <w:bottom w:val="single" w:color="000000" w:sz="8" w:space="0"/>
              <w:right w:val="single" w:color="000000" w:sz="8" w:space="0"/>
            </w:tcBorders>
            <w:noWrap w:val="0"/>
            <w:vAlign w:val="center"/>
          </w:tcPr>
          <w:p w14:paraId="4DAE8F79">
            <w:pPr>
              <w:rPr>
                <w:rFonts w:hint="eastAsia" w:ascii="宋体" w:hAnsi="宋体" w:cs="宋体"/>
                <w:b/>
                <w:bCs/>
                <w:iCs/>
                <w:color w:val="auto"/>
                <w:highlight w:val="none"/>
                <w:lang w:val="en-US" w:eastAsia="zh-CN"/>
              </w:rPr>
            </w:pPr>
            <w:r>
              <w:rPr>
                <w:rFonts w:hint="eastAsia" w:ascii="宋体" w:hAnsi="宋体" w:cs="宋体"/>
                <w:b/>
                <w:bCs/>
                <w:iCs/>
                <w:color w:val="auto"/>
                <w:highlight w:val="none"/>
                <w:lang w:val="en-US" w:eastAsia="zh-CN"/>
              </w:rPr>
              <w:t>具有</w:t>
            </w:r>
            <w:r>
              <w:rPr>
                <w:rFonts w:hint="eastAsia" w:ascii="宋体" w:hAnsi="宋体" w:cs="宋体"/>
                <w:b/>
                <w:bCs/>
                <w:iCs/>
                <w:color w:val="auto"/>
                <w:highlight w:val="none"/>
              </w:rPr>
              <w:t>依法缴纳税收和社会保障资金的</w:t>
            </w:r>
            <w:r>
              <w:rPr>
                <w:rFonts w:hint="eastAsia" w:ascii="宋体" w:hAnsi="宋体" w:cs="宋体"/>
                <w:b/>
                <w:bCs/>
                <w:iCs/>
                <w:color w:val="auto"/>
                <w:highlight w:val="none"/>
                <w:lang w:val="en-US" w:eastAsia="zh-CN"/>
              </w:rPr>
              <w:t>良好记录：</w:t>
            </w:r>
          </w:p>
          <w:p w14:paraId="208C5D77">
            <w:pPr>
              <w:ind w:firstLine="210" w:firstLineChars="100"/>
              <w:rPr>
                <w:rFonts w:hint="eastAsia" w:ascii="宋体" w:hAnsi="宋体" w:cs="宋体"/>
                <w:iCs/>
                <w:color w:val="auto"/>
                <w:highlight w:val="none"/>
              </w:rPr>
            </w:pPr>
            <w:r>
              <w:rPr>
                <w:rFonts w:hint="eastAsia" w:ascii="宋体" w:hAnsi="宋体" w:cs="宋体"/>
                <w:iCs/>
                <w:color w:val="auto"/>
                <w:highlight w:val="none"/>
                <w:lang w:val="en-US" w:eastAsia="zh-CN"/>
              </w:rPr>
              <w:t>投标供应商须</w:t>
            </w:r>
            <w:r>
              <w:rPr>
                <w:rFonts w:hint="eastAsia" w:ascii="宋体" w:hAnsi="宋体" w:cs="宋体"/>
                <w:iCs/>
                <w:color w:val="auto"/>
                <w:highlight w:val="none"/>
              </w:rPr>
              <w:t>提供</w:t>
            </w:r>
            <w:r>
              <w:rPr>
                <w:rFonts w:hint="eastAsia" w:ascii="宋体" w:hAnsi="宋体" w:cs="宋体"/>
                <w:iCs/>
                <w:color w:val="auto"/>
                <w:highlight w:val="none"/>
                <w:lang w:val="en-US" w:eastAsia="zh-CN"/>
              </w:rPr>
              <w:t>开标时间</w:t>
            </w:r>
            <w:r>
              <w:rPr>
                <w:rFonts w:hint="eastAsia" w:ascii="宋体" w:hAnsi="宋体" w:cs="宋体"/>
                <w:iCs/>
                <w:color w:val="auto"/>
                <w:highlight w:val="none"/>
              </w:rPr>
              <w:t>截止前6个月内至少三个月依法缴纳</w:t>
            </w:r>
            <w:r>
              <w:rPr>
                <w:rFonts w:hint="eastAsia" w:ascii="宋体" w:hAnsi="宋体" w:cs="宋体"/>
                <w:iCs/>
                <w:color w:val="auto"/>
                <w:highlight w:val="none"/>
                <w:lang w:eastAsia="zh-CN"/>
              </w:rPr>
              <w:t>：</w:t>
            </w:r>
            <w:r>
              <w:rPr>
                <w:rFonts w:hint="eastAsia" w:ascii="宋体" w:hAnsi="宋体" w:cs="宋体"/>
                <w:iCs/>
                <w:lang w:val="en-US" w:eastAsia="zh-CN"/>
              </w:rPr>
              <w:t>1、</w:t>
            </w:r>
            <w:r>
              <w:rPr>
                <w:rFonts w:hint="eastAsia" w:ascii="宋体" w:hAnsi="宋体" w:cs="宋体"/>
                <w:iCs/>
              </w:rPr>
              <w:t>税收</w:t>
            </w:r>
            <w:r>
              <w:rPr>
                <w:rFonts w:hint="eastAsia" w:ascii="宋体" w:hAnsi="宋体" w:cs="宋体"/>
                <w:iCs/>
                <w:lang w:val="en-US" w:eastAsia="zh-CN"/>
              </w:rPr>
              <w:t>证明，2、</w:t>
            </w:r>
            <w:r>
              <w:rPr>
                <w:rFonts w:hint="eastAsia" w:ascii="宋体" w:hAnsi="宋体" w:cs="宋体"/>
                <w:iCs/>
              </w:rPr>
              <w:t>社会</w:t>
            </w:r>
            <w:r>
              <w:rPr>
                <w:rFonts w:hint="eastAsia" w:ascii="宋体" w:hAnsi="宋体" w:cs="宋体"/>
                <w:iCs/>
                <w:lang w:val="en-US" w:eastAsia="zh-CN"/>
              </w:rPr>
              <w:t>保险单位缴纳</w:t>
            </w:r>
            <w:r>
              <w:rPr>
                <w:rFonts w:hint="eastAsia" w:ascii="宋体" w:hAnsi="宋体" w:cs="宋体"/>
                <w:iCs/>
              </w:rPr>
              <w:t>证明材料。</w:t>
            </w:r>
          </w:p>
          <w:p w14:paraId="06A3A144">
            <w:pPr>
              <w:spacing w:line="240" w:lineRule="auto"/>
              <w:rPr>
                <w:rFonts w:hint="eastAsia" w:ascii="宋体" w:hAnsi="宋体" w:eastAsia="宋体" w:cs="宋体"/>
                <w:iCs/>
                <w:color w:val="auto"/>
                <w:kern w:val="2"/>
                <w:sz w:val="21"/>
                <w:szCs w:val="21"/>
                <w:highlight w:val="none"/>
                <w:lang w:val="en-US" w:eastAsia="zh-CN" w:bidi="ar-SA"/>
              </w:rPr>
            </w:pPr>
            <w:r>
              <w:rPr>
                <w:rFonts w:hint="eastAsia" w:ascii="宋体" w:hAnsi="宋体" w:cs="宋体"/>
                <w:b w:val="0"/>
                <w:bCs w:val="0"/>
                <w:iCs/>
                <w:color w:val="auto"/>
                <w:highlight w:val="none"/>
                <w:lang w:val="en-US" w:eastAsia="zh-CN"/>
              </w:rPr>
              <w:t>备注：</w:t>
            </w:r>
            <w:r>
              <w:rPr>
                <w:rFonts w:hint="eastAsia" w:ascii="宋体" w:hAnsi="宋体" w:cs="宋体"/>
                <w:iCs/>
                <w:color w:val="auto"/>
                <w:highlight w:val="none"/>
              </w:rPr>
              <w:t>依法享受缓缴、免缴税收、社会保障资金的</w:t>
            </w:r>
            <w:r>
              <w:rPr>
                <w:rFonts w:hint="eastAsia" w:ascii="宋体" w:hAnsi="宋体" w:cs="宋体"/>
                <w:iCs/>
                <w:color w:val="auto"/>
                <w:highlight w:val="none"/>
                <w:lang w:val="en-US" w:eastAsia="zh-CN"/>
              </w:rPr>
              <w:t>需</w:t>
            </w:r>
            <w:r>
              <w:rPr>
                <w:rFonts w:hint="eastAsia" w:ascii="宋体" w:hAnsi="宋体" w:cs="宋体"/>
                <w:iCs/>
                <w:color w:val="auto"/>
                <w:highlight w:val="none"/>
              </w:rPr>
              <w:t>提供证明材料；</w:t>
            </w:r>
          </w:p>
        </w:tc>
      </w:tr>
      <w:tr w14:paraId="1EF93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908"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5ADB01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563" w:type="pct"/>
            <w:tcBorders>
              <w:top w:val="single" w:color="000000" w:sz="8" w:space="0"/>
              <w:left w:val="single" w:color="000000" w:sz="8" w:space="0"/>
              <w:bottom w:val="single" w:color="000000" w:sz="8" w:space="0"/>
              <w:right w:val="single" w:color="000000" w:sz="8" w:space="0"/>
            </w:tcBorders>
            <w:noWrap w:val="0"/>
            <w:vAlign w:val="center"/>
          </w:tcPr>
          <w:p w14:paraId="70CFD680">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参加政府采购活动前三年内，在经营活动中没有重大违法记录：</w:t>
            </w:r>
          </w:p>
          <w:p w14:paraId="4AE2B657">
            <w:pPr>
              <w:spacing w:line="240" w:lineRule="auto"/>
              <w:rPr>
                <w:rFonts w:hint="eastAsia" w:ascii="宋体" w:hAnsi="宋体" w:eastAsia="宋体" w:cs="宋体"/>
                <w:iCs/>
                <w:color w:val="auto"/>
                <w:kern w:val="2"/>
                <w:sz w:val="21"/>
                <w:szCs w:val="21"/>
                <w:highlight w:val="none"/>
                <w:lang w:val="en-US" w:eastAsia="zh-CN" w:bidi="ar-SA"/>
              </w:rPr>
            </w:pPr>
            <w:r>
              <w:rPr>
                <w:rFonts w:hint="eastAsia" w:ascii="宋体" w:hAnsi="宋体" w:cs="宋体"/>
                <w:color w:val="auto"/>
                <w:highlight w:val="none"/>
                <w:lang w:val="en-US" w:eastAsia="zh-CN"/>
              </w:rPr>
              <w:t>投标供应商须提供</w:t>
            </w:r>
            <w:r>
              <w:rPr>
                <w:rFonts w:hint="eastAsia" w:ascii="宋体" w:hAnsi="宋体" w:cs="宋体"/>
                <w:color w:val="auto"/>
                <w:highlight w:val="none"/>
              </w:rPr>
              <w:t>未被“信用中国”网站（http://www.creditchina.gov.cn）、中国政府采购网(http://www.ccgp.gov.cn)、国家企业信用信息公示系统(</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 \t "_blank" </w:instrText>
            </w:r>
            <w:r>
              <w:rPr>
                <w:rFonts w:hint="eastAsia" w:ascii="宋体" w:hAnsi="宋体" w:cs="宋体"/>
                <w:color w:val="auto"/>
                <w:highlight w:val="none"/>
              </w:rPr>
              <w:fldChar w:fldCharType="separate"/>
            </w:r>
            <w:r>
              <w:rPr>
                <w:rFonts w:hint="eastAsia" w:ascii="宋体" w:hAnsi="宋体" w:cs="宋体"/>
                <w:color w:val="auto"/>
                <w:highlight w:val="none"/>
              </w:rPr>
              <w:t>http://www</w:t>
            </w:r>
            <w:r>
              <w:rPr>
                <w:rFonts w:hint="eastAsia" w:ascii="宋体" w:hAnsi="宋体" w:cs="宋体"/>
                <w:color w:val="auto"/>
                <w:highlight w:val="none"/>
              </w:rPr>
              <w:fldChar w:fldCharType="end"/>
            </w:r>
            <w:r>
              <w:rPr>
                <w:rFonts w:hint="eastAsia" w:ascii="宋体" w:hAnsi="宋体" w:cs="宋体"/>
                <w:color w:val="auto"/>
                <w:highlight w:val="none"/>
              </w:rPr>
              <w:t>.gsxt.gov.cn)</w:t>
            </w:r>
            <w:r>
              <w:rPr>
                <w:rFonts w:hint="eastAsia" w:ascii="宋体" w:hAnsi="宋体" w:cs="宋体"/>
                <w:color w:val="auto"/>
                <w:kern w:val="0"/>
                <w:highlight w:val="none"/>
              </w:rPr>
              <w:t>列入失信被执行人、重大税收违法案件当事人名单、政府采购严重违法失信行为记录名单（提供开标</w:t>
            </w:r>
            <w:r>
              <w:rPr>
                <w:rFonts w:hint="eastAsia" w:ascii="宋体" w:hAnsi="宋体" w:cs="宋体"/>
                <w:color w:val="auto"/>
                <w:kern w:val="0"/>
                <w:highlight w:val="none"/>
                <w:lang w:val="en-US" w:eastAsia="zh-CN"/>
              </w:rPr>
              <w:t>截止时间</w:t>
            </w:r>
            <w:r>
              <w:rPr>
                <w:rFonts w:hint="eastAsia" w:ascii="宋体" w:hAnsi="宋体" w:cs="宋体"/>
                <w:color w:val="auto"/>
                <w:kern w:val="0"/>
                <w:highlight w:val="none"/>
              </w:rPr>
              <w:t>前7日内网站查询截图）；</w:t>
            </w:r>
          </w:p>
        </w:tc>
      </w:tr>
      <w:tr w14:paraId="6C1E9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41"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3E7BCD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563" w:type="pct"/>
            <w:tcBorders>
              <w:top w:val="single" w:color="000000" w:sz="8" w:space="0"/>
              <w:left w:val="single" w:color="000000" w:sz="8" w:space="0"/>
              <w:bottom w:val="single" w:color="000000" w:sz="8" w:space="0"/>
              <w:right w:val="single" w:color="000000" w:sz="8" w:space="0"/>
            </w:tcBorders>
            <w:noWrap w:val="0"/>
            <w:vAlign w:val="top"/>
          </w:tcPr>
          <w:p w14:paraId="50BA13C9">
            <w:pPr>
              <w:pStyle w:val="102"/>
              <w:keepNext w:val="0"/>
              <w:keepLines w:val="0"/>
              <w:pageBreakBefore w:val="0"/>
              <w:widowControl w:val="0"/>
              <w:numPr>
                <w:ilvl w:val="0"/>
                <w:numId w:val="0"/>
              </w:numPr>
              <w:tabs>
                <w:tab w:val="left" w:pos="1170"/>
              </w:tabs>
              <w:kinsoku/>
              <w:wordWrap/>
              <w:overflowPunct/>
              <w:topLinePunct w:val="0"/>
              <w:autoSpaceDE/>
              <w:autoSpaceDN/>
              <w:bidi w:val="0"/>
              <w:adjustRightInd/>
              <w:snapToGrid/>
              <w:spacing w:line="240" w:lineRule="auto"/>
              <w:ind w:right="0" w:rightChars="0"/>
              <w:jc w:val="both"/>
              <w:textAlignment w:val="auto"/>
              <w:rPr>
                <w:rFonts w:hint="default"/>
                <w:color w:val="auto"/>
                <w:highlight w:val="none"/>
                <w:lang w:val="en-US" w:eastAsia="zh-CN"/>
              </w:rPr>
            </w:pPr>
            <w:r>
              <w:rPr>
                <w:rFonts w:hint="eastAsia" w:ascii="宋体" w:hAnsi="宋体" w:eastAsia="宋体" w:cs="宋体"/>
                <w:b/>
                <w:bCs/>
                <w:iCs/>
                <w:color w:val="auto"/>
                <w:kern w:val="2"/>
                <w:sz w:val="21"/>
                <w:szCs w:val="21"/>
                <w:highlight w:val="none"/>
                <w:lang w:val="en-US" w:eastAsia="zh-CN" w:bidi="ar-SA"/>
              </w:rPr>
              <w:t>本项目特定资格要求证明文件：</w:t>
            </w:r>
            <w:r>
              <w:rPr>
                <w:rFonts w:hint="eastAsia" w:ascii="宋体" w:hAnsi="宋体" w:eastAsia="宋体" w:cs="宋体"/>
                <w:iCs/>
                <w:color w:val="auto"/>
                <w:kern w:val="2"/>
                <w:sz w:val="21"/>
                <w:szCs w:val="21"/>
                <w:highlight w:val="none"/>
                <w:lang w:val="en-US" w:eastAsia="zh-CN" w:bidi="ar-SA"/>
              </w:rPr>
              <w:t>无</w:t>
            </w:r>
          </w:p>
        </w:tc>
      </w:tr>
      <w:tr w14:paraId="43917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97"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7522DE5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563" w:type="pct"/>
            <w:tcBorders>
              <w:top w:val="single" w:color="000000" w:sz="8" w:space="0"/>
              <w:left w:val="single" w:color="000000" w:sz="8" w:space="0"/>
              <w:bottom w:val="single" w:color="000000" w:sz="8" w:space="0"/>
              <w:right w:val="single" w:color="000000" w:sz="8" w:space="0"/>
            </w:tcBorders>
            <w:noWrap w:val="0"/>
            <w:vAlign w:val="top"/>
          </w:tcPr>
          <w:p w14:paraId="28005815">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落实政府采购政策：</w:t>
            </w:r>
          </w:p>
          <w:p w14:paraId="0A427DE2">
            <w:pPr>
              <w:keepNext w:val="0"/>
              <w:keepLines w:val="0"/>
              <w:widowControl w:val="0"/>
              <w:suppressLineNumbers w:val="0"/>
              <w:spacing w:before="0" w:beforeAutospacing="0" w:after="0" w:afterAutospacing="0"/>
              <w:ind w:left="0" w:right="0" w:firstLine="422" w:firstLineChars="200"/>
              <w:jc w:val="both"/>
              <w:rPr>
                <w:rFonts w:hint="default"/>
                <w:color w:val="auto"/>
                <w:highlight w:val="none"/>
              </w:rPr>
            </w:pPr>
            <w:r>
              <w:rPr>
                <w:rFonts w:hint="eastAsia" w:ascii="宋体" w:hAnsi="宋体" w:eastAsia="宋体" w:cs="宋体"/>
                <w:b/>
                <w:bCs/>
                <w:iCs/>
                <w:color w:val="FF0000"/>
                <w:kern w:val="2"/>
                <w:sz w:val="21"/>
                <w:szCs w:val="21"/>
                <w:highlight w:val="none"/>
                <w:lang w:val="en-US" w:eastAsia="zh-CN" w:bidi="ar-SA"/>
              </w:rPr>
              <w:t>本项目</w:t>
            </w:r>
            <w:r>
              <w:rPr>
                <w:rFonts w:hint="default" w:ascii="宋体" w:hAnsi="宋体" w:eastAsia="宋体" w:cs="宋体"/>
                <w:b/>
                <w:bCs/>
                <w:iCs/>
                <w:color w:val="FF0000"/>
                <w:kern w:val="2"/>
                <w:sz w:val="21"/>
                <w:szCs w:val="21"/>
                <w:highlight w:val="none"/>
                <w:lang w:val="en-US" w:eastAsia="zh-CN" w:bidi="ar-SA"/>
              </w:rPr>
              <w:t>不专门</w:t>
            </w:r>
            <w:r>
              <w:rPr>
                <w:rFonts w:hint="eastAsia" w:ascii="宋体" w:hAnsi="宋体" w:eastAsia="宋体" w:cs="宋体"/>
                <w:b/>
                <w:bCs/>
                <w:iCs/>
                <w:color w:val="FF0000"/>
                <w:kern w:val="2"/>
                <w:sz w:val="21"/>
                <w:szCs w:val="21"/>
                <w:highlight w:val="none"/>
                <w:lang w:val="en-US" w:eastAsia="zh-CN" w:bidi="ar-SA"/>
              </w:rPr>
              <w:t>面向中小企业</w:t>
            </w:r>
            <w:r>
              <w:rPr>
                <w:rFonts w:hint="eastAsia" w:ascii="宋体" w:hAnsi="宋体" w:eastAsia="宋体" w:cs="宋体"/>
                <w:iCs/>
                <w:color w:val="auto"/>
                <w:kern w:val="2"/>
                <w:sz w:val="21"/>
                <w:szCs w:val="21"/>
                <w:highlight w:val="none"/>
                <w:lang w:val="en-US" w:eastAsia="zh-CN" w:bidi="ar-SA"/>
              </w:rPr>
              <w:t>，供应商所投全部货物标的由小微企业制造的，须提供 《中小企业声明函（货物）》并符合填报要求</w:t>
            </w:r>
            <w:r>
              <w:rPr>
                <w:color w:val="auto"/>
                <w:spacing w:val="9"/>
                <w:sz w:val="21"/>
                <w:szCs w:val="21"/>
                <w:highlight w:val="none"/>
              </w:rPr>
              <w:t>（</w:t>
            </w:r>
            <w:r>
              <w:rPr>
                <w:rFonts w:hint="eastAsia"/>
                <w:color w:val="auto"/>
                <w:spacing w:val="9"/>
                <w:sz w:val="21"/>
                <w:szCs w:val="21"/>
                <w:highlight w:val="none"/>
                <w:lang w:val="en-US" w:eastAsia="zh-CN"/>
              </w:rPr>
              <w:t>所填内容须和</w:t>
            </w:r>
            <w:r>
              <w:rPr>
                <w:color w:val="auto"/>
                <w:spacing w:val="9"/>
                <w:sz w:val="21"/>
                <w:szCs w:val="21"/>
                <w:highlight w:val="none"/>
              </w:rPr>
              <w:t>财务报告数据相符</w:t>
            </w:r>
            <w:r>
              <w:rPr>
                <w:color w:val="auto"/>
                <w:sz w:val="21"/>
                <w:szCs w:val="21"/>
                <w:highlight w:val="none"/>
              </w:rPr>
              <w:t>）</w:t>
            </w:r>
            <w:r>
              <w:rPr>
                <w:rFonts w:hint="eastAsia" w:ascii="宋体" w:hAnsi="宋体" w:eastAsia="宋体" w:cs="宋体"/>
                <w:iCs/>
                <w:color w:val="auto"/>
                <w:kern w:val="2"/>
                <w:sz w:val="21"/>
                <w:szCs w:val="21"/>
                <w:highlight w:val="none"/>
                <w:lang w:val="en-US" w:eastAsia="zh-CN" w:bidi="ar-SA"/>
              </w:rPr>
              <w:t>，可享受10%的价格扣除优惠；</w:t>
            </w:r>
          </w:p>
        </w:tc>
      </w:tr>
      <w:tr w14:paraId="0FD4E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36BDEB9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563" w:type="pct"/>
            <w:tcBorders>
              <w:top w:val="single" w:color="000000" w:sz="8" w:space="0"/>
              <w:left w:val="single" w:color="000000" w:sz="8" w:space="0"/>
              <w:bottom w:val="single" w:color="000000" w:sz="8" w:space="0"/>
              <w:right w:val="single" w:color="000000" w:sz="8" w:space="0"/>
            </w:tcBorders>
            <w:noWrap w:val="0"/>
            <w:vAlign w:val="top"/>
          </w:tcPr>
          <w:p w14:paraId="4514EBC9">
            <w:pPr>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法人授权委托书；</w:t>
            </w:r>
          </w:p>
        </w:tc>
      </w:tr>
      <w:tr w14:paraId="05BF8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6" w:hRule="atLeast"/>
          <w:jc w:val="center"/>
        </w:trPr>
        <w:tc>
          <w:tcPr>
            <w:tcW w:w="436" w:type="pct"/>
            <w:tcBorders>
              <w:top w:val="single" w:color="000000" w:sz="8" w:space="0"/>
              <w:left w:val="single" w:color="000000" w:sz="8" w:space="0"/>
              <w:bottom w:val="single" w:color="000000" w:sz="8" w:space="0"/>
              <w:right w:val="single" w:color="000000" w:sz="8" w:space="0"/>
            </w:tcBorders>
            <w:noWrap w:val="0"/>
            <w:vAlign w:val="center"/>
          </w:tcPr>
          <w:p w14:paraId="6BAA350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563" w:type="pct"/>
            <w:tcBorders>
              <w:top w:val="single" w:color="000000" w:sz="8" w:space="0"/>
              <w:left w:val="single" w:color="000000" w:sz="8" w:space="0"/>
              <w:bottom w:val="single" w:color="000000" w:sz="8" w:space="0"/>
              <w:right w:val="single" w:color="000000" w:sz="8" w:space="0"/>
            </w:tcBorders>
            <w:noWrap w:val="0"/>
            <w:vAlign w:val="top"/>
          </w:tcPr>
          <w:p w14:paraId="61A302B8">
            <w:pPr>
              <w:rPr>
                <w:rFonts w:ascii="宋体" w:hAnsi="宋体" w:cs="宋体"/>
                <w:color w:val="auto"/>
                <w:kern w:val="0"/>
                <w:szCs w:val="21"/>
                <w:highlight w:val="none"/>
              </w:rPr>
            </w:pP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按时足额的缴纳</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需提供投标保证金</w:t>
            </w:r>
            <w:r>
              <w:rPr>
                <w:rFonts w:hint="eastAsia" w:ascii="宋体" w:hAnsi="宋体" w:eastAsia="宋体" w:cs="宋体"/>
                <w:color w:val="auto"/>
                <w:sz w:val="21"/>
                <w:szCs w:val="21"/>
                <w:highlight w:val="none"/>
              </w:rPr>
              <w:t>缴纳凭证</w:t>
            </w:r>
            <w:r>
              <w:rPr>
                <w:rFonts w:hint="eastAsia" w:ascii="宋体" w:hAnsi="宋体" w:eastAsia="宋体" w:cs="宋体"/>
                <w:color w:val="auto"/>
                <w:sz w:val="21"/>
                <w:szCs w:val="21"/>
                <w:highlight w:val="none"/>
                <w:lang w:val="en-US" w:eastAsia="zh-CN"/>
              </w:rPr>
              <w:t>/保函且加盖公章</w:t>
            </w:r>
            <w:r>
              <w:rPr>
                <w:rFonts w:hint="eastAsia" w:ascii="宋体" w:hAnsi="宋体" w:eastAsia="宋体" w:cs="宋体"/>
                <w:color w:val="auto"/>
                <w:sz w:val="21"/>
                <w:szCs w:val="21"/>
                <w:highlight w:val="none"/>
                <w:lang w:eastAsia="zh-CN"/>
              </w:rPr>
              <w:t>）</w:t>
            </w:r>
          </w:p>
        </w:tc>
      </w:tr>
    </w:tbl>
    <w:p w14:paraId="692466F2">
      <w:pPr>
        <w:rPr>
          <w:color w:val="auto"/>
          <w:highlight w:val="none"/>
        </w:rPr>
      </w:pPr>
    </w:p>
    <w:p w14:paraId="301BDA23">
      <w:pPr>
        <w:rPr>
          <w:color w:val="auto"/>
          <w:highlight w:val="none"/>
        </w:rPr>
      </w:pPr>
    </w:p>
    <w:p w14:paraId="05DC3533">
      <w:pPr>
        <w:rPr>
          <w:color w:val="auto"/>
          <w:highlight w:val="none"/>
        </w:rPr>
      </w:pPr>
    </w:p>
    <w:p w14:paraId="3B5465A8">
      <w:pPr>
        <w:pStyle w:val="36"/>
        <w:spacing w:before="280"/>
        <w:jc w:val="both"/>
        <w:outlineLvl w:val="1"/>
        <w:rPr>
          <w:rFonts w:hint="eastAsia" w:ascii="黑体" w:hAnsi="黑体" w:eastAsia="黑体"/>
          <w:color w:val="auto"/>
          <w:sz w:val="40"/>
          <w:szCs w:val="40"/>
          <w:highlight w:val="none"/>
        </w:rPr>
      </w:pPr>
    </w:p>
    <w:p w14:paraId="01DE3896">
      <w:pPr>
        <w:pStyle w:val="36"/>
        <w:spacing w:before="280"/>
        <w:jc w:val="center"/>
        <w:outlineLvl w:val="1"/>
        <w:rPr>
          <w:rFonts w:ascii="黑体" w:hAnsi="黑体" w:eastAsia="黑体"/>
          <w:color w:val="auto"/>
          <w:sz w:val="40"/>
          <w:szCs w:val="40"/>
          <w:highlight w:val="none"/>
        </w:rPr>
      </w:pPr>
      <w:r>
        <w:rPr>
          <w:rFonts w:hint="eastAsia" w:ascii="黑体" w:hAnsi="黑体" w:eastAsia="黑体"/>
          <w:color w:val="auto"/>
          <w:sz w:val="40"/>
          <w:szCs w:val="40"/>
          <w:highlight w:val="none"/>
        </w:rPr>
        <w:t>符合性审查表</w:t>
      </w:r>
    </w:p>
    <w:tbl>
      <w:tblPr>
        <w:tblStyle w:val="40"/>
        <w:tblW w:w="90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88"/>
        <w:gridCol w:w="8231"/>
      </w:tblGrid>
      <w:tr w14:paraId="0103F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68" w:hRule="atLeast"/>
          <w:jc w:val="center"/>
        </w:trPr>
        <w:tc>
          <w:tcPr>
            <w:tcW w:w="78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F1B81D8">
            <w:pPr>
              <w:widowControl/>
              <w:jc w:val="center"/>
              <w:rPr>
                <w:color w:val="auto"/>
                <w:sz w:val="28"/>
                <w:szCs w:val="28"/>
                <w:highlight w:val="none"/>
              </w:rPr>
            </w:pPr>
            <w:r>
              <w:rPr>
                <w:rFonts w:ascii="宋体" w:hAnsi="宋体" w:cs="宋体"/>
                <w:color w:val="auto"/>
                <w:kern w:val="0"/>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43F6038">
            <w:pPr>
              <w:widowControl/>
              <w:jc w:val="center"/>
              <w:rPr>
                <w:color w:val="auto"/>
                <w:sz w:val="28"/>
                <w:szCs w:val="28"/>
                <w:highlight w:val="none"/>
              </w:rPr>
            </w:pPr>
            <w:r>
              <w:rPr>
                <w:rFonts w:ascii="宋体" w:hAnsi="宋体" w:cs="宋体"/>
                <w:color w:val="auto"/>
                <w:kern w:val="0"/>
                <w:sz w:val="28"/>
                <w:szCs w:val="28"/>
                <w:highlight w:val="none"/>
              </w:rPr>
              <w:t>内容</w:t>
            </w:r>
          </w:p>
        </w:tc>
      </w:tr>
      <w:tr w14:paraId="3A628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108AC0A1">
            <w:pPr>
              <w:widowControl/>
              <w:ind w:firstLine="210" w:firstLineChars="100"/>
              <w:jc w:val="both"/>
              <w:textAlignment w:val="top"/>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C5D6423">
            <w:pPr>
              <w:widowControl/>
              <w:jc w:val="left"/>
              <w:textAlignment w:val="top"/>
              <w:rPr>
                <w:color w:val="auto"/>
                <w:szCs w:val="21"/>
                <w:highlight w:val="none"/>
              </w:rPr>
            </w:pPr>
            <w:r>
              <w:rPr>
                <w:rFonts w:hint="eastAsia"/>
                <w:color w:val="auto"/>
                <w:highlight w:val="none"/>
                <w:lang w:val="en-US" w:eastAsia="zh-CN"/>
              </w:rPr>
              <w:t>是否</w:t>
            </w:r>
            <w:r>
              <w:rPr>
                <w:rFonts w:hint="eastAsia"/>
                <w:color w:val="auto"/>
                <w:highlight w:val="none"/>
              </w:rPr>
              <w:t>按招标文件所提供的样式填写《投标函》；</w:t>
            </w:r>
          </w:p>
        </w:tc>
      </w:tr>
      <w:tr w14:paraId="010DF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4B7B28FD">
            <w:pPr>
              <w:widowControl/>
              <w:ind w:firstLine="210" w:firstLineChars="100"/>
              <w:jc w:val="both"/>
              <w:textAlignment w:val="top"/>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7FD6CA7">
            <w:pPr>
              <w:widowControl/>
              <w:jc w:val="left"/>
              <w:textAlignment w:val="top"/>
              <w:rPr>
                <w:rFonts w:hint="eastAsia"/>
                <w:color w:val="auto"/>
                <w:highlight w:val="none"/>
              </w:rPr>
            </w:pPr>
            <w:r>
              <w:rPr>
                <w:rFonts w:hint="eastAsia"/>
                <w:color w:val="auto"/>
                <w:highlight w:val="none"/>
                <w:lang w:val="en-US" w:eastAsia="zh-CN"/>
              </w:rPr>
              <w:t>是否</w:t>
            </w:r>
            <w:r>
              <w:rPr>
                <w:rFonts w:hint="eastAsia"/>
                <w:color w:val="auto"/>
                <w:highlight w:val="none"/>
              </w:rPr>
              <w:t>按招标文件所提供的《政府采购投标及履约承诺函》进行承诺或不符合承诺的；</w:t>
            </w:r>
          </w:p>
        </w:tc>
      </w:tr>
      <w:tr w14:paraId="052FF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088EF279">
            <w:pPr>
              <w:widowControl/>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7006321">
            <w:pPr>
              <w:widowControl/>
              <w:jc w:val="left"/>
              <w:textAlignment w:val="top"/>
              <w:rPr>
                <w:rFonts w:hint="eastAsia" w:eastAsia="宋体"/>
                <w:color w:val="auto"/>
                <w:highlight w:val="none"/>
                <w:lang w:eastAsia="zh-CN"/>
              </w:rPr>
            </w:pPr>
            <w:r>
              <w:rPr>
                <w:rFonts w:hint="eastAsia" w:ascii="宋体" w:hAnsi="宋体" w:eastAsia="宋体" w:cs="宋体"/>
                <w:iCs/>
                <w:color w:val="auto"/>
                <w:sz w:val="21"/>
                <w:szCs w:val="21"/>
                <w:highlight w:val="none"/>
                <w:lang w:val="en-US" w:eastAsia="zh-CN"/>
              </w:rPr>
              <w:t>是否</w:t>
            </w:r>
            <w:r>
              <w:rPr>
                <w:rFonts w:hint="eastAsia" w:ascii="宋体" w:hAnsi="宋体" w:eastAsia="宋体" w:cs="宋体"/>
                <w:iCs/>
                <w:color w:val="auto"/>
                <w:sz w:val="21"/>
                <w:szCs w:val="21"/>
                <w:highlight w:val="none"/>
              </w:rPr>
              <w:t>具备履行合同所必需的设备和专业技术能力</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提供书面声明函</w:t>
            </w:r>
            <w:r>
              <w:rPr>
                <w:rFonts w:hint="eastAsia" w:ascii="宋体" w:hAnsi="宋体" w:eastAsia="宋体" w:cs="宋体"/>
                <w:iCs/>
                <w:color w:val="auto"/>
                <w:sz w:val="21"/>
                <w:szCs w:val="21"/>
                <w:highlight w:val="none"/>
              </w:rPr>
              <w:t>）</w:t>
            </w:r>
            <w:r>
              <w:rPr>
                <w:rFonts w:hint="eastAsia" w:ascii="宋体" w:hAnsi="宋体" w:eastAsia="宋体" w:cs="宋体"/>
                <w:iCs/>
                <w:color w:val="auto"/>
                <w:sz w:val="21"/>
                <w:szCs w:val="21"/>
                <w:highlight w:val="none"/>
                <w:lang w:eastAsia="zh-CN"/>
              </w:rPr>
              <w:t>；</w:t>
            </w:r>
          </w:p>
        </w:tc>
      </w:tr>
      <w:tr w14:paraId="72F4C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694A071E">
            <w:pPr>
              <w:widowControl/>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D5BDCA9">
            <w:pPr>
              <w:widowControl/>
              <w:jc w:val="left"/>
              <w:textAlignment w:val="top"/>
              <w:rPr>
                <w:rFonts w:hint="eastAsia" w:ascii="宋体" w:hAnsi="宋体" w:eastAsia="宋体" w:cs="宋体"/>
                <w:iCs/>
                <w:color w:val="auto"/>
                <w:sz w:val="21"/>
                <w:szCs w:val="21"/>
                <w:highlight w:val="none"/>
                <w:lang w:val="en-US" w:eastAsia="zh-CN"/>
              </w:rPr>
            </w:pPr>
            <w:r>
              <w:rPr>
                <w:rFonts w:hint="eastAsia"/>
                <w:color w:val="auto"/>
                <w:highlight w:val="none"/>
                <w:lang w:val="en-US" w:eastAsia="zh-CN"/>
              </w:rPr>
              <w:t>是否</w:t>
            </w:r>
            <w:r>
              <w:rPr>
                <w:rFonts w:hint="eastAsia"/>
                <w:color w:val="auto"/>
                <w:highlight w:val="none"/>
              </w:rPr>
              <w:t>按招标文件对投标文件组成的要求提供投标文件；</w:t>
            </w:r>
          </w:p>
        </w:tc>
      </w:tr>
      <w:tr w14:paraId="3BEF5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52417B59">
            <w:pPr>
              <w:widowControl/>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78563F4">
            <w:pPr>
              <w:widowControl/>
              <w:jc w:val="left"/>
              <w:textAlignment w:val="top"/>
              <w:rPr>
                <w:rFonts w:hint="eastAsia" w:ascii="宋体" w:hAnsi="宋体" w:eastAsia="宋体" w:cs="宋体"/>
                <w:iCs/>
                <w:color w:val="auto"/>
                <w:sz w:val="21"/>
                <w:szCs w:val="21"/>
                <w:highlight w:val="none"/>
                <w:lang w:val="en-US" w:eastAsia="zh-CN"/>
              </w:rPr>
            </w:pPr>
            <w:r>
              <w:rPr>
                <w:rFonts w:hint="eastAsia" w:ascii="宋体" w:hAnsi="宋体" w:eastAsia="宋体" w:cs="宋体"/>
                <w:color w:val="auto"/>
                <w:sz w:val="21"/>
                <w:highlight w:val="none"/>
              </w:rPr>
              <w:t>响应文件的编制、签署及盖章</w:t>
            </w:r>
            <w:r>
              <w:rPr>
                <w:rFonts w:hint="eastAsia" w:ascii="宋体" w:hAnsi="宋体" w:eastAsia="宋体" w:cs="宋体"/>
                <w:color w:val="auto"/>
                <w:sz w:val="21"/>
                <w:highlight w:val="none"/>
                <w:lang w:val="en-US" w:eastAsia="zh-CN"/>
              </w:rPr>
              <w:t>是否</w:t>
            </w:r>
            <w:r>
              <w:rPr>
                <w:rFonts w:hint="eastAsia" w:ascii="宋体" w:hAnsi="宋体" w:eastAsia="宋体" w:cs="宋体"/>
                <w:color w:val="auto"/>
                <w:sz w:val="21"/>
                <w:highlight w:val="none"/>
              </w:rPr>
              <w:t>符合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rPr>
              <w:t>文件的要求</w:t>
            </w:r>
            <w:r>
              <w:rPr>
                <w:rFonts w:hint="eastAsia" w:ascii="宋体" w:hAnsi="宋体" w:eastAsia="宋体" w:cs="宋体"/>
                <w:color w:val="auto"/>
                <w:sz w:val="21"/>
                <w:highlight w:val="none"/>
                <w:lang w:eastAsia="zh-CN"/>
              </w:rPr>
              <w:t>；</w:t>
            </w:r>
          </w:p>
        </w:tc>
      </w:tr>
      <w:tr w14:paraId="3A4BD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60002A5B">
            <w:pPr>
              <w:widowControl/>
              <w:jc w:val="center"/>
              <w:textAlignment w:val="top"/>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4FB9C9F">
            <w:pPr>
              <w:widowControl/>
              <w:jc w:val="left"/>
              <w:textAlignment w:val="top"/>
              <w:rPr>
                <w:color w:val="auto"/>
                <w:szCs w:val="21"/>
                <w:highlight w:val="none"/>
              </w:rPr>
            </w:pPr>
            <w:r>
              <w:rPr>
                <w:rFonts w:hint="eastAsia"/>
                <w:color w:val="auto"/>
                <w:highlight w:val="none"/>
              </w:rPr>
              <w:t>对同一项目投标时，不得提供两套以上的投标方案（招标文件另有规定的除外）；</w:t>
            </w:r>
          </w:p>
        </w:tc>
      </w:tr>
      <w:tr w14:paraId="150EF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5E5A658B">
            <w:pPr>
              <w:widowControl/>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225F5AA">
            <w:pPr>
              <w:widowControl/>
              <w:jc w:val="left"/>
              <w:textAlignment w:val="top"/>
              <w:rPr>
                <w:rFonts w:hint="eastAsia"/>
                <w:color w:val="auto"/>
                <w:highlight w:val="none"/>
              </w:rPr>
            </w:pPr>
            <w:r>
              <w:rPr>
                <w:rFonts w:hint="eastAsia"/>
                <w:color w:val="auto"/>
                <w:highlight w:val="none"/>
              </w:rPr>
              <w:t>投标文件载明的</w:t>
            </w:r>
            <w:r>
              <w:rPr>
                <w:rFonts w:hint="eastAsia"/>
                <w:color w:val="auto"/>
                <w:highlight w:val="none"/>
                <w:lang w:val="en-US" w:eastAsia="zh-CN"/>
              </w:rPr>
              <w:t>履约期限</w:t>
            </w:r>
            <w:r>
              <w:rPr>
                <w:rFonts w:hint="eastAsia"/>
                <w:color w:val="auto"/>
                <w:highlight w:val="none"/>
              </w:rPr>
              <w:t>是否符合招标文件规定的期限；</w:t>
            </w:r>
          </w:p>
        </w:tc>
      </w:tr>
      <w:tr w14:paraId="21E20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68"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0671F7A7">
            <w:pPr>
              <w:widowControl/>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5D3BE36">
            <w:pPr>
              <w:widowControl/>
              <w:jc w:val="left"/>
              <w:textAlignment w:val="top"/>
              <w:rPr>
                <w:color w:val="auto"/>
                <w:szCs w:val="21"/>
                <w:highlight w:val="none"/>
              </w:rPr>
            </w:pPr>
            <w:r>
              <w:rPr>
                <w:rFonts w:hint="eastAsia"/>
                <w:color w:val="auto"/>
                <w:highlight w:val="none"/>
              </w:rPr>
              <w:t>所投货物、服务在技术、商务等方面是否实质性满足招标文件要求</w:t>
            </w:r>
            <w:r>
              <w:rPr>
                <w:rFonts w:hint="eastAsia"/>
                <w:color w:val="auto"/>
                <w:highlight w:val="none"/>
                <w:lang w:eastAsia="zh-CN"/>
              </w:rPr>
              <w:t>（</w:t>
            </w:r>
            <w:r>
              <w:rPr>
                <w:rFonts w:hint="eastAsia"/>
                <w:color w:val="auto"/>
                <w:highlight w:val="none"/>
                <w:lang w:val="en-US" w:eastAsia="zh-CN"/>
              </w:rPr>
              <w:t>第三章用户需求书中附表四实质性条款要求</w:t>
            </w:r>
            <w:r>
              <w:rPr>
                <w:rFonts w:hint="eastAsia"/>
                <w:color w:val="auto"/>
                <w:highlight w:val="none"/>
                <w:lang w:eastAsia="zh-CN"/>
              </w:rPr>
              <w:t>）</w:t>
            </w:r>
            <w:r>
              <w:rPr>
                <w:rFonts w:hint="eastAsia"/>
                <w:color w:val="auto"/>
                <w:highlight w:val="none"/>
              </w:rPr>
              <w:t>，由评审委员会根据实质性条款响应情况作出评判；</w:t>
            </w:r>
          </w:p>
        </w:tc>
      </w:tr>
      <w:tr w14:paraId="062EA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0F676D9C">
            <w:pPr>
              <w:widowControl/>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05AEDE5C">
            <w:pPr>
              <w:widowControl/>
              <w:jc w:val="left"/>
              <w:textAlignment w:val="top"/>
              <w:rPr>
                <w:color w:val="auto"/>
                <w:szCs w:val="21"/>
                <w:highlight w:val="none"/>
              </w:rPr>
            </w:pPr>
            <w:r>
              <w:rPr>
                <w:rFonts w:hint="eastAsia"/>
                <w:color w:val="auto"/>
                <w:highlight w:val="none"/>
              </w:rPr>
              <w:t>法律、法规、规章、规范性文件规定的其他情形。</w:t>
            </w:r>
          </w:p>
        </w:tc>
      </w:tr>
      <w:tr w14:paraId="0F4E3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07" w:hRule="atLeast"/>
          <w:jc w:val="center"/>
        </w:trPr>
        <w:tc>
          <w:tcPr>
            <w:tcW w:w="788" w:type="dxa"/>
            <w:tcBorders>
              <w:top w:val="single" w:color="000000" w:sz="8" w:space="0"/>
              <w:left w:val="single" w:color="000000" w:sz="8" w:space="0"/>
              <w:bottom w:val="single" w:color="000000" w:sz="8" w:space="0"/>
              <w:right w:val="single" w:color="000000" w:sz="8" w:space="0"/>
            </w:tcBorders>
            <w:noWrap w:val="0"/>
            <w:vAlign w:val="top"/>
          </w:tcPr>
          <w:p w14:paraId="0CC49F76">
            <w:pPr>
              <w:widowControl/>
              <w:jc w:val="center"/>
              <w:textAlignment w:val="top"/>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5EAD786">
            <w:pPr>
              <w:widowControl/>
              <w:jc w:val="left"/>
              <w:textAlignment w:val="top"/>
              <w:rPr>
                <w:rFonts w:hint="default" w:ascii="Times New Roman" w:hAnsi="Times New Roman" w:eastAsia="宋体" w:cs="Times New Roman"/>
                <w:color w:val="auto"/>
                <w:highlight w:val="none"/>
                <w:lang w:val="en-US" w:eastAsia="zh-CN"/>
              </w:rPr>
            </w:pPr>
            <w:bookmarkStart w:id="0" w:name="OLE_LINK5"/>
            <w:r>
              <w:rPr>
                <w:rFonts w:hint="eastAsia" w:ascii="Times New Roman" w:hAnsi="Times New Roman" w:eastAsia="宋体" w:cs="Times New Roman"/>
                <w:color w:val="auto"/>
                <w:highlight w:val="none"/>
                <w:lang w:val="en-US" w:eastAsia="zh-CN"/>
              </w:rPr>
              <w:t>采购文件第三章用户需求书《三</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货物需求明细清单》中</w:t>
            </w:r>
            <w:r>
              <w:rPr>
                <w:rFonts w:hint="eastAsia"/>
                <w:highlight w:val="none"/>
                <w:lang w:val="en-US" w:eastAsia="zh-CN"/>
              </w:rPr>
              <w:t>的</w:t>
            </w:r>
            <w:r>
              <w:rPr>
                <w:rFonts w:hint="eastAsia"/>
                <w:b/>
                <w:bCs/>
                <w:color w:val="FF0000"/>
                <w:highlight w:val="none"/>
                <w:lang w:val="en-US" w:eastAsia="zh-CN"/>
              </w:rPr>
              <w:t>计算机</w:t>
            </w:r>
            <w:r>
              <w:rPr>
                <w:rFonts w:hint="eastAsia"/>
                <w:highlight w:val="none"/>
                <w:lang w:val="en-US" w:eastAsia="zh-CN"/>
              </w:rPr>
              <w:t>属于国家强制性产品认证（CCC）及强制节能认证产品。（</w:t>
            </w:r>
            <w:r>
              <w:rPr>
                <w:rFonts w:hint="eastAsia"/>
                <w:color w:val="auto"/>
                <w:highlight w:val="none"/>
                <w:lang w:val="en-US" w:eastAsia="zh-CN"/>
              </w:rPr>
              <w:t>投标供应商</w:t>
            </w:r>
            <w:r>
              <w:rPr>
                <w:rFonts w:hint="eastAsia" w:cs="Times New Roman"/>
                <w:color w:val="auto"/>
                <w:highlight w:val="none"/>
                <w:lang w:val="en-US" w:eastAsia="zh-CN"/>
              </w:rPr>
              <w:t>须</w:t>
            </w:r>
            <w:r>
              <w:rPr>
                <w:rFonts w:hint="eastAsia"/>
                <w:color w:val="auto"/>
                <w:highlight w:val="none"/>
                <w:lang w:val="en-US" w:eastAsia="zh-CN"/>
              </w:rPr>
              <w:t>提供国家认可的第三方检测机构出具的、处于有效期内的强制性产品认证证书（CCC）和节能</w:t>
            </w:r>
            <w:r>
              <w:rPr>
                <w:rFonts w:hint="eastAsia" w:ascii="Times New Roman" w:hAnsi="Times New Roman" w:eastAsia="宋体" w:cs="Times New Roman"/>
                <w:color w:val="auto"/>
                <w:highlight w:val="none"/>
                <w:lang w:val="en-US" w:eastAsia="zh-CN"/>
              </w:rPr>
              <w:t>认证证书</w:t>
            </w:r>
            <w:bookmarkEnd w:id="0"/>
            <w:r>
              <w:rPr>
                <w:rFonts w:hint="eastAsia" w:cs="Times New Roman"/>
                <w:color w:val="auto"/>
                <w:highlight w:val="none"/>
                <w:lang w:val="en-US" w:eastAsia="zh-CN"/>
              </w:rPr>
              <w:t>，并提供查询截图）</w:t>
            </w:r>
          </w:p>
        </w:tc>
      </w:tr>
    </w:tbl>
    <w:p w14:paraId="5B296328">
      <w:pPr>
        <w:pStyle w:val="36"/>
        <w:spacing w:before="280"/>
        <w:ind w:firstLine="3200" w:firstLineChars="800"/>
        <w:jc w:val="both"/>
        <w:outlineLvl w:val="1"/>
        <w:rPr>
          <w:rFonts w:hint="eastAsia" w:ascii="黑体" w:hAnsi="黑体" w:eastAsia="黑体" w:cs="宋体"/>
          <w:color w:val="auto"/>
          <w:sz w:val="40"/>
          <w:szCs w:val="40"/>
          <w:highlight w:val="none"/>
          <w:lang w:val="en-US" w:eastAsia="zh-CN"/>
        </w:rPr>
      </w:pPr>
    </w:p>
    <w:p w14:paraId="2F17AAD0">
      <w:pPr>
        <w:pStyle w:val="36"/>
        <w:spacing w:before="280"/>
        <w:ind w:firstLine="3200" w:firstLineChars="800"/>
        <w:jc w:val="both"/>
        <w:outlineLvl w:val="1"/>
        <w:rPr>
          <w:rFonts w:hint="eastAsia" w:ascii="黑体" w:hAnsi="黑体" w:eastAsia="黑体" w:cs="宋体"/>
          <w:color w:val="auto"/>
          <w:sz w:val="40"/>
          <w:szCs w:val="40"/>
          <w:highlight w:val="none"/>
        </w:rPr>
      </w:pPr>
      <w:r>
        <w:rPr>
          <w:rFonts w:hint="eastAsia" w:ascii="黑体" w:hAnsi="黑体" w:eastAsia="黑体" w:cs="宋体"/>
          <w:color w:val="auto"/>
          <w:sz w:val="40"/>
          <w:szCs w:val="40"/>
          <w:highlight w:val="none"/>
          <w:lang w:val="en-US" w:eastAsia="zh-CN"/>
        </w:rPr>
        <w:t>报价</w:t>
      </w:r>
      <w:r>
        <w:rPr>
          <w:rFonts w:hint="eastAsia" w:ascii="黑体" w:hAnsi="黑体" w:eastAsia="黑体" w:cs="宋体"/>
          <w:color w:val="auto"/>
          <w:sz w:val="40"/>
          <w:szCs w:val="40"/>
          <w:highlight w:val="none"/>
        </w:rPr>
        <w:t>符合性审查表</w:t>
      </w:r>
    </w:p>
    <w:tbl>
      <w:tblPr>
        <w:tblStyle w:val="40"/>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567A1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080AEF0">
            <w:pPr>
              <w:widowControl/>
              <w:jc w:val="center"/>
              <w:rPr>
                <w:color w:val="auto"/>
                <w:sz w:val="28"/>
                <w:szCs w:val="28"/>
                <w:highlight w:val="none"/>
              </w:rPr>
            </w:pPr>
            <w:r>
              <w:rPr>
                <w:rFonts w:ascii="宋体" w:hAnsi="宋体" w:cs="宋体"/>
                <w:color w:val="auto"/>
                <w:kern w:val="0"/>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EC9B02E">
            <w:pPr>
              <w:widowControl/>
              <w:jc w:val="center"/>
              <w:rPr>
                <w:color w:val="auto"/>
                <w:sz w:val="28"/>
                <w:szCs w:val="28"/>
                <w:highlight w:val="none"/>
              </w:rPr>
            </w:pPr>
            <w:r>
              <w:rPr>
                <w:rFonts w:ascii="宋体" w:hAnsi="宋体" w:cs="宋体"/>
                <w:color w:val="auto"/>
                <w:kern w:val="0"/>
                <w:sz w:val="28"/>
                <w:szCs w:val="28"/>
                <w:highlight w:val="none"/>
              </w:rPr>
              <w:t>内容</w:t>
            </w:r>
          </w:p>
        </w:tc>
      </w:tr>
      <w:tr w14:paraId="3D80F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10D302B">
            <w:pPr>
              <w:widowControl/>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1358F93E">
            <w:pPr>
              <w:widowControl/>
              <w:jc w:val="left"/>
              <w:textAlignment w:val="top"/>
              <w:rPr>
                <w:rFonts w:hint="default" w:eastAsia="宋体"/>
                <w:color w:val="auto"/>
                <w:szCs w:val="21"/>
                <w:highlight w:val="none"/>
                <w:lang w:val="en-US" w:eastAsia="zh-CN"/>
              </w:rPr>
            </w:pPr>
            <w:r>
              <w:rPr>
                <w:rFonts w:hint="eastAsia"/>
                <w:color w:val="auto"/>
                <w:szCs w:val="21"/>
                <w:highlight w:val="none"/>
                <w:lang w:val="en-US" w:eastAsia="zh-CN"/>
              </w:rPr>
              <w:t>《开标一览表》是否符合填写要求；</w:t>
            </w:r>
          </w:p>
        </w:tc>
      </w:tr>
      <w:tr w14:paraId="2D63B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CF4D928">
            <w:pPr>
              <w:widowControl/>
              <w:jc w:val="center"/>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2ABC690C">
            <w:pPr>
              <w:widowControl/>
              <w:jc w:val="left"/>
              <w:textAlignment w:val="top"/>
              <w:rPr>
                <w:rFonts w:hint="eastAsia"/>
                <w:color w:val="auto"/>
                <w:kern w:val="2"/>
                <w:sz w:val="21"/>
                <w:szCs w:val="21"/>
                <w:highlight w:val="none"/>
                <w:lang w:val="en-US" w:eastAsia="zh-CN" w:bidi="ar-SA"/>
              </w:rPr>
            </w:pPr>
            <w:r>
              <w:rPr>
                <w:rFonts w:hint="eastAsia"/>
                <w:color w:val="auto"/>
                <w:highlight w:val="none"/>
              </w:rPr>
              <w:t>分项报价或投标总价不得高于相应预算金额（或设定的预算金额下的最高限价）；</w:t>
            </w:r>
          </w:p>
        </w:tc>
      </w:tr>
      <w:tr w14:paraId="165B8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DC006FC">
            <w:pPr>
              <w:widowControl/>
              <w:jc w:val="center"/>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2574E08">
            <w:pPr>
              <w:widowControl/>
              <w:jc w:val="left"/>
              <w:textAlignment w:val="top"/>
              <w:rPr>
                <w:rFonts w:hint="eastAsia" w:eastAsia="宋体"/>
                <w:color w:val="auto"/>
                <w:kern w:val="2"/>
                <w:sz w:val="21"/>
                <w:szCs w:val="21"/>
                <w:highlight w:val="none"/>
                <w:lang w:val="en-US" w:eastAsia="zh-CN" w:bidi="ar-SA"/>
              </w:rPr>
            </w:pPr>
            <w:r>
              <w:rPr>
                <w:rFonts w:hint="eastAsia"/>
                <w:color w:val="auto"/>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r>
              <w:rPr>
                <w:rFonts w:hint="eastAsia"/>
                <w:color w:val="auto"/>
                <w:highlight w:val="none"/>
                <w:lang w:eastAsia="zh-CN"/>
              </w:rPr>
              <w:t>。</w:t>
            </w:r>
          </w:p>
        </w:tc>
      </w:tr>
      <w:tr w14:paraId="0A017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298BA413">
            <w:pPr>
              <w:widowControl/>
              <w:jc w:val="center"/>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A3D16C4">
            <w:pPr>
              <w:widowControl/>
              <w:jc w:val="left"/>
              <w:textAlignment w:val="top"/>
              <w:rPr>
                <w:rFonts w:hint="eastAsia"/>
                <w:color w:val="auto"/>
                <w:highlight w:val="none"/>
              </w:rPr>
            </w:pPr>
            <w:r>
              <w:rPr>
                <w:rFonts w:hint="eastAsia"/>
                <w:color w:val="auto"/>
                <w:highlight w:val="none"/>
                <w:lang w:val="en-US" w:eastAsia="zh-CN"/>
              </w:rPr>
              <w:t>分项</w:t>
            </w:r>
            <w:r>
              <w:rPr>
                <w:rFonts w:hint="eastAsia"/>
                <w:color w:val="auto"/>
                <w:highlight w:val="none"/>
              </w:rPr>
              <w:t>报价有缺漏项目,或者对招标文件规定的项目需求内容或者需求数量进行修改</w:t>
            </w:r>
            <w:r>
              <w:rPr>
                <w:rFonts w:hint="eastAsia"/>
                <w:color w:val="auto"/>
                <w:szCs w:val="21"/>
                <w:highlight w:val="none"/>
              </w:rPr>
              <w:t>，评审委员会判定投标响应不满足采购需求</w:t>
            </w:r>
            <w:r>
              <w:rPr>
                <w:rFonts w:hint="eastAsia"/>
                <w:color w:val="auto"/>
                <w:highlight w:val="none"/>
              </w:rPr>
              <w:t>；</w:t>
            </w:r>
          </w:p>
        </w:tc>
      </w:tr>
    </w:tbl>
    <w:p w14:paraId="033A9FF3">
      <w:pPr>
        <w:pStyle w:val="36"/>
        <w:ind w:firstLine="3600" w:firstLineChars="900"/>
        <w:jc w:val="both"/>
        <w:outlineLvl w:val="1"/>
        <w:rPr>
          <w:rFonts w:hint="eastAsia" w:ascii="黑体" w:hAnsi="黑体" w:eastAsia="黑体"/>
          <w:color w:val="auto"/>
          <w:sz w:val="40"/>
          <w:szCs w:val="40"/>
          <w:highlight w:val="none"/>
        </w:rPr>
      </w:pPr>
    </w:p>
    <w:p w14:paraId="0E5C2825">
      <w:pPr>
        <w:pStyle w:val="36"/>
        <w:ind w:firstLine="3600" w:firstLineChars="900"/>
        <w:jc w:val="both"/>
        <w:outlineLvl w:val="1"/>
        <w:rPr>
          <w:rFonts w:ascii="黑体" w:hAnsi="黑体" w:eastAsia="黑体"/>
          <w:color w:val="auto"/>
          <w:sz w:val="40"/>
          <w:szCs w:val="40"/>
          <w:highlight w:val="none"/>
        </w:rPr>
      </w:pPr>
      <w:r>
        <w:rPr>
          <w:rFonts w:hint="eastAsia" w:ascii="黑体" w:hAnsi="黑体" w:eastAsia="黑体"/>
          <w:color w:val="auto"/>
          <w:sz w:val="40"/>
          <w:szCs w:val="40"/>
          <w:highlight w:val="none"/>
        </w:rPr>
        <w:t>评标信息</w:t>
      </w:r>
    </w:p>
    <w:tbl>
      <w:tblPr>
        <w:tblStyle w:val="40"/>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E9B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noWrap w:val="0"/>
            <w:vAlign w:val="center"/>
          </w:tcPr>
          <w:p w14:paraId="49A4FE37">
            <w:pPr>
              <w:jc w:val="left"/>
              <w:rPr>
                <w:rFonts w:ascii="宋体" w:hAnsi="宋体" w:cs="宋体"/>
                <w:b/>
                <w:bCs/>
                <w:color w:val="auto"/>
                <w:sz w:val="24"/>
                <w:highlight w:val="none"/>
              </w:rPr>
            </w:pPr>
            <w:r>
              <w:rPr>
                <w:b/>
                <w:bCs/>
                <w:color w:val="auto"/>
                <w:highlight w:val="none"/>
              </w:rPr>
              <w:t>评标方法：综合评分法</w:t>
            </w:r>
          </w:p>
        </w:tc>
      </w:tr>
      <w:tr w14:paraId="351C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noWrap w:val="0"/>
            <w:vAlign w:val="center"/>
          </w:tcPr>
          <w:p w14:paraId="0CFCD726">
            <w:pPr>
              <w:pStyle w:val="36"/>
              <w:spacing w:line="324" w:lineRule="auto"/>
              <w:ind w:firstLine="420"/>
              <w:rPr>
                <w:color w:val="auto"/>
                <w:sz w:val="21"/>
                <w:szCs w:val="21"/>
                <w:highlight w:val="none"/>
              </w:rPr>
            </w:pPr>
            <w:r>
              <w:rPr>
                <w:rFonts w:hint="eastAsia"/>
                <w:color w:val="auto"/>
                <w:sz w:val="21"/>
                <w:szCs w:val="21"/>
                <w:highlight w:val="none"/>
              </w:rPr>
              <w:t>综合评分法。在最大限度地满足招标文件实质性要求的前提下，按照招标文件中规定的各项因素进行综合评审，评标总得分排名前列的投标人，作为推荐的候选中标供应商</w:t>
            </w:r>
            <w:r>
              <w:rPr>
                <w:color w:val="auto"/>
                <w:sz w:val="21"/>
                <w:szCs w:val="21"/>
                <w:highlight w:val="none"/>
              </w:rPr>
              <w:t xml:space="preserve">。 </w:t>
            </w:r>
          </w:p>
          <w:p w14:paraId="48D7250E">
            <w:pPr>
              <w:pStyle w:val="36"/>
              <w:ind w:firstLine="420"/>
              <w:rPr>
                <w:color w:val="auto"/>
                <w:sz w:val="21"/>
                <w:szCs w:val="21"/>
                <w:highlight w:val="none"/>
              </w:rPr>
            </w:pPr>
            <w:r>
              <w:rPr>
                <w:color w:val="auto"/>
                <w:sz w:val="21"/>
                <w:szCs w:val="21"/>
                <w:highlight w:val="none"/>
              </w:rPr>
              <w:t>价格分计算方法：</w:t>
            </w:r>
          </w:p>
          <w:p w14:paraId="00E8EA8B">
            <w:pPr>
              <w:pStyle w:val="36"/>
              <w:ind w:firstLine="420"/>
              <w:rPr>
                <w:color w:val="auto"/>
                <w:sz w:val="21"/>
                <w:szCs w:val="21"/>
                <w:highlight w:val="none"/>
              </w:rPr>
            </w:pPr>
            <w:r>
              <w:rPr>
                <w:color w:val="auto"/>
                <w:sz w:val="21"/>
                <w:szCs w:val="21"/>
                <w:highlight w:val="none"/>
              </w:rPr>
              <w:t xml:space="preserve">采用低价优先法计算，即满足招标文件要求且投标价格最低的投标报价为评标基准价，其价格分为满分。其他投标人的价格分统一按照下列公式计算： </w:t>
            </w:r>
            <w:r>
              <w:rPr>
                <w:color w:val="auto"/>
                <w:sz w:val="21"/>
                <w:szCs w:val="21"/>
                <w:highlight w:val="none"/>
              </w:rPr>
              <w:br w:type="textWrapping"/>
            </w:r>
            <w:r>
              <w:rPr>
                <w:color w:val="auto"/>
                <w:sz w:val="21"/>
                <w:szCs w:val="21"/>
                <w:highlight w:val="none"/>
              </w:rPr>
              <w:t xml:space="preserve">投标报价得分=(评标基准价／投标报价)×100 </w:t>
            </w:r>
            <w:r>
              <w:rPr>
                <w:color w:val="auto"/>
                <w:sz w:val="21"/>
                <w:szCs w:val="21"/>
                <w:highlight w:val="none"/>
              </w:rPr>
              <w:br w:type="textWrapping"/>
            </w:r>
            <w:r>
              <w:rPr>
                <w:color w:val="auto"/>
                <w:sz w:val="21"/>
                <w:szCs w:val="21"/>
                <w:highlight w:val="none"/>
              </w:rPr>
              <w:t xml:space="preserve">评标总得分＝F1×A1＋F2×A2＋……＋Fn×An </w:t>
            </w:r>
            <w:r>
              <w:rPr>
                <w:color w:val="auto"/>
                <w:sz w:val="21"/>
                <w:szCs w:val="21"/>
                <w:highlight w:val="none"/>
              </w:rPr>
              <w:br w:type="textWrapping"/>
            </w:r>
            <w:r>
              <w:rPr>
                <w:color w:val="auto"/>
                <w:sz w:val="21"/>
                <w:szCs w:val="21"/>
                <w:highlight w:val="none"/>
              </w:rPr>
              <w:t xml:space="preserve">F1、F2……Fn分别为各项评审因素的得分； </w:t>
            </w:r>
            <w:r>
              <w:rPr>
                <w:color w:val="auto"/>
                <w:sz w:val="21"/>
                <w:szCs w:val="21"/>
                <w:highlight w:val="none"/>
              </w:rPr>
              <w:br w:type="textWrapping"/>
            </w:r>
            <w:r>
              <w:rPr>
                <w:color w:val="auto"/>
                <w:sz w:val="21"/>
                <w:szCs w:val="21"/>
                <w:highlight w:val="none"/>
              </w:rPr>
              <w:t xml:space="preserve">A1、A2、……An 分别为各项评审因素所占的权重(A1＋A2＋……＋An＝1)。 </w:t>
            </w:r>
            <w:r>
              <w:rPr>
                <w:color w:val="auto"/>
                <w:sz w:val="21"/>
                <w:szCs w:val="21"/>
                <w:highlight w:val="none"/>
              </w:rPr>
              <w:br w:type="textWrapping"/>
            </w:r>
            <w:r>
              <w:rPr>
                <w:color w:val="auto"/>
                <w:sz w:val="21"/>
                <w:szCs w:val="21"/>
                <w:highlight w:val="none"/>
              </w:rPr>
              <w:t xml:space="preserve">评标过程中，不得去掉报价中的最高报价和最低报价。 </w:t>
            </w:r>
            <w:r>
              <w:rPr>
                <w:color w:val="auto"/>
                <w:sz w:val="21"/>
                <w:szCs w:val="21"/>
                <w:highlight w:val="none"/>
              </w:rPr>
              <w:br w:type="textWrapping"/>
            </w:r>
            <w:r>
              <w:rPr>
                <w:color w:val="auto"/>
                <w:sz w:val="21"/>
                <w:szCs w:val="21"/>
                <w:highlight w:val="none"/>
              </w:rPr>
              <w:t xml:space="preserve">此方法适用于货物类、服务类、工程类项目。 </w:t>
            </w:r>
          </w:p>
        </w:tc>
      </w:tr>
    </w:tbl>
    <w:p w14:paraId="799D4685">
      <w:pPr>
        <w:wordWrap w:val="0"/>
        <w:jc w:val="center"/>
        <w:rPr>
          <w:color w:val="auto"/>
          <w:highlight w:val="none"/>
        </w:rPr>
      </w:pPr>
      <w:r>
        <w:rPr>
          <w:rFonts w:hint="eastAsia"/>
          <w:b/>
          <w:bCs/>
          <w:color w:val="auto"/>
          <w:sz w:val="36"/>
          <w:szCs w:val="36"/>
          <w:highlight w:val="none"/>
        </w:rPr>
        <w:t>商务技术评审</w:t>
      </w:r>
    </w:p>
    <w:tbl>
      <w:tblPr>
        <w:tblStyle w:val="40"/>
        <w:tblpPr w:leftFromText="180" w:rightFromText="180" w:vertAnchor="text" w:horzAnchor="page" w:tblpX="1555" w:tblpY="305"/>
        <w:tblOverlap w:val="never"/>
        <w:tblW w:w="9072" w:type="dxa"/>
        <w:tblCellSpacing w:w="0" w:type="dxa"/>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20" w:type="dxa"/>
          <w:left w:w="108" w:type="dxa"/>
          <w:bottom w:w="20" w:type="dxa"/>
          <w:right w:w="108" w:type="dxa"/>
        </w:tblCellMar>
      </w:tblPr>
      <w:tblGrid>
        <w:gridCol w:w="676"/>
        <w:gridCol w:w="453"/>
        <w:gridCol w:w="2004"/>
        <w:gridCol w:w="934"/>
        <w:gridCol w:w="5005"/>
      </w:tblGrid>
      <w:tr w14:paraId="21F67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tcBorders>
              <w:tl2br w:val="nil"/>
              <w:tr2bl w:val="nil"/>
            </w:tcBorders>
            <w:shd w:val="clear" w:color="auto" w:fill="E6EFFA"/>
            <w:noWrap w:val="0"/>
            <w:vAlign w:val="center"/>
          </w:tcPr>
          <w:p w14:paraId="047BB295">
            <w:pPr>
              <w:wordWrap w:val="0"/>
              <w:jc w:val="both"/>
              <w:rPr>
                <w:rFonts w:ascii="宋体" w:hAnsi="宋体" w:eastAsia="宋体" w:cs="宋体"/>
                <w:b/>
                <w:bCs/>
                <w:color w:val="auto"/>
                <w:szCs w:val="21"/>
                <w:highlight w:val="none"/>
              </w:rPr>
            </w:pPr>
            <w:r>
              <w:rPr>
                <w:rFonts w:ascii="宋体" w:hAnsi="宋体" w:eastAsia="宋体"/>
                <w:b/>
                <w:bCs/>
                <w:color w:val="auto"/>
                <w:szCs w:val="21"/>
                <w:highlight w:val="none"/>
              </w:rPr>
              <w:t>序号</w:t>
            </w:r>
          </w:p>
        </w:tc>
        <w:tc>
          <w:tcPr>
            <w:tcW w:w="3391" w:type="dxa"/>
            <w:gridSpan w:val="3"/>
            <w:tcBorders>
              <w:tl2br w:val="nil"/>
              <w:tr2bl w:val="nil"/>
            </w:tcBorders>
            <w:shd w:val="clear" w:color="auto" w:fill="E6EFFA"/>
            <w:noWrap w:val="0"/>
            <w:vAlign w:val="center"/>
          </w:tcPr>
          <w:p w14:paraId="117232AA">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评分项</w:t>
            </w:r>
          </w:p>
        </w:tc>
        <w:tc>
          <w:tcPr>
            <w:tcW w:w="5005" w:type="dxa"/>
            <w:tcBorders>
              <w:tl2br w:val="nil"/>
              <w:tr2bl w:val="nil"/>
            </w:tcBorders>
            <w:shd w:val="clear" w:color="auto" w:fill="E6EFFA"/>
            <w:noWrap w:val="0"/>
            <w:vAlign w:val="center"/>
          </w:tcPr>
          <w:p w14:paraId="62A57E05">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权重(%)</w:t>
            </w:r>
          </w:p>
        </w:tc>
      </w:tr>
      <w:tr w14:paraId="71760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restart"/>
            <w:tcBorders>
              <w:tl2br w:val="nil"/>
              <w:tr2bl w:val="nil"/>
            </w:tcBorders>
            <w:noWrap w:val="0"/>
            <w:vAlign w:val="center"/>
          </w:tcPr>
          <w:p w14:paraId="4CDFEB58">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1</w:t>
            </w:r>
          </w:p>
        </w:tc>
        <w:tc>
          <w:tcPr>
            <w:tcW w:w="3391" w:type="dxa"/>
            <w:gridSpan w:val="3"/>
            <w:tcBorders>
              <w:tl2br w:val="nil"/>
              <w:tr2bl w:val="nil"/>
            </w:tcBorders>
            <w:noWrap w:val="0"/>
            <w:vAlign w:val="center"/>
          </w:tcPr>
          <w:p w14:paraId="1AE3B8CA">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价格</w:t>
            </w:r>
          </w:p>
        </w:tc>
        <w:tc>
          <w:tcPr>
            <w:tcW w:w="5005" w:type="dxa"/>
            <w:tcBorders>
              <w:tl2br w:val="nil"/>
              <w:tr2bl w:val="nil"/>
            </w:tcBorders>
            <w:noWrap w:val="0"/>
            <w:vAlign w:val="center"/>
          </w:tcPr>
          <w:p w14:paraId="36CD2F33">
            <w:pPr>
              <w:wordWrap w:val="0"/>
              <w:jc w:val="center"/>
              <w:rPr>
                <w:rFonts w:hint="default" w:ascii="宋体" w:hAnsi="宋体" w:eastAsia="宋体" w:cs="宋体"/>
                <w:b/>
                <w:bCs/>
                <w:color w:val="auto"/>
                <w:szCs w:val="21"/>
                <w:highlight w:val="none"/>
                <w:lang w:val="en-US" w:eastAsia="zh-CN"/>
              </w:rPr>
            </w:pPr>
            <w:r>
              <w:rPr>
                <w:rFonts w:hint="eastAsia" w:ascii="宋体" w:hAnsi="宋体" w:eastAsia="宋体"/>
                <w:b/>
                <w:bCs/>
                <w:color w:val="auto"/>
                <w:szCs w:val="21"/>
                <w:highlight w:val="none"/>
                <w:lang w:val="en-US" w:eastAsia="zh-CN"/>
              </w:rPr>
              <w:t>30</w:t>
            </w:r>
          </w:p>
        </w:tc>
      </w:tr>
      <w:tr w14:paraId="5BCF2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noWrap w:val="0"/>
            <w:vAlign w:val="center"/>
          </w:tcPr>
          <w:p w14:paraId="5CD9B774">
            <w:pPr>
              <w:rPr>
                <w:rFonts w:ascii="宋体" w:hAnsi="宋体" w:eastAsia="宋体" w:cs="宋体"/>
                <w:b/>
                <w:bCs/>
                <w:color w:val="auto"/>
                <w:szCs w:val="21"/>
                <w:highlight w:val="none"/>
              </w:rPr>
            </w:pPr>
          </w:p>
        </w:tc>
        <w:tc>
          <w:tcPr>
            <w:tcW w:w="8396" w:type="dxa"/>
            <w:gridSpan w:val="4"/>
            <w:tcBorders>
              <w:tl2br w:val="nil"/>
              <w:tr2bl w:val="nil"/>
            </w:tcBorders>
            <w:noWrap w:val="0"/>
            <w:vAlign w:val="center"/>
          </w:tcPr>
          <w:p w14:paraId="055F201D">
            <w:pPr>
              <w:wordWrap w:val="0"/>
              <w:rPr>
                <w:color w:val="auto"/>
                <w:sz w:val="21"/>
                <w:szCs w:val="21"/>
                <w:highlight w:val="none"/>
              </w:rPr>
            </w:pPr>
            <w:r>
              <w:rPr>
                <w:rFonts w:hint="eastAsia"/>
                <w:color w:val="auto"/>
                <w:sz w:val="21"/>
                <w:szCs w:val="21"/>
                <w:highlight w:val="none"/>
              </w:rPr>
              <w:t>综合评分法。在最大限度地满足招标文件实质性要求的前提下，按照招标文件中规定的各项因素进行综合评审，评标总得分排名前列的投标人，作为推荐的候选中标供应商</w:t>
            </w:r>
            <w:r>
              <w:rPr>
                <w:color w:val="auto"/>
                <w:sz w:val="21"/>
                <w:szCs w:val="21"/>
                <w:highlight w:val="none"/>
              </w:rPr>
              <w:t>。</w:t>
            </w:r>
          </w:p>
          <w:p w14:paraId="7C205CBE">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w:t>
            </w:r>
            <w:r>
              <w:rPr>
                <w:rFonts w:hint="default" w:ascii="宋体" w:hAnsi="宋体" w:eastAsia="宋体" w:cs="宋体"/>
                <w:color w:val="auto"/>
                <w:szCs w:val="21"/>
                <w:highlight w:val="none"/>
              </w:rPr>
              <w:t>价</w:t>
            </w:r>
            <w:r>
              <w:rPr>
                <w:rFonts w:hint="eastAsia" w:ascii="宋体" w:hAnsi="宋体" w:eastAsia="宋体" w:cs="宋体"/>
                <w:color w:val="auto"/>
                <w:szCs w:val="21"/>
                <w:highlight w:val="none"/>
              </w:rPr>
              <w:t>格最低的投标报价为评标基准价，其价格分为满分。其他投标人的价格份统一按下列公式计算：</w:t>
            </w:r>
          </w:p>
          <w:p w14:paraId="700EAB2F">
            <w:pPr>
              <w:wordWrap w:val="0"/>
              <w:rPr>
                <w:rFonts w:ascii="宋体" w:hAnsi="宋体" w:eastAsia="宋体" w:cs="宋体"/>
                <w:color w:val="auto"/>
                <w:szCs w:val="21"/>
                <w:highlight w:val="none"/>
              </w:rPr>
            </w:pPr>
            <w:r>
              <w:rPr>
                <w:rFonts w:hint="eastAsia" w:ascii="宋体" w:hAnsi="宋体" w:eastAsia="宋体" w:cs="宋体"/>
                <w:color w:val="auto"/>
                <w:szCs w:val="21"/>
                <w:highlight w:val="none"/>
              </w:rPr>
              <w:t>投标报价得分=（评标基准价/投标报价）*30%*100；计算结果保留至小数点后两位。</w:t>
            </w:r>
          </w:p>
        </w:tc>
      </w:tr>
      <w:tr w14:paraId="2845D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restart"/>
            <w:tcBorders>
              <w:tl2br w:val="nil"/>
              <w:tr2bl w:val="nil"/>
            </w:tcBorders>
            <w:noWrap w:val="0"/>
            <w:vAlign w:val="center"/>
          </w:tcPr>
          <w:p w14:paraId="62E5B258">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2</w:t>
            </w:r>
          </w:p>
        </w:tc>
        <w:tc>
          <w:tcPr>
            <w:tcW w:w="3391" w:type="dxa"/>
            <w:gridSpan w:val="3"/>
            <w:tcBorders>
              <w:tl2br w:val="nil"/>
              <w:tr2bl w:val="nil"/>
            </w:tcBorders>
            <w:noWrap w:val="0"/>
            <w:vAlign w:val="center"/>
          </w:tcPr>
          <w:p w14:paraId="1BC93043">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技术</w:t>
            </w:r>
            <w:r>
              <w:rPr>
                <w:rFonts w:hint="eastAsia" w:ascii="宋体" w:hAnsi="宋体" w:eastAsia="宋体"/>
                <w:b/>
                <w:bCs/>
                <w:color w:val="auto"/>
                <w:szCs w:val="21"/>
                <w:highlight w:val="none"/>
              </w:rPr>
              <w:t>部分</w:t>
            </w:r>
          </w:p>
        </w:tc>
        <w:tc>
          <w:tcPr>
            <w:tcW w:w="5005" w:type="dxa"/>
            <w:tcBorders>
              <w:tl2br w:val="nil"/>
              <w:tr2bl w:val="nil"/>
            </w:tcBorders>
            <w:noWrap w:val="0"/>
            <w:vAlign w:val="center"/>
          </w:tcPr>
          <w:p w14:paraId="69BE68BB">
            <w:pPr>
              <w:wordWrap w:val="0"/>
              <w:jc w:val="center"/>
              <w:rPr>
                <w:rFonts w:hint="default" w:ascii="宋体" w:hAnsi="宋体" w:eastAsia="宋体" w:cs="宋体"/>
                <w:b/>
                <w:bCs/>
                <w:color w:val="auto"/>
                <w:szCs w:val="21"/>
                <w:highlight w:val="none"/>
                <w:lang w:val="en-US" w:eastAsia="zh-CN"/>
              </w:rPr>
            </w:pPr>
            <w:r>
              <w:rPr>
                <w:rFonts w:hint="eastAsia" w:ascii="宋体" w:hAnsi="宋体"/>
                <w:b/>
                <w:bCs/>
                <w:color w:val="auto"/>
                <w:szCs w:val="21"/>
                <w:highlight w:val="none"/>
                <w:lang w:val="en-US" w:eastAsia="zh-CN"/>
              </w:rPr>
              <w:t>27</w:t>
            </w:r>
          </w:p>
        </w:tc>
      </w:tr>
      <w:tr w14:paraId="1C63E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noWrap w:val="0"/>
            <w:vAlign w:val="center"/>
          </w:tcPr>
          <w:p w14:paraId="3DD19CD4">
            <w:pPr>
              <w:rPr>
                <w:rFonts w:ascii="宋体" w:hAnsi="宋体" w:eastAsia="宋体" w:cs="宋体"/>
                <w:b/>
                <w:bCs/>
                <w:color w:val="auto"/>
                <w:szCs w:val="21"/>
                <w:highlight w:val="none"/>
              </w:rPr>
            </w:pPr>
          </w:p>
        </w:tc>
        <w:tc>
          <w:tcPr>
            <w:tcW w:w="8396" w:type="dxa"/>
            <w:gridSpan w:val="4"/>
            <w:tcBorders>
              <w:tl2br w:val="nil"/>
              <w:tr2bl w:val="nil"/>
            </w:tcBorders>
            <w:noWrap w:val="0"/>
            <w:vAlign w:val="center"/>
          </w:tcPr>
          <w:p w14:paraId="28E275E6">
            <w:pPr>
              <w:wordWrap w:val="0"/>
              <w:rPr>
                <w:rFonts w:ascii="宋体" w:hAnsi="宋体" w:eastAsia="宋体" w:cs="宋体"/>
                <w:color w:val="auto"/>
                <w:szCs w:val="21"/>
                <w:highlight w:val="none"/>
              </w:rPr>
            </w:pPr>
          </w:p>
        </w:tc>
      </w:tr>
      <w:tr w14:paraId="635CE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shd w:val="clear" w:color="auto" w:fill="E6EFFA"/>
            <w:noWrap w:val="0"/>
            <w:vAlign w:val="center"/>
          </w:tcPr>
          <w:p w14:paraId="52F9DE4A">
            <w:pPr>
              <w:rPr>
                <w:rFonts w:ascii="宋体" w:hAnsi="宋体" w:eastAsia="宋体" w:cs="宋体"/>
                <w:b/>
                <w:bCs/>
                <w:color w:val="auto"/>
                <w:szCs w:val="21"/>
                <w:highlight w:val="none"/>
              </w:rPr>
            </w:pPr>
          </w:p>
        </w:tc>
        <w:tc>
          <w:tcPr>
            <w:tcW w:w="453" w:type="dxa"/>
            <w:tcBorders>
              <w:tl2br w:val="nil"/>
              <w:tr2bl w:val="nil"/>
            </w:tcBorders>
            <w:shd w:val="clear" w:color="auto" w:fill="E6EFFA"/>
            <w:noWrap w:val="0"/>
            <w:vAlign w:val="center"/>
          </w:tcPr>
          <w:p w14:paraId="52DEAB08">
            <w:pPr>
              <w:wordWrap w:val="0"/>
              <w:jc w:val="center"/>
              <w:rPr>
                <w:rFonts w:ascii="宋体" w:hAnsi="宋体" w:eastAsia="宋体" w:cs="宋体"/>
                <w:color w:val="auto"/>
                <w:szCs w:val="21"/>
                <w:highlight w:val="none"/>
              </w:rPr>
            </w:pPr>
            <w:r>
              <w:rPr>
                <w:rFonts w:ascii="宋体" w:hAnsi="宋体" w:eastAsia="宋体"/>
                <w:color w:val="auto"/>
                <w:szCs w:val="21"/>
                <w:highlight w:val="none"/>
              </w:rPr>
              <w:t>序号</w:t>
            </w:r>
          </w:p>
        </w:tc>
        <w:tc>
          <w:tcPr>
            <w:tcW w:w="2004" w:type="dxa"/>
            <w:tcBorders>
              <w:tl2br w:val="nil"/>
              <w:tr2bl w:val="nil"/>
            </w:tcBorders>
            <w:shd w:val="clear" w:color="auto" w:fill="E6EFFA"/>
            <w:noWrap w:val="0"/>
            <w:vAlign w:val="center"/>
          </w:tcPr>
          <w:p w14:paraId="3A89CD6C">
            <w:pPr>
              <w:wordWrap w:val="0"/>
              <w:jc w:val="center"/>
              <w:rPr>
                <w:rFonts w:ascii="宋体" w:hAnsi="宋体" w:eastAsia="宋体" w:cs="宋体"/>
                <w:color w:val="auto"/>
                <w:szCs w:val="21"/>
                <w:highlight w:val="none"/>
              </w:rPr>
            </w:pPr>
            <w:r>
              <w:rPr>
                <w:rFonts w:ascii="宋体" w:hAnsi="宋体" w:eastAsia="宋体"/>
                <w:color w:val="auto"/>
                <w:szCs w:val="21"/>
                <w:highlight w:val="none"/>
              </w:rPr>
              <w:t>评分因素</w:t>
            </w:r>
          </w:p>
        </w:tc>
        <w:tc>
          <w:tcPr>
            <w:tcW w:w="934" w:type="dxa"/>
            <w:tcBorders>
              <w:tl2br w:val="nil"/>
              <w:tr2bl w:val="nil"/>
            </w:tcBorders>
            <w:shd w:val="clear" w:color="auto" w:fill="E6EFFA"/>
            <w:noWrap w:val="0"/>
            <w:vAlign w:val="center"/>
          </w:tcPr>
          <w:p w14:paraId="46E64CA1">
            <w:pPr>
              <w:wordWrap w:val="0"/>
              <w:jc w:val="center"/>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分值</w:t>
            </w:r>
          </w:p>
        </w:tc>
        <w:tc>
          <w:tcPr>
            <w:tcW w:w="5005" w:type="dxa"/>
            <w:tcBorders>
              <w:tl2br w:val="nil"/>
              <w:tr2bl w:val="nil"/>
            </w:tcBorders>
            <w:shd w:val="clear" w:color="auto" w:fill="E6EFFA"/>
            <w:noWrap w:val="0"/>
            <w:vAlign w:val="center"/>
          </w:tcPr>
          <w:p w14:paraId="7345A420">
            <w:pPr>
              <w:wordWrap w:val="0"/>
              <w:jc w:val="center"/>
              <w:rPr>
                <w:rFonts w:ascii="宋体" w:hAnsi="宋体" w:eastAsia="宋体" w:cs="宋体"/>
                <w:color w:val="auto"/>
                <w:szCs w:val="21"/>
                <w:highlight w:val="none"/>
              </w:rPr>
            </w:pPr>
            <w:r>
              <w:rPr>
                <w:rFonts w:ascii="宋体" w:hAnsi="宋体" w:eastAsia="宋体"/>
                <w:color w:val="auto"/>
                <w:szCs w:val="21"/>
                <w:highlight w:val="none"/>
              </w:rPr>
              <w:t>评分准则</w:t>
            </w:r>
          </w:p>
        </w:tc>
      </w:tr>
      <w:tr w14:paraId="58454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76" w:type="dxa"/>
            <w:vMerge w:val="continue"/>
            <w:tcBorders>
              <w:tl2br w:val="nil"/>
              <w:tr2bl w:val="nil"/>
            </w:tcBorders>
            <w:noWrap w:val="0"/>
            <w:vAlign w:val="center"/>
          </w:tcPr>
          <w:p w14:paraId="1995FF74">
            <w:pPr>
              <w:rPr>
                <w:rFonts w:ascii="宋体" w:hAnsi="宋体" w:eastAsia="宋体" w:cs="宋体"/>
                <w:b/>
                <w:bCs/>
                <w:color w:val="auto"/>
                <w:szCs w:val="21"/>
                <w:highlight w:val="none"/>
              </w:rPr>
            </w:pPr>
          </w:p>
        </w:tc>
        <w:tc>
          <w:tcPr>
            <w:tcW w:w="453" w:type="dxa"/>
            <w:vMerge w:val="restart"/>
            <w:tcBorders>
              <w:tl2br w:val="nil"/>
              <w:tr2bl w:val="nil"/>
            </w:tcBorders>
            <w:noWrap w:val="0"/>
            <w:vAlign w:val="center"/>
          </w:tcPr>
          <w:p w14:paraId="0013933A">
            <w:pPr>
              <w:wordWrap w:val="0"/>
              <w:jc w:val="center"/>
              <w:rPr>
                <w:rFonts w:ascii="宋体" w:hAnsi="宋体" w:eastAsia="宋体" w:cs="宋体"/>
                <w:color w:val="auto"/>
                <w:kern w:val="2"/>
                <w:sz w:val="21"/>
                <w:szCs w:val="21"/>
                <w:highlight w:val="none"/>
                <w:lang w:val="en-US" w:eastAsia="zh-CN" w:bidi="ar-SA"/>
              </w:rPr>
            </w:pPr>
            <w:r>
              <w:rPr>
                <w:rFonts w:ascii="宋体" w:hAnsi="宋体" w:eastAsia="宋体"/>
                <w:color w:val="auto"/>
                <w:szCs w:val="21"/>
                <w:highlight w:val="none"/>
              </w:rPr>
              <w:t>1</w:t>
            </w:r>
          </w:p>
        </w:tc>
        <w:tc>
          <w:tcPr>
            <w:tcW w:w="2004" w:type="dxa"/>
            <w:vMerge w:val="restart"/>
            <w:tcBorders>
              <w:tl2br w:val="nil"/>
              <w:tr2bl w:val="nil"/>
            </w:tcBorders>
            <w:noWrap w:val="0"/>
            <w:vAlign w:val="center"/>
          </w:tcPr>
          <w:p w14:paraId="3DF6DAAA">
            <w:pPr>
              <w:wordWrap w:val="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技术参数要求</w:t>
            </w:r>
          </w:p>
        </w:tc>
        <w:tc>
          <w:tcPr>
            <w:tcW w:w="934" w:type="dxa"/>
            <w:vMerge w:val="restart"/>
            <w:tcBorders>
              <w:tl2br w:val="nil"/>
              <w:tr2bl w:val="nil"/>
            </w:tcBorders>
            <w:noWrap w:val="0"/>
            <w:vAlign w:val="center"/>
          </w:tcPr>
          <w:p w14:paraId="0C1227ED">
            <w:pPr>
              <w:wordWrap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w:t>
            </w:r>
          </w:p>
        </w:tc>
        <w:tc>
          <w:tcPr>
            <w:tcW w:w="5005" w:type="dxa"/>
            <w:tcBorders>
              <w:tl2br w:val="nil"/>
              <w:tr2bl w:val="nil"/>
            </w:tcBorders>
            <w:noWrap w:val="0"/>
            <w:vAlign w:val="center"/>
          </w:tcPr>
          <w:p w14:paraId="285A28B5">
            <w:pPr>
              <w:keepNext w:val="0"/>
              <w:keepLines w:val="0"/>
              <w:widowControl/>
              <w:suppressLineNumbers w:val="0"/>
              <w:jc w:val="left"/>
            </w:pP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评审</w:t>
            </w:r>
            <w:r>
              <w:rPr>
                <w:rFonts w:hint="eastAsia" w:ascii="宋体" w:hAnsi="宋体" w:cs="宋体"/>
                <w:b/>
                <w:bCs/>
                <w:color w:val="000000"/>
                <w:kern w:val="0"/>
                <w:sz w:val="21"/>
                <w:szCs w:val="21"/>
                <w:lang w:val="en-US" w:eastAsia="zh-CN" w:bidi="ar"/>
              </w:rPr>
              <w:t>内容及</w:t>
            </w:r>
            <w:r>
              <w:rPr>
                <w:rFonts w:hint="eastAsia" w:ascii="宋体" w:hAnsi="宋体" w:eastAsia="宋体" w:cs="宋体"/>
                <w:b/>
                <w:bCs/>
                <w:color w:val="000000"/>
                <w:kern w:val="0"/>
                <w:sz w:val="21"/>
                <w:szCs w:val="21"/>
                <w:lang w:val="en-US" w:eastAsia="zh-CN" w:bidi="ar"/>
              </w:rPr>
              <w:t xml:space="preserve">标准： </w:t>
            </w:r>
            <w:r>
              <w:rPr>
                <w:rFonts w:hint="eastAsia" w:ascii="宋体" w:hAnsi="宋体" w:eastAsia="宋体" w:cs="宋体"/>
                <w:color w:val="000000"/>
                <w:kern w:val="0"/>
                <w:sz w:val="21"/>
                <w:szCs w:val="21"/>
                <w:lang w:val="en-US" w:eastAsia="zh-CN" w:bidi="ar"/>
              </w:rPr>
              <w:t xml:space="preserve"> </w:t>
            </w:r>
          </w:p>
          <w:p w14:paraId="309D0CAE">
            <w:pPr>
              <w:keepNext w:val="0"/>
              <w:keepLines w:val="0"/>
              <w:widowControl/>
              <w:numPr>
                <w:ilvl w:val="0"/>
                <w:numId w:val="0"/>
              </w:numPr>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Times New Roman" w:hAnsi="Times New Roman" w:eastAsia="宋体" w:cs="Times New Roman"/>
                <w:color w:val="auto"/>
                <w:highlight w:val="none"/>
                <w:lang w:val="en-US" w:eastAsia="zh-CN"/>
              </w:rPr>
              <w:t>采购文件第三章用户需求书《三</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货物需求明细》中</w:t>
            </w:r>
            <w:r>
              <w:rPr>
                <w:rFonts w:hint="eastAsia"/>
                <w:highlight w:val="none"/>
                <w:lang w:val="en-US" w:eastAsia="zh-CN"/>
              </w:rPr>
              <w:t>的</w:t>
            </w:r>
            <w:r>
              <w:rPr>
                <w:rFonts w:hint="eastAsia" w:ascii="宋体" w:hAnsi="宋体" w:eastAsia="宋体" w:cs="宋体"/>
                <w:color w:val="FF0000"/>
                <w:kern w:val="0"/>
                <w:sz w:val="21"/>
                <w:szCs w:val="21"/>
                <w:lang w:val="en-US" w:eastAsia="zh-CN" w:bidi="ar"/>
              </w:rPr>
              <w:t>带“</w:t>
            </w:r>
            <w:r>
              <w:rPr>
                <w:rFonts w:hint="eastAsia" w:ascii="宋体" w:hAnsi="宋体" w:cs="宋体"/>
                <w:color w:val="FF0000"/>
                <w:kern w:val="0"/>
                <w:sz w:val="21"/>
                <w:szCs w:val="21"/>
                <w:lang w:val="en-US" w:eastAsia="zh-CN" w:bidi="ar"/>
              </w:rPr>
              <w:t>*</w:t>
            </w:r>
            <w:r>
              <w:rPr>
                <w:rFonts w:hint="eastAsia" w:ascii="宋体" w:hAnsi="宋体" w:eastAsia="宋体" w:cs="宋体"/>
                <w:color w:val="FF0000"/>
                <w:kern w:val="0"/>
                <w:sz w:val="21"/>
                <w:szCs w:val="21"/>
                <w:lang w:val="en-US" w:eastAsia="zh-CN" w:bidi="ar"/>
              </w:rPr>
              <w:t>”号</w:t>
            </w:r>
            <w:r>
              <w:rPr>
                <w:rFonts w:hint="eastAsia" w:ascii="宋体" w:hAnsi="宋体" w:eastAsia="宋体" w:cs="宋体"/>
                <w:color w:val="000000"/>
                <w:kern w:val="0"/>
                <w:sz w:val="21"/>
                <w:szCs w:val="21"/>
                <w:lang w:val="en-US" w:eastAsia="zh-CN" w:bidi="ar"/>
              </w:rPr>
              <w:t>技术条款为</w:t>
            </w:r>
            <w:r>
              <w:rPr>
                <w:rFonts w:hint="eastAsia" w:ascii="宋体" w:hAnsi="宋体" w:cs="宋体"/>
                <w:color w:val="000000"/>
                <w:kern w:val="0"/>
                <w:sz w:val="21"/>
                <w:szCs w:val="21"/>
                <w:lang w:val="en-US" w:eastAsia="zh-CN" w:bidi="ar"/>
              </w:rPr>
              <w:t>实质性响应条款，</w:t>
            </w:r>
            <w:r>
              <w:rPr>
                <w:rFonts w:hint="eastAsia" w:ascii="宋体" w:hAnsi="宋体" w:eastAsia="宋体" w:cs="宋体"/>
                <w:color w:val="000000"/>
                <w:kern w:val="0"/>
                <w:sz w:val="21"/>
                <w:szCs w:val="21"/>
                <w:lang w:val="en-US" w:eastAsia="zh-CN" w:bidi="ar"/>
              </w:rPr>
              <w:t>供应商须</w:t>
            </w:r>
            <w:r>
              <w:rPr>
                <w:rFonts w:hint="eastAsia" w:ascii="宋体" w:hAnsi="宋体" w:cs="宋体"/>
                <w:color w:val="000000"/>
                <w:kern w:val="0"/>
                <w:sz w:val="21"/>
                <w:szCs w:val="21"/>
                <w:lang w:val="en-US" w:eastAsia="zh-CN" w:bidi="ar"/>
              </w:rPr>
              <w:t>完</w:t>
            </w:r>
            <w:r>
              <w:rPr>
                <w:rFonts w:hint="eastAsia" w:ascii="宋体" w:hAnsi="宋体" w:eastAsia="宋体" w:cs="宋体"/>
                <w:color w:val="000000"/>
                <w:kern w:val="0"/>
                <w:sz w:val="21"/>
                <w:szCs w:val="21"/>
                <w:lang w:val="en-US" w:eastAsia="zh-CN" w:bidi="ar"/>
              </w:rPr>
              <w:t>全响应</w:t>
            </w:r>
            <w:r>
              <w:rPr>
                <w:rFonts w:hint="eastAsia" w:ascii="宋体" w:hAnsi="宋体" w:cs="宋体"/>
                <w:color w:val="000000"/>
                <w:kern w:val="0"/>
                <w:sz w:val="21"/>
                <w:szCs w:val="21"/>
                <w:lang w:val="en-US" w:eastAsia="zh-CN" w:bidi="ar"/>
              </w:rPr>
              <w:t>参数要求，并</w:t>
            </w:r>
            <w:r>
              <w:rPr>
                <w:rFonts w:hint="eastAsia" w:ascii="宋体" w:hAnsi="宋体" w:eastAsia="宋体" w:cs="宋体"/>
                <w:color w:val="000000"/>
                <w:kern w:val="0"/>
                <w:sz w:val="21"/>
                <w:szCs w:val="21"/>
                <w:lang w:val="en-US" w:eastAsia="zh-CN" w:bidi="ar"/>
              </w:rPr>
              <w:t>对照</w:t>
            </w:r>
            <w:r>
              <w:rPr>
                <w:rFonts w:hint="eastAsia" w:ascii="宋体" w:hAnsi="宋体" w:cs="宋体"/>
                <w:color w:val="000000"/>
                <w:kern w:val="0"/>
                <w:sz w:val="21"/>
                <w:szCs w:val="21"/>
                <w:lang w:val="en-US" w:eastAsia="zh-CN" w:bidi="ar"/>
              </w:rPr>
              <w:t>采购</w:t>
            </w:r>
            <w:r>
              <w:rPr>
                <w:rFonts w:hint="eastAsia" w:ascii="宋体" w:hAnsi="宋体" w:eastAsia="宋体" w:cs="宋体"/>
                <w:color w:val="000000"/>
                <w:kern w:val="0"/>
                <w:sz w:val="21"/>
                <w:szCs w:val="21"/>
                <w:lang w:val="en-US" w:eastAsia="zh-CN" w:bidi="ar"/>
              </w:rPr>
              <w:t>文件中技术参数</w:t>
            </w:r>
            <w:r>
              <w:rPr>
                <w:rFonts w:hint="eastAsia" w:ascii="宋体" w:hAnsi="宋体" w:cs="宋体"/>
                <w:color w:val="000000"/>
                <w:kern w:val="0"/>
                <w:sz w:val="21"/>
                <w:szCs w:val="21"/>
                <w:lang w:val="en-US" w:eastAsia="zh-CN" w:bidi="ar"/>
              </w:rPr>
              <w:t>要求</w:t>
            </w:r>
            <w:r>
              <w:rPr>
                <w:rFonts w:hint="eastAsia" w:ascii="宋体" w:hAnsi="宋体" w:eastAsia="宋体" w:cs="宋体"/>
                <w:color w:val="000000"/>
                <w:kern w:val="0"/>
                <w:sz w:val="21"/>
                <w:szCs w:val="21"/>
                <w:lang w:val="en-US" w:eastAsia="zh-CN" w:bidi="ar"/>
              </w:rPr>
              <w:t>逐项填写《实质性条款响应情况表》</w:t>
            </w:r>
            <w:r>
              <w:rPr>
                <w:rFonts w:hint="eastAsia" w:ascii="宋体" w:hAnsi="宋体" w:cs="宋体"/>
                <w:color w:val="000000"/>
                <w:kern w:val="0"/>
                <w:sz w:val="21"/>
                <w:szCs w:val="21"/>
                <w:lang w:val="en-US" w:eastAsia="zh-CN" w:bidi="ar"/>
              </w:rPr>
              <w:t>，并提供相应的佐证材料（不能简单的复制粘贴），否则按无效投标处理。</w:t>
            </w:r>
          </w:p>
          <w:p w14:paraId="59119B0C">
            <w:pPr>
              <w:keepNext w:val="0"/>
              <w:keepLines w:val="0"/>
              <w:widowControl/>
              <w:numPr>
                <w:ilvl w:val="0"/>
                <w:numId w:val="0"/>
              </w:numPr>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2、根据工信部《台式计算机政府采购需求标准（2023 年版）》，以下4项技术指标可以作为评分因素：（1）</w:t>
            </w:r>
            <w:r>
              <w:rPr>
                <w:rFonts w:hint="eastAsia" w:ascii="宋体" w:hAnsi="宋体" w:eastAsia="宋体" w:cs="宋体"/>
                <w:color w:val="000000"/>
                <w:kern w:val="0"/>
                <w:sz w:val="21"/>
                <w:szCs w:val="21"/>
                <w:lang w:val="en-US" w:eastAsia="zh-CN" w:bidi="ar"/>
              </w:rPr>
              <w:t>内存规格</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CPU末级缓存容量</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CPU支持的内存最高速率</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内存读写速率</w:t>
            </w:r>
            <w:r>
              <w:rPr>
                <w:rFonts w:hint="eastAsia" w:ascii="宋体" w:hAnsi="宋体" w:cs="宋体"/>
                <w:color w:val="000000"/>
                <w:kern w:val="0"/>
                <w:sz w:val="21"/>
                <w:szCs w:val="21"/>
                <w:lang w:val="en-US" w:eastAsia="zh-CN" w:bidi="ar"/>
              </w:rPr>
              <w:t>。</w:t>
            </w:r>
          </w:p>
          <w:p w14:paraId="47A44BC6">
            <w:pPr>
              <w:keepNext w:val="0"/>
              <w:keepLines w:val="0"/>
              <w:widowControl/>
              <w:numPr>
                <w:ilvl w:val="0"/>
                <w:numId w:val="0"/>
              </w:numPr>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投标供应商</w:t>
            </w:r>
            <w:r>
              <w:rPr>
                <w:rFonts w:hint="eastAsia" w:ascii="宋体" w:hAnsi="宋体" w:cs="宋体"/>
                <w:color w:val="000000"/>
                <w:kern w:val="0"/>
                <w:sz w:val="21"/>
                <w:szCs w:val="21"/>
                <w:lang w:val="en-US" w:eastAsia="zh-CN" w:bidi="ar"/>
              </w:rPr>
              <w:t>提供的产品，每有一项</w:t>
            </w:r>
            <w:r>
              <w:rPr>
                <w:rFonts w:hint="eastAsia" w:ascii="宋体" w:hAnsi="宋体" w:eastAsia="宋体" w:cs="宋体"/>
                <w:color w:val="000000"/>
                <w:kern w:val="0"/>
                <w:sz w:val="21"/>
                <w:szCs w:val="21"/>
                <w:lang w:val="en-US" w:eastAsia="zh-CN" w:bidi="ar"/>
              </w:rPr>
              <w:t>优于</w:t>
            </w:r>
            <w:r>
              <w:rPr>
                <w:rFonts w:hint="eastAsia" w:ascii="宋体" w:hAnsi="宋体" w:cs="宋体"/>
                <w:color w:val="000000"/>
                <w:kern w:val="0"/>
                <w:sz w:val="21"/>
                <w:szCs w:val="21"/>
                <w:lang w:val="en-US" w:eastAsia="zh-CN" w:bidi="ar"/>
              </w:rPr>
              <w:t>原参数技术要求</w:t>
            </w:r>
            <w:r>
              <w:rPr>
                <w:rFonts w:hint="eastAsia" w:ascii="宋体" w:hAnsi="宋体" w:eastAsia="宋体" w:cs="宋体"/>
                <w:color w:val="000000"/>
                <w:kern w:val="0"/>
                <w:sz w:val="21"/>
                <w:szCs w:val="21"/>
                <w:lang w:val="en-US" w:eastAsia="zh-CN" w:bidi="ar"/>
              </w:rPr>
              <w:t>得2分，</w:t>
            </w:r>
            <w:r>
              <w:rPr>
                <w:rFonts w:hint="eastAsia" w:ascii="宋体" w:hAnsi="宋体" w:cs="宋体"/>
                <w:color w:val="000000"/>
                <w:kern w:val="0"/>
                <w:sz w:val="21"/>
                <w:szCs w:val="21"/>
                <w:lang w:val="en-US" w:eastAsia="zh-CN" w:bidi="ar"/>
              </w:rPr>
              <w:t>满分</w:t>
            </w:r>
            <w:r>
              <w:rPr>
                <w:rFonts w:hint="eastAsia" w:ascii="宋体" w:hAnsi="宋体" w:eastAsia="宋体" w:cs="宋体"/>
                <w:color w:val="000000"/>
                <w:kern w:val="0"/>
                <w:sz w:val="21"/>
                <w:szCs w:val="21"/>
                <w:lang w:val="en-US" w:eastAsia="zh-CN" w:bidi="ar"/>
              </w:rPr>
              <w:t>8分。</w:t>
            </w:r>
          </w:p>
          <w:p w14:paraId="00A6A6C6">
            <w:pPr>
              <w:pStyle w:val="2"/>
              <w:rPr>
                <w:color w:val="auto"/>
                <w:highlight w:val="none"/>
              </w:rPr>
            </w:pPr>
            <w:r>
              <w:rPr>
                <w:rFonts w:hint="eastAsia" w:ascii="宋体" w:hAnsi="宋体" w:eastAsia="宋体" w:cs="宋体"/>
                <w:b/>
                <w:bCs/>
                <w:color w:val="auto"/>
                <w:kern w:val="0"/>
                <w:sz w:val="21"/>
                <w:szCs w:val="21"/>
                <w:highlight w:val="none"/>
                <w:lang w:val="en-US" w:eastAsia="zh-CN" w:bidi="ar"/>
              </w:rPr>
              <w:t xml:space="preserve">（二）评审依据： </w:t>
            </w:r>
          </w:p>
          <w:p w14:paraId="4B8DAFC3">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kern w:val="0"/>
                <w:sz w:val="21"/>
                <w:szCs w:val="21"/>
                <w:lang w:val="en-US" w:eastAsia="zh-CN" w:bidi="ar"/>
              </w:rPr>
              <w:t>供应商须</w:t>
            </w:r>
            <w:r>
              <w:rPr>
                <w:rFonts w:hint="eastAsia" w:ascii="宋体" w:hAnsi="宋体" w:eastAsia="宋体" w:cs="宋体"/>
                <w:color w:val="000000"/>
                <w:kern w:val="0"/>
                <w:sz w:val="21"/>
                <w:szCs w:val="21"/>
                <w:lang w:val="en-US" w:eastAsia="zh-CN" w:bidi="ar"/>
              </w:rPr>
              <w:t>填写《实质性条款响应情况表》</w:t>
            </w:r>
            <w:r>
              <w:rPr>
                <w:rFonts w:hint="eastAsia" w:ascii="宋体" w:hAnsi="宋体" w:cs="宋体"/>
                <w:color w:val="000000"/>
                <w:kern w:val="0"/>
                <w:sz w:val="21"/>
                <w:szCs w:val="21"/>
                <w:lang w:val="en-US" w:eastAsia="zh-CN" w:bidi="ar"/>
              </w:rPr>
              <w:t>并</w:t>
            </w:r>
            <w:r>
              <w:rPr>
                <w:rFonts w:hint="eastAsia" w:ascii="宋体" w:hAnsi="宋体" w:eastAsia="宋体" w:cs="宋体"/>
                <w:color w:val="auto"/>
                <w:kern w:val="0"/>
                <w:sz w:val="21"/>
                <w:szCs w:val="21"/>
                <w:highlight w:val="none"/>
                <w:lang w:val="en-US" w:eastAsia="zh-CN" w:bidi="ar"/>
              </w:rPr>
              <w:t>提供相应佐证材料如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截图、 检测报告</w:t>
            </w:r>
            <w:r>
              <w:rPr>
                <w:rFonts w:hint="eastAsia" w:ascii="宋体" w:hAnsi="宋体" w:cs="宋体"/>
                <w:color w:val="auto"/>
                <w:kern w:val="0"/>
                <w:sz w:val="21"/>
                <w:szCs w:val="21"/>
                <w:highlight w:val="none"/>
                <w:lang w:val="en-US" w:eastAsia="zh-CN" w:bidi="ar"/>
              </w:rPr>
              <w:t>或承诺函</w:t>
            </w:r>
            <w:r>
              <w:rPr>
                <w:rFonts w:hint="eastAsia" w:ascii="宋体" w:hAnsi="宋体" w:eastAsia="宋体" w:cs="宋体"/>
                <w:color w:val="000000"/>
                <w:kern w:val="0"/>
                <w:sz w:val="21"/>
                <w:szCs w:val="21"/>
                <w:lang w:val="en-US" w:eastAsia="zh-CN" w:bidi="ar"/>
              </w:rPr>
              <w:t>等</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投标人应当按要求提供并在相应评审内容处做标记并后附，未提供相应佐证材料的视为负偏离，不得分。 </w:t>
            </w:r>
          </w:p>
        </w:tc>
      </w:tr>
      <w:tr w14:paraId="2D721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76" w:type="dxa"/>
            <w:vMerge w:val="continue"/>
            <w:tcBorders>
              <w:tl2br w:val="nil"/>
              <w:tr2bl w:val="nil"/>
            </w:tcBorders>
            <w:noWrap w:val="0"/>
            <w:vAlign w:val="center"/>
          </w:tcPr>
          <w:p w14:paraId="7E4C378E">
            <w:pPr>
              <w:rPr>
                <w:rFonts w:ascii="宋体" w:hAnsi="宋体" w:eastAsia="宋体" w:cs="宋体"/>
                <w:b/>
                <w:bCs/>
                <w:color w:val="auto"/>
                <w:szCs w:val="21"/>
                <w:highlight w:val="none"/>
              </w:rPr>
            </w:pPr>
          </w:p>
        </w:tc>
        <w:tc>
          <w:tcPr>
            <w:tcW w:w="453" w:type="dxa"/>
            <w:vMerge w:val="continue"/>
            <w:tcBorders>
              <w:tl2br w:val="nil"/>
              <w:tr2bl w:val="nil"/>
            </w:tcBorders>
            <w:noWrap w:val="0"/>
            <w:vAlign w:val="center"/>
          </w:tcPr>
          <w:p w14:paraId="20B321DC">
            <w:pPr>
              <w:wordWrap w:val="0"/>
              <w:jc w:val="center"/>
              <w:rPr>
                <w:rFonts w:ascii="宋体" w:hAnsi="宋体" w:eastAsia="宋体"/>
                <w:color w:val="auto"/>
                <w:szCs w:val="21"/>
                <w:highlight w:val="none"/>
              </w:rPr>
            </w:pPr>
          </w:p>
        </w:tc>
        <w:tc>
          <w:tcPr>
            <w:tcW w:w="2004" w:type="dxa"/>
            <w:vMerge w:val="continue"/>
            <w:tcBorders>
              <w:tl2br w:val="nil"/>
              <w:tr2bl w:val="nil"/>
            </w:tcBorders>
            <w:noWrap w:val="0"/>
            <w:vAlign w:val="center"/>
          </w:tcPr>
          <w:p w14:paraId="5D4BC290">
            <w:pPr>
              <w:wordWrap w:val="0"/>
              <w:ind w:firstLine="420" w:firstLineChars="200"/>
              <w:rPr>
                <w:rFonts w:hint="eastAsia" w:ascii="宋体" w:hAnsi="宋体" w:eastAsia="宋体" w:cs="宋体"/>
                <w:color w:val="auto"/>
                <w:szCs w:val="21"/>
                <w:highlight w:val="none"/>
                <w:lang w:val="en-US" w:eastAsia="zh-CN"/>
              </w:rPr>
            </w:pPr>
          </w:p>
        </w:tc>
        <w:tc>
          <w:tcPr>
            <w:tcW w:w="934" w:type="dxa"/>
            <w:vMerge w:val="continue"/>
            <w:tcBorders>
              <w:tl2br w:val="nil"/>
              <w:tr2bl w:val="nil"/>
            </w:tcBorders>
            <w:noWrap w:val="0"/>
            <w:vAlign w:val="center"/>
          </w:tcPr>
          <w:p w14:paraId="5874869D">
            <w:pPr>
              <w:wordWrap w:val="0"/>
              <w:jc w:val="center"/>
              <w:rPr>
                <w:rFonts w:hint="eastAsia" w:ascii="宋体" w:hAnsi="宋体" w:eastAsia="宋体" w:cs="宋体"/>
                <w:color w:val="auto"/>
                <w:szCs w:val="21"/>
                <w:highlight w:val="none"/>
                <w:lang w:val="en-US" w:eastAsia="zh-CN"/>
              </w:rPr>
            </w:pPr>
          </w:p>
        </w:tc>
        <w:tc>
          <w:tcPr>
            <w:tcW w:w="5005" w:type="dxa"/>
            <w:tcBorders>
              <w:tl2br w:val="nil"/>
              <w:tr2bl w:val="nil"/>
            </w:tcBorders>
            <w:noWrap w:val="0"/>
            <w:vAlign w:val="center"/>
          </w:tcPr>
          <w:p w14:paraId="70CB0AC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r>
              <w:rPr>
                <w:rFonts w:hint="eastAsia" w:ascii="宋体" w:hAnsi="宋体" w:cs="宋体"/>
                <w:b/>
                <w:bCs/>
                <w:i w:val="0"/>
                <w:iCs w:val="0"/>
                <w:color w:val="000000"/>
                <w:kern w:val="0"/>
                <w:sz w:val="21"/>
                <w:szCs w:val="21"/>
                <w:u w:val="none"/>
                <w:lang w:val="en-US" w:eastAsia="zh-CN" w:bidi="ar"/>
              </w:rPr>
              <w:t>及标准</w:t>
            </w:r>
            <w:r>
              <w:rPr>
                <w:rFonts w:hint="eastAsia" w:ascii="宋体" w:hAnsi="宋体" w:eastAsia="宋体" w:cs="宋体"/>
                <w:b/>
                <w:bCs/>
                <w:i w:val="0"/>
                <w:iCs w:val="0"/>
                <w:color w:val="000000"/>
                <w:kern w:val="0"/>
                <w:sz w:val="21"/>
                <w:szCs w:val="21"/>
                <w:u w:val="none"/>
                <w:lang w:val="en-US" w:eastAsia="zh-CN" w:bidi="ar"/>
              </w:rPr>
              <w:t>：</w:t>
            </w:r>
          </w:p>
          <w:p w14:paraId="2683F10F">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1、“显示屏色准”△E＜3得1分，△E＜2得3分，不满足不得分。</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须提供所投产品型号的产品彩页、官网技术规格截图或第三方检测报告，内容中须明确标注△E数值。未提供或材料无法证明的，该项不得分</w:t>
            </w:r>
            <w:r>
              <w:rPr>
                <w:rFonts w:hint="eastAsia" w:ascii="宋体" w:hAnsi="宋体" w:cs="宋体"/>
                <w:i w:val="0"/>
                <w:iCs w:val="0"/>
                <w:color w:val="000000"/>
                <w:kern w:val="0"/>
                <w:sz w:val="21"/>
                <w:szCs w:val="21"/>
                <w:u w:val="none"/>
                <w:lang w:val="en-US" w:eastAsia="zh-CN" w:bidi="ar"/>
              </w:rPr>
              <w:t>）。</w:t>
            </w:r>
          </w:p>
          <w:p w14:paraId="54897AC8">
            <w:pPr>
              <w:keepNext w:val="0"/>
              <w:keepLines w:val="0"/>
              <w:widowControl/>
              <w:suppressLineNumbers w:val="0"/>
              <w:ind w:firstLine="420" w:firstLineChars="200"/>
              <w:jc w:val="left"/>
              <w:textAlignment w:val="center"/>
              <w:rPr>
                <w:rFonts w:hint="default" w:ascii="Times New Roman" w:hAnsi="Times New Roman" w:eastAsia="宋体" w:cs="Times New Roman"/>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2、“整机噪声”台式计算机工作在空闲状态下产品的声功率级：≤4Bel得1分，≤3.5Bel得3分，不满足不得分。</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须提供所投产品型号的产品彩页、官网技术规格截图、国家</w:t>
            </w:r>
            <w:r>
              <w:rPr>
                <w:rFonts w:hint="eastAsia" w:ascii="宋体" w:hAnsi="宋体" w:cs="宋体"/>
                <w:i w:val="0"/>
                <w:iCs w:val="0"/>
                <w:color w:val="000000"/>
                <w:kern w:val="0"/>
                <w:sz w:val="21"/>
                <w:szCs w:val="21"/>
                <w:u w:val="none"/>
                <w:lang w:val="en-US" w:eastAsia="zh-CN" w:bidi="ar"/>
              </w:rPr>
              <w:t>认可的第三方检测机构</w:t>
            </w:r>
            <w:r>
              <w:rPr>
                <w:rFonts w:hint="eastAsia" w:ascii="宋体" w:hAnsi="宋体" w:eastAsia="宋体" w:cs="宋体"/>
                <w:i w:val="0"/>
                <w:iCs w:val="0"/>
                <w:color w:val="000000"/>
                <w:kern w:val="0"/>
                <w:sz w:val="21"/>
                <w:szCs w:val="21"/>
                <w:u w:val="none"/>
                <w:lang w:val="en-US" w:eastAsia="zh-CN" w:bidi="ar"/>
              </w:rPr>
              <w:t>出具的检测报告或符合ISO 7779的声功率级测试报告。未提供或材料无法证明的，该项不得分</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r>
      <w:tr w14:paraId="7736B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23" w:hRule="atLeast"/>
          <w:tblCellSpacing w:w="0" w:type="dxa"/>
        </w:trPr>
        <w:tc>
          <w:tcPr>
            <w:tcW w:w="676" w:type="dxa"/>
            <w:tcBorders>
              <w:tl2br w:val="nil"/>
              <w:tr2bl w:val="nil"/>
            </w:tcBorders>
            <w:noWrap w:val="0"/>
            <w:vAlign w:val="center"/>
          </w:tcPr>
          <w:p w14:paraId="64BC4F1F">
            <w:pPr>
              <w:rPr>
                <w:rFonts w:ascii="宋体" w:hAnsi="宋体" w:eastAsia="宋体" w:cs="宋体"/>
                <w:b/>
                <w:bCs/>
                <w:color w:val="auto"/>
                <w:szCs w:val="21"/>
                <w:highlight w:val="none"/>
              </w:rPr>
            </w:pPr>
          </w:p>
        </w:tc>
        <w:tc>
          <w:tcPr>
            <w:tcW w:w="453" w:type="dxa"/>
            <w:tcBorders>
              <w:tl2br w:val="nil"/>
              <w:tr2bl w:val="nil"/>
            </w:tcBorders>
            <w:noWrap w:val="0"/>
            <w:vAlign w:val="center"/>
          </w:tcPr>
          <w:p w14:paraId="4638FAA9">
            <w:pPr>
              <w:wordWrap w:val="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2004" w:type="dxa"/>
            <w:tcBorders>
              <w:tl2br w:val="nil"/>
              <w:tr2bl w:val="nil"/>
            </w:tcBorders>
            <w:noWrap w:val="0"/>
            <w:vAlign w:val="center"/>
          </w:tcPr>
          <w:p w14:paraId="548918F7">
            <w:pPr>
              <w:wordWrap w:val="0"/>
              <w:ind w:firstLine="420" w:firstLineChars="200"/>
              <w:rPr>
                <w:rFonts w:hint="eastAsia" w:ascii="宋体" w:hAnsi="宋体" w:eastAsia="宋体"/>
                <w:b/>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项目实施方案</w:t>
            </w:r>
          </w:p>
        </w:tc>
        <w:tc>
          <w:tcPr>
            <w:tcW w:w="934" w:type="dxa"/>
            <w:tcBorders>
              <w:tl2br w:val="nil"/>
              <w:tr2bl w:val="nil"/>
            </w:tcBorders>
            <w:noWrap w:val="0"/>
            <w:vAlign w:val="center"/>
          </w:tcPr>
          <w:p w14:paraId="7F2D72C9">
            <w:pPr>
              <w:wordWrap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5005" w:type="dxa"/>
            <w:tcBorders>
              <w:tl2br w:val="nil"/>
              <w:tr2bl w:val="nil"/>
            </w:tcBorders>
            <w:noWrap w:val="0"/>
            <w:vAlign w:val="center"/>
          </w:tcPr>
          <w:p w14:paraId="580A4AEF">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（一）评审内容： </w:t>
            </w:r>
          </w:p>
          <w:p w14:paraId="500BAC70">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投标人根据本项目制定详细的供货保障方案，包含但不限于： </w:t>
            </w:r>
          </w:p>
          <w:p w14:paraId="1170C3E8">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（1）供货保障措施； </w:t>
            </w:r>
          </w:p>
          <w:p w14:paraId="4C369F3F">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（2）质量管控方案； </w:t>
            </w:r>
          </w:p>
          <w:p w14:paraId="21DC4B70">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（3）供货进度安排； </w:t>
            </w:r>
          </w:p>
          <w:p w14:paraId="398811F6">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（4）拟安排团队人员情况； </w:t>
            </w:r>
          </w:p>
          <w:p w14:paraId="5E160327">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（5）运输安排等； </w:t>
            </w:r>
          </w:p>
          <w:p w14:paraId="475A2F62">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（二）评分标准： </w:t>
            </w:r>
          </w:p>
          <w:p w14:paraId="63F332E7">
            <w:pPr>
              <w:wordWrap w:val="0"/>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以上</w:t>
            </w:r>
            <w:r>
              <w:rPr>
                <w:rFonts w:hint="eastAsia" w:ascii="Times New Roman" w:hAnsi="Times New Roman" w:eastAsia="宋体" w:cs="Times New Roman"/>
                <w:color w:val="auto"/>
                <w:lang w:val="en-US" w:eastAsia="zh-CN"/>
              </w:rPr>
              <w:t>五</w:t>
            </w:r>
            <w:r>
              <w:rPr>
                <w:rFonts w:hint="eastAsia" w:ascii="Times New Roman" w:hAnsi="Times New Roman" w:eastAsia="宋体" w:cs="Times New Roman"/>
                <w:color w:val="auto"/>
              </w:rPr>
              <w:t>项方案全部提供的得</w:t>
            </w:r>
            <w:r>
              <w:rPr>
                <w:rFonts w:hint="eastAsia" w:cs="Times New Roman"/>
                <w:color w:val="auto"/>
                <w:lang w:val="en-US" w:eastAsia="zh-CN"/>
              </w:rPr>
              <w:t>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缺少一项</w:t>
            </w:r>
            <w:r>
              <w:rPr>
                <w:rFonts w:hint="eastAsia" w:ascii="Times New Roman" w:hAnsi="Times New Roman" w:eastAsia="宋体" w:cs="Times New Roman"/>
                <w:color w:val="auto"/>
              </w:rPr>
              <w:t>不得</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rPr>
              <w:t>。</w:t>
            </w:r>
            <w:r>
              <w:rPr>
                <w:rFonts w:hint="eastAsia" w:cs="Times New Roman"/>
                <w:color w:val="auto"/>
                <w:lang w:val="en-US" w:eastAsia="zh-CN"/>
              </w:rPr>
              <w:t>并在此</w:t>
            </w:r>
            <w:r>
              <w:rPr>
                <w:rFonts w:hint="eastAsia" w:ascii="Times New Roman" w:hAnsi="Times New Roman" w:eastAsia="宋体" w:cs="Times New Roman"/>
                <w:color w:val="auto"/>
                <w:lang w:val="en-US" w:eastAsia="zh-CN"/>
              </w:rPr>
              <w:t>基础上</w:t>
            </w:r>
            <w:r>
              <w:rPr>
                <w:rFonts w:hint="eastAsia" w:cs="Times New Roman"/>
                <w:color w:val="auto"/>
                <w:lang w:val="en-US" w:eastAsia="zh-CN"/>
              </w:rPr>
              <w:t>，</w:t>
            </w:r>
            <w:r>
              <w:rPr>
                <w:rFonts w:hint="eastAsia" w:ascii="Times New Roman" w:hAnsi="Times New Roman" w:eastAsia="宋体" w:cs="Times New Roman"/>
                <w:color w:val="auto"/>
                <w:lang w:val="en-US" w:eastAsia="zh-CN"/>
              </w:rPr>
              <w:t>对方案进行比较和评价：</w:t>
            </w:r>
            <w:r>
              <w:rPr>
                <w:rFonts w:hint="eastAsia" w:ascii="Times New Roman" w:hAnsi="Times New Roman" w:eastAsia="宋体" w:cs="Times New Roman"/>
                <w:color w:val="auto"/>
                <w:lang w:val="en-US" w:eastAsia="zh-CN"/>
              </w:rPr>
              <w:br w:type="textWrapping"/>
            </w:r>
            <w:r>
              <w:rPr>
                <w:rFonts w:hint="eastAsia" w:cs="Times New Roman"/>
                <w:color w:val="auto"/>
                <w:lang w:val="en-US" w:eastAsia="zh-CN"/>
              </w:rPr>
              <w:t xml:space="preserve">    </w:t>
            </w:r>
            <w:r>
              <w:rPr>
                <w:rFonts w:hint="eastAsia" w:ascii="宋体" w:hAnsi="宋体" w:cs="宋体"/>
              </w:rPr>
              <w:t>方案内容完善无瑕疵的，评价为优，</w:t>
            </w:r>
            <w:r>
              <w:rPr>
                <w:rFonts w:hint="eastAsia" w:ascii="宋体" w:hAnsi="宋体" w:cs="宋体"/>
                <w:shd w:val="clear" w:color="auto" w:fill="auto"/>
              </w:rPr>
              <w:t>得</w:t>
            </w:r>
            <w:r>
              <w:rPr>
                <w:rFonts w:hint="eastAsia" w:ascii="宋体" w:hAnsi="宋体" w:cs="宋体"/>
                <w:shd w:val="clear" w:color="auto" w:fill="auto"/>
                <w:lang w:val="en-US" w:eastAsia="zh-CN"/>
              </w:rPr>
              <w:t>8</w:t>
            </w:r>
            <w:r>
              <w:rPr>
                <w:rFonts w:hint="eastAsia" w:ascii="宋体" w:hAnsi="宋体" w:cs="宋体"/>
                <w:shd w:val="clear" w:color="auto" w:fill="auto"/>
              </w:rPr>
              <w:t>分；</w:t>
            </w:r>
          </w:p>
          <w:p w14:paraId="170B3598">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存在下述1项缺陷，评价为良，得</w:t>
            </w:r>
            <w:r>
              <w:rPr>
                <w:rFonts w:hint="eastAsia" w:cs="Times New Roman"/>
                <w:color w:val="auto"/>
                <w:lang w:val="en-US" w:eastAsia="zh-CN"/>
              </w:rPr>
              <w:t>6</w:t>
            </w:r>
            <w:r>
              <w:rPr>
                <w:rFonts w:hint="eastAsia" w:ascii="Times New Roman" w:hAnsi="Times New Roman" w:eastAsia="宋体" w:cs="Times New Roman"/>
                <w:color w:val="auto"/>
              </w:rPr>
              <w:t>分；</w:t>
            </w:r>
          </w:p>
          <w:p w14:paraId="104A5858">
            <w:pPr>
              <w:pStyle w:val="2"/>
              <w:ind w:firstLine="420" w:firstLineChars="200"/>
              <w:rPr>
                <w:rFonts w:hint="eastAsia"/>
              </w:rPr>
            </w:pPr>
            <w:r>
              <w:rPr>
                <w:rFonts w:hint="eastAsia" w:ascii="Times New Roman" w:hAnsi="Times New Roman" w:eastAsia="宋体" w:cs="Times New Roman"/>
                <w:color w:val="auto"/>
                <w:kern w:val="2"/>
                <w:sz w:val="21"/>
                <w:szCs w:val="21"/>
                <w:lang w:val="en-US" w:eastAsia="zh-CN" w:bidi="ar-SA"/>
              </w:rPr>
              <w:t>存在下述2项缺陷，评价为良，得3分；</w:t>
            </w:r>
          </w:p>
          <w:p w14:paraId="3A0F206E">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存在下述3项缺陷，评价为中，得</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w:t>
            </w:r>
          </w:p>
          <w:p w14:paraId="51DA1695">
            <w:pPr>
              <w:wordWrap w:val="0"/>
              <w:ind w:firstLine="420" w:firstLineChars="200"/>
              <w:rPr>
                <w:rFonts w:hint="eastAsia"/>
                <w:color w:val="auto"/>
                <w:highlight w:val="none"/>
              </w:rPr>
            </w:pPr>
            <w:r>
              <w:rPr>
                <w:rFonts w:hint="eastAsia" w:ascii="Times New Roman" w:hAnsi="Times New Roman" w:eastAsia="宋体" w:cs="Times New Roman"/>
                <w:color w:val="auto"/>
              </w:rPr>
              <w:t>存在下述</w:t>
            </w:r>
            <w:r>
              <w:rPr>
                <w:rFonts w:hint="eastAsia" w:cs="Times New Roman"/>
                <w:color w:val="auto"/>
                <w:lang w:val="en-US" w:eastAsia="zh-CN"/>
              </w:rPr>
              <w:t>4项及以上</w:t>
            </w:r>
            <w:r>
              <w:rPr>
                <w:rFonts w:hint="eastAsia" w:ascii="Times New Roman" w:hAnsi="Times New Roman" w:eastAsia="宋体" w:cs="Times New Roman"/>
                <w:color w:val="auto"/>
              </w:rPr>
              <w:t>缺陷，评价为差，不得分；</w:t>
            </w:r>
          </w:p>
          <w:p w14:paraId="1A8D5184">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（三）缺陷是指： </w:t>
            </w:r>
          </w:p>
          <w:p w14:paraId="142449A5">
            <w:pPr>
              <w:keepNext w:val="0"/>
              <w:keepLines w:val="0"/>
              <w:widowControl/>
              <w:suppressLineNumbers w:val="0"/>
              <w:ind w:firstLine="420" w:firstLineChars="20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未制定详细的供货保障措施（如：未根据采购清单量，合理安排供货；缺少管理措施；未针对可能出现的供货中断情况，制定应急预案等）； </w:t>
            </w:r>
          </w:p>
          <w:p w14:paraId="05108EE3">
            <w:pPr>
              <w:keepNext w:val="0"/>
              <w:keepLines w:val="0"/>
              <w:widowControl/>
              <w:suppressLineNumbers w:val="0"/>
              <w:ind w:firstLine="420" w:firstLineChars="200"/>
              <w:jc w:val="left"/>
            </w:pPr>
            <w:r>
              <w:rPr>
                <w:rFonts w:hint="eastAsia"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质量控制及保障措施不得力（如：不是原厂出厂全新产品，未有明确的产品检验标准）； </w:t>
            </w:r>
          </w:p>
          <w:p w14:paraId="56E79DA7">
            <w:pPr>
              <w:keepNext w:val="0"/>
              <w:keepLines w:val="0"/>
              <w:widowControl/>
              <w:suppressLineNumbers w:val="0"/>
              <w:ind w:firstLine="420" w:firstLineChars="200"/>
              <w:jc w:val="left"/>
            </w:pPr>
            <w:r>
              <w:rPr>
                <w:rFonts w:hint="eastAsia" w:cs="Times New Roman"/>
                <w:color w:val="000000"/>
                <w:kern w:val="0"/>
                <w:sz w:val="21"/>
                <w:szCs w:val="21"/>
                <w:lang w:val="en-US" w:eastAsia="zh-CN" w:bidi="ar"/>
              </w:rPr>
              <w:t>3</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未制定明确的供货进度安排（如：未制定详细的供货时间表、未明确运输、安装、调试等环节的时间节点）； </w:t>
            </w:r>
          </w:p>
          <w:p w14:paraId="1545D6A9">
            <w:pPr>
              <w:keepNext w:val="0"/>
              <w:keepLines w:val="0"/>
              <w:widowControl/>
              <w:suppressLineNumbers w:val="0"/>
              <w:ind w:firstLine="420" w:firstLineChars="200"/>
              <w:jc w:val="left"/>
            </w:pPr>
            <w:r>
              <w:rPr>
                <w:rFonts w:hint="eastAsia"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未提供团队人员安排方案</w:t>
            </w:r>
            <w:r>
              <w:rPr>
                <w:rFonts w:hint="eastAsia" w:ascii="宋体" w:hAnsi="宋体" w:cs="宋体"/>
                <w:color w:val="000000"/>
                <w:kern w:val="0"/>
                <w:sz w:val="21"/>
                <w:szCs w:val="21"/>
                <w:lang w:val="en-US" w:eastAsia="zh-CN" w:bidi="ar"/>
              </w:rPr>
              <w:t>：例如：项目负责人、技术人员、安装人员等等</w:t>
            </w:r>
            <w:r>
              <w:rPr>
                <w:rFonts w:hint="eastAsia" w:ascii="宋体" w:hAnsi="宋体" w:eastAsia="宋体" w:cs="宋体"/>
                <w:color w:val="000000"/>
                <w:kern w:val="0"/>
                <w:sz w:val="21"/>
                <w:szCs w:val="21"/>
                <w:lang w:val="en-US" w:eastAsia="zh-CN" w:bidi="ar"/>
              </w:rPr>
              <w:t xml:space="preserve">； </w:t>
            </w:r>
          </w:p>
          <w:p w14:paraId="637E2F1F">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未制定详细的运输、安装方案（如：运输方式、运输前检查、拆卸包装、到货验收、安装调试等）；</w:t>
            </w:r>
          </w:p>
        </w:tc>
      </w:tr>
      <w:tr w14:paraId="429B2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restart"/>
            <w:tcBorders>
              <w:tl2br w:val="nil"/>
              <w:tr2bl w:val="nil"/>
            </w:tcBorders>
            <w:noWrap w:val="0"/>
            <w:vAlign w:val="center"/>
          </w:tcPr>
          <w:p w14:paraId="10C89D54">
            <w:pPr>
              <w:wordWrap w:val="0"/>
              <w:jc w:val="center"/>
              <w:rPr>
                <w:rFonts w:ascii="宋体" w:hAnsi="宋体" w:eastAsia="宋体" w:cs="宋体"/>
                <w:b/>
                <w:bCs/>
                <w:color w:val="auto"/>
                <w:szCs w:val="21"/>
                <w:highlight w:val="none"/>
              </w:rPr>
            </w:pPr>
            <w:r>
              <w:rPr>
                <w:rFonts w:ascii="宋体" w:hAnsi="宋体" w:eastAsia="宋体"/>
                <w:b/>
                <w:bCs/>
                <w:color w:val="auto"/>
                <w:szCs w:val="21"/>
                <w:highlight w:val="none"/>
              </w:rPr>
              <w:t>3</w:t>
            </w:r>
          </w:p>
        </w:tc>
        <w:tc>
          <w:tcPr>
            <w:tcW w:w="3391" w:type="dxa"/>
            <w:gridSpan w:val="3"/>
            <w:tcBorders>
              <w:tl2br w:val="nil"/>
              <w:tr2bl w:val="nil"/>
            </w:tcBorders>
            <w:noWrap w:val="0"/>
            <w:vAlign w:val="center"/>
          </w:tcPr>
          <w:p w14:paraId="2B16004D">
            <w:pPr>
              <w:wordWrap w:val="0"/>
              <w:jc w:val="center"/>
              <w:rPr>
                <w:rFonts w:ascii="宋体" w:hAnsi="宋体" w:eastAsia="宋体" w:cs="宋体"/>
                <w:b/>
                <w:bCs/>
                <w:color w:val="auto"/>
                <w:szCs w:val="21"/>
                <w:highlight w:val="none"/>
              </w:rPr>
            </w:pPr>
            <w:r>
              <w:rPr>
                <w:rFonts w:hint="eastAsia" w:ascii="宋体" w:hAnsi="宋体" w:eastAsia="宋体"/>
                <w:b/>
                <w:bCs/>
                <w:color w:val="auto"/>
                <w:szCs w:val="21"/>
                <w:highlight w:val="none"/>
              </w:rPr>
              <w:t>商务部分</w:t>
            </w:r>
          </w:p>
        </w:tc>
        <w:tc>
          <w:tcPr>
            <w:tcW w:w="5005" w:type="dxa"/>
            <w:tcBorders>
              <w:tl2br w:val="nil"/>
              <w:tr2bl w:val="nil"/>
            </w:tcBorders>
            <w:noWrap w:val="0"/>
            <w:vAlign w:val="center"/>
          </w:tcPr>
          <w:p w14:paraId="00B63148">
            <w:pPr>
              <w:wordWrap w:val="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43</w:t>
            </w:r>
          </w:p>
        </w:tc>
      </w:tr>
      <w:tr w14:paraId="105B7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noWrap w:val="0"/>
            <w:vAlign w:val="center"/>
          </w:tcPr>
          <w:p w14:paraId="4DBF1EAB">
            <w:pPr>
              <w:rPr>
                <w:rFonts w:ascii="宋体" w:hAnsi="宋体" w:eastAsia="宋体" w:cs="宋体"/>
                <w:b/>
                <w:bCs/>
                <w:color w:val="auto"/>
                <w:szCs w:val="21"/>
                <w:highlight w:val="none"/>
              </w:rPr>
            </w:pPr>
          </w:p>
        </w:tc>
        <w:tc>
          <w:tcPr>
            <w:tcW w:w="8396" w:type="dxa"/>
            <w:gridSpan w:val="4"/>
            <w:tcBorders>
              <w:tl2br w:val="nil"/>
              <w:tr2bl w:val="nil"/>
            </w:tcBorders>
            <w:noWrap w:val="0"/>
            <w:vAlign w:val="center"/>
          </w:tcPr>
          <w:p w14:paraId="7B491CBD">
            <w:pPr>
              <w:wordWrap w:val="0"/>
              <w:rPr>
                <w:rFonts w:ascii="宋体" w:hAnsi="宋体" w:eastAsia="宋体" w:cs="宋体"/>
                <w:color w:val="auto"/>
                <w:szCs w:val="21"/>
                <w:highlight w:val="none"/>
              </w:rPr>
            </w:pPr>
          </w:p>
        </w:tc>
      </w:tr>
      <w:tr w14:paraId="52BA7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shd w:val="clear" w:color="auto" w:fill="E6EFFA"/>
            <w:noWrap w:val="0"/>
            <w:vAlign w:val="center"/>
          </w:tcPr>
          <w:p w14:paraId="463563F4">
            <w:pPr>
              <w:rPr>
                <w:rFonts w:ascii="宋体" w:hAnsi="宋体" w:eastAsia="宋体" w:cs="宋体"/>
                <w:b/>
                <w:bCs/>
                <w:color w:val="auto"/>
                <w:szCs w:val="21"/>
                <w:highlight w:val="none"/>
              </w:rPr>
            </w:pPr>
          </w:p>
        </w:tc>
        <w:tc>
          <w:tcPr>
            <w:tcW w:w="453" w:type="dxa"/>
            <w:tcBorders>
              <w:tl2br w:val="nil"/>
              <w:tr2bl w:val="nil"/>
            </w:tcBorders>
            <w:shd w:val="clear" w:color="auto" w:fill="E6EFFA"/>
            <w:noWrap w:val="0"/>
            <w:vAlign w:val="center"/>
          </w:tcPr>
          <w:p w14:paraId="73811C16">
            <w:pPr>
              <w:wordWrap w:val="0"/>
              <w:jc w:val="center"/>
              <w:rPr>
                <w:rFonts w:ascii="宋体" w:hAnsi="宋体" w:eastAsia="宋体" w:cs="宋体"/>
                <w:color w:val="auto"/>
                <w:szCs w:val="21"/>
                <w:highlight w:val="none"/>
              </w:rPr>
            </w:pPr>
            <w:r>
              <w:rPr>
                <w:rFonts w:ascii="宋体" w:hAnsi="宋体" w:eastAsia="宋体"/>
                <w:color w:val="auto"/>
                <w:szCs w:val="21"/>
                <w:highlight w:val="none"/>
              </w:rPr>
              <w:t>序号</w:t>
            </w:r>
          </w:p>
        </w:tc>
        <w:tc>
          <w:tcPr>
            <w:tcW w:w="2004" w:type="dxa"/>
            <w:tcBorders>
              <w:tl2br w:val="nil"/>
              <w:tr2bl w:val="nil"/>
            </w:tcBorders>
            <w:shd w:val="clear" w:color="auto" w:fill="E6EFFA"/>
            <w:noWrap w:val="0"/>
            <w:vAlign w:val="center"/>
          </w:tcPr>
          <w:p w14:paraId="34F927E8">
            <w:pPr>
              <w:wordWrap w:val="0"/>
              <w:jc w:val="center"/>
              <w:rPr>
                <w:rFonts w:ascii="宋体" w:hAnsi="宋体" w:eastAsia="宋体" w:cs="宋体"/>
                <w:color w:val="auto"/>
                <w:szCs w:val="21"/>
                <w:highlight w:val="none"/>
              </w:rPr>
            </w:pPr>
            <w:r>
              <w:rPr>
                <w:rFonts w:ascii="宋体" w:hAnsi="宋体" w:eastAsia="宋体"/>
                <w:color w:val="auto"/>
                <w:szCs w:val="21"/>
                <w:highlight w:val="none"/>
              </w:rPr>
              <w:t>评分因素</w:t>
            </w:r>
          </w:p>
        </w:tc>
        <w:tc>
          <w:tcPr>
            <w:tcW w:w="934" w:type="dxa"/>
            <w:tcBorders>
              <w:tl2br w:val="nil"/>
              <w:tr2bl w:val="nil"/>
            </w:tcBorders>
            <w:shd w:val="clear" w:color="auto" w:fill="E6EFFA"/>
            <w:noWrap w:val="0"/>
            <w:vAlign w:val="center"/>
          </w:tcPr>
          <w:p w14:paraId="7D63DA59">
            <w:pPr>
              <w:wordWrap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分值</w:t>
            </w:r>
          </w:p>
        </w:tc>
        <w:tc>
          <w:tcPr>
            <w:tcW w:w="5005" w:type="dxa"/>
            <w:tcBorders>
              <w:tl2br w:val="nil"/>
              <w:tr2bl w:val="nil"/>
            </w:tcBorders>
            <w:shd w:val="clear" w:color="auto" w:fill="E6EFFA"/>
            <w:noWrap w:val="0"/>
            <w:vAlign w:val="center"/>
          </w:tcPr>
          <w:p w14:paraId="05494EA0">
            <w:pPr>
              <w:wordWrap w:val="0"/>
              <w:jc w:val="center"/>
              <w:rPr>
                <w:rFonts w:ascii="宋体" w:hAnsi="宋体" w:eastAsia="宋体" w:cs="宋体"/>
                <w:color w:val="auto"/>
                <w:szCs w:val="21"/>
                <w:highlight w:val="none"/>
              </w:rPr>
            </w:pPr>
            <w:r>
              <w:rPr>
                <w:rFonts w:ascii="宋体" w:hAnsi="宋体" w:eastAsia="宋体"/>
                <w:color w:val="auto"/>
                <w:szCs w:val="21"/>
                <w:highlight w:val="none"/>
              </w:rPr>
              <w:t>评分准则</w:t>
            </w:r>
          </w:p>
        </w:tc>
      </w:tr>
      <w:tr w14:paraId="738DC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76" w:type="dxa"/>
            <w:vMerge w:val="continue"/>
            <w:tcBorders>
              <w:tl2br w:val="nil"/>
              <w:tr2bl w:val="nil"/>
            </w:tcBorders>
            <w:noWrap w:val="0"/>
            <w:vAlign w:val="center"/>
          </w:tcPr>
          <w:p w14:paraId="4068B3E4">
            <w:pPr>
              <w:rPr>
                <w:rFonts w:ascii="宋体" w:hAnsi="宋体" w:eastAsia="宋体" w:cs="宋体"/>
                <w:b/>
                <w:bCs/>
                <w:color w:val="auto"/>
                <w:szCs w:val="21"/>
                <w:highlight w:val="none"/>
              </w:rPr>
            </w:pPr>
          </w:p>
        </w:tc>
        <w:tc>
          <w:tcPr>
            <w:tcW w:w="453" w:type="dxa"/>
            <w:tcBorders>
              <w:tl2br w:val="nil"/>
              <w:tr2bl w:val="nil"/>
            </w:tcBorders>
            <w:noWrap w:val="0"/>
            <w:vAlign w:val="center"/>
          </w:tcPr>
          <w:p w14:paraId="2ED9F671">
            <w:pPr>
              <w:wordWrap w:val="0"/>
              <w:jc w:val="center"/>
              <w:rPr>
                <w:rFonts w:ascii="宋体" w:hAnsi="宋体" w:eastAsia="宋体" w:cs="宋体"/>
                <w:color w:val="auto"/>
                <w:szCs w:val="21"/>
                <w:highlight w:val="none"/>
              </w:rPr>
            </w:pPr>
            <w:r>
              <w:rPr>
                <w:rFonts w:ascii="宋体" w:hAnsi="宋体" w:eastAsia="宋体"/>
                <w:color w:val="auto"/>
                <w:szCs w:val="21"/>
                <w:highlight w:val="none"/>
              </w:rPr>
              <w:t>1</w:t>
            </w:r>
          </w:p>
        </w:tc>
        <w:tc>
          <w:tcPr>
            <w:tcW w:w="2004" w:type="dxa"/>
            <w:tcBorders>
              <w:tl2br w:val="nil"/>
              <w:tr2bl w:val="nil"/>
            </w:tcBorders>
            <w:noWrap w:val="0"/>
            <w:vAlign w:val="center"/>
          </w:tcPr>
          <w:p w14:paraId="1C8A431D">
            <w:pPr>
              <w:wordWrap w:val="0"/>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项目业绩</w:t>
            </w:r>
          </w:p>
        </w:tc>
        <w:tc>
          <w:tcPr>
            <w:tcW w:w="934" w:type="dxa"/>
            <w:tcBorders>
              <w:tl2br w:val="nil"/>
              <w:tr2bl w:val="nil"/>
            </w:tcBorders>
            <w:noWrap w:val="0"/>
            <w:vAlign w:val="center"/>
          </w:tcPr>
          <w:p w14:paraId="06789965">
            <w:pPr>
              <w:wordWrap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005" w:type="dxa"/>
            <w:tcBorders>
              <w:tl2br w:val="nil"/>
              <w:tr2bl w:val="nil"/>
            </w:tcBorders>
            <w:noWrap w:val="0"/>
            <w:vAlign w:val="center"/>
          </w:tcPr>
          <w:p w14:paraId="74D8CAE2">
            <w:pPr>
              <w:numPr>
                <w:ilvl w:val="0"/>
                <w:numId w:val="0"/>
              </w:numPr>
              <w:wordWrap w:val="0"/>
              <w:rPr>
                <w:rFonts w:hint="eastAsia" w:ascii="宋体" w:hAnsi="宋体" w:eastAsia="宋体" w:cs="宋体"/>
                <w:color w:val="auto"/>
                <w:szCs w:val="21"/>
                <w:highlight w:val="none"/>
              </w:rPr>
            </w:pP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评审内容：</w:t>
            </w:r>
          </w:p>
          <w:p w14:paraId="694C64EE">
            <w:pPr>
              <w:numPr>
                <w:ilvl w:val="0"/>
                <w:numId w:val="0"/>
              </w:numPr>
              <w:wordWrap w:val="0"/>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供应商需提供</w:t>
            </w:r>
            <w:r>
              <w:rPr>
                <w:rFonts w:hint="eastAsia" w:ascii="宋体" w:hAnsi="宋体" w:eastAsia="宋体" w:cs="宋体"/>
                <w:color w:val="auto"/>
                <w:szCs w:val="21"/>
                <w:highlight w:val="none"/>
              </w:rPr>
              <w:t>自2023年1月1日以来（以合同签订时间为准）</w:t>
            </w:r>
            <w:r>
              <w:rPr>
                <w:rFonts w:hint="eastAsia" w:ascii="宋体" w:hAnsi="宋体" w:eastAsia="宋体" w:cs="宋体"/>
                <w:color w:val="auto"/>
                <w:szCs w:val="21"/>
                <w:highlight w:val="none"/>
                <w:lang w:val="en-US" w:eastAsia="zh-CN"/>
              </w:rPr>
              <w:t>类似</w:t>
            </w:r>
            <w:r>
              <w:rPr>
                <w:rFonts w:hint="eastAsia" w:ascii="宋体" w:hAnsi="宋体" w:eastAsia="宋体" w:cs="宋体"/>
                <w:color w:val="auto"/>
                <w:szCs w:val="21"/>
                <w:highlight w:val="none"/>
              </w:rPr>
              <w:t>供货业绩。</w:t>
            </w:r>
          </w:p>
          <w:p w14:paraId="1360B427">
            <w:pPr>
              <w:numPr>
                <w:ilvl w:val="0"/>
                <w:numId w:val="0"/>
              </w:num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每提供1个有效业绩得2分，满分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011DFAD1">
            <w:pPr>
              <w:numPr>
                <w:ilvl w:val="0"/>
                <w:numId w:val="0"/>
              </w:numPr>
              <w:wordWrap w:val="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（二）评审依据：</w:t>
            </w:r>
          </w:p>
          <w:p w14:paraId="4F2CA6E6">
            <w:pPr>
              <w:numPr>
                <w:ilvl w:val="0"/>
                <w:numId w:val="0"/>
              </w:numPr>
              <w:wordWrap w:val="0"/>
              <w:ind w:firstLine="210" w:firstLineChars="100"/>
              <w:rPr>
                <w:rFonts w:hint="default" w:ascii="宋体" w:hAnsi="宋体" w:eastAsia="宋体" w:cs="宋体"/>
                <w:color w:val="auto"/>
                <w:kern w:val="2"/>
                <w:sz w:val="21"/>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有效业绩</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指合同</w:t>
            </w:r>
            <w:r>
              <w:rPr>
                <w:rFonts w:hint="eastAsia" w:ascii="宋体" w:hAnsi="宋体" w:cs="宋体"/>
                <w:color w:val="auto"/>
                <w:szCs w:val="21"/>
                <w:highlight w:val="none"/>
                <w:lang w:val="en-US" w:eastAsia="zh-CN"/>
              </w:rPr>
              <w:t>标的物</w:t>
            </w:r>
            <w:r>
              <w:rPr>
                <w:rFonts w:hint="eastAsia" w:ascii="宋体" w:hAnsi="宋体" w:eastAsia="宋体" w:cs="宋体"/>
                <w:color w:val="auto"/>
                <w:szCs w:val="21"/>
                <w:highlight w:val="none"/>
              </w:rPr>
              <w:t>包含计算机项目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需</w:t>
            </w:r>
            <w:r>
              <w:rPr>
                <w:rFonts w:hint="eastAsia" w:ascii="宋体" w:hAnsi="宋体" w:eastAsia="宋体" w:cs="宋体"/>
                <w:color w:val="auto"/>
                <w:szCs w:val="21"/>
                <w:highlight w:val="none"/>
              </w:rPr>
              <w:t>提供合同关键页（首页、金额页、盖章页、供货清单页）及验收证明扫描件，否则不得分。</w:t>
            </w:r>
          </w:p>
        </w:tc>
      </w:tr>
      <w:tr w14:paraId="3639B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noWrap w:val="0"/>
            <w:vAlign w:val="center"/>
          </w:tcPr>
          <w:p w14:paraId="5B6FAA4D">
            <w:pPr>
              <w:rPr>
                <w:rFonts w:ascii="宋体" w:hAnsi="宋体" w:eastAsia="宋体" w:cs="宋体"/>
                <w:b/>
                <w:bCs/>
                <w:color w:val="auto"/>
                <w:szCs w:val="21"/>
                <w:highlight w:val="none"/>
              </w:rPr>
            </w:pPr>
          </w:p>
        </w:tc>
        <w:tc>
          <w:tcPr>
            <w:tcW w:w="453" w:type="dxa"/>
            <w:tcBorders>
              <w:tl2br w:val="nil"/>
              <w:tr2bl w:val="nil"/>
            </w:tcBorders>
            <w:noWrap w:val="0"/>
            <w:vAlign w:val="center"/>
          </w:tcPr>
          <w:p w14:paraId="70786D09">
            <w:pPr>
              <w:wordWrap w:val="0"/>
              <w:jc w:val="center"/>
              <w:rPr>
                <w:rFonts w:ascii="宋体" w:hAnsi="宋体" w:eastAsia="宋体" w:cs="宋体"/>
                <w:color w:val="auto"/>
                <w:szCs w:val="21"/>
                <w:highlight w:val="none"/>
              </w:rPr>
            </w:pPr>
            <w:r>
              <w:rPr>
                <w:rFonts w:hint="eastAsia" w:ascii="宋体" w:hAnsi="宋体" w:eastAsia="宋体"/>
                <w:color w:val="auto"/>
                <w:szCs w:val="21"/>
                <w:highlight w:val="none"/>
              </w:rPr>
              <w:t>2</w:t>
            </w:r>
          </w:p>
        </w:tc>
        <w:tc>
          <w:tcPr>
            <w:tcW w:w="2004" w:type="dxa"/>
            <w:tcBorders>
              <w:tl2br w:val="nil"/>
              <w:tr2bl w:val="nil"/>
            </w:tcBorders>
            <w:noWrap w:val="0"/>
            <w:vAlign w:val="center"/>
          </w:tcPr>
          <w:p w14:paraId="07E81021">
            <w:pPr>
              <w:wordWrap w:val="0"/>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企业实力</w:t>
            </w:r>
          </w:p>
        </w:tc>
        <w:tc>
          <w:tcPr>
            <w:tcW w:w="934" w:type="dxa"/>
            <w:tcBorders>
              <w:tl2br w:val="nil"/>
              <w:tr2bl w:val="nil"/>
            </w:tcBorders>
            <w:noWrap w:val="0"/>
            <w:vAlign w:val="center"/>
          </w:tcPr>
          <w:p w14:paraId="1E0E2A61">
            <w:pPr>
              <w:wordWrap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005" w:type="dxa"/>
            <w:tcBorders>
              <w:tl2br w:val="nil"/>
              <w:tr2bl w:val="nil"/>
            </w:tcBorders>
            <w:noWrap w:val="0"/>
            <w:vAlign w:val="center"/>
          </w:tcPr>
          <w:p w14:paraId="654079D6">
            <w:pPr>
              <w:numPr>
                <w:ilvl w:val="0"/>
                <w:numId w:val="0"/>
              </w:numPr>
              <w:wordWrap w:val="0"/>
              <w:rPr>
                <w:rFonts w:hint="eastAsia" w:ascii="宋体" w:hAnsi="宋体" w:eastAsia="宋体" w:cs="宋体"/>
                <w:color w:val="auto"/>
                <w:szCs w:val="21"/>
                <w:highlight w:val="none"/>
              </w:rPr>
            </w:pP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评审内容：</w:t>
            </w:r>
          </w:p>
          <w:p w14:paraId="7EFF07D6">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计算机制造商</w:t>
            </w:r>
            <w:r>
              <w:rPr>
                <w:rFonts w:hint="eastAsia" w:ascii="宋体" w:hAnsi="宋体" w:cs="宋体"/>
                <w:color w:val="auto"/>
                <w:szCs w:val="21"/>
                <w:highlight w:val="none"/>
                <w:lang w:val="en-US" w:eastAsia="zh-CN"/>
              </w:rPr>
              <w:t>须</w:t>
            </w:r>
            <w:r>
              <w:rPr>
                <w:rFonts w:hint="eastAsia" w:ascii="宋体" w:hAnsi="宋体" w:eastAsia="宋体" w:cs="宋体"/>
                <w:color w:val="auto"/>
                <w:szCs w:val="21"/>
                <w:highlight w:val="none"/>
                <w:lang w:val="en-US" w:eastAsia="zh-CN"/>
              </w:rPr>
              <w:t>具备以下合法有效的证书：</w:t>
            </w:r>
          </w:p>
          <w:p w14:paraId="6B11E4BA">
            <w:pPr>
              <w:wordWrap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（1）ISO9001质量管理体系认证证书；</w:t>
            </w:r>
          </w:p>
          <w:p w14:paraId="3A31A76A">
            <w:pPr>
              <w:wordWrap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（2）ISO14001环境管理体系认证证书；</w:t>
            </w:r>
          </w:p>
          <w:p w14:paraId="3528FB18">
            <w:pPr>
              <w:wordWrap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（3）ISO45001职业健康安全管理体系认证证书；</w:t>
            </w:r>
          </w:p>
          <w:p w14:paraId="4D664868">
            <w:pPr>
              <w:wordWrap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（4）ISO27001信息安全管理体系认证证书；</w:t>
            </w:r>
          </w:p>
          <w:p w14:paraId="4BADF42E">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lang w:val="en-US" w:eastAsia="zh-CN"/>
              </w:rPr>
              <w:t>一项</w:t>
            </w:r>
            <w:r>
              <w:rPr>
                <w:rFonts w:hint="eastAsia" w:ascii="宋体" w:hAnsi="宋体" w:cs="宋体"/>
                <w:color w:val="auto"/>
                <w:szCs w:val="21"/>
                <w:highlight w:val="none"/>
                <w:lang w:val="en-US" w:eastAsia="zh-CN"/>
              </w:rPr>
              <w:t>认证证书，</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分，最高得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p w14:paraId="5AF570F8">
            <w:pPr>
              <w:numPr>
                <w:ilvl w:val="0"/>
                <w:numId w:val="0"/>
              </w:numPr>
              <w:wordWrap w:val="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（二）评审依据：</w:t>
            </w:r>
          </w:p>
          <w:p w14:paraId="1A7DAABD">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供应商须</w:t>
            </w:r>
            <w:r>
              <w:rPr>
                <w:rFonts w:hint="eastAsia" w:ascii="宋体" w:hAnsi="宋体" w:eastAsia="宋体" w:cs="宋体"/>
                <w:color w:val="auto"/>
                <w:szCs w:val="21"/>
                <w:highlight w:val="none"/>
                <w:lang w:val="en-US" w:eastAsia="zh-CN"/>
              </w:rPr>
              <w:t>提供</w:t>
            </w:r>
            <w:r>
              <w:rPr>
                <w:rFonts w:hint="eastAsia" w:ascii="宋体" w:hAnsi="宋体" w:cs="宋体"/>
                <w:color w:val="auto"/>
                <w:szCs w:val="21"/>
                <w:highlight w:val="none"/>
                <w:lang w:val="en-US" w:eastAsia="zh-CN"/>
              </w:rPr>
              <w:t>处于有效期内的官网查询截图及原件扫描件，</w:t>
            </w:r>
            <w:r>
              <w:rPr>
                <w:rFonts w:hint="eastAsia" w:ascii="宋体" w:hAnsi="宋体" w:eastAsia="宋体" w:cs="宋体"/>
                <w:color w:val="auto"/>
                <w:szCs w:val="21"/>
                <w:highlight w:val="none"/>
                <w:lang w:val="en-US" w:eastAsia="zh-CN"/>
              </w:rPr>
              <w:t>并加盖投标单位公章。</w:t>
            </w:r>
          </w:p>
        </w:tc>
      </w:tr>
      <w:tr w14:paraId="561BE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76" w:type="dxa"/>
            <w:vMerge w:val="continue"/>
            <w:tcBorders>
              <w:tl2br w:val="nil"/>
              <w:tr2bl w:val="nil"/>
            </w:tcBorders>
            <w:noWrap w:val="0"/>
            <w:vAlign w:val="center"/>
          </w:tcPr>
          <w:p w14:paraId="57AA0924">
            <w:pPr>
              <w:rPr>
                <w:rFonts w:ascii="宋体" w:hAnsi="宋体" w:eastAsia="宋体" w:cs="宋体"/>
                <w:b/>
                <w:bCs/>
                <w:color w:val="auto"/>
                <w:szCs w:val="21"/>
                <w:highlight w:val="none"/>
              </w:rPr>
            </w:pPr>
          </w:p>
        </w:tc>
        <w:tc>
          <w:tcPr>
            <w:tcW w:w="453" w:type="dxa"/>
            <w:tcBorders>
              <w:tl2br w:val="nil"/>
              <w:tr2bl w:val="nil"/>
            </w:tcBorders>
            <w:noWrap w:val="0"/>
            <w:vAlign w:val="center"/>
          </w:tcPr>
          <w:p w14:paraId="1C84444C">
            <w:pPr>
              <w:wordWrap w:val="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2004" w:type="dxa"/>
            <w:tcBorders>
              <w:tl2br w:val="nil"/>
              <w:tr2bl w:val="nil"/>
            </w:tcBorders>
            <w:noWrap w:val="0"/>
            <w:vAlign w:val="center"/>
          </w:tcPr>
          <w:p w14:paraId="1BC7AA75">
            <w:pPr>
              <w:wordWrap w:val="0"/>
              <w:jc w:val="center"/>
              <w:rPr>
                <w:rFonts w:hint="eastAsia" w:ascii="宋体" w:hAnsi="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售后服务及应急</w:t>
            </w:r>
          </w:p>
          <w:p w14:paraId="42798302">
            <w:pPr>
              <w:wordWrap w:val="0"/>
              <w:jc w:val="center"/>
              <w:rPr>
                <w:rFonts w:ascii="宋体" w:hAnsi="宋体" w:eastAsia="宋体" w:cs="宋体"/>
                <w:color w:val="auto"/>
                <w:szCs w:val="21"/>
                <w:highlight w:val="none"/>
              </w:rPr>
            </w:pPr>
            <w:r>
              <w:rPr>
                <w:rFonts w:hint="eastAsia" w:ascii="宋体" w:hAnsi="宋体" w:cs="宋体"/>
                <w:i w:val="0"/>
                <w:iCs w:val="0"/>
                <w:snapToGrid w:val="0"/>
                <w:color w:val="000000"/>
                <w:kern w:val="0"/>
                <w:sz w:val="21"/>
                <w:szCs w:val="21"/>
                <w:highlight w:val="none"/>
                <w:u w:val="none"/>
                <w:lang w:val="en-US" w:eastAsia="zh-CN" w:bidi="ar"/>
              </w:rPr>
              <w:t>方案</w:t>
            </w:r>
          </w:p>
        </w:tc>
        <w:tc>
          <w:tcPr>
            <w:tcW w:w="934" w:type="dxa"/>
            <w:tcBorders>
              <w:tl2br w:val="nil"/>
              <w:tr2bl w:val="nil"/>
            </w:tcBorders>
            <w:noWrap w:val="0"/>
            <w:vAlign w:val="center"/>
          </w:tcPr>
          <w:p w14:paraId="40EE904D">
            <w:pPr>
              <w:wordWrap w:val="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12</w:t>
            </w:r>
          </w:p>
        </w:tc>
        <w:tc>
          <w:tcPr>
            <w:tcW w:w="5005" w:type="dxa"/>
            <w:tcBorders>
              <w:tl2br w:val="nil"/>
              <w:tr2bl w:val="nil"/>
            </w:tcBorders>
            <w:noWrap w:val="0"/>
            <w:vAlign w:val="center"/>
          </w:tcPr>
          <w:p w14:paraId="1430751F">
            <w:pPr>
              <w:wordWrap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（一）评审内容：</w:t>
            </w:r>
          </w:p>
          <w:p w14:paraId="7259C98B">
            <w:pPr>
              <w:wordWrap w:val="0"/>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售后保障方案应详细说明售后服务内容，包括但不仅限于</w:t>
            </w:r>
            <w:r>
              <w:rPr>
                <w:rFonts w:hint="eastAsia" w:ascii="宋体" w:hAnsi="宋体" w:cs="宋体"/>
                <w:color w:val="auto"/>
                <w:szCs w:val="21"/>
                <w:highlight w:val="none"/>
                <w:lang w:val="en-US" w:eastAsia="zh-CN"/>
              </w:rPr>
              <w:t>：</w:t>
            </w:r>
          </w:p>
          <w:p w14:paraId="3FC26214">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lang w:val="en-US" w:eastAsia="zh-CN"/>
              </w:rPr>
              <w:t>保修</w:t>
            </w:r>
            <w:r>
              <w:rPr>
                <w:rFonts w:hint="eastAsia" w:ascii="宋体" w:hAnsi="宋体" w:cs="宋体"/>
                <w:color w:val="auto"/>
                <w:szCs w:val="21"/>
                <w:highlight w:val="none"/>
                <w:lang w:val="en-US" w:eastAsia="zh-CN"/>
              </w:rPr>
              <w:t>措施；</w:t>
            </w:r>
          </w:p>
          <w:p w14:paraId="32CED510">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②售后保障方案</w:t>
            </w:r>
            <w:r>
              <w:rPr>
                <w:rFonts w:hint="eastAsia" w:ascii="宋体" w:hAnsi="宋体" w:cs="宋体"/>
                <w:color w:val="auto"/>
                <w:szCs w:val="21"/>
                <w:highlight w:val="none"/>
                <w:lang w:val="en-US" w:eastAsia="zh-CN"/>
              </w:rPr>
              <w:t>；</w:t>
            </w:r>
          </w:p>
          <w:p w14:paraId="01FB7488">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③服务响应</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修复时间</w:t>
            </w:r>
            <w:r>
              <w:rPr>
                <w:rFonts w:hint="eastAsia" w:ascii="宋体" w:hAnsi="宋体" w:cs="宋体"/>
                <w:color w:val="auto"/>
                <w:szCs w:val="21"/>
                <w:highlight w:val="none"/>
                <w:lang w:val="en-US" w:eastAsia="zh-CN"/>
              </w:rPr>
              <w:t>安排；</w:t>
            </w:r>
          </w:p>
          <w:p w14:paraId="14E962F8">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w:t>
            </w:r>
            <w:r>
              <w:rPr>
                <w:rFonts w:hint="eastAsia" w:ascii="宋体" w:hAnsi="宋体" w:cs="宋体"/>
                <w:color w:val="auto"/>
                <w:szCs w:val="21"/>
                <w:highlight w:val="none"/>
                <w:lang w:val="en-US" w:eastAsia="zh-CN"/>
              </w:rPr>
              <w:t>故障</w:t>
            </w:r>
            <w:r>
              <w:rPr>
                <w:rFonts w:hint="eastAsia" w:ascii="宋体" w:hAnsi="宋体" w:eastAsia="宋体" w:cs="宋体"/>
                <w:color w:val="auto"/>
                <w:szCs w:val="21"/>
                <w:highlight w:val="none"/>
                <w:lang w:val="en-US" w:eastAsia="zh-CN"/>
              </w:rPr>
              <w:t>应急处理</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lang w:val="en-US" w:eastAsia="zh-CN"/>
              </w:rPr>
              <w:t>。</w:t>
            </w:r>
          </w:p>
          <w:p w14:paraId="02C4A939">
            <w:pPr>
              <w:wordWrap w:val="0"/>
              <w:ind w:firstLine="420" w:firstLineChars="200"/>
              <w:rPr>
                <w:rFonts w:hint="default"/>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投标人承诺提供本地化的售后服务，得2分；不提供的不得分。 </w:t>
            </w:r>
          </w:p>
          <w:p w14:paraId="041808BF">
            <w:pPr>
              <w:wordWrap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（二）评分标准：</w:t>
            </w:r>
          </w:p>
          <w:p w14:paraId="20A93B0E">
            <w:pPr>
              <w:wordWrap w:val="0"/>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以上</w:t>
            </w:r>
            <w:r>
              <w:rPr>
                <w:rFonts w:hint="eastAsia" w:eastAsia="宋体" w:cs="Times New Roman"/>
                <w:color w:val="auto"/>
                <w:lang w:val="en-US" w:eastAsia="zh-CN"/>
              </w:rPr>
              <w:t>四</w:t>
            </w:r>
            <w:r>
              <w:rPr>
                <w:rFonts w:hint="eastAsia" w:ascii="Times New Roman" w:hAnsi="Times New Roman" w:eastAsia="宋体" w:cs="Times New Roman"/>
                <w:color w:val="auto"/>
              </w:rPr>
              <w:t>项方案全部提供的得</w:t>
            </w:r>
            <w:r>
              <w:rPr>
                <w:rFonts w:hint="eastAsia" w:cs="Times New Roman"/>
                <w:color w:val="auto"/>
                <w:lang w:val="en-US" w:eastAsia="zh-CN"/>
              </w:rPr>
              <w:t>4</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缺少一项</w:t>
            </w:r>
            <w:r>
              <w:rPr>
                <w:rFonts w:hint="eastAsia" w:ascii="Times New Roman" w:hAnsi="Times New Roman" w:eastAsia="宋体" w:cs="Times New Roman"/>
                <w:color w:val="auto"/>
              </w:rPr>
              <w:t>不得</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在</w:t>
            </w:r>
            <w:r>
              <w:rPr>
                <w:rFonts w:hint="eastAsia" w:cs="Times New Roman"/>
                <w:color w:val="auto"/>
                <w:lang w:val="en-US" w:eastAsia="zh-CN"/>
              </w:rPr>
              <w:t>此</w:t>
            </w:r>
            <w:r>
              <w:rPr>
                <w:rFonts w:hint="eastAsia" w:ascii="Times New Roman" w:hAnsi="Times New Roman" w:eastAsia="宋体" w:cs="Times New Roman"/>
                <w:color w:val="auto"/>
                <w:lang w:val="en-US" w:eastAsia="zh-CN"/>
              </w:rPr>
              <w:t>基础上</w:t>
            </w:r>
            <w:r>
              <w:rPr>
                <w:rFonts w:hint="eastAsia" w:cs="Times New Roman"/>
                <w:color w:val="auto"/>
                <w:lang w:val="en-US" w:eastAsia="zh-CN"/>
              </w:rPr>
              <w:t>，</w:t>
            </w:r>
            <w:r>
              <w:rPr>
                <w:rFonts w:hint="eastAsia" w:ascii="Times New Roman" w:hAnsi="Times New Roman" w:eastAsia="宋体" w:cs="Times New Roman"/>
                <w:color w:val="auto"/>
                <w:lang w:val="en-US" w:eastAsia="zh-CN"/>
              </w:rPr>
              <w:t>对方案进行比较和评价：</w:t>
            </w:r>
            <w:r>
              <w:rPr>
                <w:rFonts w:hint="eastAsia" w:ascii="Times New Roman" w:hAnsi="Times New Roman" w:eastAsia="宋体" w:cs="Times New Roman"/>
                <w:color w:val="auto"/>
                <w:lang w:val="en-US" w:eastAsia="zh-CN"/>
              </w:rPr>
              <w:br w:type="textWrapping"/>
            </w:r>
            <w:r>
              <w:rPr>
                <w:rFonts w:hint="eastAsia" w:cs="Times New Roman"/>
                <w:color w:val="auto"/>
                <w:lang w:val="en-US" w:eastAsia="zh-CN"/>
              </w:rPr>
              <w:t xml:space="preserve">    </w:t>
            </w:r>
            <w:r>
              <w:rPr>
                <w:rFonts w:hint="eastAsia" w:ascii="宋体" w:hAnsi="宋体" w:cs="宋体"/>
              </w:rPr>
              <w:t>方案内容完善无瑕疵的，评价为优，</w:t>
            </w:r>
            <w:r>
              <w:rPr>
                <w:rFonts w:hint="eastAsia" w:ascii="宋体" w:hAnsi="宋体" w:cs="宋体"/>
                <w:shd w:val="clear" w:color="auto" w:fill="auto"/>
              </w:rPr>
              <w:t>得</w:t>
            </w:r>
            <w:r>
              <w:rPr>
                <w:rFonts w:hint="eastAsia" w:ascii="宋体" w:hAnsi="宋体" w:cs="宋体"/>
                <w:shd w:val="clear" w:color="auto" w:fill="auto"/>
                <w:lang w:val="en-US" w:eastAsia="zh-CN"/>
              </w:rPr>
              <w:t>6</w:t>
            </w:r>
            <w:r>
              <w:rPr>
                <w:rFonts w:hint="eastAsia" w:ascii="宋体" w:hAnsi="宋体" w:cs="宋体"/>
                <w:shd w:val="clear" w:color="auto" w:fill="auto"/>
              </w:rPr>
              <w:t>分；</w:t>
            </w:r>
          </w:p>
          <w:p w14:paraId="706E8E8C">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存在下述1项缺陷，评价为良，得</w:t>
            </w:r>
            <w:r>
              <w:rPr>
                <w:rFonts w:hint="eastAsia" w:cs="Times New Roman"/>
                <w:color w:val="auto"/>
                <w:lang w:val="en-US" w:eastAsia="zh-CN"/>
              </w:rPr>
              <w:t>4</w:t>
            </w:r>
            <w:r>
              <w:rPr>
                <w:rFonts w:hint="eastAsia" w:ascii="Times New Roman" w:hAnsi="Times New Roman" w:eastAsia="宋体" w:cs="Times New Roman"/>
                <w:color w:val="auto"/>
              </w:rPr>
              <w:t>分；</w:t>
            </w:r>
          </w:p>
          <w:p w14:paraId="03A4464D">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w:t>
            </w:r>
            <w:r>
              <w:rPr>
                <w:rFonts w:hint="eastAsia" w:eastAsia="宋体" w:cs="Times New Roman"/>
                <w:color w:val="auto"/>
                <w:lang w:val="en-US" w:eastAsia="zh-CN"/>
              </w:rPr>
              <w:t>2</w:t>
            </w:r>
            <w:r>
              <w:rPr>
                <w:rFonts w:hint="eastAsia" w:ascii="Times New Roman" w:hAnsi="Times New Roman" w:eastAsia="宋体" w:cs="Times New Roman"/>
                <w:color w:val="auto"/>
              </w:rPr>
              <w:t>项缺陷，评价为中，得</w:t>
            </w:r>
            <w:r>
              <w:rPr>
                <w:rFonts w:hint="eastAsia" w:cs="Times New Roman"/>
                <w:color w:val="auto"/>
                <w:lang w:val="en-US" w:eastAsia="zh-CN"/>
              </w:rPr>
              <w:t>3</w:t>
            </w:r>
            <w:r>
              <w:rPr>
                <w:rFonts w:hint="eastAsia" w:ascii="Times New Roman" w:hAnsi="Times New Roman" w:eastAsia="宋体" w:cs="Times New Roman"/>
                <w:color w:val="auto"/>
              </w:rPr>
              <w:t>分；</w:t>
            </w:r>
          </w:p>
          <w:p w14:paraId="481385AF">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存在下述3项缺陷，评价为</w:t>
            </w:r>
            <w:r>
              <w:rPr>
                <w:rFonts w:hint="eastAsia" w:cs="Times New Roman"/>
                <w:color w:val="auto"/>
                <w:lang w:val="en-US" w:eastAsia="zh-CN"/>
              </w:rPr>
              <w:t>一般</w:t>
            </w:r>
            <w:r>
              <w:rPr>
                <w:rFonts w:hint="eastAsia" w:ascii="Times New Roman" w:hAnsi="Times New Roman" w:eastAsia="宋体" w:cs="Times New Roman"/>
                <w:color w:val="auto"/>
              </w:rPr>
              <w:t>，得</w:t>
            </w:r>
            <w:r>
              <w:rPr>
                <w:rFonts w:hint="eastAsia" w:cs="Times New Roman"/>
                <w:color w:val="auto"/>
                <w:lang w:val="en-US" w:eastAsia="zh-CN"/>
              </w:rPr>
              <w:t>2</w:t>
            </w:r>
            <w:r>
              <w:rPr>
                <w:rFonts w:hint="eastAsia" w:ascii="Times New Roman" w:hAnsi="Times New Roman" w:eastAsia="宋体" w:cs="Times New Roman"/>
                <w:color w:val="auto"/>
              </w:rPr>
              <w:t>分；</w:t>
            </w:r>
          </w:p>
          <w:p w14:paraId="60827162">
            <w:pPr>
              <w:wordWrap w:val="0"/>
              <w:ind w:firstLine="420" w:firstLineChars="200"/>
              <w:rPr>
                <w:rFonts w:hint="eastAsia"/>
                <w:color w:val="auto"/>
                <w:highlight w:val="none"/>
              </w:rPr>
            </w:pPr>
            <w:r>
              <w:rPr>
                <w:rFonts w:hint="eastAsia" w:ascii="Times New Roman" w:hAnsi="Times New Roman" w:eastAsia="宋体" w:cs="Times New Roman"/>
                <w:color w:val="auto"/>
              </w:rPr>
              <w:t>存在下述</w:t>
            </w:r>
            <w:r>
              <w:rPr>
                <w:rFonts w:hint="eastAsia" w:eastAsia="宋体" w:cs="Times New Roman"/>
                <w:color w:val="auto"/>
                <w:lang w:val="en-US" w:eastAsia="zh-CN"/>
              </w:rPr>
              <w:t>4</w:t>
            </w:r>
            <w:r>
              <w:rPr>
                <w:rFonts w:hint="eastAsia" w:ascii="Times New Roman" w:hAnsi="Times New Roman" w:eastAsia="宋体" w:cs="Times New Roman"/>
                <w:color w:val="auto"/>
              </w:rPr>
              <w:t>项缺陷，评价为差，不得分；</w:t>
            </w:r>
          </w:p>
          <w:p w14:paraId="25F8EF60">
            <w:pPr>
              <w:wordWrap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（三）缺陷是指：</w:t>
            </w:r>
          </w:p>
          <w:p w14:paraId="2A053BFD">
            <w:pPr>
              <w:numPr>
                <w:ilvl w:val="0"/>
                <w:numId w:val="0"/>
              </w:numPr>
              <w:wordWrap w:val="0"/>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1.未制定货物的保修范围、‌</w:t>
            </w:r>
            <w:r>
              <w:rPr>
                <w:rFonts w:hint="default" w:ascii="宋体" w:hAnsi="宋体" w:cs="宋体"/>
                <w:color w:val="auto"/>
                <w:szCs w:val="21"/>
                <w:highlight w:val="none"/>
                <w:lang w:val="en-US" w:eastAsia="zh-CN"/>
              </w:rPr>
              <w:t>备件供应与库存保障</w:t>
            </w:r>
            <w:r>
              <w:rPr>
                <w:rFonts w:hint="eastAsia" w:ascii="宋体" w:hAnsi="宋体" w:cs="宋体"/>
                <w:color w:val="auto"/>
                <w:szCs w:val="21"/>
                <w:highlight w:val="none"/>
                <w:lang w:val="en-US" w:eastAsia="zh-CN"/>
              </w:rPr>
              <w:t>等；</w:t>
            </w:r>
          </w:p>
          <w:p w14:paraId="2CCD359F">
            <w:pPr>
              <w:numPr>
                <w:ilvl w:val="0"/>
                <w:numId w:val="0"/>
              </w:numPr>
              <w:wordWrap w:val="0"/>
              <w:ind w:leftChars="0"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售后人员服务体系不完善、未有专门的项目管理和售后团队售后服务能力弱，例行维护、巡检、保养、升级等售后服务反馈处理机制不完善。</w:t>
            </w:r>
          </w:p>
          <w:p w14:paraId="4CCC0A16">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.响应时间长，修复速度慢、不及时更换零配件；</w:t>
            </w:r>
          </w:p>
          <w:p w14:paraId="12C91625">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.故障应急响应机制不完善，不能够快速、正确、有效组织故障抢修；</w:t>
            </w:r>
          </w:p>
          <w:p w14:paraId="2509AC67">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eastAsia="宋体" w:cs="宋体"/>
                <w:color w:val="auto"/>
                <w:szCs w:val="21"/>
                <w:highlight w:val="none"/>
                <w:lang w:val="en-US" w:eastAsia="zh-CN"/>
              </w:rPr>
              <w:t>本地化的售后服务包含但不限于：本地化的售后服务方案、配备人员、售后保障方案等</w:t>
            </w:r>
            <w:r>
              <w:rPr>
                <w:rFonts w:hint="eastAsia" w:ascii="宋体" w:hAnsi="宋体" w:cs="宋体"/>
                <w:color w:val="auto"/>
                <w:szCs w:val="21"/>
                <w:highlight w:val="none"/>
                <w:lang w:val="en-US" w:eastAsia="zh-CN"/>
              </w:rPr>
              <w:t>。</w:t>
            </w:r>
          </w:p>
        </w:tc>
      </w:tr>
      <w:tr w14:paraId="1C450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1381" w:hRule="atLeast"/>
          <w:tblCellSpacing w:w="0" w:type="dxa"/>
        </w:trPr>
        <w:tc>
          <w:tcPr>
            <w:tcW w:w="676" w:type="dxa"/>
            <w:vMerge w:val="continue"/>
            <w:tcBorders>
              <w:tl2br w:val="nil"/>
              <w:tr2bl w:val="nil"/>
            </w:tcBorders>
            <w:noWrap w:val="0"/>
            <w:vAlign w:val="center"/>
          </w:tcPr>
          <w:p w14:paraId="7E454CD7">
            <w:pPr>
              <w:rPr>
                <w:rFonts w:ascii="宋体" w:hAnsi="宋体" w:eastAsia="宋体" w:cs="宋体"/>
                <w:b/>
                <w:bCs/>
                <w:color w:val="auto"/>
                <w:szCs w:val="21"/>
                <w:highlight w:val="none"/>
              </w:rPr>
            </w:pPr>
          </w:p>
        </w:tc>
        <w:tc>
          <w:tcPr>
            <w:tcW w:w="453" w:type="dxa"/>
            <w:tcBorders>
              <w:tl2br w:val="nil"/>
              <w:tr2bl w:val="nil"/>
            </w:tcBorders>
            <w:noWrap w:val="0"/>
            <w:vAlign w:val="center"/>
          </w:tcPr>
          <w:p w14:paraId="0158E861">
            <w:pPr>
              <w:wordWrap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004" w:type="dxa"/>
            <w:tcBorders>
              <w:tl2br w:val="nil"/>
              <w:tr2bl w:val="nil"/>
            </w:tcBorders>
            <w:shd w:val="clear" w:color="auto" w:fill="auto"/>
            <w:noWrap w:val="0"/>
            <w:vAlign w:val="center"/>
          </w:tcPr>
          <w:p w14:paraId="079E00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培训方案</w:t>
            </w:r>
          </w:p>
        </w:tc>
        <w:tc>
          <w:tcPr>
            <w:tcW w:w="934" w:type="dxa"/>
            <w:tcBorders>
              <w:tl2br w:val="nil"/>
              <w:tr2bl w:val="nil"/>
            </w:tcBorders>
            <w:shd w:val="clear" w:color="auto" w:fill="auto"/>
            <w:noWrap w:val="0"/>
            <w:vAlign w:val="center"/>
          </w:tcPr>
          <w:p w14:paraId="07F0CE5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10</w:t>
            </w:r>
          </w:p>
        </w:tc>
        <w:tc>
          <w:tcPr>
            <w:tcW w:w="5005" w:type="dxa"/>
            <w:tcBorders>
              <w:tl2br w:val="nil"/>
              <w:tr2bl w:val="nil"/>
            </w:tcBorders>
            <w:shd w:val="clear" w:color="auto" w:fill="auto"/>
            <w:noWrap w:val="0"/>
            <w:vAlign w:val="center"/>
          </w:tcPr>
          <w:p w14:paraId="24A9E864">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（一）评审内容：</w:t>
            </w:r>
          </w:p>
          <w:p w14:paraId="6CF9F950">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投标供应商根据本次项目实际需求提供</w:t>
            </w:r>
            <w:r>
              <w:rPr>
                <w:rFonts w:hint="eastAsia" w:ascii="宋体" w:hAnsi="宋体" w:cs="宋体"/>
                <w:i w:val="0"/>
                <w:iCs w:val="0"/>
                <w:color w:val="000000"/>
                <w:kern w:val="0"/>
                <w:sz w:val="21"/>
                <w:szCs w:val="21"/>
                <w:u w:val="none"/>
                <w:lang w:val="en-US" w:eastAsia="zh-CN" w:bidi="ar"/>
              </w:rPr>
              <w:t>人员</w:t>
            </w:r>
            <w:r>
              <w:rPr>
                <w:rFonts w:hint="eastAsia" w:ascii="宋体" w:hAnsi="宋体" w:eastAsia="宋体" w:cs="宋体"/>
                <w:i w:val="0"/>
                <w:iCs w:val="0"/>
                <w:color w:val="000000"/>
                <w:kern w:val="0"/>
                <w:sz w:val="21"/>
                <w:szCs w:val="21"/>
                <w:u w:val="none"/>
                <w:lang w:val="en-US" w:eastAsia="zh-CN" w:bidi="ar"/>
              </w:rPr>
              <w:t>培训服务</w:t>
            </w:r>
            <w:r>
              <w:rPr>
                <w:rFonts w:hint="eastAsia" w:ascii="宋体" w:hAnsi="宋体" w:cs="宋体"/>
                <w:i w:val="0"/>
                <w:iCs w:val="0"/>
                <w:color w:val="000000"/>
                <w:kern w:val="0"/>
                <w:sz w:val="21"/>
                <w:szCs w:val="21"/>
                <w:u w:val="none"/>
                <w:lang w:val="en-US" w:eastAsia="zh-CN" w:bidi="ar"/>
              </w:rPr>
              <w:t>方案</w:t>
            </w:r>
            <w:r>
              <w:rPr>
                <w:rFonts w:hint="eastAsia" w:ascii="宋体" w:hAnsi="宋体" w:eastAsia="宋体" w:cs="宋体"/>
                <w:i w:val="0"/>
                <w:iCs w:val="0"/>
                <w:color w:val="000000"/>
                <w:kern w:val="0"/>
                <w:sz w:val="21"/>
                <w:szCs w:val="21"/>
                <w:u w:val="none"/>
                <w:lang w:val="en-US" w:eastAsia="zh-CN" w:bidi="ar"/>
              </w:rPr>
              <w:t>，内容包含但不限于：</w:t>
            </w:r>
          </w:p>
          <w:p w14:paraId="64856D5F">
            <w:pPr>
              <w:keepNext w:val="0"/>
              <w:keepLines w:val="0"/>
              <w:widowControl/>
              <w:numPr>
                <w:ilvl w:val="0"/>
                <w:numId w:val="0"/>
              </w:numPr>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培训形式</w:t>
            </w:r>
          </w:p>
          <w:p w14:paraId="796B9803">
            <w:pPr>
              <w:keepNext w:val="0"/>
              <w:keepLines w:val="0"/>
              <w:widowControl/>
              <w:numPr>
                <w:ilvl w:val="0"/>
                <w:numId w:val="0"/>
              </w:numPr>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0"/>
                <w:sz w:val="21"/>
                <w:szCs w:val="21"/>
                <w:u w:val="none"/>
                <w:lang w:val="en-US" w:eastAsia="zh-CN" w:bidi="ar"/>
              </w:rPr>
              <w:t>培训</w:t>
            </w:r>
            <w:r>
              <w:rPr>
                <w:rFonts w:hint="eastAsia" w:ascii="宋体" w:hAnsi="宋体" w:eastAsia="宋体" w:cs="宋体"/>
                <w:i w:val="0"/>
                <w:iCs w:val="0"/>
                <w:color w:val="000000"/>
                <w:kern w:val="0"/>
                <w:sz w:val="21"/>
                <w:szCs w:val="21"/>
                <w:u w:val="none"/>
                <w:lang w:val="en-US" w:eastAsia="zh-CN" w:bidi="ar"/>
              </w:rPr>
              <w:t>内容；</w:t>
            </w:r>
          </w:p>
          <w:p w14:paraId="1E347F4E">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.培训时长</w:t>
            </w:r>
            <w:r>
              <w:rPr>
                <w:rFonts w:hint="eastAsia" w:ascii="宋体" w:hAnsi="宋体" w:cs="宋体"/>
                <w:i w:val="0"/>
                <w:iCs w:val="0"/>
                <w:color w:val="000000"/>
                <w:kern w:val="0"/>
                <w:sz w:val="21"/>
                <w:szCs w:val="21"/>
                <w:u w:val="none"/>
                <w:lang w:val="en-US" w:eastAsia="zh-CN" w:bidi="ar"/>
              </w:rPr>
              <w:t>；</w:t>
            </w:r>
          </w:p>
          <w:p w14:paraId="6350A8F2">
            <w:pPr>
              <w:keepNext w:val="0"/>
              <w:keepLines w:val="0"/>
              <w:widowControl/>
              <w:suppressLineNumbers w:val="0"/>
              <w:ind w:firstLine="420" w:firstLineChars="200"/>
              <w:jc w:val="both"/>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4.培训资料。</w:t>
            </w:r>
          </w:p>
          <w:p w14:paraId="78A90139">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（二）评分标准：</w:t>
            </w:r>
          </w:p>
          <w:p w14:paraId="5C0CDC1A">
            <w:pPr>
              <w:wordWrap w:val="0"/>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以上</w:t>
            </w:r>
            <w:r>
              <w:rPr>
                <w:rFonts w:hint="eastAsia" w:eastAsia="宋体" w:cs="Times New Roman"/>
                <w:color w:val="auto"/>
                <w:lang w:val="en-US" w:eastAsia="zh-CN"/>
              </w:rPr>
              <w:t>四</w:t>
            </w:r>
            <w:r>
              <w:rPr>
                <w:rFonts w:hint="eastAsia" w:ascii="Times New Roman" w:hAnsi="Times New Roman" w:eastAsia="宋体" w:cs="Times New Roman"/>
                <w:color w:val="auto"/>
              </w:rPr>
              <w:t>项方案全部提供的得</w:t>
            </w:r>
            <w:r>
              <w:rPr>
                <w:rFonts w:hint="eastAsia" w:cs="Times New Roman"/>
                <w:color w:val="auto"/>
                <w:lang w:val="en-US" w:eastAsia="zh-CN"/>
              </w:rPr>
              <w:t>4</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缺少一项</w:t>
            </w:r>
            <w:r>
              <w:rPr>
                <w:rFonts w:hint="eastAsia" w:ascii="Times New Roman" w:hAnsi="Times New Roman" w:eastAsia="宋体" w:cs="Times New Roman"/>
                <w:color w:val="auto"/>
              </w:rPr>
              <w:t>不得</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在</w:t>
            </w:r>
            <w:r>
              <w:rPr>
                <w:rFonts w:hint="eastAsia" w:cs="Times New Roman"/>
                <w:color w:val="auto"/>
                <w:lang w:val="en-US" w:eastAsia="zh-CN"/>
              </w:rPr>
              <w:t>此</w:t>
            </w:r>
            <w:r>
              <w:rPr>
                <w:rFonts w:hint="eastAsia" w:ascii="Times New Roman" w:hAnsi="Times New Roman" w:eastAsia="宋体" w:cs="Times New Roman"/>
                <w:color w:val="auto"/>
                <w:lang w:val="en-US" w:eastAsia="zh-CN"/>
              </w:rPr>
              <w:t>基础上</w:t>
            </w:r>
            <w:r>
              <w:rPr>
                <w:rFonts w:hint="eastAsia" w:cs="Times New Roman"/>
                <w:color w:val="auto"/>
                <w:lang w:val="en-US" w:eastAsia="zh-CN"/>
              </w:rPr>
              <w:t>，</w:t>
            </w:r>
            <w:r>
              <w:rPr>
                <w:rFonts w:hint="eastAsia" w:ascii="Times New Roman" w:hAnsi="Times New Roman" w:eastAsia="宋体" w:cs="Times New Roman"/>
                <w:color w:val="auto"/>
                <w:lang w:val="en-US" w:eastAsia="zh-CN"/>
              </w:rPr>
              <w:t>对方案进行比较和评价：</w:t>
            </w:r>
            <w:r>
              <w:rPr>
                <w:rFonts w:hint="eastAsia" w:ascii="Times New Roman" w:hAnsi="Times New Roman" w:eastAsia="宋体" w:cs="Times New Roman"/>
                <w:color w:val="auto"/>
                <w:lang w:val="en-US" w:eastAsia="zh-CN"/>
              </w:rPr>
              <w:br w:type="textWrapping"/>
            </w:r>
            <w:r>
              <w:rPr>
                <w:rFonts w:hint="eastAsia" w:cs="Times New Roman"/>
                <w:color w:val="auto"/>
                <w:lang w:val="en-US" w:eastAsia="zh-CN"/>
              </w:rPr>
              <w:t xml:space="preserve">    </w:t>
            </w:r>
            <w:r>
              <w:rPr>
                <w:rFonts w:hint="eastAsia" w:ascii="宋体" w:hAnsi="宋体" w:cs="宋体"/>
              </w:rPr>
              <w:t>方案内容完善无瑕疵的，评价为优，</w:t>
            </w:r>
            <w:r>
              <w:rPr>
                <w:rFonts w:hint="eastAsia" w:ascii="宋体" w:hAnsi="宋体" w:cs="宋体"/>
                <w:shd w:val="clear" w:color="auto" w:fill="auto"/>
              </w:rPr>
              <w:t>得</w:t>
            </w:r>
            <w:r>
              <w:rPr>
                <w:rFonts w:hint="eastAsia" w:ascii="宋体" w:hAnsi="宋体" w:cs="宋体"/>
                <w:shd w:val="clear" w:color="auto" w:fill="auto"/>
                <w:lang w:val="en-US" w:eastAsia="zh-CN"/>
              </w:rPr>
              <w:t>6</w:t>
            </w:r>
            <w:r>
              <w:rPr>
                <w:rFonts w:hint="eastAsia" w:ascii="宋体" w:hAnsi="宋体" w:cs="宋体"/>
                <w:shd w:val="clear" w:color="auto" w:fill="auto"/>
              </w:rPr>
              <w:t>分；</w:t>
            </w:r>
          </w:p>
          <w:p w14:paraId="50328057">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存在下述1项缺陷，评价为良，得</w:t>
            </w:r>
            <w:r>
              <w:rPr>
                <w:rFonts w:hint="eastAsia" w:cs="Times New Roman"/>
                <w:color w:val="auto"/>
                <w:lang w:val="en-US" w:eastAsia="zh-CN"/>
              </w:rPr>
              <w:t>4</w:t>
            </w:r>
            <w:r>
              <w:rPr>
                <w:rFonts w:hint="eastAsia" w:ascii="Times New Roman" w:hAnsi="Times New Roman" w:eastAsia="宋体" w:cs="Times New Roman"/>
                <w:color w:val="auto"/>
              </w:rPr>
              <w:t>分；</w:t>
            </w:r>
          </w:p>
          <w:p w14:paraId="2458F0CB">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项缺陷，评价为中，得</w:t>
            </w:r>
            <w:r>
              <w:rPr>
                <w:rFonts w:hint="eastAsia" w:cs="Times New Roman"/>
                <w:color w:val="auto"/>
                <w:lang w:val="en-US" w:eastAsia="zh-CN"/>
              </w:rPr>
              <w:t>3</w:t>
            </w:r>
            <w:r>
              <w:rPr>
                <w:rFonts w:hint="eastAsia" w:ascii="Times New Roman" w:hAnsi="Times New Roman" w:eastAsia="宋体" w:cs="Times New Roman"/>
                <w:color w:val="auto"/>
              </w:rPr>
              <w:t>分；</w:t>
            </w:r>
          </w:p>
          <w:p w14:paraId="354A87FE">
            <w:pPr>
              <w:wordWrap w:val="0"/>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存在下述</w:t>
            </w:r>
            <w:r>
              <w:rPr>
                <w:rFonts w:hint="eastAsia" w:cs="Times New Roman"/>
                <w:color w:val="auto"/>
                <w:lang w:val="en-US" w:eastAsia="zh-CN"/>
              </w:rPr>
              <w:t>3</w:t>
            </w:r>
            <w:r>
              <w:rPr>
                <w:rFonts w:hint="eastAsia" w:ascii="Times New Roman" w:hAnsi="Times New Roman" w:eastAsia="宋体" w:cs="Times New Roman"/>
                <w:color w:val="auto"/>
              </w:rPr>
              <w:t>项缺陷，评价为良，得</w:t>
            </w:r>
            <w:r>
              <w:rPr>
                <w:rFonts w:hint="eastAsia" w:cs="Times New Roman"/>
                <w:color w:val="auto"/>
                <w:lang w:val="en-US" w:eastAsia="zh-CN"/>
              </w:rPr>
              <w:t>1</w:t>
            </w:r>
            <w:r>
              <w:rPr>
                <w:rFonts w:hint="eastAsia" w:ascii="Times New Roman" w:hAnsi="Times New Roman" w:eastAsia="宋体" w:cs="Times New Roman"/>
                <w:color w:val="auto"/>
              </w:rPr>
              <w:t>分；</w:t>
            </w:r>
          </w:p>
          <w:p w14:paraId="5DBA7B1A">
            <w:pPr>
              <w:wordWrap w:val="0"/>
              <w:ind w:firstLine="420" w:firstLineChars="200"/>
              <w:rPr>
                <w:rFonts w:hint="eastAsia"/>
                <w:color w:val="auto"/>
                <w:highlight w:val="none"/>
              </w:rPr>
            </w:pPr>
            <w:r>
              <w:rPr>
                <w:rFonts w:hint="eastAsia" w:ascii="Times New Roman" w:hAnsi="Times New Roman" w:eastAsia="宋体" w:cs="Times New Roman"/>
                <w:color w:val="auto"/>
              </w:rPr>
              <w:t>存在下述</w:t>
            </w:r>
            <w:r>
              <w:rPr>
                <w:rFonts w:hint="eastAsia" w:eastAsia="宋体" w:cs="Times New Roman"/>
                <w:color w:val="auto"/>
                <w:lang w:val="en-US" w:eastAsia="zh-CN"/>
              </w:rPr>
              <w:t>4</w:t>
            </w:r>
            <w:r>
              <w:rPr>
                <w:rFonts w:hint="eastAsia" w:ascii="Times New Roman" w:hAnsi="Times New Roman" w:eastAsia="宋体" w:cs="Times New Roman"/>
                <w:color w:val="auto"/>
              </w:rPr>
              <w:t>项缺陷，评价为差，不得分；</w:t>
            </w:r>
          </w:p>
          <w:p w14:paraId="14850DEC">
            <w:pPr>
              <w:wordWrap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（三）缺陷是指：</w:t>
            </w:r>
          </w:p>
          <w:p w14:paraId="5E0846A5">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未</w:t>
            </w:r>
            <w:r>
              <w:rPr>
                <w:rFonts w:hint="eastAsia" w:ascii="宋体" w:hAnsi="宋体" w:eastAsia="宋体" w:cs="宋体"/>
                <w:color w:val="000000"/>
                <w:kern w:val="0"/>
                <w:sz w:val="21"/>
                <w:szCs w:val="21"/>
                <w:lang w:val="en-US" w:eastAsia="zh-CN" w:bidi="ar"/>
              </w:rPr>
              <w:t>结合</w:t>
            </w:r>
            <w:r>
              <w:rPr>
                <w:rFonts w:hint="eastAsia" w:ascii="宋体" w:hAnsi="宋体" w:cs="宋体"/>
                <w:color w:val="000000"/>
                <w:kern w:val="0"/>
                <w:sz w:val="21"/>
                <w:szCs w:val="21"/>
                <w:lang w:val="en-US" w:eastAsia="zh-CN" w:bidi="ar"/>
              </w:rPr>
              <w:t>需求制定</w:t>
            </w:r>
            <w:r>
              <w:rPr>
                <w:rFonts w:hint="eastAsia" w:ascii="宋体" w:hAnsi="宋体" w:eastAsia="宋体" w:cs="宋体"/>
                <w:color w:val="000000"/>
                <w:kern w:val="0"/>
                <w:sz w:val="21"/>
                <w:szCs w:val="21"/>
                <w:lang w:val="en-US" w:eastAsia="zh-CN" w:bidi="ar"/>
              </w:rPr>
              <w:t>培训内容，</w:t>
            </w:r>
            <w:r>
              <w:rPr>
                <w:rFonts w:hint="eastAsia" w:ascii="宋体" w:hAnsi="宋体" w:cs="宋体"/>
                <w:color w:val="000000"/>
                <w:kern w:val="0"/>
                <w:sz w:val="21"/>
                <w:szCs w:val="21"/>
                <w:lang w:val="en-US" w:eastAsia="zh-CN" w:bidi="ar"/>
              </w:rPr>
              <w:t>例如：</w:t>
            </w:r>
            <w:r>
              <w:rPr>
                <w:rFonts w:hint="eastAsia" w:ascii="宋体" w:hAnsi="宋体" w:eastAsia="宋体" w:cs="宋体"/>
                <w:color w:val="000000"/>
                <w:kern w:val="0"/>
                <w:sz w:val="21"/>
                <w:szCs w:val="21"/>
                <w:lang w:val="en-US" w:eastAsia="zh-CN" w:bidi="ar"/>
              </w:rPr>
              <w:t>现场集中授课</w:t>
            </w:r>
            <w:r>
              <w:rPr>
                <w:rFonts w:hint="default" w:ascii="宋体" w:hAnsi="宋体" w:eastAsia="宋体" w:cs="宋体"/>
                <w:color w:val="000000"/>
                <w:kern w:val="0"/>
                <w:sz w:val="21"/>
                <w:szCs w:val="21"/>
                <w:lang w:val="en-US" w:eastAsia="zh-CN" w:bidi="ar"/>
              </w:rPr>
              <w:t>‌、‌实操演练‌、‌远程视频教学‌等形式</w:t>
            </w:r>
            <w:r>
              <w:rPr>
                <w:rFonts w:hint="eastAsia" w:ascii="宋体" w:hAnsi="宋体" w:eastAsia="宋体" w:cs="宋体"/>
                <w:color w:val="000000"/>
                <w:kern w:val="0"/>
                <w:sz w:val="21"/>
                <w:szCs w:val="21"/>
                <w:lang w:val="en-US" w:eastAsia="zh-CN" w:bidi="ar"/>
              </w:rPr>
              <w:t>的综合培训方式。</w:t>
            </w:r>
          </w:p>
          <w:p w14:paraId="633B478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.培训内容未能清晰界定受训人员范围，如系统管理员、技术维护人员、普通使用人员等，并针对不同角色设计差异化课程。</w:t>
            </w:r>
          </w:p>
          <w:p w14:paraId="3FAF85E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3.未能</w:t>
            </w:r>
            <w:r>
              <w:rPr>
                <w:rFonts w:hint="eastAsia" w:ascii="宋体" w:hAnsi="宋体" w:eastAsia="宋体" w:cs="宋体"/>
                <w:color w:val="000000"/>
                <w:kern w:val="0"/>
                <w:sz w:val="21"/>
                <w:szCs w:val="21"/>
                <w:lang w:val="en-US" w:eastAsia="zh-CN" w:bidi="ar"/>
              </w:rPr>
              <w:t>提供清晰的培训时间表和总学时要求，通常会规定最低课时（如不少于30学时），并明确上机实操的时长</w:t>
            </w:r>
            <w:r>
              <w:rPr>
                <w:rFonts w:hint="eastAsia" w:ascii="宋体" w:hAnsi="宋体" w:cs="宋体"/>
                <w:color w:val="000000"/>
                <w:kern w:val="0"/>
                <w:sz w:val="21"/>
                <w:szCs w:val="21"/>
                <w:lang w:val="en-US" w:eastAsia="zh-CN" w:bidi="ar"/>
              </w:rPr>
              <w:t>。</w:t>
            </w:r>
          </w:p>
          <w:p w14:paraId="12C8593C">
            <w:pPr>
              <w:keepNext w:val="0"/>
              <w:keepLines w:val="0"/>
              <w:widowControl/>
              <w:suppressLineNumbers w:val="0"/>
              <w:ind w:firstLine="420" w:firstLineChars="200"/>
              <w:jc w:val="left"/>
              <w:rPr>
                <w:rFonts w:hint="eastAsia" w:ascii="Times New Roman" w:hAnsi="Times New Roman" w:eastAsia="宋体" w:cs="Times New Roman"/>
                <w:i w:val="0"/>
                <w:iCs w:val="0"/>
                <w:color w:val="000000"/>
                <w:kern w:val="2"/>
                <w:sz w:val="21"/>
                <w:szCs w:val="21"/>
                <w:u w:val="none"/>
                <w:lang w:val="en-US" w:eastAsia="zh-CN" w:bidi="ar-SA"/>
              </w:rPr>
            </w:pPr>
            <w:r>
              <w:rPr>
                <w:rFonts w:hint="eastAsia" w:ascii="宋体" w:hAnsi="宋体" w:cs="宋体"/>
                <w:color w:val="000000"/>
                <w:kern w:val="0"/>
                <w:sz w:val="21"/>
                <w:szCs w:val="21"/>
                <w:lang w:val="en-US" w:eastAsia="zh-CN" w:bidi="ar"/>
              </w:rPr>
              <w:t>4.未能</w:t>
            </w:r>
            <w:r>
              <w:rPr>
                <w:rFonts w:hint="eastAsia" w:ascii="宋体" w:hAnsi="宋体" w:eastAsia="宋体" w:cs="宋体"/>
                <w:color w:val="000000"/>
                <w:kern w:val="0"/>
                <w:sz w:val="21"/>
                <w:szCs w:val="21"/>
                <w:lang w:val="en-US" w:eastAsia="zh-CN" w:bidi="ar"/>
              </w:rPr>
              <w:t>提供完整、规范</w:t>
            </w:r>
            <w:r>
              <w:rPr>
                <w:rFonts w:hint="eastAsia" w:ascii="宋体" w:hAnsi="宋体" w:cs="宋体"/>
                <w:color w:val="000000"/>
                <w:kern w:val="0"/>
                <w:sz w:val="21"/>
                <w:szCs w:val="21"/>
                <w:lang w:val="en-US" w:eastAsia="zh-CN" w:bidi="ar"/>
              </w:rPr>
              <w:t>且</w:t>
            </w:r>
            <w:r>
              <w:rPr>
                <w:rFonts w:hint="eastAsia" w:ascii="宋体" w:hAnsi="宋体" w:eastAsia="宋体" w:cs="宋体"/>
                <w:color w:val="000000"/>
                <w:kern w:val="0"/>
                <w:sz w:val="21"/>
                <w:szCs w:val="21"/>
                <w:lang w:val="en-US" w:eastAsia="zh-CN" w:bidi="ar"/>
              </w:rPr>
              <w:t>贴合本项目实际的培训资料</w:t>
            </w:r>
            <w:r>
              <w:rPr>
                <w:rFonts w:hint="eastAsia" w:ascii="宋体" w:hAnsi="宋体" w:cs="宋体"/>
                <w:color w:val="000000"/>
                <w:kern w:val="0"/>
                <w:sz w:val="21"/>
                <w:szCs w:val="21"/>
                <w:lang w:val="en-US" w:eastAsia="zh-CN" w:bidi="ar"/>
              </w:rPr>
              <w:t>，例如：</w:t>
            </w:r>
            <w:r>
              <w:rPr>
                <w:rFonts w:hint="eastAsia" w:ascii="宋体" w:hAnsi="宋体" w:eastAsia="宋体" w:cs="宋体"/>
                <w:color w:val="000000"/>
                <w:kern w:val="0"/>
                <w:sz w:val="21"/>
                <w:szCs w:val="21"/>
                <w:lang w:val="en-US" w:eastAsia="zh-CN" w:bidi="ar"/>
              </w:rPr>
              <w:t>纸质和电子版的操作手册、维护指南、故障代码速查表及视频教学库等。</w:t>
            </w:r>
          </w:p>
        </w:tc>
      </w:tr>
      <w:tr w14:paraId="4918A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76" w:type="dxa"/>
            <w:vMerge w:val="continue"/>
            <w:tcBorders>
              <w:tl2br w:val="nil"/>
              <w:tr2bl w:val="nil"/>
            </w:tcBorders>
            <w:noWrap w:val="0"/>
            <w:vAlign w:val="center"/>
          </w:tcPr>
          <w:p w14:paraId="48CFEC58">
            <w:pPr>
              <w:rPr>
                <w:rFonts w:ascii="宋体" w:hAnsi="宋体" w:eastAsia="宋体" w:cs="宋体"/>
                <w:b/>
                <w:bCs/>
                <w:color w:val="auto"/>
                <w:szCs w:val="21"/>
                <w:highlight w:val="none"/>
              </w:rPr>
            </w:pPr>
          </w:p>
        </w:tc>
        <w:tc>
          <w:tcPr>
            <w:tcW w:w="453" w:type="dxa"/>
            <w:tcBorders>
              <w:tl2br w:val="nil"/>
              <w:tr2bl w:val="nil"/>
            </w:tcBorders>
            <w:noWrap w:val="0"/>
            <w:vAlign w:val="center"/>
          </w:tcPr>
          <w:p w14:paraId="4E7C1911">
            <w:pPr>
              <w:wordWrap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004" w:type="dxa"/>
            <w:tcBorders>
              <w:tl2br w:val="nil"/>
              <w:tr2bl w:val="nil"/>
            </w:tcBorders>
            <w:noWrap w:val="0"/>
            <w:vAlign w:val="center"/>
          </w:tcPr>
          <w:p w14:paraId="65707B62">
            <w:pPr>
              <w:wordWrap w:val="0"/>
              <w:jc w:val="center"/>
              <w:rPr>
                <w:rFonts w:ascii="宋体" w:hAnsi="宋体" w:eastAsia="宋体" w:cs="宋体"/>
                <w:color w:val="auto"/>
                <w:szCs w:val="21"/>
                <w:highlight w:val="none"/>
              </w:rPr>
            </w:pPr>
            <w:r>
              <w:rPr>
                <w:rFonts w:hint="eastAsia" w:ascii="宋体" w:hAnsi="宋体" w:cs="Times New Roman"/>
                <w:color w:val="auto"/>
                <w:sz w:val="21"/>
                <w:szCs w:val="21"/>
                <w:highlight w:val="none"/>
                <w:lang w:val="en-US" w:eastAsia="zh-CN"/>
              </w:rPr>
              <w:t>质保期</w:t>
            </w:r>
          </w:p>
        </w:tc>
        <w:tc>
          <w:tcPr>
            <w:tcW w:w="934" w:type="dxa"/>
            <w:tcBorders>
              <w:tl2br w:val="nil"/>
              <w:tr2bl w:val="nil"/>
            </w:tcBorders>
            <w:noWrap w:val="0"/>
            <w:vAlign w:val="center"/>
          </w:tcPr>
          <w:p w14:paraId="1E779134">
            <w:pPr>
              <w:wordWrap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005" w:type="dxa"/>
            <w:tcBorders>
              <w:tl2br w:val="nil"/>
              <w:tr2bl w:val="nil"/>
            </w:tcBorders>
            <w:noWrap w:val="0"/>
            <w:vAlign w:val="center"/>
          </w:tcPr>
          <w:p w14:paraId="008D5020">
            <w:pPr>
              <w:keepNext w:val="0"/>
              <w:keepLines w:val="0"/>
              <w:widowControl/>
              <w:suppressLineNumbers w:val="0"/>
              <w:jc w:val="both"/>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评审内容：</w:t>
            </w:r>
          </w:p>
          <w:p w14:paraId="3FE5A6C6">
            <w:pPr>
              <w:wordWrap w:val="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投标人或所投产品生产厂家的质保期至少为</w:t>
            </w:r>
            <w:r>
              <w:rPr>
                <w:rFonts w:hint="default"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w:t>
            </w:r>
          </w:p>
          <w:p w14:paraId="0641FFD8">
            <w:pPr>
              <w:wordWrap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lang w:val="en-US" w:eastAsia="zh-CN"/>
              </w:rPr>
              <w:t>承诺质保期</w:t>
            </w:r>
            <w:r>
              <w:rPr>
                <w:rFonts w:hint="eastAsia" w:ascii="宋体" w:hAnsi="宋体" w:cs="宋体"/>
                <w:color w:val="auto"/>
                <w:szCs w:val="21"/>
                <w:highlight w:val="none"/>
                <w:lang w:val="en-US" w:eastAsia="zh-CN"/>
              </w:rPr>
              <w:t>4年</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3AB7F36B">
            <w:pPr>
              <w:wordWrap w:val="0"/>
              <w:rPr>
                <w:rFonts w:hint="eastAsia"/>
                <w:lang w:val="en-US" w:eastAsia="zh-CN"/>
              </w:rPr>
            </w:pP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lang w:val="en-US" w:eastAsia="zh-CN"/>
              </w:rPr>
              <w:t>承诺质保期</w:t>
            </w:r>
            <w:r>
              <w:rPr>
                <w:rFonts w:hint="eastAsia" w:ascii="宋体" w:hAnsi="宋体" w:cs="宋体"/>
                <w:color w:val="auto"/>
                <w:szCs w:val="21"/>
                <w:highlight w:val="none"/>
                <w:lang w:val="en-US" w:eastAsia="zh-CN"/>
              </w:rPr>
              <w:t>5年</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14:paraId="708216E6">
            <w:pPr>
              <w:wordWrap w:val="0"/>
              <w:rPr>
                <w:rFonts w:ascii="宋体" w:hAnsi="宋体" w:eastAsia="宋体"/>
                <w:color w:val="auto"/>
                <w:szCs w:val="21"/>
                <w:highlight w:val="none"/>
              </w:rPr>
            </w:pPr>
            <w:r>
              <w:rPr>
                <w:rFonts w:hint="eastAsia" w:ascii="宋体" w:hAnsi="宋体" w:cs="宋体"/>
                <w:color w:val="auto"/>
                <w:szCs w:val="21"/>
                <w:highlight w:val="none"/>
                <w:lang w:val="en-US" w:eastAsia="zh-CN"/>
              </w:rPr>
              <w:t>其余</w:t>
            </w:r>
            <w:r>
              <w:rPr>
                <w:rFonts w:hint="eastAsia" w:ascii="宋体" w:hAnsi="宋体" w:eastAsia="宋体" w:cs="宋体"/>
                <w:color w:val="auto"/>
                <w:szCs w:val="21"/>
                <w:highlight w:val="none"/>
                <w:lang w:val="en-US" w:eastAsia="zh-CN"/>
              </w:rPr>
              <w:t>不得分。(需提供书面承诺，合同签订时质保期以书面承诺为准）</w:t>
            </w:r>
          </w:p>
        </w:tc>
      </w:tr>
    </w:tbl>
    <w:p w14:paraId="7C73F927">
      <w:pPr>
        <w:rPr>
          <w:color w:val="auto"/>
          <w:highlight w:val="none"/>
        </w:rPr>
      </w:pPr>
    </w:p>
    <w:p w14:paraId="2306EA07">
      <w:pPr>
        <w:pStyle w:val="4"/>
        <w:spacing w:line="360" w:lineRule="auto"/>
        <w:ind w:firstLine="3614" w:firstLineChars="1200"/>
        <w:jc w:val="both"/>
        <w:rPr>
          <w:rFonts w:hint="eastAsia" w:ascii="宋体" w:hAnsi="宋体" w:eastAsia="宋体" w:cs="宋体"/>
          <w:b/>
          <w:bCs w:val="0"/>
          <w:color w:val="auto"/>
          <w:sz w:val="30"/>
          <w:szCs w:val="30"/>
          <w:highlight w:val="none"/>
        </w:rPr>
      </w:pPr>
    </w:p>
    <w:p w14:paraId="5CBE265D">
      <w:pPr>
        <w:pStyle w:val="4"/>
        <w:spacing w:line="360" w:lineRule="auto"/>
        <w:ind w:firstLine="3614" w:firstLineChars="1200"/>
        <w:jc w:val="both"/>
        <w:rPr>
          <w:rFonts w:hint="eastAsia" w:ascii="宋体" w:hAnsi="宋体" w:eastAsia="宋体" w:cs="宋体"/>
          <w:b/>
          <w:bCs w:val="0"/>
          <w:color w:val="auto"/>
          <w:sz w:val="30"/>
          <w:szCs w:val="30"/>
          <w:highlight w:val="none"/>
        </w:rPr>
      </w:pPr>
    </w:p>
    <w:p w14:paraId="6A2A1FC0">
      <w:pPr>
        <w:rPr>
          <w:rFonts w:hint="eastAsia"/>
        </w:rPr>
      </w:pPr>
    </w:p>
    <w:p w14:paraId="1AF130A4">
      <w:pPr>
        <w:pStyle w:val="4"/>
        <w:spacing w:line="360" w:lineRule="auto"/>
        <w:ind w:firstLine="3614" w:firstLineChars="1200"/>
        <w:jc w:val="both"/>
        <w:rPr>
          <w:rFonts w:hint="eastAsia" w:ascii="宋体" w:hAnsi="宋体" w:eastAsia="宋体" w:cs="宋体"/>
          <w:b/>
          <w:bCs w:val="0"/>
          <w:color w:val="auto"/>
          <w:sz w:val="30"/>
          <w:szCs w:val="30"/>
          <w:highlight w:val="none"/>
        </w:rPr>
      </w:pPr>
    </w:p>
    <w:p w14:paraId="2984B46B">
      <w:pPr>
        <w:pStyle w:val="4"/>
        <w:spacing w:line="360" w:lineRule="auto"/>
        <w:ind w:firstLine="3915" w:firstLineChars="1300"/>
        <w:jc w:val="both"/>
        <w:rPr>
          <w:b/>
          <w:bCs w:val="0"/>
          <w:color w:val="auto"/>
          <w:sz w:val="30"/>
          <w:szCs w:val="30"/>
          <w:highlight w:val="none"/>
        </w:rPr>
      </w:pPr>
      <w:r>
        <w:rPr>
          <w:rFonts w:hint="eastAsia" w:ascii="宋体" w:hAnsi="宋体" w:eastAsia="宋体" w:cs="宋体"/>
          <w:b/>
          <w:bCs w:val="0"/>
          <w:color w:val="auto"/>
          <w:sz w:val="30"/>
          <w:szCs w:val="30"/>
          <w:highlight w:val="none"/>
        </w:rPr>
        <w:t>目   录</w:t>
      </w:r>
    </w:p>
    <w:p w14:paraId="5DB6A553">
      <w:pPr>
        <w:spacing w:line="360" w:lineRule="auto"/>
        <w:ind w:firstLine="482" w:firstLineChars="200"/>
        <w:outlineLvl w:val="0"/>
        <w:rPr>
          <w:b/>
          <w:color w:val="auto"/>
          <w:sz w:val="24"/>
          <w:highlight w:val="none"/>
        </w:rPr>
      </w:pPr>
      <w:r>
        <w:rPr>
          <w:rFonts w:hint="eastAsia"/>
          <w:b/>
          <w:color w:val="auto"/>
          <w:sz w:val="24"/>
          <w:highlight w:val="none"/>
        </w:rPr>
        <w:t>第一册  专用条款</w:t>
      </w:r>
    </w:p>
    <w:p w14:paraId="66ED9A76">
      <w:pPr>
        <w:spacing w:line="360" w:lineRule="auto"/>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关键信息</w:t>
      </w:r>
    </w:p>
    <w:p w14:paraId="5B0BC779">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第一章  招标公告</w:t>
      </w:r>
    </w:p>
    <w:p w14:paraId="6B671C26">
      <w:pPr>
        <w:spacing w:line="360" w:lineRule="auto"/>
        <w:ind w:left="630" w:leftChars="300" w:firstLine="840" w:firstLineChars="400"/>
        <w:rPr>
          <w:rFonts w:ascii="宋体" w:hAnsi="宋体"/>
          <w:color w:val="auto"/>
          <w:szCs w:val="21"/>
          <w:highlight w:val="none"/>
        </w:rPr>
      </w:pPr>
      <w:r>
        <w:rPr>
          <w:rFonts w:hint="eastAsia" w:ascii="宋体" w:hAnsi="宋体"/>
          <w:color w:val="auto"/>
          <w:szCs w:val="21"/>
          <w:highlight w:val="none"/>
        </w:rPr>
        <w:t xml:space="preserve">第二章  </w:t>
      </w:r>
      <w:bookmarkStart w:id="1" w:name="_Hlk71994379"/>
      <w:r>
        <w:rPr>
          <w:rFonts w:hint="eastAsia" w:ascii="宋体" w:hAnsi="宋体"/>
          <w:color w:val="auto"/>
          <w:szCs w:val="21"/>
          <w:highlight w:val="none"/>
        </w:rPr>
        <w:t>对通用条款的补充内容及其他关键信息</w:t>
      </w:r>
      <w:bookmarkEnd w:id="1"/>
    </w:p>
    <w:p w14:paraId="5D2977FF">
      <w:pPr>
        <w:spacing w:line="360" w:lineRule="auto"/>
        <w:ind w:left="630" w:leftChars="300" w:firstLine="840" w:firstLineChars="400"/>
        <w:rPr>
          <w:rFonts w:ascii="宋体" w:hAnsi="宋体"/>
          <w:color w:val="auto"/>
          <w:szCs w:val="21"/>
          <w:highlight w:val="none"/>
        </w:rPr>
      </w:pPr>
      <w:r>
        <w:rPr>
          <w:rFonts w:hint="eastAsia" w:ascii="宋体" w:hAnsi="宋体"/>
          <w:color w:val="auto"/>
          <w:szCs w:val="21"/>
          <w:highlight w:val="none"/>
        </w:rPr>
        <w:t xml:space="preserve">第三章 </w:t>
      </w:r>
      <w:r>
        <w:rPr>
          <w:rFonts w:ascii="宋体" w:hAnsi="宋体"/>
          <w:color w:val="auto"/>
          <w:szCs w:val="21"/>
          <w:highlight w:val="none"/>
        </w:rPr>
        <w:t xml:space="preserve"> </w:t>
      </w:r>
      <w:r>
        <w:rPr>
          <w:rFonts w:hint="eastAsia" w:ascii="宋体" w:hAnsi="宋体"/>
          <w:color w:val="auto"/>
          <w:szCs w:val="21"/>
          <w:highlight w:val="none"/>
        </w:rPr>
        <w:t>用户需求书</w:t>
      </w:r>
    </w:p>
    <w:p w14:paraId="51F740D3">
      <w:pPr>
        <w:spacing w:line="360" w:lineRule="auto"/>
        <w:ind w:left="630" w:leftChars="300" w:firstLine="840" w:firstLineChars="400"/>
        <w:rPr>
          <w:rFonts w:ascii="宋体" w:hAnsi="宋体"/>
          <w:color w:val="auto"/>
          <w:szCs w:val="21"/>
          <w:highlight w:val="none"/>
        </w:rPr>
      </w:pPr>
      <w:r>
        <w:rPr>
          <w:rFonts w:hint="eastAsia" w:ascii="宋体" w:hAnsi="宋体"/>
          <w:color w:val="auto"/>
          <w:szCs w:val="21"/>
          <w:highlight w:val="none"/>
        </w:rPr>
        <w:t xml:space="preserve">第四章 </w:t>
      </w:r>
      <w:r>
        <w:rPr>
          <w:rFonts w:ascii="宋体" w:hAnsi="宋体"/>
          <w:color w:val="auto"/>
          <w:szCs w:val="21"/>
          <w:highlight w:val="none"/>
        </w:rPr>
        <w:t xml:space="preserve"> </w:t>
      </w:r>
      <w:r>
        <w:rPr>
          <w:rFonts w:hint="eastAsia" w:ascii="宋体" w:hAnsi="宋体"/>
          <w:color w:val="auto"/>
          <w:szCs w:val="21"/>
          <w:highlight w:val="none"/>
        </w:rPr>
        <w:t>投标文件组成要求及格式</w:t>
      </w:r>
    </w:p>
    <w:p w14:paraId="229A5E43">
      <w:pPr>
        <w:spacing w:line="360" w:lineRule="auto"/>
        <w:ind w:left="630" w:leftChars="300" w:firstLine="840" w:firstLineChars="400"/>
        <w:rPr>
          <w:rFonts w:ascii="宋体" w:hAnsi="宋体"/>
          <w:color w:val="auto"/>
          <w:szCs w:val="21"/>
          <w:highlight w:val="none"/>
        </w:rPr>
      </w:pPr>
      <w:r>
        <w:rPr>
          <w:rFonts w:hint="eastAsia" w:ascii="宋体" w:hAnsi="宋体"/>
          <w:color w:val="auto"/>
          <w:szCs w:val="21"/>
          <w:highlight w:val="none"/>
        </w:rPr>
        <w:t>第五章  合同条款及格式</w:t>
      </w:r>
    </w:p>
    <w:p w14:paraId="57799F53">
      <w:pPr>
        <w:spacing w:line="360" w:lineRule="auto"/>
        <w:rPr>
          <w:b/>
          <w:color w:val="auto"/>
          <w:sz w:val="24"/>
          <w:highlight w:val="none"/>
        </w:rPr>
      </w:pPr>
    </w:p>
    <w:p w14:paraId="647D66CE">
      <w:pPr>
        <w:spacing w:line="360" w:lineRule="auto"/>
        <w:ind w:firstLine="482" w:firstLineChars="200"/>
        <w:outlineLvl w:val="0"/>
        <w:rPr>
          <w:b/>
          <w:color w:val="auto"/>
          <w:sz w:val="24"/>
          <w:highlight w:val="none"/>
        </w:rPr>
      </w:pPr>
      <w:r>
        <w:rPr>
          <w:rFonts w:hint="eastAsia"/>
          <w:b/>
          <w:color w:val="auto"/>
          <w:sz w:val="24"/>
          <w:highlight w:val="none"/>
        </w:rPr>
        <w:t>第二册  通用条款</w:t>
      </w:r>
    </w:p>
    <w:p w14:paraId="5F7BE20D">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第一章  总则</w:t>
      </w:r>
    </w:p>
    <w:p w14:paraId="22EF9563">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第二章  招标文件</w:t>
      </w:r>
    </w:p>
    <w:p w14:paraId="14806E1D">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第三章  投标文件的编制</w:t>
      </w:r>
    </w:p>
    <w:p w14:paraId="2A6BE850">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第四章  投标文件的递交</w:t>
      </w:r>
    </w:p>
    <w:p w14:paraId="19C197EA">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第五章  开标</w:t>
      </w:r>
    </w:p>
    <w:p w14:paraId="4FC7EBB9">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第六章  评审要求</w:t>
      </w:r>
    </w:p>
    <w:p w14:paraId="77C075B0">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第七章  评审程序及评审方法</w:t>
      </w:r>
    </w:p>
    <w:p w14:paraId="41C597D9">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第八章  定标及公示</w:t>
      </w:r>
    </w:p>
    <w:p w14:paraId="4F1AEA3C">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第九章  公开招标失败的后续处理</w:t>
      </w:r>
    </w:p>
    <w:p w14:paraId="0980CF0D">
      <w:pPr>
        <w:spacing w:line="360" w:lineRule="auto"/>
        <w:ind w:left="630" w:leftChars="300" w:firstLine="831" w:firstLineChars="396"/>
        <w:rPr>
          <w:rFonts w:ascii="宋体" w:hAnsi="宋体"/>
          <w:color w:val="auto"/>
          <w:szCs w:val="21"/>
          <w:highlight w:val="none"/>
        </w:rPr>
      </w:pPr>
      <w:r>
        <w:rPr>
          <w:rFonts w:hint="eastAsia" w:ascii="宋体" w:hAnsi="宋体"/>
          <w:color w:val="auto"/>
          <w:szCs w:val="21"/>
          <w:highlight w:val="none"/>
        </w:rPr>
        <w:t>第十章  合同的授予与备案</w:t>
      </w:r>
    </w:p>
    <w:p w14:paraId="18045C85">
      <w:pPr>
        <w:spacing w:line="360" w:lineRule="auto"/>
        <w:ind w:firstLine="1470" w:firstLineChars="700"/>
        <w:outlineLvl w:val="0"/>
        <w:rPr>
          <w:b/>
          <w:color w:val="auto"/>
          <w:sz w:val="24"/>
          <w:highlight w:val="none"/>
        </w:rPr>
      </w:pPr>
      <w:r>
        <w:rPr>
          <w:rFonts w:hint="eastAsia" w:ascii="宋体" w:hAnsi="宋体"/>
          <w:color w:val="auto"/>
          <w:szCs w:val="21"/>
          <w:highlight w:val="none"/>
        </w:rPr>
        <w:t>第十一章  质疑处理</w:t>
      </w:r>
    </w:p>
    <w:p w14:paraId="1B0E4FAF">
      <w:pPr>
        <w:pStyle w:val="133"/>
        <w:ind w:left="0" w:leftChars="0" w:firstLine="0" w:firstLineChars="0"/>
        <w:rPr>
          <w:rFonts w:hint="eastAsia" w:ascii="方正小标宋_GBK" w:hAnsi="方正小标宋_GBK" w:eastAsia="方正小标宋_GBK" w:cs="方正小标宋_GBK"/>
          <w:b/>
          <w:bCs w:val="0"/>
          <w:color w:val="auto"/>
          <w:sz w:val="32"/>
          <w:szCs w:val="32"/>
          <w:highlight w:val="none"/>
          <w:lang w:val="en-US" w:eastAsia="zh-CN"/>
        </w:rPr>
      </w:pPr>
      <w:bookmarkStart w:id="2" w:name="_Toc494375077"/>
      <w:bookmarkStart w:id="3" w:name="_Toc120614210"/>
      <w:bookmarkStart w:id="4" w:name="_Toc20823272"/>
      <w:bookmarkStart w:id="5" w:name="_Toc16938516"/>
      <w:bookmarkStart w:id="6" w:name="_Toc479757206"/>
      <w:bookmarkStart w:id="7" w:name="_Toc513029200"/>
      <w:bookmarkStart w:id="8" w:name="_Toc523127445"/>
    </w:p>
    <w:p w14:paraId="378C7723">
      <w:pPr>
        <w:pStyle w:val="133"/>
        <w:ind w:left="0" w:leftChars="0" w:firstLine="0" w:firstLineChars="0"/>
        <w:rPr>
          <w:rFonts w:hint="eastAsia" w:ascii="方正小标宋_GBK" w:hAnsi="方正小标宋_GBK" w:eastAsia="方正小标宋_GBK" w:cs="方正小标宋_GBK"/>
          <w:b/>
          <w:bCs w:val="0"/>
          <w:color w:val="auto"/>
          <w:sz w:val="32"/>
          <w:szCs w:val="32"/>
          <w:highlight w:val="none"/>
          <w:lang w:val="en-US" w:eastAsia="zh-CN"/>
        </w:rPr>
      </w:pPr>
    </w:p>
    <w:p w14:paraId="66882779">
      <w:pPr>
        <w:pStyle w:val="133"/>
        <w:ind w:left="0" w:leftChars="0" w:firstLine="0" w:firstLineChars="0"/>
        <w:jc w:val="center"/>
        <w:rPr>
          <w:rFonts w:hint="default" w:ascii="方正黑体_GBK" w:hAnsi="方正黑体_GBK" w:eastAsia="方正黑体_GBK" w:cs="方正黑体_GBK"/>
          <w:bCs/>
          <w:color w:val="auto"/>
          <w:sz w:val="32"/>
          <w:szCs w:val="32"/>
          <w:highlight w:val="none"/>
          <w:lang w:val="en-US" w:eastAsia="zh-CN"/>
        </w:rPr>
      </w:pPr>
      <w:r>
        <w:rPr>
          <w:rFonts w:hint="eastAsia" w:ascii="方正小标宋_GBK" w:hAnsi="方正小标宋_GBK" w:eastAsia="方正小标宋_GBK" w:cs="方正小标宋_GBK"/>
          <w:b/>
          <w:bCs w:val="0"/>
          <w:color w:val="auto"/>
          <w:sz w:val="32"/>
          <w:szCs w:val="32"/>
          <w:highlight w:val="none"/>
          <w:lang w:val="en-US" w:eastAsia="zh-CN"/>
        </w:rPr>
        <w:br w:type="page"/>
      </w:r>
      <w:r>
        <w:rPr>
          <w:rFonts w:hint="eastAsia" w:ascii="方正小标宋_GBK" w:hAnsi="方正小标宋_GBK" w:eastAsia="方正小标宋_GBK" w:cs="方正小标宋_GBK"/>
          <w:b/>
          <w:bCs w:val="0"/>
          <w:color w:val="auto"/>
          <w:sz w:val="32"/>
          <w:szCs w:val="32"/>
          <w:highlight w:val="none"/>
          <w:lang w:val="en-US" w:eastAsia="zh-CN"/>
        </w:rPr>
        <w:t>第一册专用条款</w:t>
      </w:r>
    </w:p>
    <w:p w14:paraId="20B61AAD">
      <w:pPr>
        <w:pStyle w:val="7"/>
        <w:ind w:firstLine="3200" w:firstLineChars="1000"/>
        <w:jc w:val="both"/>
        <w:rPr>
          <w:rFonts w:hint="eastAsia" w:ascii="方正黑体_GBK" w:hAnsi="方正黑体_GBK" w:eastAsia="方正黑体_GBK" w:cs="方正黑体_GBK"/>
          <w:b w:val="0"/>
          <w:bCs/>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rPr>
        <w:t>第一章  招标公告</w:t>
      </w:r>
      <w:bookmarkEnd w:id="2"/>
      <w:bookmarkEnd w:id="3"/>
    </w:p>
    <w:p w14:paraId="6205E418">
      <w:pPr>
        <w:pStyle w:val="122"/>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630" w:firstLineChars="3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巴音郭楞蒙古自治州</w:t>
      </w:r>
      <w:r>
        <w:rPr>
          <w:rFonts w:hint="eastAsia" w:ascii="宋体" w:hAnsi="宋体" w:eastAsia="宋体" w:cs="宋体"/>
          <w:color w:val="auto"/>
          <w:sz w:val="21"/>
          <w:szCs w:val="21"/>
          <w:highlight w:val="none"/>
          <w:lang w:val="en-US" w:eastAsia="zh-CN"/>
        </w:rPr>
        <w:t>政务服务和公共资源交易中心</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集采</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val="en-US" w:eastAsia="zh-CN"/>
        </w:rPr>
        <w:t>）受</w:t>
      </w:r>
      <w:r>
        <w:rPr>
          <w:rFonts w:hint="eastAsia" w:ascii="宋体" w:hAnsi="宋体" w:eastAsia="宋体" w:cs="宋体"/>
          <w:color w:val="auto"/>
          <w:sz w:val="21"/>
          <w:szCs w:val="21"/>
          <w:highlight w:val="none"/>
          <w:u w:val="single"/>
          <w:lang w:val="en-US" w:eastAsia="zh-CN"/>
        </w:rPr>
        <w:t xml:space="preserve"> 巴音郭楞职业技术学院 </w:t>
      </w:r>
      <w:r>
        <w:rPr>
          <w:rFonts w:hint="eastAsia" w:ascii="宋体" w:hAnsi="宋体" w:eastAsia="宋体" w:cs="宋体"/>
          <w:color w:val="auto"/>
          <w:sz w:val="21"/>
          <w:szCs w:val="21"/>
          <w:highlight w:val="none"/>
          <w:lang w:val="en-US" w:eastAsia="zh-CN"/>
        </w:rPr>
        <w:t>（以下简称“采购人”）的委托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u w:val="single"/>
          <w:lang w:val="en-US" w:eastAsia="zh-CN"/>
        </w:rPr>
        <w:t xml:space="preserve"> 大数据与智能应用综合教学实训基地实训节点（计算机）采购项目 </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u w:val="single"/>
          <w:lang w:val="en-US" w:eastAsia="zh-CN"/>
        </w:rPr>
        <w:t>公开招标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，欢迎</w:t>
      </w:r>
      <w:r>
        <w:rPr>
          <w:rFonts w:hint="eastAsia" w:ascii="宋体" w:hAnsi="宋体" w:eastAsia="宋体" w:cs="宋体"/>
          <w:color w:val="auto"/>
          <w:sz w:val="21"/>
          <w:szCs w:val="21"/>
          <w:highlight w:val="none"/>
          <w:lang w:val="en-US" w:eastAsia="zh-CN"/>
        </w:rPr>
        <w:t>符合相关条件的合格</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参加投标</w:t>
      </w:r>
      <w:r>
        <w:rPr>
          <w:rFonts w:hint="eastAsia" w:ascii="宋体" w:hAnsi="宋体" w:eastAsia="宋体" w:cs="宋体"/>
          <w:color w:val="auto"/>
          <w:sz w:val="21"/>
          <w:szCs w:val="21"/>
          <w:highlight w:val="none"/>
        </w:rPr>
        <w:t>。</w:t>
      </w:r>
    </w:p>
    <w:p w14:paraId="0F0F0DAE">
      <w:pPr>
        <w:pStyle w:val="127"/>
        <w:keepNext w:val="0"/>
        <w:keepLines w:val="0"/>
        <w:pageBreakBefore w:val="0"/>
        <w:widowControl w:val="0"/>
        <w:kinsoku/>
        <w:wordWrap/>
        <w:overflowPunct/>
        <w:topLinePunct w:val="0"/>
        <w:bidi w:val="0"/>
        <w:snapToGrid/>
        <w:spacing w:line="360" w:lineRule="auto"/>
        <w:jc w:val="both"/>
        <w:rPr>
          <w:rFonts w:hint="eastAsia" w:ascii="宋体" w:hAnsi="宋体" w:eastAsia="宋体" w:cs="宋体"/>
          <w:color w:val="auto"/>
          <w:sz w:val="21"/>
          <w:szCs w:val="21"/>
          <w:highlight w:val="none"/>
        </w:rPr>
      </w:pPr>
    </w:p>
    <w:p w14:paraId="5D8E1D1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righ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项目概况</w:t>
      </w:r>
    </w:p>
    <w:p w14:paraId="4902755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left="0" w:leftChars="0" w:right="0" w:firstLine="630" w:firstLine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大数据与智能应用综合教学实训基地实训节点（计算机）采购项目 </w:t>
      </w:r>
      <w:r>
        <w:rPr>
          <w:rFonts w:hint="eastAsia" w:ascii="宋体" w:hAnsi="宋体" w:eastAsia="宋体" w:cs="宋体"/>
          <w:color w:val="auto"/>
          <w:kern w:val="0"/>
          <w:sz w:val="21"/>
          <w:szCs w:val="21"/>
          <w:highlight w:val="none"/>
          <w:lang w:val="en-US" w:eastAsia="zh-CN" w:bidi="ar-SA"/>
        </w:rPr>
        <w:t xml:space="preserve">招标项目的潜在投标人应在 </w:t>
      </w:r>
      <w:r>
        <w:rPr>
          <w:rFonts w:hint="eastAsia" w:ascii="宋体" w:hAnsi="宋体" w:eastAsia="宋体" w:cs="宋体"/>
          <w:color w:val="auto"/>
          <w:kern w:val="0"/>
          <w:sz w:val="21"/>
          <w:szCs w:val="21"/>
          <w:highlight w:val="none"/>
          <w:u w:val="single"/>
          <w:lang w:val="en-US" w:eastAsia="zh-CN" w:bidi="ar-SA"/>
        </w:rPr>
        <w:t xml:space="preserve">政采云平台 </w:t>
      </w:r>
      <w:r>
        <w:rPr>
          <w:rFonts w:hint="eastAsia" w:ascii="宋体" w:hAnsi="宋体" w:eastAsia="宋体" w:cs="宋体"/>
          <w:color w:val="auto"/>
          <w:kern w:val="0"/>
          <w:sz w:val="21"/>
          <w:szCs w:val="21"/>
          <w:highlight w:val="none"/>
          <w:lang w:val="en-US" w:eastAsia="zh-CN" w:bidi="ar-SA"/>
        </w:rPr>
        <w:t>获取招标文件，并于</w:t>
      </w:r>
      <w:r>
        <w:rPr>
          <w:rFonts w:hint="eastAsia" w:ascii="宋体" w:hAnsi="宋体" w:eastAsia="宋体" w:cs="宋体"/>
          <w:color w:val="auto"/>
          <w:kern w:val="0"/>
          <w:sz w:val="21"/>
          <w:szCs w:val="21"/>
          <w:highlight w:val="none"/>
          <w:u w:val="single"/>
          <w:lang w:val="en-US" w:eastAsia="zh-CN" w:bidi="ar-SA"/>
        </w:rPr>
        <w:t>2026年</w:t>
      </w:r>
      <w:r>
        <w:rPr>
          <w:rFonts w:hint="eastAsia" w:ascii="宋体" w:hAnsi="宋体" w:cs="宋体"/>
          <w:color w:val="auto"/>
          <w:kern w:val="0"/>
          <w:sz w:val="21"/>
          <w:szCs w:val="21"/>
          <w:highlight w:val="none"/>
          <w:u w:val="single"/>
          <w:lang w:val="en-US" w:eastAsia="zh-CN" w:bidi="ar-SA"/>
        </w:rPr>
        <w:t>5</w:t>
      </w:r>
      <w:r>
        <w:rPr>
          <w:rFonts w:hint="eastAsia" w:ascii="宋体" w:hAnsi="宋体" w:eastAsia="宋体" w:cs="宋体"/>
          <w:color w:val="auto"/>
          <w:kern w:val="0"/>
          <w:sz w:val="21"/>
          <w:szCs w:val="21"/>
          <w:highlight w:val="none"/>
          <w:u w:val="single"/>
          <w:lang w:val="en-US" w:eastAsia="zh-CN" w:bidi="ar-SA"/>
        </w:rPr>
        <w:t>月</w:t>
      </w:r>
      <w:r>
        <w:rPr>
          <w:rFonts w:hint="eastAsia" w:ascii="宋体" w:hAnsi="宋体" w:cs="宋体"/>
          <w:color w:val="auto"/>
          <w:kern w:val="0"/>
          <w:sz w:val="21"/>
          <w:szCs w:val="21"/>
          <w:highlight w:val="none"/>
          <w:u w:val="single"/>
          <w:lang w:val="en-US" w:eastAsia="zh-CN" w:bidi="ar-SA"/>
        </w:rPr>
        <w:t>7</w:t>
      </w:r>
      <w:r>
        <w:rPr>
          <w:rFonts w:hint="eastAsia" w:ascii="宋体" w:hAnsi="宋体" w:eastAsia="宋体" w:cs="宋体"/>
          <w:color w:val="auto"/>
          <w:kern w:val="0"/>
          <w:sz w:val="21"/>
          <w:szCs w:val="21"/>
          <w:highlight w:val="none"/>
          <w:u w:val="single"/>
          <w:lang w:val="en-US" w:eastAsia="zh-CN" w:bidi="ar-SA"/>
        </w:rPr>
        <w:t>日 上午 10：30时（北京时间）</w:t>
      </w:r>
      <w:r>
        <w:rPr>
          <w:rFonts w:hint="eastAsia" w:ascii="宋体" w:hAnsi="宋体" w:eastAsia="宋体" w:cs="宋体"/>
          <w:color w:val="auto"/>
          <w:kern w:val="0"/>
          <w:sz w:val="21"/>
          <w:szCs w:val="21"/>
          <w:highlight w:val="none"/>
          <w:lang w:val="en-US" w:eastAsia="zh-CN" w:bidi="ar-SA"/>
        </w:rPr>
        <w:t>前递交投标文件。</w:t>
      </w:r>
    </w:p>
    <w:p w14:paraId="5C91973C">
      <w:pPr>
        <w:keepNext w:val="0"/>
        <w:keepLines w:val="0"/>
        <w:pageBreakBefore w:val="0"/>
        <w:widowControl w:val="0"/>
        <w:tabs>
          <w:tab w:val="left" w:pos="900"/>
        </w:tabs>
        <w:kinsoku/>
        <w:wordWrap/>
        <w:overflowPunct/>
        <w:topLinePunct w:val="0"/>
        <w:bidi w:val="0"/>
        <w:snapToGrid/>
        <w:spacing w:line="240" w:lineRule="auto"/>
        <w:ind w:firstLine="422" w:firstLineChars="200"/>
        <w:rPr>
          <w:rFonts w:hint="eastAsia" w:ascii="宋体" w:hAnsi="宋体" w:cs="宋体"/>
          <w:b/>
          <w:bCs/>
          <w:color w:val="auto"/>
          <w:highlight w:val="none"/>
        </w:rPr>
      </w:pPr>
      <w:bookmarkStart w:id="9" w:name="_Toc28359079"/>
      <w:bookmarkStart w:id="10" w:name="_Toc35393790"/>
      <w:bookmarkStart w:id="11" w:name="_Toc35393621"/>
      <w:bookmarkStart w:id="12" w:name="_Toc28359002"/>
      <w:bookmarkStart w:id="13" w:name="_Hlk24379207"/>
      <w:bookmarkStart w:id="14" w:name="_Toc35393792"/>
      <w:bookmarkStart w:id="15" w:name="_Toc28359081"/>
      <w:bookmarkStart w:id="16" w:name="_Toc35393623"/>
      <w:bookmarkStart w:id="17" w:name="_Toc28359004"/>
      <w:r>
        <w:rPr>
          <w:rFonts w:hint="eastAsia" w:ascii="宋体" w:hAnsi="宋体" w:cs="宋体"/>
          <w:b/>
          <w:bCs/>
          <w:color w:val="auto"/>
          <w:highlight w:val="none"/>
        </w:rPr>
        <w:t>一、项目基本情况</w:t>
      </w:r>
      <w:bookmarkEnd w:id="9"/>
      <w:bookmarkEnd w:id="10"/>
      <w:bookmarkEnd w:id="11"/>
      <w:bookmarkEnd w:id="12"/>
    </w:p>
    <w:p w14:paraId="69B37849">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1.项目编号:  BZZZZX(</w:t>
      </w:r>
      <w:r>
        <w:rPr>
          <w:rFonts w:hint="eastAsia" w:ascii="宋体" w:hAnsi="宋体" w:cs="宋体"/>
          <w:color w:val="auto"/>
          <w:highlight w:val="none"/>
          <w:lang w:val="en-US" w:eastAsia="zh-CN"/>
        </w:rPr>
        <w:t>CS</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008</w:t>
      </w:r>
      <w:r>
        <w:rPr>
          <w:rFonts w:hint="eastAsia" w:ascii="宋体" w:hAnsi="宋体" w:cs="宋体"/>
          <w:color w:val="auto"/>
          <w:highlight w:val="none"/>
        </w:rPr>
        <w:t xml:space="preserve">号     </w:t>
      </w:r>
    </w:p>
    <w:p w14:paraId="3F836C1A">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auto"/>
          <w:sz w:val="21"/>
          <w:szCs w:val="21"/>
          <w:highlight w:val="none"/>
          <w:u w:val="none"/>
          <w:lang w:val="en-US" w:eastAsia="zh-CN"/>
        </w:rPr>
      </w:pPr>
      <w:r>
        <w:rPr>
          <w:rFonts w:hint="eastAsia" w:ascii="宋体" w:hAnsi="宋体" w:cs="宋体"/>
          <w:color w:val="auto"/>
          <w:highlight w:val="none"/>
        </w:rPr>
        <w:t>2.项目名称：</w:t>
      </w:r>
      <w:bookmarkEnd w:id="13"/>
      <w:r>
        <w:rPr>
          <w:rFonts w:hint="eastAsia" w:ascii="宋体" w:hAnsi="宋体" w:cs="宋体"/>
          <w:color w:val="auto"/>
          <w:sz w:val="21"/>
          <w:szCs w:val="21"/>
          <w:highlight w:val="none"/>
          <w:u w:val="none"/>
          <w:lang w:val="en-US" w:eastAsia="zh-CN"/>
        </w:rPr>
        <w:t>大数据与智能应用综合教学实训基地实训节点（计算机）采购项目</w:t>
      </w:r>
    </w:p>
    <w:p w14:paraId="5F994DD4">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3.预算金额：</w:t>
      </w:r>
      <w:r>
        <w:rPr>
          <w:rFonts w:hint="eastAsia" w:ascii="宋体" w:hAnsi="宋体" w:cs="宋体"/>
          <w:color w:val="auto"/>
          <w:highlight w:val="none"/>
          <w:lang w:val="en-US" w:eastAsia="zh-CN"/>
        </w:rPr>
        <w:t>101</w:t>
      </w:r>
      <w:r>
        <w:rPr>
          <w:rFonts w:hint="eastAsia" w:ascii="宋体" w:hAnsi="宋体" w:cs="宋体"/>
          <w:color w:val="auto"/>
          <w:highlight w:val="none"/>
        </w:rPr>
        <w:t>万元</w:t>
      </w:r>
    </w:p>
    <w:p w14:paraId="6C191AA3">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4.最高限价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101</w:t>
      </w:r>
      <w:r>
        <w:rPr>
          <w:rFonts w:hint="eastAsia" w:ascii="宋体" w:hAnsi="宋体" w:cs="宋体"/>
          <w:color w:val="auto"/>
          <w:highlight w:val="none"/>
        </w:rPr>
        <w:t>万元</w:t>
      </w:r>
    </w:p>
    <w:p w14:paraId="64EE55B9">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5.采购需求：</w:t>
      </w:r>
      <w:r>
        <w:rPr>
          <w:rFonts w:hint="eastAsia" w:ascii="宋体" w:hAnsi="宋体" w:cs="宋体"/>
          <w:color w:val="auto"/>
          <w:highlight w:val="none"/>
          <w:lang w:val="en-US" w:eastAsia="zh-CN"/>
        </w:rPr>
        <w:t>主要采购大数据AI实训节点(计算机)、智能应用综合实训节点(计算机)等一批。</w:t>
      </w:r>
    </w:p>
    <w:p w14:paraId="6B1524E3">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rPr>
        <w:t>6.合同履行期限：</w:t>
      </w:r>
      <w:r>
        <w:rPr>
          <w:rFonts w:hint="eastAsia" w:ascii="宋体" w:hAnsi="宋体" w:cs="宋体"/>
          <w:color w:val="auto"/>
          <w:highlight w:val="none"/>
          <w:lang w:val="en-US" w:eastAsia="zh-CN"/>
        </w:rPr>
        <w:t>自合同签订之日起30日内完成供货与安装调试。</w:t>
      </w:r>
    </w:p>
    <w:p w14:paraId="12C88B68">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7.本项目不接受联合体投标</w:t>
      </w:r>
    </w:p>
    <w:p w14:paraId="1ECBCE78">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8.本项目不接受项目分包</w:t>
      </w:r>
    </w:p>
    <w:p w14:paraId="0A43B8F3">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auto"/>
          <w:highlight w:val="none"/>
        </w:rPr>
      </w:pPr>
      <w:bookmarkStart w:id="18" w:name="_Toc28359003"/>
      <w:bookmarkStart w:id="19" w:name="_Toc35393622"/>
      <w:bookmarkStart w:id="20" w:name="_Toc35393791"/>
      <w:bookmarkStart w:id="21" w:name="_Toc28359080"/>
      <w:r>
        <w:rPr>
          <w:rFonts w:hint="eastAsia" w:ascii="宋体" w:hAnsi="宋体" w:cs="宋体"/>
          <w:b/>
          <w:bCs/>
          <w:color w:val="auto"/>
          <w:highlight w:val="none"/>
        </w:rPr>
        <w:t>二、合格投标供应商资格要求：</w:t>
      </w:r>
      <w:bookmarkEnd w:id="18"/>
      <w:bookmarkEnd w:id="19"/>
      <w:bookmarkEnd w:id="20"/>
      <w:bookmarkEnd w:id="21"/>
    </w:p>
    <w:p w14:paraId="7A35498E">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14:paraId="0EFA7252">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w:t>
      </w:r>
      <w:r>
        <w:rPr>
          <w:color w:val="auto"/>
          <w:highlight w:val="none"/>
        </w:rPr>
        <w:t>具有独立承担民事责任的能力：</w:t>
      </w:r>
      <w:r>
        <w:rPr>
          <w:rFonts w:hint="eastAsia" w:ascii="宋体" w:hAnsi="宋体" w:cs="宋体"/>
          <w:color w:val="auto"/>
          <w:highlight w:val="none"/>
        </w:rPr>
        <w:t>在中华人民共和国境内注册的法人或其他组织或自然人， 投标（响应）时提交有效的营业执照（或事业法人登记证或身份证等相关证明）复印件。</w:t>
      </w:r>
      <w:r>
        <w:rPr>
          <w:rFonts w:hint="eastAsia" w:ascii="Times New Roman" w:hAnsi="Times New Roman" w:eastAsia="宋体" w:cs="Times New Roman"/>
          <w:color w:val="auto"/>
          <w:highlight w:val="none"/>
        </w:rPr>
        <w:t>分支机构</w:t>
      </w:r>
      <w:r>
        <w:rPr>
          <w:rFonts w:hint="eastAsia" w:ascii="Times New Roman" w:hAnsi="Times New Roman" w:eastAsia="宋体" w:cs="Times New Roman"/>
          <w:color w:val="auto"/>
          <w:highlight w:val="none"/>
          <w:lang w:val="en-US" w:eastAsia="zh-CN"/>
        </w:rPr>
        <w:t>投标</w:t>
      </w:r>
      <w:r>
        <w:rPr>
          <w:rFonts w:hint="eastAsia" w:ascii="Times New Roman" w:hAnsi="Times New Roman" w:eastAsia="宋体" w:cs="Times New Roman"/>
          <w:color w:val="auto"/>
          <w:highlight w:val="none"/>
        </w:rPr>
        <w:t>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仅限</w:t>
      </w:r>
      <w:r>
        <w:rPr>
          <w:rFonts w:hint="eastAsia" w:ascii="Times New Roman" w:hAnsi="Times New Roman" w:eastAsia="宋体" w:cs="Times New Roman"/>
          <w:color w:val="auto"/>
          <w:highlight w:val="none"/>
        </w:rPr>
        <w:t>银行</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保险</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石油石化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电力</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电信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邮政</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铁路等特殊</w:t>
      </w:r>
      <w:r>
        <w:rPr>
          <w:rFonts w:hint="eastAsia" w:ascii="Times New Roman" w:hAnsi="Times New Roman" w:eastAsia="宋体" w:cs="Times New Roman"/>
          <w:color w:val="auto"/>
          <w:highlight w:val="none"/>
          <w:lang w:val="en-US" w:eastAsia="zh-CN"/>
        </w:rPr>
        <w:t>行业</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，须提供总公司和分公司营业执照</w:t>
      </w:r>
      <w:r>
        <w:rPr>
          <w:rFonts w:hint="eastAsia" w:ascii="Times New Roman" w:hAnsi="Times New Roman" w:eastAsia="宋体" w:cs="Times New Roman"/>
          <w:color w:val="auto"/>
          <w:highlight w:val="none"/>
          <w:lang w:val="en-US" w:eastAsia="zh-CN"/>
        </w:rPr>
        <w:t>扫描件</w:t>
      </w:r>
      <w:r>
        <w:rPr>
          <w:rFonts w:hint="eastAsia" w:ascii="Times New Roman" w:hAnsi="Times New Roman" w:eastAsia="宋体" w:cs="Times New Roman"/>
          <w:color w:val="auto"/>
          <w:highlight w:val="none"/>
        </w:rPr>
        <w:t>，总公司出具给分支机构的授权书</w:t>
      </w:r>
    </w:p>
    <w:p w14:paraId="59C3A8F2">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（2）参与本项目投标前三年内，在经营活动中没有重大违法记录（由供应商在《政府采购投标及履约承诺函》中作出声明）；</w:t>
      </w:r>
    </w:p>
    <w:p w14:paraId="0A89CC8C">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（3）参与本项目政府采购活动时不存在被有关部门禁止参与政府采购活动且在有效期内的情况（由供应商在《政府采购投标及履约承诺函》中作出声明）；</w:t>
      </w:r>
    </w:p>
    <w:p w14:paraId="71E68FB1">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（4）</w:t>
      </w:r>
      <w:r>
        <w:rPr>
          <w:rFonts w:hint="eastAsia" w:ascii="宋体" w:hAnsi="宋体" w:cs="宋体"/>
          <w:color w:val="auto"/>
          <w:highlight w:val="none"/>
        </w:rPr>
        <w:t>未被“信用中国”网站（http://www.creditchina.gov.cn）、中国政府采购网(http://www.ccgp.gov.cn)、国家企业信用信息公示系统(</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 \t "_blank" </w:instrText>
      </w:r>
      <w:r>
        <w:rPr>
          <w:rFonts w:hint="eastAsia" w:ascii="宋体" w:hAnsi="宋体" w:cs="宋体"/>
          <w:color w:val="auto"/>
          <w:highlight w:val="none"/>
        </w:rPr>
        <w:fldChar w:fldCharType="separate"/>
      </w:r>
      <w:r>
        <w:rPr>
          <w:rFonts w:hint="eastAsia" w:ascii="宋体" w:hAnsi="宋体" w:cs="宋体"/>
          <w:color w:val="auto"/>
          <w:highlight w:val="none"/>
        </w:rPr>
        <w:t>http://www</w:t>
      </w:r>
      <w:r>
        <w:rPr>
          <w:rFonts w:hint="eastAsia" w:ascii="宋体" w:hAnsi="宋体" w:cs="宋体"/>
          <w:color w:val="auto"/>
          <w:highlight w:val="none"/>
        </w:rPr>
        <w:fldChar w:fldCharType="end"/>
      </w:r>
      <w:r>
        <w:rPr>
          <w:rFonts w:hint="eastAsia" w:ascii="宋体" w:hAnsi="宋体" w:cs="宋体"/>
          <w:color w:val="auto"/>
          <w:highlight w:val="none"/>
        </w:rPr>
        <w:t>.gsxt.gov.cn)列</w:t>
      </w:r>
      <w:r>
        <w:rPr>
          <w:rFonts w:hint="eastAsia" w:ascii="宋体" w:hAnsi="宋体" w:cs="宋体"/>
          <w:color w:val="auto"/>
          <w:kern w:val="0"/>
          <w:highlight w:val="none"/>
        </w:rPr>
        <w:t>入失信被执行人、重大税收违法案件当事人名单、政府采购严重违法失信行为记录名单（由供应商在《政府采购投标及履约承诺函》中作出声明）；</w:t>
      </w:r>
    </w:p>
    <w:p w14:paraId="20684A5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1A8E35D6">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2.落实政府采购政策需满足的资格要求：</w:t>
      </w:r>
      <w:r>
        <w:rPr>
          <w:rFonts w:hint="eastAsia" w:ascii="宋体" w:hAnsi="宋体" w:cs="宋体"/>
          <w:color w:val="auto"/>
          <w:highlight w:val="none"/>
          <w:lang w:val="en-US" w:eastAsia="zh-CN"/>
        </w:rPr>
        <w:t>不项目不专门面向</w:t>
      </w:r>
      <w:r>
        <w:rPr>
          <w:rFonts w:hint="eastAsia" w:ascii="宋体" w:hAnsi="宋体" w:cs="宋体"/>
          <w:color w:val="auto"/>
          <w:highlight w:val="none"/>
        </w:rPr>
        <w:t>中小企业</w:t>
      </w:r>
      <w:r>
        <w:rPr>
          <w:rFonts w:hint="eastAsia" w:ascii="宋体" w:hAnsi="宋体" w:cs="宋体"/>
          <w:color w:val="auto"/>
          <w:highlight w:val="none"/>
          <w:lang w:eastAsia="zh-CN"/>
        </w:rPr>
        <w:t>。</w:t>
      </w:r>
    </w:p>
    <w:p w14:paraId="517AB45E">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本项目采购标的对应的中小企业划分标准所属行业为“</w:t>
      </w:r>
      <w:r>
        <w:rPr>
          <w:rFonts w:hint="eastAsia" w:ascii="宋体" w:hAnsi="宋体" w:cs="宋体"/>
          <w:color w:val="auto"/>
          <w:highlight w:val="none"/>
          <w:lang w:val="en-US" w:eastAsia="zh-CN"/>
        </w:rPr>
        <w:t>工业</w:t>
      </w:r>
      <w:r>
        <w:rPr>
          <w:rFonts w:hint="eastAsia" w:ascii="宋体" w:hAnsi="宋体" w:cs="宋体"/>
          <w:color w:val="auto"/>
          <w:highlight w:val="none"/>
        </w:rPr>
        <w:t>”。行业划分标准按《国民经济行业分类》执行。中小企业划分标准按《中小企业划型标准规定》（工信部联企业[2011]300号）文件规定执行。</w:t>
      </w:r>
    </w:p>
    <w:p w14:paraId="1941DCA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p>
    <w:p w14:paraId="2E6A2BD8">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三、获取</w:t>
      </w:r>
      <w:bookmarkEnd w:id="14"/>
      <w:bookmarkEnd w:id="15"/>
      <w:bookmarkEnd w:id="16"/>
      <w:bookmarkEnd w:id="17"/>
      <w:r>
        <w:rPr>
          <w:rFonts w:hint="eastAsia" w:ascii="宋体" w:hAnsi="宋体" w:eastAsia="宋体" w:cs="宋体"/>
          <w:b/>
          <w:bCs/>
          <w:color w:val="auto"/>
          <w:sz w:val="21"/>
          <w:szCs w:val="21"/>
          <w:highlight w:val="none"/>
          <w:lang w:val="en-US" w:eastAsia="zh-CN"/>
        </w:rPr>
        <w:t>招标文件时间及方式</w:t>
      </w:r>
    </w:p>
    <w:p w14:paraId="7DABF7BF">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FF0000"/>
          <w:highlight w:val="none"/>
        </w:rPr>
        <w:t>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eastAsia" w:ascii="宋体" w:hAnsi="宋体" w:cs="宋体"/>
          <w:color w:val="FF0000"/>
          <w:highlight w:val="none"/>
          <w:lang w:val="en-US" w:eastAsia="zh-CN"/>
        </w:rPr>
        <w:t>4</w:t>
      </w:r>
      <w:r>
        <w:rPr>
          <w:rFonts w:hint="eastAsia" w:ascii="宋体" w:hAnsi="宋体" w:cs="宋体"/>
          <w:color w:val="FF0000"/>
          <w:highlight w:val="none"/>
        </w:rPr>
        <w:t>月</w:t>
      </w:r>
      <w:r>
        <w:rPr>
          <w:rFonts w:hint="eastAsia" w:ascii="宋体" w:hAnsi="宋体" w:cs="宋体"/>
          <w:color w:val="FF0000"/>
          <w:highlight w:val="none"/>
          <w:lang w:val="en-US" w:eastAsia="zh-CN"/>
        </w:rPr>
        <w:t>13</w:t>
      </w:r>
      <w:r>
        <w:rPr>
          <w:rFonts w:hint="eastAsia" w:ascii="宋体" w:hAnsi="宋体" w:cs="宋体"/>
          <w:color w:val="FF0000"/>
          <w:highlight w:val="none"/>
        </w:rPr>
        <w:t>日至202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eastAsia" w:ascii="宋体" w:hAnsi="宋体" w:cs="宋体"/>
          <w:color w:val="FF0000"/>
          <w:highlight w:val="none"/>
          <w:lang w:val="en-US" w:eastAsia="zh-CN"/>
        </w:rPr>
        <w:t>4</w:t>
      </w:r>
      <w:r>
        <w:rPr>
          <w:rFonts w:hint="eastAsia" w:ascii="宋体" w:hAnsi="宋体" w:cs="宋体"/>
          <w:color w:val="FF0000"/>
          <w:highlight w:val="none"/>
        </w:rPr>
        <w:t>月</w:t>
      </w:r>
      <w:r>
        <w:rPr>
          <w:rFonts w:hint="eastAsia" w:ascii="宋体" w:hAnsi="宋体" w:cs="宋体"/>
          <w:color w:val="FF0000"/>
          <w:highlight w:val="none"/>
          <w:lang w:val="en-US" w:eastAsia="zh-CN"/>
        </w:rPr>
        <w:t>20</w:t>
      </w:r>
      <w:r>
        <w:rPr>
          <w:rFonts w:hint="eastAsia" w:ascii="宋体" w:hAnsi="宋体" w:cs="宋体"/>
          <w:color w:val="FF0000"/>
          <w:highlight w:val="none"/>
        </w:rPr>
        <w:t>日</w:t>
      </w:r>
      <w:r>
        <w:rPr>
          <w:rFonts w:hint="eastAsia" w:ascii="宋体" w:hAnsi="宋体" w:cs="宋体"/>
          <w:color w:val="auto"/>
          <w:highlight w:val="none"/>
        </w:rPr>
        <w:t>，每天上午10:00至14:00，下午</w:t>
      </w:r>
      <w:r>
        <w:rPr>
          <w:rFonts w:hint="eastAsia" w:ascii="宋体" w:hAnsi="宋体" w:cs="宋体"/>
          <w:color w:val="auto"/>
          <w:highlight w:val="none"/>
          <w:lang w:val="en-US" w:eastAsia="zh-CN"/>
        </w:rPr>
        <w:t>14：00</w:t>
      </w:r>
      <w:r>
        <w:rPr>
          <w:rFonts w:hint="eastAsia" w:ascii="宋体" w:hAnsi="宋体" w:cs="宋体"/>
          <w:color w:val="auto"/>
          <w:highlight w:val="none"/>
        </w:rPr>
        <w:t>至</w:t>
      </w:r>
      <w:r>
        <w:rPr>
          <w:rFonts w:hint="eastAsia" w:ascii="宋体" w:hAnsi="宋体" w:cs="宋体"/>
          <w:color w:val="auto"/>
          <w:highlight w:val="none"/>
          <w:lang w:val="en-US" w:eastAsia="zh-CN"/>
        </w:rPr>
        <w:t>23：59</w:t>
      </w:r>
      <w:r>
        <w:rPr>
          <w:rFonts w:hint="eastAsia" w:ascii="宋体" w:hAnsi="宋体" w:cs="宋体"/>
          <w:color w:val="auto"/>
          <w:highlight w:val="none"/>
        </w:rPr>
        <w:t>（提供期限自本公告发布之日起不得少于5个工作日，北京时间，法定节假日除外）</w:t>
      </w:r>
    </w:p>
    <w:p w14:paraId="3DF5AF02">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地点：新疆政采云平台</w:t>
      </w:r>
    </w:p>
    <w:p w14:paraId="75A035D5">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方式：供应商登陆政采云平台http://www.zcygov.cn/，在线申请获取采购文件（登录政府采购云平台 → 项目采购 → 获取采购文件 → 申请，审核通过后可下载</w:t>
      </w:r>
      <w:r>
        <w:rPr>
          <w:rFonts w:hint="eastAsia" w:ascii="宋体" w:hAnsi="宋体" w:cs="宋体"/>
          <w:color w:val="auto"/>
          <w:highlight w:val="none"/>
          <w:lang w:val="en-US" w:eastAsia="zh-CN"/>
        </w:rPr>
        <w:t>招标</w:t>
      </w:r>
      <w:r>
        <w:rPr>
          <w:rFonts w:hint="eastAsia" w:ascii="宋体" w:hAnsi="宋体" w:cs="宋体"/>
          <w:color w:val="auto"/>
          <w:highlight w:val="none"/>
        </w:rPr>
        <w:t>文件，如有操作性问题，可与政采云在线客服进行咨询，咨询电话：95763）</w:t>
      </w:r>
    </w:p>
    <w:p w14:paraId="4DBC0B00">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售价：0元</w:t>
      </w:r>
    </w:p>
    <w:p w14:paraId="5C53B4F4">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auto"/>
          <w:highlight w:val="none"/>
        </w:rPr>
      </w:pPr>
      <w:bookmarkStart w:id="22" w:name="_Toc28359005"/>
      <w:bookmarkStart w:id="23" w:name="_Toc28359082"/>
      <w:bookmarkStart w:id="24" w:name="_Toc35393624"/>
      <w:bookmarkStart w:id="25" w:name="_Toc35393793"/>
      <w:r>
        <w:rPr>
          <w:rFonts w:hint="eastAsia" w:ascii="宋体" w:hAnsi="宋体" w:cs="宋体"/>
          <w:b/>
          <w:bCs/>
          <w:color w:val="auto"/>
          <w:highlight w:val="none"/>
        </w:rPr>
        <w:t>四、提交投标文件</w:t>
      </w:r>
      <w:bookmarkEnd w:id="22"/>
      <w:bookmarkEnd w:id="23"/>
      <w:r>
        <w:rPr>
          <w:rFonts w:hint="eastAsia" w:ascii="宋体" w:hAnsi="宋体" w:cs="宋体"/>
          <w:b/>
          <w:bCs/>
          <w:color w:val="auto"/>
          <w:highlight w:val="none"/>
        </w:rPr>
        <w:t>截止时间、开标时间和地点</w:t>
      </w:r>
      <w:bookmarkEnd w:id="24"/>
      <w:bookmarkEnd w:id="25"/>
    </w:p>
    <w:p w14:paraId="7193FD5A">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提交投标文件截止时间：</w:t>
      </w:r>
      <w:r>
        <w:rPr>
          <w:rFonts w:hint="eastAsia" w:ascii="宋体" w:hAnsi="宋体" w:cs="宋体"/>
          <w:color w:val="FF0000"/>
          <w:highlight w:val="none"/>
        </w:rPr>
        <w:t>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eastAsia" w:ascii="宋体" w:hAnsi="宋体" w:cs="宋体"/>
          <w:color w:val="FF0000"/>
          <w:highlight w:val="none"/>
          <w:lang w:val="en-US" w:eastAsia="zh-CN"/>
        </w:rPr>
        <w:t>5</w:t>
      </w:r>
      <w:r>
        <w:rPr>
          <w:rFonts w:hint="eastAsia" w:ascii="宋体" w:hAnsi="宋体" w:cs="宋体"/>
          <w:color w:val="FF0000"/>
          <w:highlight w:val="none"/>
        </w:rPr>
        <w:t>月</w:t>
      </w:r>
      <w:r>
        <w:rPr>
          <w:rFonts w:hint="eastAsia" w:ascii="宋体" w:hAnsi="宋体" w:cs="宋体"/>
          <w:color w:val="FF0000"/>
          <w:highlight w:val="none"/>
          <w:lang w:val="en-US" w:eastAsia="zh-CN"/>
        </w:rPr>
        <w:t>7</w:t>
      </w:r>
      <w:r>
        <w:rPr>
          <w:rFonts w:hint="eastAsia" w:ascii="宋体" w:hAnsi="宋体" w:cs="宋体"/>
          <w:color w:val="FF0000"/>
          <w:highlight w:val="none"/>
        </w:rPr>
        <w:t>日 10:30（北京时间）</w:t>
      </w:r>
      <w:r>
        <w:rPr>
          <w:rFonts w:hint="eastAsia" w:ascii="宋体" w:hAnsi="宋体" w:cs="宋体"/>
          <w:color w:val="auto"/>
          <w:highlight w:val="none"/>
        </w:rPr>
        <w:t>（自</w:t>
      </w:r>
      <w:r>
        <w:rPr>
          <w:rFonts w:hint="eastAsia" w:ascii="宋体" w:hAnsi="宋体" w:cs="宋体"/>
          <w:color w:val="auto"/>
          <w:highlight w:val="none"/>
          <w:lang w:val="en-US" w:eastAsia="zh-CN"/>
        </w:rPr>
        <w:t>招标</w:t>
      </w:r>
      <w:r>
        <w:rPr>
          <w:rFonts w:hint="eastAsia" w:ascii="宋体" w:hAnsi="宋体" w:cs="宋体"/>
          <w:color w:val="auto"/>
          <w:highlight w:val="none"/>
        </w:rPr>
        <w:t>文件开始发出之日起至投标人提交投标文件截止之日止，不得少于</w:t>
      </w:r>
      <w:r>
        <w:rPr>
          <w:rFonts w:hint="eastAsia" w:ascii="宋体" w:hAnsi="宋体" w:cs="宋体"/>
          <w:color w:val="auto"/>
          <w:highlight w:val="none"/>
          <w:lang w:val="en-US" w:eastAsia="zh-CN"/>
        </w:rPr>
        <w:t>2</w:t>
      </w:r>
      <w:r>
        <w:rPr>
          <w:rFonts w:hint="eastAsia" w:ascii="宋体" w:hAnsi="宋体" w:cs="宋体"/>
          <w:color w:val="auto"/>
          <w:highlight w:val="none"/>
        </w:rPr>
        <w:t>0日）</w:t>
      </w:r>
    </w:p>
    <w:p w14:paraId="7DB29ED8">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投标地点：政采云平台客户端投标</w:t>
      </w:r>
    </w:p>
    <w:p w14:paraId="06F82CF4">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FF0000"/>
          <w:highlight w:val="none"/>
        </w:rPr>
      </w:pPr>
      <w:r>
        <w:rPr>
          <w:rFonts w:hint="eastAsia" w:ascii="宋体" w:hAnsi="宋体" w:cs="宋体"/>
          <w:color w:val="auto"/>
          <w:highlight w:val="none"/>
        </w:rPr>
        <w:t>开标时间：</w:t>
      </w:r>
      <w:r>
        <w:rPr>
          <w:rFonts w:hint="eastAsia" w:ascii="宋体" w:hAnsi="宋体" w:cs="宋体"/>
          <w:color w:val="FF0000"/>
          <w:highlight w:val="none"/>
        </w:rPr>
        <w:t>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eastAsia" w:ascii="宋体" w:hAnsi="宋体" w:cs="宋体"/>
          <w:color w:val="FF0000"/>
          <w:highlight w:val="none"/>
          <w:lang w:val="en-US" w:eastAsia="zh-CN"/>
        </w:rPr>
        <w:t>5</w:t>
      </w:r>
      <w:r>
        <w:rPr>
          <w:rFonts w:hint="eastAsia" w:ascii="宋体" w:hAnsi="宋体" w:cs="宋体"/>
          <w:color w:val="FF0000"/>
          <w:highlight w:val="none"/>
        </w:rPr>
        <w:t>月</w:t>
      </w:r>
      <w:r>
        <w:rPr>
          <w:rFonts w:hint="eastAsia" w:ascii="宋体" w:hAnsi="宋体" w:cs="宋体"/>
          <w:color w:val="FF0000"/>
          <w:highlight w:val="none"/>
          <w:lang w:val="en-US" w:eastAsia="zh-CN"/>
        </w:rPr>
        <w:t>7</w:t>
      </w:r>
      <w:r>
        <w:rPr>
          <w:rFonts w:hint="eastAsia" w:ascii="宋体" w:hAnsi="宋体" w:cs="宋体"/>
          <w:color w:val="FF0000"/>
          <w:highlight w:val="none"/>
        </w:rPr>
        <w:t>日 10:30（北京时间）</w:t>
      </w:r>
    </w:p>
    <w:p w14:paraId="7A1DF1A9">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开标地点：政采云电子开标大厅</w:t>
      </w:r>
    </w:p>
    <w:p w14:paraId="146BDB5E">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auto"/>
          <w:highlight w:val="none"/>
        </w:rPr>
      </w:pPr>
      <w:bookmarkStart w:id="26" w:name="_Toc35393794"/>
      <w:bookmarkStart w:id="27" w:name="_Toc35393625"/>
      <w:bookmarkStart w:id="28" w:name="_Toc28359084"/>
      <w:bookmarkStart w:id="29" w:name="_Toc28359007"/>
      <w:r>
        <w:rPr>
          <w:rFonts w:hint="eastAsia" w:ascii="宋体" w:hAnsi="宋体" w:cs="宋体"/>
          <w:b/>
          <w:bCs/>
          <w:color w:val="auto"/>
          <w:highlight w:val="none"/>
        </w:rPr>
        <w:t>五、公告期限</w:t>
      </w:r>
      <w:bookmarkEnd w:id="26"/>
      <w:bookmarkEnd w:id="27"/>
      <w:bookmarkEnd w:id="28"/>
      <w:bookmarkEnd w:id="29"/>
    </w:p>
    <w:p w14:paraId="3300F007">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u w:val="single"/>
        </w:rPr>
        <w:t xml:space="preserve"> 5个</w:t>
      </w:r>
      <w:r>
        <w:rPr>
          <w:rFonts w:hint="eastAsia" w:ascii="宋体" w:hAnsi="宋体" w:cs="宋体"/>
          <w:color w:val="auto"/>
          <w:highlight w:val="none"/>
        </w:rPr>
        <w:t>工作日</w:t>
      </w:r>
      <w:bookmarkStart w:id="30" w:name="_Toc35393626"/>
      <w:bookmarkStart w:id="31" w:name="_Toc35393795"/>
    </w:p>
    <w:p w14:paraId="2A89046B">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auto"/>
          <w:highlight w:val="none"/>
        </w:rPr>
      </w:pPr>
      <w:r>
        <w:rPr>
          <w:rFonts w:hint="eastAsia" w:ascii="宋体" w:hAnsi="宋体" w:cs="宋体"/>
          <w:b/>
          <w:bCs/>
          <w:color w:val="auto"/>
          <w:highlight w:val="none"/>
        </w:rPr>
        <w:t>六、其他补充事宜</w:t>
      </w:r>
      <w:bookmarkEnd w:id="30"/>
      <w:bookmarkEnd w:id="31"/>
    </w:p>
    <w:p w14:paraId="4B5AFE2E">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bookmarkStart w:id="32" w:name="_Toc28359008"/>
      <w:bookmarkStart w:id="33" w:name="_Toc28359085"/>
      <w:bookmarkStart w:id="34" w:name="_Toc35393796"/>
      <w:bookmarkStart w:id="35" w:name="_Toc35393627"/>
      <w:r>
        <w:rPr>
          <w:rFonts w:hint="eastAsia" w:ascii="宋体" w:hAnsi="宋体" w:cs="宋体"/>
          <w:color w:val="auto"/>
          <w:highlight w:val="none"/>
        </w:rPr>
        <w:t>1.本项目实行网上投标，采用投标文件电子标书；</w:t>
      </w:r>
    </w:p>
    <w:p w14:paraId="61BA92D2">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各供应商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cs="宋体"/>
          <w:color w:val="auto"/>
          <w:highlight w:val="none"/>
        </w:rPr>
        <w:br w:type="textWrapping"/>
      </w:r>
      <w:r>
        <w:rPr>
          <w:rFonts w:hint="eastAsia" w:ascii="宋体" w:hAnsi="宋体" w:cs="宋体"/>
          <w:color w:val="auto"/>
          <w:highlight w:val="none"/>
        </w:rPr>
        <w:t xml:space="preserve">   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cs="宋体"/>
          <w:color w:val="auto"/>
          <w:highlight w:val="none"/>
        </w:rPr>
        <w:br w:type="textWrapping"/>
      </w:r>
      <w:r>
        <w:rPr>
          <w:rFonts w:hint="eastAsia" w:ascii="宋体" w:hAnsi="宋体" w:cs="宋体"/>
          <w:color w:val="auto"/>
          <w:highlight w:val="none"/>
        </w:rPr>
        <w:t xml:space="preserve">   4.供应商应当在投标截止时间前,将生成的“电子加密投标文件”上传递交至“政府采购云平台”,投标截止时间以后上传递交的投标文件将被“政府采购云平台”拒收；</w:t>
      </w:r>
      <w:r>
        <w:rPr>
          <w:rFonts w:hint="eastAsia" w:ascii="宋体" w:hAnsi="宋体" w:cs="宋体"/>
          <w:color w:val="auto"/>
          <w:highlight w:val="none"/>
        </w:rPr>
        <w:br w:type="textWrapping"/>
      </w:r>
      <w:r>
        <w:rPr>
          <w:rFonts w:hint="eastAsia" w:ascii="宋体" w:hAnsi="宋体" w:cs="宋体"/>
          <w:color w:val="auto"/>
          <w:highlight w:val="none"/>
        </w:rPr>
        <w:t xml:space="preserve">   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r>
        <w:rPr>
          <w:rFonts w:hint="eastAsia" w:ascii="宋体" w:hAnsi="宋体" w:cs="宋体"/>
          <w:color w:val="auto"/>
          <w:highlight w:val="none"/>
        </w:rPr>
        <w:br w:type="textWrapping"/>
      </w:r>
      <w:r>
        <w:rPr>
          <w:rFonts w:hint="eastAsia" w:ascii="宋体" w:hAnsi="宋体" w:cs="宋体"/>
          <w:color w:val="auto"/>
          <w:highlight w:val="none"/>
        </w:rPr>
        <w:t xml:space="preserve">    6、供应商登录政采云平台，在开标时间后30分钟内用“项目采购-开标评标”功能进行解密投标文件。若供应商在规定时间内未按时解密的，视为无效投标，解密与加密投标文件须使用同一个 CA。   </w:t>
      </w:r>
    </w:p>
    <w:p w14:paraId="501CE6DD">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7.有关本次</w:t>
      </w:r>
      <w:r>
        <w:rPr>
          <w:rFonts w:hint="eastAsia" w:ascii="宋体" w:hAnsi="宋体" w:cs="宋体"/>
          <w:color w:val="auto"/>
          <w:highlight w:val="none"/>
          <w:lang w:val="en-US" w:eastAsia="zh-CN"/>
        </w:rPr>
        <w:t>招标</w:t>
      </w:r>
      <w:r>
        <w:rPr>
          <w:rFonts w:hint="eastAsia" w:ascii="宋体" w:hAnsi="宋体" w:cs="宋体"/>
          <w:color w:val="auto"/>
          <w:highlight w:val="none"/>
        </w:rPr>
        <w:t>的事项若存在变动或修改，敬请及时关注新疆政府采购网发布的澄清变更公告，网址为“http://www.ccgp-xinjiang.gov.cn”。</w:t>
      </w:r>
    </w:p>
    <w:p w14:paraId="46004156">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七、对本次</w:t>
      </w:r>
      <w:r>
        <w:rPr>
          <w:rFonts w:hint="eastAsia" w:ascii="宋体" w:hAnsi="宋体" w:cs="宋体"/>
          <w:color w:val="auto"/>
          <w:highlight w:val="none"/>
          <w:lang w:val="en-US" w:eastAsia="zh-CN"/>
        </w:rPr>
        <w:t>招标</w:t>
      </w:r>
      <w:r>
        <w:rPr>
          <w:rFonts w:hint="eastAsia" w:ascii="宋体" w:hAnsi="宋体" w:cs="宋体"/>
          <w:color w:val="auto"/>
          <w:highlight w:val="none"/>
        </w:rPr>
        <w:t>提出询问，请按以下方式联系。</w:t>
      </w:r>
      <w:bookmarkEnd w:id="32"/>
      <w:bookmarkEnd w:id="33"/>
      <w:bookmarkEnd w:id="34"/>
      <w:bookmarkEnd w:id="35"/>
    </w:p>
    <w:p w14:paraId="67404A98">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1.采购人信息</w:t>
      </w:r>
    </w:p>
    <w:p w14:paraId="75591885">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rPr>
        <w:t>名 称：</w:t>
      </w:r>
      <w:r>
        <w:rPr>
          <w:rFonts w:hint="eastAsia" w:ascii="宋体" w:hAnsi="宋体" w:cs="宋体"/>
          <w:color w:val="auto"/>
          <w:highlight w:val="none"/>
          <w:lang w:val="en-US" w:eastAsia="zh-CN"/>
        </w:rPr>
        <w:t>巴音郭楞职业技术学院</w:t>
      </w:r>
    </w:p>
    <w:p w14:paraId="16576AFA">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highlight w:val="none"/>
          <w:lang w:val="en-US" w:eastAsia="zh-CN"/>
        </w:rPr>
        <w:t>新疆库尔勒经济技术开发区乐悟路36号</w:t>
      </w:r>
    </w:p>
    <w:p w14:paraId="5D300A00">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项目联系人：李俊萌</w:t>
      </w:r>
    </w:p>
    <w:p w14:paraId="26AD2731">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联系方式：</w:t>
      </w:r>
      <w:bookmarkStart w:id="36" w:name="_Toc28359009"/>
      <w:bookmarkStart w:id="37" w:name="_Toc28359086"/>
      <w:r>
        <w:rPr>
          <w:rFonts w:hint="eastAsia" w:ascii="宋体" w:hAnsi="宋体" w:cs="宋体"/>
          <w:color w:val="auto"/>
          <w:highlight w:val="none"/>
          <w:lang w:val="en-US" w:eastAsia="zh-CN"/>
        </w:rPr>
        <w:t>17709967806</w:t>
      </w:r>
    </w:p>
    <w:p w14:paraId="0D82B900">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2.采购代理机构信息</w:t>
      </w:r>
      <w:bookmarkEnd w:id="36"/>
      <w:bookmarkEnd w:id="37"/>
    </w:p>
    <w:p w14:paraId="77E86096">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名 称：巴州政务服务和公共资源交易中心　　　　　　　　　　　　</w:t>
      </w:r>
    </w:p>
    <w:p w14:paraId="21DE0A2E">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地　址：库尔勒市索克巴格路州住建大厦14楼　　　　　　　　　　　　</w:t>
      </w:r>
      <w:bookmarkStart w:id="38" w:name="_Toc28359087"/>
      <w:bookmarkStart w:id="39" w:name="_Toc28359010"/>
      <w:r>
        <w:rPr>
          <w:rFonts w:hint="eastAsia" w:ascii="宋体" w:hAnsi="宋体" w:cs="宋体"/>
          <w:color w:val="auto"/>
          <w:highlight w:val="none"/>
        </w:rPr>
        <w:t>　　　　　　　　</w:t>
      </w:r>
    </w:p>
    <w:p w14:paraId="582380F0">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3.项目联系方式</w:t>
      </w:r>
      <w:bookmarkEnd w:id="38"/>
      <w:bookmarkEnd w:id="39"/>
    </w:p>
    <w:p w14:paraId="18A79C44">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项目负责人：</w:t>
      </w:r>
      <w:r>
        <w:rPr>
          <w:rFonts w:hint="eastAsia" w:ascii="宋体" w:hAnsi="宋体" w:cs="宋体"/>
          <w:color w:val="auto"/>
          <w:highlight w:val="none"/>
          <w:lang w:val="en-US" w:eastAsia="zh-CN"/>
        </w:rPr>
        <w:t>傅容</w:t>
      </w:r>
      <w:r>
        <w:rPr>
          <w:rFonts w:hint="eastAsia" w:ascii="宋体" w:hAnsi="宋体" w:cs="宋体"/>
          <w:color w:val="auto"/>
          <w:highlight w:val="none"/>
        </w:rPr>
        <w:t xml:space="preserve">  联系电话：</w:t>
      </w:r>
      <w:r>
        <w:rPr>
          <w:rFonts w:hint="eastAsia" w:ascii="宋体" w:hAnsi="宋体" w:cs="宋体"/>
          <w:color w:val="auto"/>
          <w:highlight w:val="none"/>
          <w:lang w:val="en-US" w:eastAsia="zh-CN"/>
        </w:rPr>
        <w:t xml:space="preserve">0996-2035295   </w:t>
      </w:r>
      <w:r>
        <w:rPr>
          <w:rFonts w:hint="eastAsia" w:ascii="宋体" w:hAnsi="宋体" w:cs="宋体"/>
          <w:color w:val="auto"/>
          <w:highlight w:val="none"/>
        </w:rPr>
        <w:t>0996-2704855　</w:t>
      </w:r>
    </w:p>
    <w:p w14:paraId="6F9B7088">
      <w:pPr>
        <w:pStyle w:val="7"/>
        <w:rPr>
          <w:rFonts w:hint="eastAsia" w:ascii="方正小标宋_GBK" w:hAnsi="方正小标宋_GBK" w:eastAsia="方正小标宋_GBK" w:cs="方正小标宋_GBK"/>
          <w:color w:val="auto"/>
          <w:sz w:val="32"/>
          <w:szCs w:val="32"/>
          <w:highlight w:val="none"/>
        </w:rPr>
      </w:pPr>
    </w:p>
    <w:p w14:paraId="561596DA">
      <w:pPr>
        <w:pStyle w:val="7"/>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第二章 对通用条款的补充内容及其他关键信息</w:t>
      </w:r>
    </w:p>
    <w:p w14:paraId="72AAEC58">
      <w:pPr>
        <w:pStyle w:val="7"/>
        <w:spacing w:before="120" w:beforeLines="50" w:after="120" w:afterLines="50"/>
        <w:rPr>
          <w:rFonts w:hint="eastAsia" w:ascii="方正小标宋_GBK" w:hAnsi="方正小标宋_GBK" w:eastAsia="方正小标宋_GBK" w:cs="方正小标宋_GBK"/>
          <w:b/>
          <w:bCs w:val="0"/>
          <w:color w:val="auto"/>
          <w:sz w:val="32"/>
          <w:szCs w:val="32"/>
          <w:highlight w:val="none"/>
        </w:rPr>
      </w:pPr>
      <w:bookmarkStart w:id="40" w:name="_Toc73518117"/>
      <w:bookmarkStart w:id="41" w:name="_Toc60560625"/>
      <w:bookmarkStart w:id="42" w:name="_Toc100052364"/>
      <w:bookmarkStart w:id="43" w:name="_Toc73521635"/>
      <w:bookmarkStart w:id="44" w:name="_Toc73521547"/>
      <w:bookmarkStart w:id="45" w:name="_Toc101074876"/>
      <w:bookmarkStart w:id="46" w:name="_Toc73517639"/>
      <w:bookmarkStart w:id="47" w:name="_Toc60631620"/>
      <w:r>
        <w:rPr>
          <w:rFonts w:hint="eastAsia" w:ascii="方正小标宋_GBK" w:hAnsi="方正小标宋_GBK" w:eastAsia="方正小标宋_GBK" w:cs="方正小标宋_GBK"/>
          <w:b/>
          <w:bCs w:val="0"/>
          <w:color w:val="auto"/>
          <w:sz w:val="32"/>
          <w:szCs w:val="32"/>
          <w:highlight w:val="none"/>
        </w:rPr>
        <w:t>一、对通用条款的补充内容</w:t>
      </w:r>
    </w:p>
    <w:bookmarkEnd w:id="40"/>
    <w:bookmarkEnd w:id="41"/>
    <w:bookmarkEnd w:id="42"/>
    <w:bookmarkEnd w:id="43"/>
    <w:bookmarkEnd w:id="44"/>
    <w:bookmarkEnd w:id="45"/>
    <w:bookmarkEnd w:id="46"/>
    <w:bookmarkEnd w:id="47"/>
    <w:tbl>
      <w:tblPr>
        <w:tblStyle w:val="40"/>
        <w:tblW w:w="96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2249"/>
        <w:gridCol w:w="6390"/>
      </w:tblGrid>
      <w:tr w14:paraId="350B1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09F05025">
            <w:pPr>
              <w:jc w:val="center"/>
              <w:rPr>
                <w:rFonts w:ascii="宋体" w:hAnsi="宋体"/>
                <w:b/>
                <w:bCs/>
                <w:color w:val="auto"/>
                <w:highlight w:val="none"/>
              </w:rPr>
            </w:pPr>
            <w:r>
              <w:rPr>
                <w:rFonts w:hint="eastAsia" w:ascii="宋体" w:hAnsi="宋体"/>
                <w:b/>
                <w:bCs/>
                <w:color w:val="auto"/>
                <w:highlight w:val="none"/>
              </w:rPr>
              <w:t>通用条款序号</w:t>
            </w:r>
          </w:p>
        </w:tc>
        <w:tc>
          <w:tcPr>
            <w:tcW w:w="2249" w:type="dxa"/>
            <w:noWrap w:val="0"/>
            <w:vAlign w:val="center"/>
          </w:tcPr>
          <w:p w14:paraId="7C6C7B62">
            <w:pPr>
              <w:jc w:val="center"/>
              <w:rPr>
                <w:rFonts w:ascii="宋体" w:hAnsi="宋体"/>
                <w:b/>
                <w:bCs/>
                <w:color w:val="auto"/>
                <w:highlight w:val="none"/>
              </w:rPr>
            </w:pPr>
            <w:r>
              <w:rPr>
                <w:rFonts w:hint="eastAsia" w:ascii="宋体" w:hAnsi="宋体"/>
                <w:b/>
                <w:bCs/>
                <w:color w:val="auto"/>
                <w:highlight w:val="none"/>
              </w:rPr>
              <w:t>涉及事项</w:t>
            </w:r>
          </w:p>
        </w:tc>
        <w:tc>
          <w:tcPr>
            <w:tcW w:w="6390" w:type="dxa"/>
            <w:noWrap w:val="0"/>
            <w:vAlign w:val="center"/>
          </w:tcPr>
          <w:p w14:paraId="2DEBDBB8">
            <w:pPr>
              <w:jc w:val="center"/>
              <w:rPr>
                <w:rFonts w:ascii="宋体" w:hAnsi="宋体"/>
                <w:b/>
                <w:bCs/>
                <w:color w:val="auto"/>
                <w:highlight w:val="none"/>
              </w:rPr>
            </w:pPr>
            <w:r>
              <w:rPr>
                <w:rFonts w:hint="eastAsia" w:ascii="宋体" w:hAnsi="宋体"/>
                <w:b/>
                <w:bCs/>
                <w:color w:val="auto"/>
                <w:highlight w:val="none"/>
              </w:rPr>
              <w:t xml:space="preserve">具 </w:t>
            </w:r>
            <w:r>
              <w:rPr>
                <w:rFonts w:ascii="宋体" w:hAnsi="宋体"/>
                <w:b/>
                <w:bCs/>
                <w:color w:val="auto"/>
                <w:highlight w:val="none"/>
              </w:rPr>
              <w:t xml:space="preserve"> </w:t>
            </w:r>
            <w:r>
              <w:rPr>
                <w:rFonts w:hint="eastAsia" w:ascii="宋体" w:hAnsi="宋体"/>
                <w:b/>
                <w:bCs/>
                <w:color w:val="auto"/>
                <w:highlight w:val="none"/>
              </w:rPr>
              <w:t xml:space="preserve">体 </w:t>
            </w:r>
            <w:r>
              <w:rPr>
                <w:rFonts w:ascii="宋体" w:hAnsi="宋体"/>
                <w:b/>
                <w:bCs/>
                <w:color w:val="auto"/>
                <w:highlight w:val="none"/>
              </w:rPr>
              <w:t xml:space="preserve"> </w:t>
            </w:r>
            <w:r>
              <w:rPr>
                <w:rFonts w:hint="eastAsia" w:ascii="宋体" w:hAnsi="宋体"/>
                <w:b/>
                <w:bCs/>
                <w:color w:val="auto"/>
                <w:highlight w:val="none"/>
              </w:rPr>
              <w:t xml:space="preserve">补 </w:t>
            </w:r>
            <w:r>
              <w:rPr>
                <w:rFonts w:ascii="宋体" w:hAnsi="宋体"/>
                <w:b/>
                <w:bCs/>
                <w:color w:val="auto"/>
                <w:highlight w:val="none"/>
              </w:rPr>
              <w:t xml:space="preserve"> </w:t>
            </w:r>
            <w:r>
              <w:rPr>
                <w:rFonts w:hint="eastAsia" w:ascii="宋体" w:hAnsi="宋体"/>
                <w:b/>
                <w:bCs/>
                <w:color w:val="auto"/>
                <w:highlight w:val="none"/>
              </w:rPr>
              <w:t xml:space="preserve">充 </w:t>
            </w:r>
            <w:r>
              <w:rPr>
                <w:rFonts w:ascii="宋体" w:hAnsi="宋体"/>
                <w:b/>
                <w:bCs/>
                <w:color w:val="auto"/>
                <w:highlight w:val="none"/>
              </w:rPr>
              <w:t xml:space="preserve"> </w:t>
            </w:r>
            <w:r>
              <w:rPr>
                <w:rFonts w:hint="eastAsia" w:ascii="宋体" w:hAnsi="宋体"/>
                <w:b/>
                <w:bCs/>
                <w:color w:val="auto"/>
                <w:highlight w:val="none"/>
              </w:rPr>
              <w:t xml:space="preserve">内 </w:t>
            </w:r>
            <w:r>
              <w:rPr>
                <w:rFonts w:ascii="宋体" w:hAnsi="宋体"/>
                <w:b/>
                <w:bCs/>
                <w:color w:val="auto"/>
                <w:highlight w:val="none"/>
              </w:rPr>
              <w:t xml:space="preserve"> </w:t>
            </w:r>
            <w:r>
              <w:rPr>
                <w:rFonts w:hint="eastAsia" w:ascii="宋体" w:hAnsi="宋体"/>
                <w:b/>
                <w:bCs/>
                <w:color w:val="auto"/>
                <w:highlight w:val="none"/>
              </w:rPr>
              <w:t>容</w:t>
            </w:r>
          </w:p>
        </w:tc>
      </w:tr>
      <w:tr w14:paraId="1E2A5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6B4A0F27">
            <w:pPr>
              <w:jc w:val="center"/>
              <w:rPr>
                <w:rFonts w:hint="default" w:ascii="宋体" w:hAnsi="宋体" w:eastAsia="宋体"/>
                <w:color w:val="auto"/>
                <w:highlight w:val="none"/>
                <w:lang w:val="en-US" w:eastAsia="zh-CN"/>
              </w:rPr>
            </w:pPr>
            <w:r>
              <w:rPr>
                <w:rFonts w:hint="eastAsia" w:ascii="宋体" w:hAnsi="宋体"/>
                <w:highlight w:val="none"/>
                <w:lang w:val="en-US" w:eastAsia="zh-CN"/>
              </w:rPr>
              <w:t>1</w:t>
            </w:r>
          </w:p>
        </w:tc>
        <w:tc>
          <w:tcPr>
            <w:tcW w:w="2249" w:type="dxa"/>
            <w:noWrap w:val="0"/>
            <w:vAlign w:val="center"/>
          </w:tcPr>
          <w:p w14:paraId="1677651F">
            <w:pPr>
              <w:jc w:val="center"/>
              <w:rPr>
                <w:color w:val="auto"/>
                <w:highlight w:val="none"/>
              </w:rPr>
            </w:pPr>
            <w:r>
              <w:rPr>
                <w:rFonts w:hint="eastAsia"/>
                <w:color w:val="auto"/>
                <w:highlight w:val="none"/>
              </w:rPr>
              <w:t>采购人</w:t>
            </w:r>
          </w:p>
        </w:tc>
        <w:tc>
          <w:tcPr>
            <w:tcW w:w="6390" w:type="dxa"/>
            <w:noWrap w:val="0"/>
            <w:vAlign w:val="center"/>
          </w:tcPr>
          <w:p w14:paraId="284BE0A5">
            <w:pPr>
              <w:jc w:val="center"/>
              <w:rPr>
                <w:rFonts w:hint="default" w:ascii="宋体" w:hAnsi="宋体" w:eastAsia="宋体"/>
                <w:color w:val="auto"/>
                <w:highlight w:val="none"/>
                <w:lang w:val="en-US" w:eastAsia="zh-CN"/>
              </w:rPr>
            </w:pPr>
            <w:r>
              <w:rPr>
                <w:rStyle w:val="134"/>
                <w:rFonts w:hint="eastAsia" w:ascii="宋体" w:hAnsi="宋体" w:eastAsia="宋体" w:cs="宋体"/>
                <w:color w:val="auto"/>
                <w:szCs w:val="21"/>
                <w:highlight w:val="none"/>
                <w:lang w:val="en-US" w:eastAsia="zh-CN"/>
              </w:rPr>
              <w:t>巴音郭楞职业技术学院</w:t>
            </w:r>
          </w:p>
        </w:tc>
      </w:tr>
      <w:tr w14:paraId="012D8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4608A261">
            <w:pPr>
              <w:jc w:val="center"/>
              <w:rPr>
                <w:rFonts w:hint="default" w:ascii="宋体" w:hAnsi="宋体" w:eastAsia="宋体"/>
                <w:color w:val="auto"/>
                <w:highlight w:val="none"/>
                <w:lang w:val="en-US" w:eastAsia="zh-CN"/>
              </w:rPr>
            </w:pPr>
            <w:r>
              <w:rPr>
                <w:rFonts w:hint="eastAsia" w:ascii="宋体" w:hAnsi="宋体"/>
                <w:highlight w:val="none"/>
              </w:rPr>
              <w:t>2</w:t>
            </w:r>
          </w:p>
        </w:tc>
        <w:tc>
          <w:tcPr>
            <w:tcW w:w="2249" w:type="dxa"/>
            <w:noWrap w:val="0"/>
            <w:vAlign w:val="center"/>
          </w:tcPr>
          <w:p w14:paraId="02F32ABE">
            <w:pPr>
              <w:jc w:val="center"/>
              <w:rPr>
                <w:rFonts w:hint="default" w:eastAsia="宋体"/>
                <w:color w:val="auto"/>
                <w:highlight w:val="none"/>
                <w:lang w:val="en-US" w:eastAsia="zh-CN"/>
              </w:rPr>
            </w:pPr>
            <w:r>
              <w:rPr>
                <w:rFonts w:hint="eastAsia"/>
                <w:color w:val="auto"/>
                <w:highlight w:val="none"/>
                <w:lang w:val="en-US" w:eastAsia="zh-CN"/>
              </w:rPr>
              <w:t>政府集中采购机构</w:t>
            </w:r>
          </w:p>
        </w:tc>
        <w:tc>
          <w:tcPr>
            <w:tcW w:w="6390" w:type="dxa"/>
            <w:noWrap w:val="0"/>
            <w:vAlign w:val="center"/>
          </w:tcPr>
          <w:p w14:paraId="32495FB5">
            <w:pPr>
              <w:jc w:val="center"/>
              <w:rPr>
                <w:rStyle w:val="134"/>
                <w:rFonts w:hint="default" w:ascii="宋体" w:hAnsi="宋体" w:eastAsia="宋体" w:cs="宋体"/>
                <w:color w:val="auto"/>
                <w:szCs w:val="21"/>
                <w:highlight w:val="none"/>
                <w:lang w:val="en-US" w:eastAsia="zh-CN"/>
              </w:rPr>
            </w:pPr>
            <w:r>
              <w:rPr>
                <w:rStyle w:val="134"/>
                <w:rFonts w:hint="eastAsia" w:ascii="宋体" w:hAnsi="宋体" w:eastAsia="宋体" w:cs="宋体"/>
                <w:color w:val="auto"/>
                <w:szCs w:val="21"/>
                <w:highlight w:val="none"/>
                <w:lang w:val="en-US" w:eastAsia="zh-CN"/>
              </w:rPr>
              <w:t>巴音郭楞蒙古自治州政务服务和公共资源交易中心</w:t>
            </w:r>
          </w:p>
        </w:tc>
      </w:tr>
      <w:tr w14:paraId="52D22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445C2FED">
            <w:pPr>
              <w:jc w:val="center"/>
              <w:rPr>
                <w:rFonts w:ascii="宋体" w:hAnsi="宋体"/>
                <w:color w:val="auto"/>
                <w:highlight w:val="none"/>
              </w:rPr>
            </w:pPr>
            <w:r>
              <w:rPr>
                <w:rFonts w:ascii="宋体" w:hAnsi="宋体"/>
                <w:highlight w:val="none"/>
              </w:rPr>
              <w:t>3</w:t>
            </w:r>
          </w:p>
        </w:tc>
        <w:tc>
          <w:tcPr>
            <w:tcW w:w="2249" w:type="dxa"/>
            <w:noWrap w:val="0"/>
            <w:vAlign w:val="center"/>
          </w:tcPr>
          <w:p w14:paraId="1C4AF51B">
            <w:pPr>
              <w:jc w:val="center"/>
              <w:rPr>
                <w:rFonts w:ascii="宋体" w:hAnsi="宋体"/>
                <w:color w:val="auto"/>
                <w:highlight w:val="none"/>
              </w:rPr>
            </w:pPr>
            <w:r>
              <w:rPr>
                <w:rFonts w:hint="eastAsia" w:ascii="宋体" w:hAnsi="宋体"/>
                <w:color w:val="auto"/>
                <w:highlight w:val="none"/>
              </w:rPr>
              <w:t>联合体投标</w:t>
            </w:r>
          </w:p>
        </w:tc>
        <w:tc>
          <w:tcPr>
            <w:tcW w:w="6390" w:type="dxa"/>
            <w:noWrap w:val="0"/>
            <w:vAlign w:val="center"/>
          </w:tcPr>
          <w:p w14:paraId="3EEC65A7">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FE"/>
            </w:r>
            <w:r>
              <w:rPr>
                <w:rFonts w:hint="eastAsia" w:ascii="宋体" w:hAnsi="宋体" w:eastAsia="宋体" w:cs="Times New Roman"/>
                <w:color w:val="auto"/>
                <w:highlight w:val="none"/>
                <w:lang w:val="en-US" w:eastAsia="zh-CN"/>
              </w:rPr>
              <w:t>不接受</w:t>
            </w:r>
          </w:p>
          <w:p w14:paraId="5CB4EF37">
            <w:pPr>
              <w:jc w:val="left"/>
              <w:rPr>
                <w:rFonts w:hint="eastAsia" w:ascii="宋体" w:hAnsi="宋体" w:eastAsia="宋体"/>
                <w:color w:val="auto"/>
                <w:highlight w:val="none"/>
                <w:lang w:val="en-US" w:eastAsia="zh-CN"/>
              </w:rPr>
            </w:pPr>
            <w:r>
              <w:rPr>
                <w:rFonts w:hint="eastAsia" w:ascii="宋体" w:hAnsi="宋体" w:eastAsia="宋体" w:cs="Times New Roman"/>
                <w:color w:val="auto"/>
                <w:highlight w:val="none"/>
                <w:lang w:val="en-US" w:eastAsia="zh-CN"/>
              </w:rPr>
              <w:sym w:font="Wingdings" w:char="00A8"/>
            </w:r>
            <w:r>
              <w:rPr>
                <w:rFonts w:hint="eastAsia" w:ascii="宋体" w:hAnsi="宋体" w:eastAsia="宋体" w:cs="Times New Roman"/>
                <w:color w:val="auto"/>
                <w:highlight w:val="none"/>
                <w:lang w:val="en-US" w:eastAsia="zh-CN"/>
              </w:rPr>
              <w:t>接受，以联合体形式投标的，投标人还必须提供《联合体共同投标协议》（格式见附件，加盖联合体各方公章），并在协议中明确牵头人和各参与方各自承担的工作和义务。</w:t>
            </w:r>
          </w:p>
        </w:tc>
      </w:tr>
      <w:tr w14:paraId="42173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35637ABD">
            <w:pPr>
              <w:jc w:val="center"/>
              <w:rPr>
                <w:rFonts w:hint="default" w:ascii="宋体" w:hAnsi="宋体" w:eastAsia="宋体"/>
                <w:color w:val="auto"/>
                <w:highlight w:val="none"/>
                <w:lang w:val="en-US" w:eastAsia="zh-CN"/>
              </w:rPr>
            </w:pPr>
            <w:r>
              <w:rPr>
                <w:rFonts w:hint="eastAsia" w:ascii="宋体" w:hAnsi="宋体"/>
                <w:highlight w:val="none"/>
                <w:lang w:val="en-US" w:eastAsia="zh-CN"/>
              </w:rPr>
              <w:t>4</w:t>
            </w:r>
          </w:p>
        </w:tc>
        <w:tc>
          <w:tcPr>
            <w:tcW w:w="2249" w:type="dxa"/>
            <w:noWrap w:val="0"/>
            <w:vAlign w:val="center"/>
          </w:tcPr>
          <w:p w14:paraId="6AE1B0DA">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项目分包</w:t>
            </w:r>
          </w:p>
        </w:tc>
        <w:tc>
          <w:tcPr>
            <w:tcW w:w="6390" w:type="dxa"/>
            <w:noWrap w:val="0"/>
            <w:vAlign w:val="center"/>
          </w:tcPr>
          <w:p w14:paraId="1C4E9858">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FE"/>
            </w:r>
            <w:r>
              <w:rPr>
                <w:rFonts w:hint="eastAsia" w:ascii="宋体" w:hAnsi="宋体" w:eastAsia="宋体" w:cs="Times New Roman"/>
                <w:color w:val="auto"/>
                <w:highlight w:val="none"/>
                <w:lang w:val="en-US" w:eastAsia="zh-CN"/>
              </w:rPr>
              <w:t>不允许</w:t>
            </w:r>
          </w:p>
          <w:p w14:paraId="04D16053">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A8"/>
            </w:r>
            <w:r>
              <w:rPr>
                <w:rFonts w:hint="eastAsia" w:ascii="宋体" w:hAnsi="宋体" w:eastAsia="宋体" w:cs="Times New Roman"/>
                <w:color w:val="auto"/>
                <w:highlight w:val="none"/>
                <w:lang w:val="en-US" w:eastAsia="zh-CN"/>
              </w:rPr>
              <w:t>允许中标投标供应商将****分包给具有相应资质的公司执行。</w:t>
            </w:r>
          </w:p>
          <w:p w14:paraId="45AA36A4">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（1）如需分包，须提供分包供应商的营业执照、对应资质证书***、分包协议及承诺函（承诺此部分内容不再分包，格式自拟）的扫描件作为依据，否则按资格审查不通过处理。</w:t>
            </w:r>
          </w:p>
          <w:p w14:paraId="09BE727E">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（2）如无需分包，投标人须提供本单位的***资质证书扫描件，否则按资格审查不通过处理。</w:t>
            </w:r>
          </w:p>
        </w:tc>
      </w:tr>
      <w:tr w14:paraId="4AF50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4A111BCA">
            <w:pPr>
              <w:jc w:val="center"/>
              <w:rPr>
                <w:rFonts w:ascii="宋体" w:hAnsi="宋体"/>
                <w:color w:val="auto"/>
                <w:highlight w:val="none"/>
              </w:rPr>
            </w:pPr>
            <w:r>
              <w:rPr>
                <w:rFonts w:hint="eastAsia" w:ascii="宋体" w:hAnsi="宋体"/>
                <w:highlight w:val="none"/>
                <w:lang w:val="en-US" w:eastAsia="zh-CN"/>
              </w:rPr>
              <w:t>5</w:t>
            </w:r>
          </w:p>
        </w:tc>
        <w:tc>
          <w:tcPr>
            <w:tcW w:w="2249" w:type="dxa"/>
            <w:noWrap w:val="0"/>
            <w:vAlign w:val="center"/>
          </w:tcPr>
          <w:p w14:paraId="0491671D">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踏勘现场</w:t>
            </w:r>
          </w:p>
        </w:tc>
        <w:tc>
          <w:tcPr>
            <w:tcW w:w="6390" w:type="dxa"/>
            <w:noWrap w:val="0"/>
            <w:vAlign w:val="center"/>
          </w:tcPr>
          <w:p w14:paraId="31ED3610">
            <w:pPr>
              <w:spacing w:line="44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不组织</w:t>
            </w:r>
          </w:p>
          <w:p w14:paraId="7118EB3D">
            <w:pPr>
              <w:pStyle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FE"/>
            </w:r>
            <w:r>
              <w:rPr>
                <w:rFonts w:hint="eastAsia" w:ascii="宋体" w:hAnsi="宋体" w:eastAsia="宋体" w:cs="宋体"/>
                <w:color w:val="000000" w:themeColor="text1"/>
                <w:sz w:val="21"/>
                <w:szCs w:val="21"/>
                <w:highlight w:val="none"/>
                <w14:textFill>
                  <w14:solidFill>
                    <w14:schemeClr w14:val="tx1"/>
                  </w14:solidFill>
                </w14:textFill>
              </w:rPr>
              <w:t>组织，踏勘时间：各投标单位需在(</w:t>
            </w: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04</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17</w:t>
            </w:r>
            <w:r>
              <w:rPr>
                <w:rFonts w:hint="eastAsia" w:ascii="宋体" w:hAnsi="宋体" w:eastAsia="宋体" w:cs="宋体"/>
                <w:color w:val="FF0000"/>
                <w:sz w:val="21"/>
                <w:szCs w:val="21"/>
                <w:highlight w:val="none"/>
              </w:rPr>
              <w:t>日至</w:t>
            </w:r>
            <w:r>
              <w:rPr>
                <w:rFonts w:hint="eastAsia" w:ascii="宋体" w:hAnsi="宋体" w:eastAsia="宋体" w:cs="宋体"/>
                <w:color w:val="FF0000"/>
                <w:sz w:val="21"/>
                <w:szCs w:val="21"/>
                <w:highlight w:val="none"/>
                <w:lang w:val="en-US" w:eastAsia="zh-CN"/>
              </w:rPr>
              <w:t>04</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28</w:t>
            </w:r>
            <w:r>
              <w:rPr>
                <w:rFonts w:hint="eastAsia" w:ascii="宋体" w:hAnsi="宋体" w:eastAsia="宋体" w:cs="宋体"/>
                <w:color w:val="FF0000"/>
                <w:sz w:val="21"/>
                <w:szCs w:val="21"/>
                <w:highlight w:val="none"/>
              </w:rPr>
              <w:t>日早上10：00至13：30下午16:00至19:30前</w:t>
            </w:r>
            <w:r>
              <w:rPr>
                <w:rFonts w:hint="eastAsia" w:ascii="宋体" w:hAnsi="宋体" w:eastAsia="宋体" w:cs="宋体"/>
                <w:color w:val="000000" w:themeColor="text1"/>
                <w:sz w:val="21"/>
                <w:szCs w:val="21"/>
                <w:highlight w:val="none"/>
                <w14:textFill>
                  <w14:solidFill>
                    <w14:schemeClr w14:val="tx1"/>
                  </w14:solidFill>
                </w14:textFill>
              </w:rPr>
              <w:t>）至采购方领取现场踏勘表并进行现场踏勘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踏勘地点：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巴音郭楞职业技术学院电子实训楼</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李俊萌</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val="en-US" w:eastAsia="zh-CN"/>
                <w14:textFill>
                  <w14:solidFill>
                    <w14:schemeClr w14:val="tx1"/>
                  </w14:solidFill>
                </w14:textFill>
              </w:rPr>
              <w:t>17709967806</w:t>
            </w:r>
            <w:r>
              <w:rPr>
                <w:rFonts w:hint="eastAsia" w:ascii="宋体" w:hAnsi="宋体" w:eastAsia="宋体" w:cs="宋体"/>
                <w:color w:val="000000" w:themeColor="text1"/>
                <w:sz w:val="21"/>
                <w:szCs w:val="21"/>
                <w:highlight w:val="none"/>
                <w14:textFill>
                  <w14:solidFill>
                    <w14:schemeClr w14:val="tx1"/>
                  </w14:solidFill>
                </w14:textFill>
              </w:rPr>
              <w:t>）</w:t>
            </w:r>
          </w:p>
          <w:p w14:paraId="6D3890DB">
            <w:pPr>
              <w:jc w:val="left"/>
              <w:rPr>
                <w:rFonts w:hint="eastAsia" w:ascii="宋体" w:hAnsi="宋体" w:eastAsia="宋体" w:cs="Times New Roman"/>
                <w:b w:val="0"/>
                <w:bCs w:val="0"/>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highlight w:val="none"/>
                <w:lang w:val="en-US" w:eastAsia="zh-CN"/>
                <w14:textFill>
                  <w14:solidFill>
                    <w14:schemeClr w14:val="tx1"/>
                  </w14:solidFill>
                </w14:textFill>
              </w:rPr>
              <w:t>踏勘要求：</w:t>
            </w:r>
          </w:p>
          <w:p w14:paraId="429C9A16">
            <w:pPr>
              <w:pStyle w:val="2"/>
              <w:rPr>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踏勘人员须携带加盖投标单位公章的授权委托书原件及本人身份证（须人证相符），由采购人核验身份，并填写《项目采购前期现场踏勘记录表》回执一份（ 详见后附表）。</w:t>
            </w:r>
          </w:p>
        </w:tc>
      </w:tr>
      <w:tr w14:paraId="3B036D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692A4F0C">
            <w:pPr>
              <w:jc w:val="center"/>
              <w:rPr>
                <w:rFonts w:ascii="宋体" w:hAnsi="宋体"/>
                <w:color w:val="auto"/>
                <w:highlight w:val="none"/>
              </w:rPr>
            </w:pPr>
            <w:r>
              <w:rPr>
                <w:rFonts w:hint="eastAsia" w:ascii="宋体" w:hAnsi="宋体"/>
                <w:highlight w:val="none"/>
                <w:lang w:val="en-US" w:eastAsia="zh-CN"/>
              </w:rPr>
              <w:t>6</w:t>
            </w:r>
          </w:p>
        </w:tc>
        <w:tc>
          <w:tcPr>
            <w:tcW w:w="2249" w:type="dxa"/>
            <w:noWrap w:val="0"/>
            <w:vAlign w:val="center"/>
          </w:tcPr>
          <w:p w14:paraId="4B77AC40">
            <w:pPr>
              <w:jc w:val="center"/>
              <w:rPr>
                <w:rFonts w:ascii="宋体" w:hAnsi="宋体"/>
                <w:color w:val="auto"/>
                <w:highlight w:val="none"/>
              </w:rPr>
            </w:pPr>
            <w:r>
              <w:rPr>
                <w:rFonts w:hint="eastAsia" w:ascii="宋体" w:hAnsi="宋体"/>
                <w:color w:val="auto"/>
                <w:highlight w:val="none"/>
              </w:rPr>
              <w:t>标前会议</w:t>
            </w:r>
          </w:p>
        </w:tc>
        <w:tc>
          <w:tcPr>
            <w:tcW w:w="6390" w:type="dxa"/>
            <w:noWrap w:val="0"/>
            <w:vAlign w:val="center"/>
          </w:tcPr>
          <w:p w14:paraId="27F55E0B">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FE"/>
            </w:r>
            <w:r>
              <w:rPr>
                <w:rFonts w:hint="eastAsia" w:ascii="宋体" w:hAnsi="宋体" w:eastAsia="宋体" w:cs="Times New Roman"/>
                <w:color w:val="auto"/>
                <w:highlight w:val="none"/>
                <w:lang w:val="en-US" w:eastAsia="zh-CN"/>
              </w:rPr>
              <w:t>不组织</w:t>
            </w:r>
          </w:p>
          <w:p w14:paraId="5C1D0EBC">
            <w:pPr>
              <w:jc w:val="both"/>
              <w:rPr>
                <w:rFonts w:hint="default" w:ascii="宋体" w:hAnsi="宋体"/>
                <w:color w:val="auto"/>
                <w:highlight w:val="none"/>
                <w:lang w:val="en-US"/>
              </w:rPr>
            </w:pPr>
            <w:r>
              <w:rPr>
                <w:rFonts w:hint="eastAsia" w:ascii="宋体" w:hAnsi="宋体" w:eastAsia="宋体" w:cs="Times New Roman"/>
                <w:color w:val="auto"/>
                <w:highlight w:val="none"/>
                <w:lang w:val="en-US" w:eastAsia="zh-CN"/>
              </w:rPr>
              <w:sym w:font="Wingdings" w:char="00A8"/>
            </w:r>
            <w:r>
              <w:rPr>
                <w:rFonts w:hint="eastAsia" w:ascii="宋体" w:hAnsi="宋体" w:eastAsia="宋体" w:cs="Times New Roman"/>
                <w:color w:val="auto"/>
                <w:highlight w:val="none"/>
                <w:lang w:val="en-US" w:eastAsia="zh-CN"/>
              </w:rPr>
              <w:t>组织</w:t>
            </w:r>
          </w:p>
        </w:tc>
      </w:tr>
      <w:tr w14:paraId="0C181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1029E362">
            <w:pPr>
              <w:jc w:val="center"/>
              <w:rPr>
                <w:rFonts w:ascii="宋体" w:hAnsi="宋体"/>
                <w:color w:val="auto"/>
                <w:highlight w:val="none"/>
              </w:rPr>
            </w:pPr>
            <w:r>
              <w:rPr>
                <w:rFonts w:hint="eastAsia" w:ascii="宋体" w:hAnsi="宋体"/>
                <w:highlight w:val="none"/>
                <w:lang w:val="en-US" w:eastAsia="zh-CN"/>
              </w:rPr>
              <w:t>7</w:t>
            </w:r>
          </w:p>
        </w:tc>
        <w:tc>
          <w:tcPr>
            <w:tcW w:w="2249" w:type="dxa"/>
            <w:noWrap w:val="0"/>
            <w:vAlign w:val="center"/>
          </w:tcPr>
          <w:p w14:paraId="193D8966">
            <w:pPr>
              <w:jc w:val="center"/>
              <w:rPr>
                <w:rFonts w:ascii="宋体" w:hAnsi="宋体"/>
                <w:color w:val="auto"/>
                <w:highlight w:val="none"/>
              </w:rPr>
            </w:pPr>
            <w:r>
              <w:rPr>
                <w:rFonts w:hint="eastAsia" w:ascii="宋体" w:hAnsi="宋体"/>
                <w:color w:val="auto"/>
                <w:highlight w:val="none"/>
              </w:rPr>
              <w:t>招标文件的澄清和修改</w:t>
            </w:r>
          </w:p>
        </w:tc>
        <w:tc>
          <w:tcPr>
            <w:tcW w:w="6390" w:type="dxa"/>
            <w:noWrap w:val="0"/>
            <w:vAlign w:val="center"/>
          </w:tcPr>
          <w:p w14:paraId="6F0414B2">
            <w:pPr>
              <w:jc w:val="left"/>
              <w:rPr>
                <w:rFonts w:ascii="宋体" w:hAnsi="宋体"/>
                <w:color w:val="auto"/>
                <w:highlight w:val="none"/>
              </w:rPr>
            </w:pPr>
            <w:r>
              <w:rPr>
                <w:rFonts w:hint="eastAsia" w:ascii="宋体" w:hAnsi="宋体"/>
                <w:color w:val="auto"/>
                <w:highlight w:val="none"/>
              </w:rPr>
              <w:t>不晚于投标截止日三日前（详见招标公告），投标人有义务在招标期间在政府集中采购机构网站浏览与本项目有关的澄清和修改信息</w:t>
            </w:r>
          </w:p>
        </w:tc>
      </w:tr>
      <w:tr w14:paraId="1AD5B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15A83236">
            <w:pPr>
              <w:jc w:val="center"/>
              <w:rPr>
                <w:rFonts w:ascii="宋体" w:hAnsi="宋体"/>
                <w:color w:val="auto"/>
                <w:highlight w:val="none"/>
              </w:rPr>
            </w:pPr>
            <w:r>
              <w:rPr>
                <w:rFonts w:hint="eastAsia" w:ascii="宋体" w:hAnsi="宋体"/>
                <w:highlight w:val="none"/>
                <w:lang w:val="en-US" w:eastAsia="zh-CN"/>
              </w:rPr>
              <w:t>8</w:t>
            </w:r>
          </w:p>
        </w:tc>
        <w:tc>
          <w:tcPr>
            <w:tcW w:w="2249" w:type="dxa"/>
            <w:noWrap w:val="0"/>
            <w:vAlign w:val="center"/>
          </w:tcPr>
          <w:p w14:paraId="6CA77FA2">
            <w:pPr>
              <w:jc w:val="center"/>
              <w:rPr>
                <w:rFonts w:ascii="宋体" w:hAnsi="宋体"/>
                <w:color w:val="auto"/>
                <w:highlight w:val="none"/>
              </w:rPr>
            </w:pPr>
            <w:r>
              <w:rPr>
                <w:rFonts w:hint="eastAsia" w:ascii="宋体" w:hAnsi="宋体"/>
                <w:color w:val="auto"/>
                <w:highlight w:val="none"/>
              </w:rPr>
              <w:t>投标有效期</w:t>
            </w:r>
          </w:p>
        </w:tc>
        <w:tc>
          <w:tcPr>
            <w:tcW w:w="6390" w:type="dxa"/>
            <w:noWrap w:val="0"/>
            <w:vAlign w:val="center"/>
          </w:tcPr>
          <w:p w14:paraId="000A71BC">
            <w:pPr>
              <w:jc w:val="center"/>
              <w:rPr>
                <w:rFonts w:ascii="宋体" w:hAnsi="宋体"/>
                <w:color w:val="auto"/>
                <w:highlight w:val="none"/>
              </w:rPr>
            </w:pPr>
            <w:r>
              <w:rPr>
                <w:rFonts w:hint="eastAsia" w:ascii="宋体" w:hAnsi="宋体"/>
                <w:color w:val="auto"/>
                <w:highlight w:val="none"/>
              </w:rPr>
              <w:t>120个日历日</w:t>
            </w:r>
          </w:p>
        </w:tc>
      </w:tr>
      <w:tr w14:paraId="0AAD8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6805B7AB">
            <w:pPr>
              <w:jc w:val="center"/>
              <w:rPr>
                <w:rFonts w:ascii="宋体" w:hAnsi="宋体"/>
                <w:color w:val="auto"/>
                <w:highlight w:val="none"/>
              </w:rPr>
            </w:pPr>
            <w:r>
              <w:rPr>
                <w:rFonts w:hint="eastAsia" w:ascii="宋体" w:hAnsi="宋体"/>
                <w:highlight w:val="none"/>
                <w:lang w:val="en-US" w:eastAsia="zh-CN"/>
              </w:rPr>
              <w:t>9</w:t>
            </w:r>
          </w:p>
        </w:tc>
        <w:tc>
          <w:tcPr>
            <w:tcW w:w="2249" w:type="dxa"/>
            <w:noWrap w:val="0"/>
            <w:vAlign w:val="center"/>
          </w:tcPr>
          <w:p w14:paraId="6FFCC83D">
            <w:pPr>
              <w:jc w:val="center"/>
              <w:rPr>
                <w:rFonts w:ascii="宋体" w:hAnsi="宋体"/>
                <w:color w:val="auto"/>
                <w:highlight w:val="none"/>
              </w:rPr>
            </w:pPr>
            <w:r>
              <w:rPr>
                <w:rFonts w:hint="eastAsia" w:ascii="宋体" w:hAnsi="宋体"/>
                <w:color w:val="auto"/>
                <w:highlight w:val="none"/>
              </w:rPr>
              <w:t>投标人的替代方案</w:t>
            </w:r>
          </w:p>
        </w:tc>
        <w:tc>
          <w:tcPr>
            <w:tcW w:w="6390" w:type="dxa"/>
            <w:noWrap w:val="0"/>
            <w:vAlign w:val="center"/>
          </w:tcPr>
          <w:p w14:paraId="0733CC80">
            <w:pPr>
              <w:jc w:val="center"/>
              <w:rPr>
                <w:rFonts w:ascii="宋体" w:hAnsi="宋体"/>
                <w:color w:val="auto"/>
                <w:highlight w:val="none"/>
              </w:rPr>
            </w:pPr>
            <w:r>
              <w:rPr>
                <w:rFonts w:hint="eastAsia" w:ascii="宋体" w:hAnsi="宋体"/>
                <w:color w:val="auto"/>
                <w:highlight w:val="none"/>
              </w:rPr>
              <w:t>不接受</w:t>
            </w:r>
          </w:p>
        </w:tc>
      </w:tr>
      <w:tr w14:paraId="5F68C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4F36B885">
            <w:pPr>
              <w:jc w:val="center"/>
              <w:rPr>
                <w:rFonts w:ascii="宋体" w:hAnsi="宋体"/>
                <w:color w:val="auto"/>
                <w:highlight w:val="none"/>
              </w:rPr>
            </w:pPr>
            <w:r>
              <w:rPr>
                <w:rFonts w:hint="eastAsia" w:ascii="宋体" w:hAnsi="宋体"/>
                <w:highlight w:val="none"/>
                <w:lang w:val="en-US" w:eastAsia="zh-CN"/>
              </w:rPr>
              <w:t>10</w:t>
            </w:r>
          </w:p>
        </w:tc>
        <w:tc>
          <w:tcPr>
            <w:tcW w:w="2249" w:type="dxa"/>
            <w:noWrap w:val="0"/>
            <w:vAlign w:val="center"/>
          </w:tcPr>
          <w:p w14:paraId="19540791">
            <w:pPr>
              <w:jc w:val="center"/>
              <w:rPr>
                <w:rFonts w:hint="eastAsia" w:ascii="宋体" w:hAnsi="宋体" w:eastAsia="宋体"/>
                <w:color w:val="auto"/>
                <w:highlight w:val="none"/>
                <w:lang w:val="en-US" w:eastAsia="zh-CN"/>
              </w:rPr>
            </w:pPr>
            <w:r>
              <w:rPr>
                <w:rFonts w:hint="eastAsia" w:ascii="宋体" w:hAnsi="宋体"/>
                <w:color w:val="auto"/>
                <w:highlight w:val="none"/>
              </w:rPr>
              <w:t>投标文件</w:t>
            </w:r>
            <w:r>
              <w:rPr>
                <w:rFonts w:hint="eastAsia" w:ascii="宋体" w:hAnsi="宋体"/>
                <w:color w:val="auto"/>
                <w:highlight w:val="none"/>
                <w:lang w:val="en-US" w:eastAsia="zh-CN"/>
              </w:rPr>
              <w:t>递交形式</w:t>
            </w:r>
          </w:p>
        </w:tc>
        <w:tc>
          <w:tcPr>
            <w:tcW w:w="6390" w:type="dxa"/>
            <w:noWrap w:val="0"/>
            <w:vAlign w:val="center"/>
          </w:tcPr>
          <w:p w14:paraId="23D6555B">
            <w:pPr>
              <w:jc w:val="center"/>
              <w:rPr>
                <w:rFonts w:ascii="宋体" w:hAnsi="宋体"/>
                <w:color w:val="auto"/>
                <w:highlight w:val="none"/>
              </w:rPr>
            </w:pPr>
            <w:r>
              <w:rPr>
                <w:rFonts w:hint="eastAsia" w:ascii="宋体" w:hAnsi="宋体"/>
                <w:color w:val="auto"/>
                <w:highlight w:val="none"/>
                <w:lang w:val="en-US" w:eastAsia="zh-CN"/>
              </w:rPr>
              <w:t>电子</w:t>
            </w:r>
            <w:r>
              <w:rPr>
                <w:rFonts w:hint="eastAsia" w:ascii="宋体" w:hAnsi="宋体"/>
                <w:color w:val="auto"/>
                <w:highlight w:val="none"/>
              </w:rPr>
              <w:t>投标文件</w:t>
            </w:r>
          </w:p>
        </w:tc>
      </w:tr>
      <w:tr w14:paraId="293502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1901CF63">
            <w:pPr>
              <w:jc w:val="center"/>
              <w:rPr>
                <w:rFonts w:ascii="宋体" w:hAnsi="宋体"/>
                <w:color w:val="auto"/>
                <w:highlight w:val="none"/>
              </w:rPr>
            </w:pPr>
            <w:r>
              <w:rPr>
                <w:rFonts w:hint="eastAsia" w:ascii="宋体" w:hAnsi="宋体"/>
                <w:highlight w:val="none"/>
                <w:lang w:val="en-US" w:eastAsia="zh-CN"/>
              </w:rPr>
              <w:t>11</w:t>
            </w:r>
          </w:p>
        </w:tc>
        <w:tc>
          <w:tcPr>
            <w:tcW w:w="2249" w:type="dxa"/>
            <w:noWrap w:val="0"/>
            <w:vAlign w:val="center"/>
          </w:tcPr>
          <w:p w14:paraId="0BC1D964">
            <w:pPr>
              <w:jc w:val="center"/>
              <w:rPr>
                <w:rFonts w:ascii="宋体" w:hAnsi="宋体"/>
                <w:color w:val="auto"/>
                <w:highlight w:val="none"/>
              </w:rPr>
            </w:pPr>
            <w:bookmarkStart w:id="48" w:name="_Hlk71664860"/>
            <w:r>
              <w:rPr>
                <w:rFonts w:hint="eastAsia" w:ascii="宋体" w:hAnsi="宋体"/>
                <w:color w:val="auto"/>
                <w:highlight w:val="none"/>
              </w:rPr>
              <w:t>样品、演示、方案讲解</w:t>
            </w:r>
            <w:bookmarkEnd w:id="48"/>
          </w:p>
        </w:tc>
        <w:tc>
          <w:tcPr>
            <w:tcW w:w="6390" w:type="dxa"/>
            <w:noWrap w:val="0"/>
            <w:vAlign w:val="center"/>
          </w:tcPr>
          <w:p w14:paraId="37075271">
            <w:pPr>
              <w:jc w:val="center"/>
              <w:rPr>
                <w:rFonts w:ascii="宋体" w:hAnsi="宋体"/>
                <w:color w:val="auto"/>
                <w:highlight w:val="none"/>
              </w:rPr>
            </w:pPr>
            <w:r>
              <w:rPr>
                <w:rFonts w:hint="eastAsia" w:ascii="宋体" w:hAnsi="宋体"/>
                <w:color w:val="auto"/>
                <w:highlight w:val="none"/>
              </w:rPr>
              <w:t>无</w:t>
            </w:r>
          </w:p>
        </w:tc>
      </w:tr>
      <w:tr w14:paraId="5FED3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0E59724F">
            <w:pPr>
              <w:jc w:val="center"/>
              <w:rPr>
                <w:rFonts w:ascii="宋体" w:hAnsi="宋体"/>
                <w:color w:val="auto"/>
                <w:highlight w:val="none"/>
              </w:rPr>
            </w:pPr>
            <w:r>
              <w:rPr>
                <w:rFonts w:hint="eastAsia" w:ascii="宋体" w:hAnsi="宋体"/>
                <w:highlight w:val="none"/>
                <w:lang w:val="en-US" w:eastAsia="zh-CN"/>
              </w:rPr>
              <w:t>12</w:t>
            </w:r>
          </w:p>
        </w:tc>
        <w:tc>
          <w:tcPr>
            <w:tcW w:w="2249" w:type="dxa"/>
            <w:noWrap w:val="0"/>
            <w:vAlign w:val="center"/>
          </w:tcPr>
          <w:p w14:paraId="59F44D74">
            <w:pPr>
              <w:jc w:val="center"/>
              <w:rPr>
                <w:rFonts w:ascii="宋体" w:hAnsi="宋体"/>
                <w:color w:val="auto"/>
                <w:highlight w:val="none"/>
              </w:rPr>
            </w:pPr>
            <w:r>
              <w:rPr>
                <w:rFonts w:hint="eastAsia" w:ascii="宋体" w:hAnsi="宋体"/>
                <w:color w:val="auto"/>
                <w:highlight w:val="none"/>
              </w:rPr>
              <w:t>评审方法</w:t>
            </w:r>
          </w:p>
        </w:tc>
        <w:tc>
          <w:tcPr>
            <w:tcW w:w="6390" w:type="dxa"/>
            <w:noWrap w:val="0"/>
            <w:vAlign w:val="center"/>
          </w:tcPr>
          <w:p w14:paraId="3DAC0A98">
            <w:pPr>
              <w:jc w:val="center"/>
              <w:rPr>
                <w:rFonts w:ascii="宋体" w:hAnsi="宋体"/>
                <w:color w:val="auto"/>
                <w:highlight w:val="none"/>
              </w:rPr>
            </w:pPr>
            <w:r>
              <w:rPr>
                <w:rFonts w:hint="eastAsia" w:ascii="宋体" w:hAnsi="宋体"/>
                <w:color w:val="auto"/>
                <w:highlight w:val="none"/>
              </w:rPr>
              <w:t>综合评分法</w:t>
            </w:r>
          </w:p>
        </w:tc>
      </w:tr>
      <w:tr w14:paraId="4E078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0742E31C">
            <w:pPr>
              <w:jc w:val="center"/>
              <w:rPr>
                <w:rFonts w:ascii="宋体" w:hAnsi="宋体"/>
                <w:color w:val="auto"/>
                <w:highlight w:val="none"/>
              </w:rPr>
            </w:pPr>
            <w:r>
              <w:rPr>
                <w:rFonts w:hint="eastAsia" w:ascii="宋体" w:hAnsi="宋体"/>
                <w:highlight w:val="none"/>
                <w:lang w:val="en-US" w:eastAsia="zh-CN"/>
              </w:rPr>
              <w:t>13</w:t>
            </w:r>
          </w:p>
        </w:tc>
        <w:tc>
          <w:tcPr>
            <w:tcW w:w="2249" w:type="dxa"/>
            <w:noWrap w:val="0"/>
            <w:vAlign w:val="center"/>
          </w:tcPr>
          <w:p w14:paraId="0981C578">
            <w:pPr>
              <w:jc w:val="center"/>
              <w:rPr>
                <w:rFonts w:ascii="宋体" w:hAnsi="宋体"/>
                <w:color w:val="auto"/>
                <w:highlight w:val="none"/>
              </w:rPr>
            </w:pPr>
            <w:r>
              <w:rPr>
                <w:rFonts w:hint="eastAsia" w:ascii="宋体" w:hAnsi="宋体"/>
                <w:color w:val="auto"/>
                <w:highlight w:val="none"/>
              </w:rPr>
              <w:t>定标方法</w:t>
            </w:r>
          </w:p>
        </w:tc>
        <w:tc>
          <w:tcPr>
            <w:tcW w:w="6390" w:type="dxa"/>
            <w:noWrap w:val="0"/>
            <w:vAlign w:val="center"/>
          </w:tcPr>
          <w:p w14:paraId="4002EE63">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A8"/>
            </w:r>
            <w:r>
              <w:rPr>
                <w:rFonts w:hint="eastAsia" w:ascii="宋体" w:hAnsi="宋体" w:eastAsia="宋体" w:cs="Times New Roman"/>
                <w:color w:val="auto"/>
                <w:highlight w:val="none"/>
                <w:lang w:val="en-US" w:eastAsia="zh-CN"/>
              </w:rPr>
              <w:t>评定分离</w:t>
            </w:r>
          </w:p>
          <w:p w14:paraId="20A10489">
            <w:pPr>
              <w:jc w:val="left"/>
              <w:rPr>
                <w:rFonts w:ascii="宋体" w:hAnsi="宋体"/>
                <w:color w:val="auto"/>
                <w:highlight w:val="none"/>
              </w:rPr>
            </w:pPr>
            <w:r>
              <w:rPr>
                <w:rFonts w:hint="eastAsia" w:ascii="宋体" w:hAnsi="宋体" w:eastAsia="宋体" w:cs="Times New Roman"/>
                <w:color w:val="auto"/>
                <w:highlight w:val="none"/>
                <w:lang w:val="en-US" w:eastAsia="zh-CN"/>
              </w:rPr>
              <w:sym w:font="Wingdings" w:char="00FE"/>
            </w:r>
            <w:r>
              <w:rPr>
                <w:rFonts w:hint="eastAsia" w:ascii="宋体" w:hAnsi="宋体"/>
                <w:color w:val="auto"/>
                <w:highlight w:val="none"/>
              </w:rPr>
              <w:t>非评定分离</w:t>
            </w:r>
          </w:p>
        </w:tc>
      </w:tr>
      <w:tr w14:paraId="1DE5B8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61F8902A">
            <w:pPr>
              <w:jc w:val="center"/>
              <w:rPr>
                <w:rFonts w:ascii="宋体" w:hAnsi="宋体"/>
                <w:color w:val="auto"/>
                <w:highlight w:val="none"/>
              </w:rPr>
            </w:pPr>
            <w:r>
              <w:rPr>
                <w:rFonts w:hint="eastAsia" w:ascii="宋体" w:hAnsi="宋体" w:eastAsia="宋体"/>
                <w:highlight w:val="none"/>
                <w:lang w:val="en-US" w:eastAsia="zh-CN"/>
              </w:rPr>
              <w:t>14</w:t>
            </w:r>
          </w:p>
        </w:tc>
        <w:tc>
          <w:tcPr>
            <w:tcW w:w="2249" w:type="dxa"/>
            <w:noWrap w:val="0"/>
            <w:vAlign w:val="center"/>
          </w:tcPr>
          <w:p w14:paraId="585BEC09">
            <w:pPr>
              <w:jc w:val="center"/>
              <w:rPr>
                <w:rFonts w:ascii="宋体" w:hAnsi="宋体"/>
                <w:color w:val="auto"/>
                <w:highlight w:val="none"/>
              </w:rPr>
            </w:pPr>
            <w:r>
              <w:rPr>
                <w:rFonts w:hint="eastAsia" w:ascii="宋体" w:hAnsi="宋体"/>
                <w:color w:val="auto"/>
                <w:highlight w:val="none"/>
                <w:lang w:val="en-US" w:eastAsia="zh-CN"/>
              </w:rPr>
              <w:t>投标保证金</w:t>
            </w:r>
          </w:p>
        </w:tc>
        <w:tc>
          <w:tcPr>
            <w:tcW w:w="6390" w:type="dxa"/>
            <w:noWrap w:val="0"/>
            <w:vAlign w:val="center"/>
          </w:tcPr>
          <w:p w14:paraId="606E16CD">
            <w:pPr>
              <w:pageBreakBefore w:val="0"/>
              <w:kinsoku/>
              <w:wordWrap/>
              <w:overflowPunct/>
              <w:topLinePunct w:val="0"/>
              <w:autoSpaceDE/>
              <w:autoSpaceDN/>
              <w:bidi w:val="0"/>
              <w:adjustRightInd/>
              <w:snapToGrid/>
              <w:spacing w:line="440" w:lineRule="exact"/>
              <w:ind w:left="0" w:leftChars="0"/>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sym w:font="Wingdings" w:char="00A8"/>
            </w:r>
            <w:r>
              <w:rPr>
                <w:rFonts w:hint="eastAsia" w:ascii="宋体" w:hAnsi="宋体" w:eastAsia="宋体" w:cs="宋体"/>
                <w:color w:val="auto"/>
                <w:sz w:val="21"/>
                <w:szCs w:val="21"/>
                <w:highlight w:val="none"/>
                <w:u w:val="none"/>
              </w:rPr>
              <w:t>不</w:t>
            </w:r>
            <w:r>
              <w:rPr>
                <w:rFonts w:hint="eastAsia" w:ascii="宋体" w:hAnsi="宋体" w:eastAsia="宋体" w:cs="宋体"/>
                <w:color w:val="auto"/>
                <w:sz w:val="21"/>
                <w:szCs w:val="21"/>
                <w:highlight w:val="none"/>
                <w:u w:val="none"/>
                <w:lang w:val="en-US" w:eastAsia="zh-CN"/>
              </w:rPr>
              <w:t>需要缴纳</w:t>
            </w:r>
          </w:p>
          <w:p w14:paraId="1552E904">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FE"/>
            </w:r>
            <w:r>
              <w:rPr>
                <w:rFonts w:hint="eastAsia" w:ascii="宋体" w:hAnsi="宋体" w:eastAsia="宋体" w:cs="Times New Roman"/>
                <w:color w:val="auto"/>
                <w:highlight w:val="none"/>
                <w:lang w:val="en-US" w:eastAsia="zh-CN"/>
              </w:rPr>
              <w:t>需要缴纳，</w:t>
            </w:r>
          </w:p>
          <w:p w14:paraId="14DF7BF2">
            <w:pPr>
              <w:ind w:firstLine="420" w:firstLineChars="20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投标保证金金额：</w:t>
            </w:r>
          </w:p>
          <w:p w14:paraId="535BA37E">
            <w:pPr>
              <w:ind w:firstLine="420" w:firstLineChars="200"/>
              <w:jc w:val="left"/>
              <w:rPr>
                <w:rFonts w:hint="default" w:ascii="宋体" w:hAnsi="宋体" w:eastAsia="宋体" w:cs="Times New Roman"/>
                <w:color w:val="FF0000"/>
                <w:kern w:val="2"/>
                <w:sz w:val="21"/>
                <w:szCs w:val="21"/>
                <w:highlight w:val="none"/>
                <w:lang w:val="en-US" w:eastAsia="zh-CN" w:bidi="ar-SA"/>
              </w:rPr>
            </w:pPr>
            <w:r>
              <w:rPr>
                <w:rFonts w:hint="eastAsia" w:ascii="宋体" w:hAnsi="宋体" w:eastAsia="宋体" w:cs="Times New Roman"/>
                <w:color w:val="FF0000"/>
                <w:highlight w:val="none"/>
                <w:lang w:val="en-US" w:eastAsia="zh-CN"/>
              </w:rPr>
              <w:t xml:space="preserve">大写：贰万元整；小写：20000元 </w:t>
            </w:r>
          </w:p>
          <w:p w14:paraId="40A80669">
            <w:pPr>
              <w:ind w:firstLine="420" w:firstLineChars="200"/>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投标保证金缴纳形式：供应商自主选择以电汇、网银、支票、汇票、本票或者金融机构、担保机构出具的保函等非现金形式提交投标保证金。以保函形式（银行保函、担保保函）提交的，保函有效期开具不少于4个月。 以电子保函形式提交的，请登录政府采购云平台-金融服务中心-保险保函服务，进行在线保函申请、受理、费用支付。</w:t>
            </w:r>
          </w:p>
          <w:p w14:paraId="4D381E49">
            <w:pPr>
              <w:ind w:firstLine="420" w:firstLineChars="200"/>
              <w:jc w:val="left"/>
              <w:rPr>
                <w:rFonts w:hint="default" w:ascii="宋体" w:hAnsi="宋体" w:eastAsia="宋体" w:cs="Times New Roman"/>
                <w:b/>
                <w:bCs/>
                <w:color w:val="auto"/>
                <w:highlight w:val="none"/>
                <w:lang w:val="en-US" w:eastAsia="zh-CN"/>
              </w:rPr>
            </w:pPr>
            <w:r>
              <w:rPr>
                <w:rFonts w:hint="eastAsia" w:ascii="宋体" w:hAnsi="宋体" w:eastAsia="宋体" w:cs="Times New Roman"/>
                <w:color w:val="auto"/>
                <w:highlight w:val="none"/>
                <w:lang w:val="en-US" w:eastAsia="zh-CN"/>
              </w:rPr>
              <w:t>供应商须在汇款凭证上的用途栏注明所投标的项目名称或项目编号，</w:t>
            </w:r>
            <w:r>
              <w:rPr>
                <w:rFonts w:hint="eastAsia" w:ascii="宋体" w:hAnsi="宋体" w:eastAsia="宋体" w:cs="Times New Roman"/>
                <w:b/>
                <w:bCs/>
                <w:color w:val="FF0000"/>
                <w:highlight w:val="none"/>
                <w:lang w:val="en-US" w:eastAsia="zh-CN"/>
              </w:rPr>
              <w:t>标准格式为：BZZZZX(GK)2026-008号投标保证金</w:t>
            </w:r>
            <w:r>
              <w:rPr>
                <w:rFonts w:hint="eastAsia" w:ascii="宋体" w:hAnsi="宋体" w:eastAsia="宋体" w:cs="Times New Roman"/>
                <w:b/>
                <w:bCs/>
                <w:color w:val="auto"/>
                <w:highlight w:val="none"/>
                <w:lang w:val="en-US" w:eastAsia="zh-CN"/>
              </w:rPr>
              <w:t>。</w:t>
            </w:r>
          </w:p>
          <w:p w14:paraId="4643E7F0">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（1）账户名称：巴音郭楞蒙古自治州政务服务和公共资源交易中心</w:t>
            </w:r>
          </w:p>
          <w:p w14:paraId="0589F04E">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开户银行：中国工商银行股份有限公司库尔勒香梨大道支行</w:t>
            </w:r>
          </w:p>
          <w:p w14:paraId="35E0051A">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银行行号：102888000216</w:t>
            </w:r>
          </w:p>
          <w:p w14:paraId="03581500">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银行账号：3010029129200100817-000000004</w:t>
            </w:r>
          </w:p>
          <w:p w14:paraId="708242D7">
            <w:pPr>
              <w:jc w:val="left"/>
              <w:rPr>
                <w:rFonts w:hint="eastAsia" w:ascii="宋体" w:hAnsi="宋体" w:eastAsia="宋体" w:cs="Times New Roman"/>
                <w:b/>
                <w:bCs/>
                <w:color w:val="auto"/>
                <w:highlight w:val="none"/>
                <w:lang w:val="en-US" w:eastAsia="zh-CN"/>
              </w:rPr>
            </w:pPr>
            <w:r>
              <w:rPr>
                <w:rFonts w:hint="eastAsia" w:ascii="宋体" w:hAnsi="宋体" w:eastAsia="宋体" w:cs="Times New Roman"/>
                <w:color w:val="auto"/>
                <w:highlight w:val="none"/>
                <w:lang w:val="en-US" w:eastAsia="zh-CN"/>
              </w:rPr>
              <w:t>供应商应于</w:t>
            </w:r>
            <w:r>
              <w:rPr>
                <w:rFonts w:hint="eastAsia" w:ascii="宋体" w:hAnsi="宋体" w:eastAsia="宋体" w:cs="Times New Roman"/>
                <w:color w:val="FF0000"/>
                <w:highlight w:val="none"/>
                <w:lang w:val="en-US" w:eastAsia="zh-CN"/>
              </w:rPr>
              <w:t>2026年</w:t>
            </w:r>
            <w:r>
              <w:rPr>
                <w:rFonts w:hint="eastAsia" w:ascii="宋体" w:hAnsi="宋体" w:cs="Times New Roman"/>
                <w:color w:val="FF0000"/>
                <w:highlight w:val="none"/>
                <w:lang w:val="en-US" w:eastAsia="zh-CN"/>
              </w:rPr>
              <w:t>5</w:t>
            </w:r>
            <w:r>
              <w:rPr>
                <w:rFonts w:hint="eastAsia" w:ascii="宋体" w:hAnsi="宋体" w:eastAsia="宋体" w:cs="Times New Roman"/>
                <w:color w:val="FF0000"/>
                <w:highlight w:val="none"/>
                <w:lang w:val="en-US" w:eastAsia="zh-CN"/>
              </w:rPr>
              <w:t>月</w:t>
            </w:r>
            <w:r>
              <w:rPr>
                <w:rFonts w:hint="eastAsia" w:ascii="宋体" w:hAnsi="宋体" w:cs="Times New Roman"/>
                <w:color w:val="FF0000"/>
                <w:highlight w:val="none"/>
                <w:lang w:val="en-US" w:eastAsia="zh-CN"/>
              </w:rPr>
              <w:t>7</w:t>
            </w:r>
            <w:r>
              <w:rPr>
                <w:rFonts w:hint="eastAsia" w:ascii="宋体" w:hAnsi="宋体" w:eastAsia="宋体" w:cs="Times New Roman"/>
                <w:color w:val="FF0000"/>
                <w:highlight w:val="none"/>
                <w:lang w:val="en-US" w:eastAsia="zh-CN"/>
              </w:rPr>
              <w:t>日 上午10：30 时前（北京时间）</w:t>
            </w:r>
            <w:r>
              <w:rPr>
                <w:rFonts w:hint="eastAsia" w:ascii="宋体" w:hAnsi="宋体" w:eastAsia="宋体" w:cs="Times New Roman"/>
                <w:color w:val="auto"/>
                <w:highlight w:val="none"/>
                <w:lang w:val="en-US" w:eastAsia="zh-CN"/>
              </w:rPr>
              <w:t>将投标保证金缴纳至集采机构指定账户（选择上述任意一家银行），非现金形式的电汇、网银支付等方式必须从供应商的基本账户汇出(个体工商户除外)。</w:t>
            </w:r>
          </w:p>
          <w:p w14:paraId="1107D860">
            <w:pPr>
              <w:jc w:val="left"/>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备注：</w:t>
            </w:r>
          </w:p>
          <w:p w14:paraId="3745B105">
            <w:pPr>
              <w:ind w:firstLine="420" w:firstLineChars="200"/>
              <w:jc w:val="left"/>
              <w:rPr>
                <w:rFonts w:hint="eastAsia" w:ascii="宋体" w:hAnsi="宋体"/>
              </w:rPr>
            </w:pPr>
            <w:r>
              <w:rPr>
                <w:rFonts w:hint="eastAsia" w:ascii="宋体" w:hAnsi="宋体"/>
              </w:rPr>
              <w:t>1.投标保证金/电子保函未按规定时间缴纳或提交金额（担保金额）不足的，将被视为无效投标,其投标文件将不予接受（供应商应充分考虑资金在途时间）；</w:t>
            </w:r>
          </w:p>
          <w:p w14:paraId="73DB05EE">
            <w:pPr>
              <w:ind w:firstLine="420" w:firstLineChars="200"/>
              <w:jc w:val="left"/>
              <w:rPr>
                <w:rFonts w:hint="eastAsia" w:ascii="宋体" w:hAnsi="宋体"/>
              </w:rPr>
            </w:pPr>
            <w:r>
              <w:rPr>
                <w:rFonts w:hint="eastAsia" w:ascii="宋体" w:hAnsi="宋体"/>
              </w:rPr>
              <w:t>2.未中标供应商的投标保证金自中标通知书发出之日起5个工作日内原路退还；</w:t>
            </w:r>
          </w:p>
          <w:p w14:paraId="4265C1CF">
            <w:pPr>
              <w:ind w:firstLine="420" w:firstLineChars="200"/>
              <w:jc w:val="left"/>
              <w:rPr>
                <w:rFonts w:hint="eastAsia"/>
                <w:color w:val="auto"/>
                <w:highlight w:val="none"/>
                <w:lang w:val="en-US" w:eastAsia="zh-CN"/>
              </w:rPr>
            </w:pPr>
            <w:r>
              <w:rPr>
                <w:rFonts w:hint="eastAsia" w:ascii="宋体" w:hAnsi="宋体"/>
                <w:lang w:val="en-US" w:eastAsia="zh-CN"/>
              </w:rPr>
              <w:t>3.</w:t>
            </w:r>
            <w:r>
              <w:rPr>
                <w:rFonts w:hint="eastAsia" w:ascii="宋体" w:hAnsi="宋体"/>
                <w:b/>
                <w:bCs/>
                <w:color w:val="FF0000"/>
              </w:rPr>
              <w:t>中标供应商</w:t>
            </w:r>
            <w:r>
              <w:rPr>
                <w:rFonts w:hint="eastAsia" w:ascii="宋体" w:hAnsi="宋体"/>
                <w:lang w:val="en-US" w:eastAsia="zh-CN"/>
              </w:rPr>
              <w:t>需在30日内</w:t>
            </w:r>
            <w:r>
              <w:rPr>
                <w:rFonts w:hint="eastAsia" w:ascii="宋体" w:hAnsi="宋体"/>
              </w:rPr>
              <w:t>签订合同后，</w:t>
            </w:r>
            <w:r>
              <w:rPr>
                <w:rFonts w:hint="eastAsia" w:ascii="宋体" w:hAnsi="宋体"/>
                <w:lang w:val="en-US" w:eastAsia="zh-CN"/>
              </w:rPr>
              <w:t>递交</w:t>
            </w:r>
            <w:r>
              <w:rPr>
                <w:rFonts w:hint="eastAsia" w:ascii="宋体" w:hAnsi="宋体"/>
                <w:b/>
                <w:bCs/>
                <w:color w:val="FF0000"/>
                <w:lang w:val="en-US" w:eastAsia="zh-CN"/>
              </w:rPr>
              <w:t>合同原件</w:t>
            </w:r>
            <w:r>
              <w:rPr>
                <w:rFonts w:hint="eastAsia" w:ascii="宋体" w:hAnsi="宋体"/>
                <w:lang w:val="en-US" w:eastAsia="zh-CN"/>
              </w:rPr>
              <w:t>一份至</w:t>
            </w:r>
            <w:r>
              <w:rPr>
                <w:rFonts w:hint="eastAsia" w:ascii="宋体" w:hAnsi="宋体"/>
              </w:rPr>
              <w:t>我中心</w:t>
            </w:r>
            <w:r>
              <w:rPr>
                <w:rFonts w:hint="eastAsia" w:ascii="宋体" w:hAnsi="宋体"/>
                <w:lang w:eastAsia="zh-CN"/>
              </w:rPr>
              <w:t>，</w:t>
            </w:r>
            <w:r>
              <w:rPr>
                <w:rFonts w:hint="eastAsia" w:ascii="宋体" w:hAnsi="宋体"/>
                <w:lang w:val="en-US" w:eastAsia="zh-CN"/>
              </w:rPr>
              <w:t>我中心</w:t>
            </w:r>
            <w:r>
              <w:rPr>
                <w:rFonts w:hint="eastAsia" w:ascii="宋体" w:hAnsi="宋体"/>
              </w:rPr>
              <w:t>自收到材料之日起5个工作日内原路退还投标保证金。</w:t>
            </w:r>
          </w:p>
        </w:tc>
      </w:tr>
      <w:tr w14:paraId="23297A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14:paraId="73CD2850">
            <w:pPr>
              <w:jc w:val="center"/>
              <w:rPr>
                <w:rFonts w:hint="default" w:ascii="宋体" w:hAnsi="宋体" w:eastAsia="宋体"/>
                <w:color w:val="auto"/>
                <w:highlight w:val="none"/>
                <w:lang w:val="en-US" w:eastAsia="zh-CN"/>
              </w:rPr>
            </w:pPr>
            <w:r>
              <w:rPr>
                <w:rFonts w:hint="eastAsia" w:ascii="宋体" w:hAnsi="宋体"/>
                <w:highlight w:val="none"/>
                <w:lang w:val="en-US" w:eastAsia="zh-CN"/>
              </w:rPr>
              <w:t>15</w:t>
            </w:r>
          </w:p>
        </w:tc>
        <w:tc>
          <w:tcPr>
            <w:tcW w:w="2249" w:type="dxa"/>
            <w:noWrap w:val="0"/>
            <w:vAlign w:val="center"/>
          </w:tcPr>
          <w:p w14:paraId="78FEB0E4">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履约保证金</w:t>
            </w:r>
          </w:p>
        </w:tc>
        <w:tc>
          <w:tcPr>
            <w:tcW w:w="6390" w:type="dxa"/>
            <w:noWrap w:val="0"/>
            <w:vAlign w:val="center"/>
          </w:tcPr>
          <w:p w14:paraId="72A17D25">
            <w:pPr>
              <w:jc w:val="lef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FE"/>
            </w:r>
            <w:r>
              <w:rPr>
                <w:rFonts w:hint="eastAsia" w:ascii="宋体" w:hAnsi="宋体" w:eastAsia="宋体" w:cs="Times New Roman"/>
                <w:color w:val="auto"/>
                <w:highlight w:val="none"/>
                <w:lang w:val="en-US" w:eastAsia="zh-CN"/>
              </w:rPr>
              <w:t>不需要缴纳</w:t>
            </w:r>
          </w:p>
          <w:p w14:paraId="3DD89C0F">
            <w:pPr>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sym w:font="Wingdings" w:char="00A8"/>
            </w:r>
            <w:r>
              <w:rPr>
                <w:rFonts w:hint="eastAsia" w:ascii="宋体" w:hAnsi="宋体" w:eastAsia="宋体" w:cs="Times New Roman"/>
                <w:color w:val="auto"/>
                <w:highlight w:val="none"/>
                <w:lang w:val="en-US" w:eastAsia="zh-CN"/>
              </w:rPr>
              <w:t>需要缴纳</w:t>
            </w:r>
          </w:p>
        </w:tc>
      </w:tr>
      <w:tr w14:paraId="2897C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14:paraId="5A68F50B">
            <w:pPr>
              <w:jc w:val="center"/>
              <w:rPr>
                <w:rFonts w:hint="default" w:ascii="宋体" w:hAnsi="宋体"/>
                <w:color w:val="auto"/>
                <w:highlight w:val="none"/>
                <w:lang w:val="en-US" w:eastAsia="zh-CN"/>
              </w:rPr>
            </w:pPr>
            <w:r>
              <w:rPr>
                <w:rFonts w:hint="eastAsia" w:ascii="宋体" w:hAnsi="宋体"/>
                <w:highlight w:val="none"/>
                <w:lang w:val="en-US" w:eastAsia="zh-CN"/>
              </w:rPr>
              <w:t>16</w:t>
            </w:r>
          </w:p>
        </w:tc>
        <w:tc>
          <w:tcPr>
            <w:tcW w:w="2249" w:type="dxa"/>
            <w:noWrap w:val="0"/>
            <w:vAlign w:val="center"/>
          </w:tcPr>
          <w:p w14:paraId="2FFC86EA">
            <w:pPr>
              <w:jc w:val="center"/>
              <w:rPr>
                <w:rFonts w:hint="default" w:ascii="宋体" w:hAnsi="宋体"/>
                <w:color w:val="auto"/>
                <w:highlight w:val="none"/>
                <w:lang w:val="en-US" w:eastAsia="zh-CN"/>
              </w:rPr>
            </w:pPr>
            <w:r>
              <w:rPr>
                <w:rFonts w:hint="eastAsia" w:ascii="宋体" w:hAnsi="宋体"/>
                <w:color w:val="auto"/>
                <w:highlight w:val="none"/>
                <w:lang w:val="en-US" w:eastAsia="zh-CN"/>
              </w:rPr>
              <w:t>付款方式</w:t>
            </w:r>
          </w:p>
        </w:tc>
        <w:tc>
          <w:tcPr>
            <w:tcW w:w="6390" w:type="dxa"/>
            <w:noWrap w:val="0"/>
            <w:vAlign w:val="center"/>
          </w:tcPr>
          <w:p w14:paraId="76A99F9F">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付款进度</w:t>
            </w:r>
          </w:p>
          <w:p w14:paraId="2A36ADB6">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合同签订后，甲方向乙方支付合同价款的30%作为预付款。</w:t>
            </w:r>
          </w:p>
          <w:p w14:paraId="38897D55">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所有货物到达</w:t>
            </w:r>
            <w:r>
              <w:rPr>
                <w:rFonts w:hint="eastAsia" w:ascii="宋体" w:hAnsi="宋体" w:eastAsia="宋体" w:cs="宋体"/>
                <w:b w:val="0"/>
                <w:bCs w:val="0"/>
                <w:color w:val="auto"/>
                <w:sz w:val="21"/>
                <w:szCs w:val="21"/>
                <w:highlight w:val="none"/>
                <w:lang w:val="en-US" w:eastAsia="zh-CN"/>
              </w:rPr>
              <w:t>指定安装</w:t>
            </w:r>
            <w:r>
              <w:rPr>
                <w:rFonts w:hint="eastAsia" w:ascii="宋体" w:hAnsi="宋体" w:eastAsia="宋体" w:cs="宋体"/>
                <w:b w:val="0"/>
                <w:bCs w:val="0"/>
                <w:color w:val="auto"/>
                <w:sz w:val="21"/>
                <w:szCs w:val="21"/>
                <w:highlight w:val="none"/>
              </w:rPr>
              <w:t>现场并安装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调试完成，甲方向乙方支付合同价款的30%。</w:t>
            </w:r>
          </w:p>
          <w:p w14:paraId="59B60E73">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竣工验收合格后，甲方向乙方支付合同价款的</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w:t>
            </w:r>
          </w:p>
          <w:p w14:paraId="05639C56">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关于结算</w:t>
            </w:r>
          </w:p>
          <w:p w14:paraId="1192B03A">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本项目在实施过程中，</w:t>
            </w:r>
            <w:r>
              <w:rPr>
                <w:rFonts w:hint="eastAsia" w:ascii="宋体" w:hAnsi="宋体" w:eastAsia="宋体" w:cs="宋体"/>
                <w:b w:val="0"/>
                <w:bCs w:val="0"/>
                <w:color w:val="auto"/>
                <w:sz w:val="21"/>
                <w:szCs w:val="21"/>
                <w:highlight w:val="none"/>
                <w:lang w:val="en-US" w:eastAsia="zh-CN"/>
              </w:rPr>
              <w:t>根据现场实际情况，合理</w:t>
            </w:r>
            <w:r>
              <w:rPr>
                <w:rFonts w:hint="eastAsia" w:ascii="宋体" w:hAnsi="宋体" w:eastAsia="宋体" w:cs="宋体"/>
                <w:b w:val="0"/>
                <w:bCs w:val="0"/>
                <w:color w:val="auto"/>
                <w:sz w:val="21"/>
                <w:szCs w:val="21"/>
                <w:highlight w:val="none"/>
              </w:rPr>
              <w:t>变更部分的工作量包含在中标价中，合同价款不予调整。</w:t>
            </w:r>
          </w:p>
          <w:p w14:paraId="78B49E8F">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双方存在异议的费用，在异议未解决前，暂缓有异议部分费用的结算。</w:t>
            </w:r>
          </w:p>
          <w:p w14:paraId="4E41F866">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依照合同规定，需对乙方追究违约责任的，其费用从乙方结算的费用中扣除。</w:t>
            </w:r>
          </w:p>
          <w:p w14:paraId="015042FC">
            <w:pPr>
              <w:jc w:val="left"/>
              <w:rPr>
                <w:rFonts w:hint="default" w:ascii="宋体" w:hAnsi="宋体" w:eastAsia="宋体" w:cs="Times New Roman"/>
                <w:color w:val="auto"/>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项目变更调整的合同价款及其他条款中约定的追加合同价款，应与项目款（进度款）同期调整结算。</w:t>
            </w:r>
          </w:p>
        </w:tc>
      </w:tr>
    </w:tbl>
    <w:p w14:paraId="5949599F">
      <w:pPr>
        <w:jc w:val="left"/>
        <w:rPr>
          <w:rFonts w:hint="eastAsia"/>
          <w:color w:val="auto"/>
          <w:szCs w:val="21"/>
          <w:highlight w:val="none"/>
        </w:rPr>
      </w:pPr>
    </w:p>
    <w:p w14:paraId="45945137">
      <w:pPr>
        <w:jc w:val="left"/>
        <w:rPr>
          <w:b/>
          <w:color w:val="auto"/>
          <w:highlight w:val="none"/>
        </w:rPr>
      </w:pPr>
      <w:r>
        <w:rPr>
          <w:rFonts w:hint="eastAsia"/>
          <w:color w:val="auto"/>
          <w:szCs w:val="21"/>
          <w:highlight w:val="none"/>
        </w:rPr>
        <w:t>备注：本表是通用条款相关条款的补充和明确，如与通用条款内容相冲突的，以本表为准。</w:t>
      </w:r>
    </w:p>
    <w:p w14:paraId="0C015014">
      <w:pPr>
        <w:rPr>
          <w:b/>
          <w:color w:val="auto"/>
          <w:highlight w:val="none"/>
        </w:rPr>
      </w:pPr>
    </w:p>
    <w:p w14:paraId="780B34A6">
      <w:pPr>
        <w:pStyle w:val="7"/>
        <w:rPr>
          <w:rFonts w:hint="eastAsia" w:ascii="方正小标宋_GBK" w:hAnsi="方正小标宋_GBK" w:eastAsia="方正小标宋_GBK" w:cs="方正小标宋_GBK"/>
          <w:b/>
          <w:bCs w:val="0"/>
          <w:color w:val="auto"/>
          <w:sz w:val="32"/>
          <w:szCs w:val="32"/>
          <w:highlight w:val="none"/>
        </w:rPr>
      </w:pPr>
      <w:r>
        <w:rPr>
          <w:rFonts w:hint="eastAsia" w:ascii="方正小标宋_GBK" w:hAnsi="方正小标宋_GBK" w:eastAsia="方正小标宋_GBK" w:cs="方正小标宋_GBK"/>
          <w:b/>
          <w:bCs w:val="0"/>
          <w:color w:val="auto"/>
          <w:sz w:val="32"/>
          <w:szCs w:val="32"/>
          <w:highlight w:val="none"/>
        </w:rPr>
        <w:t>二、其他关键信息</w:t>
      </w:r>
    </w:p>
    <w:p w14:paraId="0FD53C9C">
      <w:pPr>
        <w:ind w:firstLine="422" w:firstLineChars="200"/>
        <w:rPr>
          <w:b/>
          <w:bCs/>
          <w:color w:val="auto"/>
          <w:highlight w:val="none"/>
        </w:rPr>
      </w:pPr>
      <w:r>
        <w:rPr>
          <w:rFonts w:hint="eastAsia"/>
          <w:b/>
          <w:bCs/>
          <w:color w:val="auto"/>
          <w:highlight w:val="none"/>
        </w:rPr>
        <w:t>（一）与“对通用条款的补充内容”章节相关的事项</w:t>
      </w:r>
    </w:p>
    <w:p w14:paraId="1E862043">
      <w:pPr>
        <w:ind w:firstLine="422" w:firstLineChars="200"/>
        <w:rPr>
          <w:b/>
          <w:bCs/>
          <w:color w:val="auto"/>
          <w:highlight w:val="none"/>
        </w:rPr>
      </w:pPr>
    </w:p>
    <w:tbl>
      <w:tblPr>
        <w:tblStyle w:val="40"/>
        <w:tblpPr w:leftFromText="180" w:rightFromText="180" w:vertAnchor="text" w:horzAnchor="page" w:tblpX="1270" w:tblpY="313"/>
        <w:tblOverlap w:val="never"/>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5946"/>
      </w:tblGrid>
      <w:tr w14:paraId="2ABBB845">
        <w:tblPrEx>
          <w:tblCellMar>
            <w:top w:w="0" w:type="dxa"/>
            <w:left w:w="108" w:type="dxa"/>
            <w:bottom w:w="0" w:type="dxa"/>
            <w:right w:w="108" w:type="dxa"/>
          </w:tblCellMar>
        </w:tblPrEx>
        <w:trPr>
          <w:trHeight w:val="637" w:hRule="atLeast"/>
        </w:trPr>
        <w:tc>
          <w:tcPr>
            <w:tcW w:w="1671" w:type="pct"/>
            <w:noWrap w:val="0"/>
            <w:vAlign w:val="top"/>
          </w:tcPr>
          <w:p w14:paraId="6BD6F936">
            <w:pPr>
              <w:jc w:val="both"/>
              <w:rPr>
                <w:rFonts w:hint="eastAsia"/>
                <w:color w:val="auto"/>
                <w:highlight w:val="none"/>
                <w:lang w:val="en-US" w:eastAsia="zh-CN"/>
              </w:rPr>
            </w:pPr>
            <w:bookmarkStart w:id="49" w:name="_Hlk72579465"/>
          </w:p>
          <w:p w14:paraId="00A81A33">
            <w:pPr>
              <w:ind w:firstLine="630" w:firstLineChars="300"/>
              <w:jc w:val="both"/>
              <w:rPr>
                <w:rFonts w:hint="default" w:eastAsia="宋体"/>
                <w:color w:val="auto"/>
                <w:highlight w:val="none"/>
                <w:lang w:val="en-US" w:eastAsia="zh-CN"/>
              </w:rPr>
            </w:pPr>
            <w:r>
              <w:rPr>
                <w:rFonts w:hint="eastAsia"/>
                <w:color w:val="auto"/>
                <w:highlight w:val="none"/>
                <w:lang w:val="en-US" w:eastAsia="zh-CN"/>
              </w:rPr>
              <w:t>评审专家组建及抽取</w:t>
            </w:r>
          </w:p>
        </w:tc>
        <w:tc>
          <w:tcPr>
            <w:tcW w:w="3328" w:type="pct"/>
            <w:noWrap w:val="0"/>
            <w:vAlign w:val="top"/>
          </w:tcPr>
          <w:p w14:paraId="05F8833E">
            <w:pPr>
              <w:pStyle w:val="16"/>
              <w:ind w:firstLine="420" w:firstLineChars="200"/>
              <w:jc w:val="both"/>
              <w:rPr>
                <w:rFonts w:ascii="Times New Roman"/>
                <w:color w:val="auto"/>
                <w:kern w:val="2"/>
                <w:sz w:val="21"/>
                <w:szCs w:val="24"/>
                <w:highlight w:val="none"/>
              </w:rPr>
            </w:pPr>
            <w:r>
              <w:rPr>
                <w:rFonts w:hint="eastAsia" w:ascii="宋体" w:hAnsi="宋体" w:eastAsia="宋体" w:cs="宋体"/>
                <w:color w:val="auto"/>
                <w:sz w:val="21"/>
                <w:szCs w:val="21"/>
                <w:highlight w:val="none"/>
                <w:u w:val="none"/>
                <w:lang w:val="en-US" w:eastAsia="zh-CN"/>
              </w:rPr>
              <w:t>专家抽取</w:t>
            </w:r>
            <w:r>
              <w:rPr>
                <w:rFonts w:hint="eastAsia" w:ascii="宋体" w:hAnsi="宋体" w:eastAsia="宋体" w:cs="宋体"/>
                <w:color w:val="auto"/>
                <w:sz w:val="21"/>
                <w:szCs w:val="21"/>
                <w:highlight w:val="none"/>
                <w:u w:val="none"/>
              </w:rPr>
              <w:t>共</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人，其中采购人代表1人，政采云</w:t>
            </w:r>
            <w:r>
              <w:rPr>
                <w:rFonts w:hint="eastAsia" w:ascii="宋体" w:hAnsi="宋体" w:eastAsia="宋体" w:cs="宋体"/>
                <w:color w:val="auto"/>
                <w:sz w:val="21"/>
                <w:szCs w:val="21"/>
                <w:highlight w:val="none"/>
                <w:u w:val="none"/>
                <w:lang w:val="en-US" w:eastAsia="zh-CN"/>
              </w:rPr>
              <w:t>评标</w:t>
            </w:r>
            <w:r>
              <w:rPr>
                <w:rFonts w:hint="eastAsia" w:ascii="宋体" w:hAnsi="宋体" w:eastAsia="宋体" w:cs="宋体"/>
                <w:color w:val="auto"/>
                <w:sz w:val="21"/>
                <w:szCs w:val="21"/>
                <w:highlight w:val="none"/>
                <w:u w:val="none"/>
              </w:rPr>
              <w:t>专家库中随机抽取</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人</w:t>
            </w:r>
            <w:r>
              <w:rPr>
                <w:rFonts w:hint="eastAsia" w:ascii="宋体" w:hAnsi="宋体" w:eastAsia="宋体" w:cs="宋体"/>
                <w:color w:val="auto"/>
                <w:sz w:val="21"/>
                <w:szCs w:val="21"/>
                <w:highlight w:val="none"/>
                <w:u w:val="none"/>
                <w:lang w:val="en-US" w:eastAsia="zh-CN"/>
              </w:rPr>
              <w:t xml:space="preserve"> </w:t>
            </w:r>
          </w:p>
        </w:tc>
      </w:tr>
      <w:tr w14:paraId="011A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71" w:type="pct"/>
            <w:noWrap w:val="0"/>
            <w:vAlign w:val="top"/>
          </w:tcPr>
          <w:p w14:paraId="31706677">
            <w:pPr>
              <w:jc w:val="center"/>
              <w:rPr>
                <w:rFonts w:hint="eastAsia"/>
                <w:color w:val="auto"/>
                <w:kern w:val="2"/>
                <w:sz w:val="21"/>
                <w:szCs w:val="21"/>
                <w:highlight w:val="none"/>
                <w:lang w:val="en-US" w:eastAsia="zh-CN" w:bidi="ar-SA"/>
              </w:rPr>
            </w:pPr>
            <w:r>
              <w:rPr>
                <w:rFonts w:hint="eastAsia"/>
                <w:color w:val="auto"/>
                <w:highlight w:val="none"/>
              </w:rPr>
              <w:t>评标方法</w:t>
            </w:r>
          </w:p>
        </w:tc>
        <w:tc>
          <w:tcPr>
            <w:tcW w:w="3328" w:type="pct"/>
            <w:noWrap w:val="0"/>
            <w:vAlign w:val="top"/>
          </w:tcPr>
          <w:p w14:paraId="5BFF836E">
            <w:pPr>
              <w:pStyle w:val="16"/>
              <w:jc w:val="center"/>
              <w:rPr>
                <w:rFonts w:hint="eastAsia" w:ascii="Times New Roman"/>
                <w:color w:val="auto"/>
                <w:kern w:val="2"/>
                <w:sz w:val="21"/>
                <w:szCs w:val="24"/>
                <w:highlight w:val="none"/>
                <w:lang w:val="en-US" w:eastAsia="zh-CN" w:bidi="ar-SA"/>
              </w:rPr>
            </w:pPr>
            <w:r>
              <w:rPr>
                <w:rFonts w:hint="eastAsia" w:ascii="Times New Roman"/>
                <w:color w:val="auto"/>
                <w:kern w:val="2"/>
                <w:sz w:val="21"/>
                <w:szCs w:val="24"/>
                <w:highlight w:val="none"/>
              </w:rPr>
              <w:t>综合评分法</w:t>
            </w:r>
          </w:p>
        </w:tc>
      </w:tr>
      <w:tr w14:paraId="297B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71" w:type="pct"/>
            <w:noWrap w:val="0"/>
            <w:vAlign w:val="top"/>
          </w:tcPr>
          <w:p w14:paraId="2515874E">
            <w:pPr>
              <w:jc w:val="center"/>
              <w:rPr>
                <w:rFonts w:hint="eastAsia"/>
                <w:color w:val="auto"/>
                <w:highlight w:val="none"/>
              </w:rPr>
            </w:pPr>
          </w:p>
          <w:p w14:paraId="32234896">
            <w:pPr>
              <w:jc w:val="center"/>
              <w:rPr>
                <w:color w:val="auto"/>
                <w:highlight w:val="none"/>
              </w:rPr>
            </w:pPr>
            <w:r>
              <w:rPr>
                <w:rFonts w:hint="eastAsia"/>
                <w:color w:val="auto"/>
                <w:highlight w:val="none"/>
              </w:rPr>
              <w:t>定标方法</w:t>
            </w:r>
          </w:p>
        </w:tc>
        <w:tc>
          <w:tcPr>
            <w:tcW w:w="3328" w:type="pct"/>
            <w:noWrap w:val="0"/>
            <w:vAlign w:val="top"/>
          </w:tcPr>
          <w:p w14:paraId="1760FA35">
            <w:pPr>
              <w:ind w:firstLine="420" w:firstLineChars="200"/>
              <w:jc w:val="both"/>
              <w:rPr>
                <w:rFonts w:hint="eastAsia" w:eastAsia="宋体"/>
                <w:color w:val="auto"/>
                <w:highlight w:val="none"/>
                <w:lang w:val="en-US" w:eastAsia="zh-CN"/>
              </w:rPr>
            </w:pPr>
            <w:r>
              <w:rPr>
                <w:rFonts w:hint="eastAsia"/>
                <w:color w:val="auto"/>
                <w:sz w:val="21"/>
                <w:szCs w:val="21"/>
                <w:highlight w:val="none"/>
              </w:rPr>
              <w:t>在最大限度地满足招标文件实质性要求的前提下，按照招标文件中规定的各项因素进行综合评审，评标总得分排名前列的投标人，作为推荐的候选中标供应商</w:t>
            </w:r>
            <w:r>
              <w:rPr>
                <w:rFonts w:hint="eastAsia"/>
                <w:color w:val="auto"/>
                <w:sz w:val="21"/>
                <w:szCs w:val="21"/>
                <w:highlight w:val="none"/>
                <w:lang w:eastAsia="zh-CN"/>
              </w:rPr>
              <w:t>。</w:t>
            </w:r>
          </w:p>
        </w:tc>
      </w:tr>
      <w:tr w14:paraId="4D74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71" w:type="pct"/>
            <w:noWrap w:val="0"/>
            <w:vAlign w:val="top"/>
          </w:tcPr>
          <w:p w14:paraId="06B76330">
            <w:pPr>
              <w:jc w:val="center"/>
              <w:rPr>
                <w:color w:val="auto"/>
                <w:highlight w:val="none"/>
              </w:rPr>
            </w:pPr>
            <w:r>
              <w:rPr>
                <w:rFonts w:hint="eastAsia"/>
                <w:color w:val="auto"/>
                <w:highlight w:val="none"/>
              </w:rPr>
              <w:t>候选中标供应商家数</w:t>
            </w:r>
          </w:p>
        </w:tc>
        <w:tc>
          <w:tcPr>
            <w:tcW w:w="3328" w:type="pct"/>
            <w:noWrap w:val="0"/>
            <w:vAlign w:val="top"/>
          </w:tcPr>
          <w:p w14:paraId="30D12E6A">
            <w:pPr>
              <w:jc w:val="center"/>
              <w:rPr>
                <w:color w:val="auto"/>
                <w:highlight w:val="none"/>
              </w:rPr>
            </w:pPr>
            <w:r>
              <w:rPr>
                <w:rFonts w:hint="eastAsia"/>
                <w:color w:val="auto"/>
                <w:highlight w:val="none"/>
              </w:rPr>
              <w:t>3</w:t>
            </w:r>
          </w:p>
        </w:tc>
      </w:tr>
      <w:tr w14:paraId="040E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71" w:type="pct"/>
            <w:noWrap w:val="0"/>
            <w:vAlign w:val="top"/>
          </w:tcPr>
          <w:p w14:paraId="3ED73BB2">
            <w:pPr>
              <w:jc w:val="center"/>
              <w:rPr>
                <w:color w:val="auto"/>
                <w:highlight w:val="none"/>
              </w:rPr>
            </w:pPr>
            <w:r>
              <w:rPr>
                <w:rFonts w:hint="eastAsia"/>
                <w:color w:val="auto"/>
                <w:highlight w:val="none"/>
              </w:rPr>
              <w:t>中标供应商家数</w:t>
            </w:r>
          </w:p>
        </w:tc>
        <w:tc>
          <w:tcPr>
            <w:tcW w:w="3328" w:type="pct"/>
            <w:noWrap w:val="0"/>
            <w:vAlign w:val="top"/>
          </w:tcPr>
          <w:p w14:paraId="6689C095">
            <w:pPr>
              <w:jc w:val="center"/>
              <w:rPr>
                <w:color w:val="auto"/>
                <w:highlight w:val="none"/>
              </w:rPr>
            </w:pPr>
            <w:r>
              <w:rPr>
                <w:rFonts w:hint="eastAsia"/>
                <w:color w:val="auto"/>
                <w:highlight w:val="none"/>
              </w:rPr>
              <w:t>1</w:t>
            </w:r>
          </w:p>
        </w:tc>
      </w:tr>
    </w:tbl>
    <w:p w14:paraId="1A99C73B">
      <w:pPr>
        <w:jc w:val="center"/>
        <w:rPr>
          <w:rFonts w:hint="default" w:eastAsia="宋体"/>
          <w:b/>
          <w:color w:val="auto"/>
          <w:highlight w:val="none"/>
          <w:lang w:val="en-US" w:eastAsia="zh-CN"/>
        </w:rPr>
      </w:pPr>
      <w:r>
        <w:rPr>
          <w:rFonts w:hint="eastAsia"/>
          <w:b/>
          <w:color w:val="auto"/>
          <w:highlight w:val="none"/>
        </w:rPr>
        <w:t>评</w:t>
      </w:r>
      <w:r>
        <w:rPr>
          <w:rFonts w:hint="eastAsia"/>
          <w:b/>
          <w:color w:val="auto"/>
          <w:highlight w:val="none"/>
          <w:lang w:val="en-US" w:eastAsia="zh-CN"/>
        </w:rPr>
        <w:t>标定标信息</w:t>
      </w:r>
    </w:p>
    <w:p w14:paraId="3889BFE8">
      <w:pPr>
        <w:ind w:firstLine="420" w:firstLineChars="200"/>
        <w:rPr>
          <w:color w:val="auto"/>
          <w:highlight w:val="none"/>
        </w:rPr>
      </w:pPr>
    </w:p>
    <w:p w14:paraId="04D85C38">
      <w:pPr>
        <w:spacing w:line="276" w:lineRule="auto"/>
        <w:ind w:firstLine="422" w:firstLineChars="200"/>
        <w:rPr>
          <w:rFonts w:hint="eastAsia" w:ascii="宋体" w:hAnsi="宋体" w:eastAsia="宋体"/>
          <w:b/>
          <w:color w:val="auto"/>
          <w:highlight w:val="none"/>
          <w:lang w:eastAsia="zh-CN"/>
        </w:rPr>
      </w:pPr>
      <w:r>
        <w:rPr>
          <w:rFonts w:hint="eastAsia" w:ascii="宋体" w:hAnsi="宋体"/>
          <w:b/>
          <w:color w:val="auto"/>
          <w:highlight w:val="none"/>
        </w:rPr>
        <w:t>投标报价要求</w:t>
      </w:r>
      <w:r>
        <w:rPr>
          <w:rFonts w:hint="eastAsia" w:ascii="宋体" w:hAnsi="宋体"/>
          <w:b/>
          <w:color w:val="auto"/>
          <w:highlight w:val="none"/>
          <w:lang w:eastAsia="zh-CN"/>
        </w:rPr>
        <w:t>：</w:t>
      </w:r>
    </w:p>
    <w:p w14:paraId="279085F5">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8C0EB88">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（2）投标人应充分了解项目基本情况及任何其它足以影响投标报价的情况，任何因忽视或误解项目情况而导致的索赔或服务期限延长申请将不获批准。</w:t>
      </w:r>
    </w:p>
    <w:p w14:paraId="37CB1B2B">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（3）投标报价超出财政预算，或者项目报价表中单个采购预算条目报价超过对应的财政预算的，投标将被否决。</w:t>
      </w:r>
    </w:p>
    <w:p w14:paraId="504B5DF0">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（4）合理评判供应商报价；</w:t>
      </w:r>
    </w:p>
    <w:p w14:paraId="27B0E5A2">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266C70E7">
      <w:p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若评标委员会成员对是否须由投标人作出报价合理性说明，以及书面说明是否采纳等判断不一致的，按照“少数服从多数”的原则确定评标委员会的意见。</w:t>
      </w:r>
      <w:bookmarkStart w:id="50" w:name="_Hlk81898283"/>
    </w:p>
    <w:p w14:paraId="0DA57B0E">
      <w:pPr>
        <w:numPr>
          <w:ilvl w:val="0"/>
          <w:numId w:val="5"/>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除政府采购合同继续履行将损害国家利益和社会公共利益外，双方当事人不得擅自变更、中止或者终止合同。</w:t>
      </w:r>
    </w:p>
    <w:p w14:paraId="451C2FC1">
      <w:pPr>
        <w:ind w:firstLine="422" w:firstLineChars="200"/>
        <w:rPr>
          <w:rFonts w:hint="default" w:ascii="Times New Roman" w:hAnsi="Times New Roman" w:eastAsia="宋体" w:cs="Times New Roman"/>
          <w:b/>
          <w:bCs/>
          <w:lang w:val="en-US" w:eastAsia="zh-CN"/>
        </w:rPr>
      </w:pPr>
      <w:r>
        <w:rPr>
          <w:rFonts w:hint="eastAsia" w:cs="Times New Roman"/>
          <w:b/>
          <w:bCs/>
          <w:lang w:val="en-US" w:eastAsia="zh-CN"/>
        </w:rPr>
        <w:t>针对</w:t>
      </w:r>
      <w:r>
        <w:rPr>
          <w:rFonts w:hint="eastAsia" w:ascii="Times New Roman" w:hAnsi="Times New Roman" w:eastAsia="宋体" w:cs="Times New Roman"/>
          <w:b/>
          <w:bCs/>
          <w:lang w:val="en-US" w:eastAsia="zh-CN"/>
        </w:rPr>
        <w:t>政府采购异常低价审查</w:t>
      </w:r>
      <w:r>
        <w:rPr>
          <w:rFonts w:hint="eastAsia" w:cs="Times New Roman"/>
          <w:b/>
          <w:bCs/>
          <w:lang w:val="en-US" w:eastAsia="zh-CN"/>
        </w:rPr>
        <w:t>要求：</w:t>
      </w:r>
    </w:p>
    <w:p w14:paraId="72126D8D">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政府采购评审中出现下列情形之一的，评审委员会应当启动异常低价投标（响应）审查程序：</w:t>
      </w:r>
    </w:p>
    <w:p w14:paraId="432D8F81">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1.投标（响应）报价低于全部通过符合性审查供应商投标（响应）报价平均值50%的，即投标（响应）报价&lt;全部通过符合性审查供应商投标（响应）报价平均值×50%；</w:t>
      </w:r>
    </w:p>
    <w:p w14:paraId="0DE214F4">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2.投标（响应）报价低于通过符合性审查的次低报价供应商投标（响应）报价50%的，即投标（响应）报价&lt;通过符合性审查的次低报价供应商投标（响应）报价×50%；</w:t>
      </w:r>
    </w:p>
    <w:p w14:paraId="1DD64B50">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3.投标（响应）报价低于采购项目最高限价45%的，即投标（响应）报价&lt;采购项目最高限价×45%；</w:t>
      </w:r>
    </w:p>
    <w:p w14:paraId="1B23EE19">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4.评审委员会基于专业判断，认为供应商报价过低，有可能影响产品质量或者不能诚信履约的其他情形。</w:t>
      </w:r>
    </w:p>
    <w:p w14:paraId="3B308402">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采购人可以结合具体项目实际情况，提高上述第1项至第3项中启动异常低价投标（响应）审查的数值标准，但是最高不得超过65%。</w:t>
      </w:r>
    </w:p>
    <w:p w14:paraId="0A126684">
      <w:pPr>
        <w:ind w:firstLine="420" w:firstLineChars="200"/>
        <w:rPr>
          <w:rFonts w:hint="eastAsia"/>
          <w:b/>
          <w:color w:val="auto"/>
          <w:highlight w:val="none"/>
        </w:rPr>
      </w:pPr>
      <w:r>
        <w:rPr>
          <w:rFonts w:hint="eastAsia" w:ascii="Times New Roman" w:hAnsi="Times New Roman" w:eastAsia="宋体" w:cs="Times New Roman"/>
          <w:lang w:val="en-US" w:eastAsia="zh-CN"/>
        </w:rPr>
        <w:t>相关法律法规对供应商报价有规定的，从其规定。</w:t>
      </w:r>
      <w:bookmarkEnd w:id="49"/>
      <w:bookmarkEnd w:id="50"/>
    </w:p>
    <w:p w14:paraId="7782AE64">
      <w:pPr>
        <w:ind w:firstLine="211" w:firstLineChars="100"/>
        <w:rPr>
          <w:b/>
          <w:bCs/>
          <w:color w:val="auto"/>
          <w:highlight w:val="none"/>
        </w:rPr>
      </w:pPr>
      <w:r>
        <w:rPr>
          <w:rFonts w:hint="eastAsia"/>
          <w:b/>
          <w:color w:val="auto"/>
          <w:highlight w:val="none"/>
        </w:rPr>
        <w:t>（二）其他事项</w:t>
      </w:r>
    </w:p>
    <w:p w14:paraId="361BBD20">
      <w:pPr>
        <w:ind w:firstLine="422" w:firstLineChars="200"/>
        <w:rPr>
          <w:b/>
          <w:bCs/>
          <w:color w:val="auto"/>
          <w:highlight w:val="none"/>
        </w:rPr>
      </w:pPr>
      <w:r>
        <w:rPr>
          <w:b/>
          <w:bCs/>
          <w:color w:val="auto"/>
          <w:highlight w:val="none"/>
        </w:rPr>
        <w:t>1</w:t>
      </w:r>
      <w:r>
        <w:rPr>
          <w:rFonts w:hint="eastAsia"/>
          <w:b/>
          <w:bCs/>
          <w:color w:val="auto"/>
          <w:highlight w:val="none"/>
        </w:rPr>
        <w:t>、关于享受优惠政策的主体及价格扣除比例</w:t>
      </w:r>
    </w:p>
    <w:p w14:paraId="319BDBD4">
      <w:pPr>
        <w:ind w:firstLine="420" w:firstLineChars="200"/>
        <w:rPr>
          <w:color w:val="auto"/>
          <w:highlight w:val="none"/>
        </w:rPr>
      </w:pPr>
      <w:r>
        <w:rPr>
          <w:rFonts w:hint="eastAsia" w:ascii="Times New Roman" w:hAnsi="Times New Roman" w:eastAsia="宋体" w:cs="Times New Roman"/>
          <w:color w:val="auto"/>
          <w:highlight w:val="none"/>
          <w:lang w:val="en-US" w:eastAsia="zh-CN"/>
        </w:rPr>
        <w:t>（1）专门面向中小企业采购项目（不享受价格扣除）；非专门面向中小企业采购项目，服务类、工程类项目投标人提供的服务全部均由优惠主体承接，货物类项目投标人提供的货物全部均由优惠主题承接，</w:t>
      </w:r>
      <w:r>
        <w:rPr>
          <w:rFonts w:hint="eastAsia"/>
          <w:color w:val="auto"/>
          <w:highlight w:val="none"/>
        </w:rPr>
        <w:t>则对其投标总价给予</w:t>
      </w:r>
      <w:r>
        <w:rPr>
          <w:rFonts w:hint="eastAsia"/>
          <w:b/>
          <w:bCs/>
          <w:color w:val="auto"/>
          <w:highlight w:val="none"/>
          <w:u w:val="single"/>
          <w:lang w:val="en-US" w:eastAsia="zh-CN"/>
        </w:rPr>
        <w:t xml:space="preserve"> 10 </w:t>
      </w:r>
      <w:r>
        <w:rPr>
          <w:b/>
          <w:bCs/>
          <w:color w:val="auto"/>
          <w:highlight w:val="none"/>
          <w:u w:val="single"/>
        </w:rPr>
        <w:t>%</w:t>
      </w:r>
      <w:r>
        <w:rPr>
          <w:rFonts w:hint="eastAsia" w:ascii="宋体" w:hAnsi="宋体"/>
          <w:b w:val="0"/>
          <w:bCs w:val="0"/>
          <w:color w:val="auto"/>
          <w:highlight w:val="none"/>
        </w:rPr>
        <w:t>（请在</w:t>
      </w:r>
      <w:r>
        <w:rPr>
          <w:rFonts w:hint="eastAsia" w:ascii="宋体" w:hAnsi="宋体"/>
          <w:b w:val="0"/>
          <w:bCs w:val="0"/>
          <w:color w:val="auto"/>
          <w:highlight w:val="none"/>
          <w:lang w:val="en-US" w:eastAsia="zh-CN"/>
        </w:rPr>
        <w:t xml:space="preserve">/ </w:t>
      </w:r>
      <w:r>
        <w:rPr>
          <w:rFonts w:ascii="宋体" w:hAnsi="宋体"/>
          <w:b w:val="0"/>
          <w:bCs w:val="0"/>
          <w:color w:val="auto"/>
          <w:highlight w:val="none"/>
        </w:rPr>
        <w:t>%-</w:t>
      </w:r>
      <w:r>
        <w:rPr>
          <w:rFonts w:hint="eastAsia" w:ascii="宋体" w:hAnsi="宋体"/>
          <w:b w:val="0"/>
          <w:bCs w:val="0"/>
          <w:color w:val="auto"/>
          <w:highlight w:val="none"/>
          <w:lang w:val="en-US" w:eastAsia="zh-CN"/>
        </w:rPr>
        <w:t xml:space="preserve">/ </w:t>
      </w:r>
      <w:r>
        <w:rPr>
          <w:rFonts w:ascii="宋体" w:hAnsi="宋体"/>
          <w:b w:val="0"/>
          <w:bCs w:val="0"/>
          <w:color w:val="auto"/>
          <w:highlight w:val="none"/>
        </w:rPr>
        <w:t>%</w:t>
      </w:r>
      <w:r>
        <w:rPr>
          <w:rFonts w:hint="eastAsia" w:ascii="宋体" w:hAnsi="宋体"/>
          <w:b w:val="0"/>
          <w:bCs w:val="0"/>
          <w:color w:val="auto"/>
          <w:highlight w:val="none"/>
        </w:rPr>
        <w:t>范围内选择）</w:t>
      </w:r>
      <w:r>
        <w:rPr>
          <w:rFonts w:hint="eastAsia" w:ascii="宋体" w:hAnsi="宋体"/>
          <w:color w:val="auto"/>
          <w:highlight w:val="none"/>
        </w:rPr>
        <w:t>的价格扣除</w:t>
      </w:r>
      <w:r>
        <w:rPr>
          <w:rFonts w:hint="eastAsia"/>
          <w:color w:val="auto"/>
          <w:highlight w:val="none"/>
        </w:rPr>
        <w:t>，用扣除后的价格参与评审。满足多项优惠政策的企业，不重复享受多项价格扣除政策。</w:t>
      </w:r>
      <w:r>
        <w:rPr>
          <w:rFonts w:hint="eastAsia" w:ascii="宋体" w:hAnsi="宋体"/>
          <w:color w:val="auto"/>
          <w:highlight w:val="none"/>
        </w:rPr>
        <w:t>联合协议</w:t>
      </w:r>
      <w:r>
        <w:rPr>
          <w:rFonts w:hint="eastAsia" w:ascii="宋体" w:hAnsi="宋体"/>
          <w:color w:val="auto"/>
          <w:highlight w:val="none"/>
          <w:lang w:val="en-US" w:eastAsia="zh-CN"/>
        </w:rPr>
        <w:t>/分包协议</w:t>
      </w:r>
      <w:r>
        <w:rPr>
          <w:rFonts w:hint="eastAsia" w:ascii="宋体" w:hAnsi="宋体"/>
          <w:color w:val="auto"/>
          <w:highlight w:val="none"/>
        </w:rPr>
        <w:t>中约定，小型、微型企业的协议合同金额占到联合体协议合同总金额</w:t>
      </w:r>
      <w:r>
        <w:rPr>
          <w:rFonts w:hint="eastAsia" w:ascii="宋体" w:hAnsi="宋体"/>
          <w:b/>
          <w:bCs/>
          <w:color w:val="auto"/>
          <w:highlight w:val="none"/>
          <w:u w:val="single"/>
          <w:lang w:val="en-US" w:eastAsia="zh-CN"/>
        </w:rPr>
        <w:t xml:space="preserve">/ </w:t>
      </w:r>
      <w:r>
        <w:rPr>
          <w:rFonts w:hint="eastAsia" w:ascii="宋体" w:hAnsi="宋体"/>
          <w:b/>
          <w:bCs/>
          <w:color w:val="auto"/>
          <w:highlight w:val="none"/>
          <w:u w:val="single"/>
        </w:rPr>
        <w:t>%</w:t>
      </w:r>
      <w:r>
        <w:rPr>
          <w:rFonts w:hint="eastAsia" w:ascii="宋体" w:hAnsi="宋体"/>
          <w:b/>
          <w:bCs/>
          <w:color w:val="auto"/>
          <w:highlight w:val="none"/>
          <w:u w:val="single"/>
          <w:lang w:val="en-US" w:eastAsia="zh-CN"/>
        </w:rPr>
        <w:t xml:space="preserve"> </w:t>
      </w:r>
      <w:r>
        <w:rPr>
          <w:rFonts w:hint="eastAsia" w:ascii="宋体" w:hAnsi="宋体"/>
          <w:color w:val="auto"/>
          <w:highlight w:val="none"/>
        </w:rPr>
        <w:t>以上的，可给予</w:t>
      </w:r>
      <w:r>
        <w:rPr>
          <w:rFonts w:hint="eastAsia" w:ascii="宋体" w:hAnsi="宋体"/>
          <w:b/>
          <w:color w:val="auto"/>
          <w:highlight w:val="none"/>
        </w:rPr>
        <w:t>联合体</w:t>
      </w:r>
      <w:r>
        <w:rPr>
          <w:rFonts w:hint="eastAsia" w:ascii="宋体" w:hAnsi="宋体"/>
          <w:b/>
          <w:color w:val="auto"/>
          <w:highlight w:val="none"/>
          <w:u w:val="single"/>
        </w:rPr>
        <w:t xml:space="preserve"> / </w:t>
      </w:r>
      <w:r>
        <w:rPr>
          <w:rFonts w:hint="eastAsia" w:ascii="宋体" w:hAnsi="宋体"/>
          <w:b/>
          <w:color w:val="auto"/>
          <w:highlight w:val="none"/>
        </w:rPr>
        <w:t>%</w:t>
      </w:r>
      <w:r>
        <w:rPr>
          <w:rFonts w:ascii="宋体" w:hAnsi="宋体"/>
          <w:b/>
          <w:color w:val="auto"/>
          <w:highlight w:val="none"/>
        </w:rPr>
        <w:t xml:space="preserve"> </w:t>
      </w:r>
      <w:r>
        <w:rPr>
          <w:rFonts w:hint="eastAsia" w:ascii="宋体" w:hAnsi="宋体"/>
          <w:b w:val="0"/>
          <w:bCs/>
          <w:color w:val="auto"/>
          <w:highlight w:val="none"/>
        </w:rPr>
        <w:t>（请在</w:t>
      </w:r>
      <w:r>
        <w:rPr>
          <w:rFonts w:hint="eastAsia" w:ascii="宋体" w:hAnsi="宋体"/>
          <w:b w:val="0"/>
          <w:bCs/>
          <w:color w:val="auto"/>
          <w:highlight w:val="none"/>
          <w:lang w:val="en-US" w:eastAsia="zh-CN"/>
        </w:rPr>
        <w:t xml:space="preserve">/ </w:t>
      </w:r>
      <w:r>
        <w:rPr>
          <w:rFonts w:ascii="宋体" w:hAnsi="宋体"/>
          <w:b w:val="0"/>
          <w:bCs/>
          <w:color w:val="auto"/>
          <w:highlight w:val="none"/>
        </w:rPr>
        <w:t>%-</w:t>
      </w:r>
      <w:r>
        <w:rPr>
          <w:rFonts w:hint="eastAsia" w:ascii="宋体" w:hAnsi="宋体"/>
          <w:b w:val="0"/>
          <w:bCs/>
          <w:color w:val="auto"/>
          <w:highlight w:val="none"/>
          <w:lang w:val="en-US" w:eastAsia="zh-CN"/>
        </w:rPr>
        <w:t xml:space="preserve">/ </w:t>
      </w:r>
      <w:r>
        <w:rPr>
          <w:rFonts w:ascii="宋体" w:hAnsi="宋体"/>
          <w:b w:val="0"/>
          <w:bCs/>
          <w:color w:val="auto"/>
          <w:highlight w:val="none"/>
        </w:rPr>
        <w:t>%</w:t>
      </w:r>
      <w:r>
        <w:rPr>
          <w:rFonts w:hint="eastAsia" w:ascii="宋体" w:hAnsi="宋体"/>
          <w:b w:val="0"/>
          <w:bCs/>
          <w:color w:val="auto"/>
          <w:highlight w:val="none"/>
        </w:rPr>
        <w:t>范围内选择）</w:t>
      </w:r>
      <w:r>
        <w:rPr>
          <w:rFonts w:hint="eastAsia" w:ascii="宋体" w:hAnsi="宋体"/>
          <w:color w:val="auto"/>
          <w:highlight w:val="none"/>
        </w:rPr>
        <w:t>的价格扣除。</w:t>
      </w:r>
    </w:p>
    <w:p w14:paraId="2A3EEA82">
      <w:pPr>
        <w:ind w:firstLine="420" w:firstLineChars="200"/>
        <w:rPr>
          <w:color w:val="auto"/>
          <w:highlight w:val="none"/>
        </w:rPr>
      </w:pPr>
      <w:r>
        <w:rPr>
          <w:rFonts w:hint="eastAsia"/>
          <w:color w:val="auto"/>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color w:val="auto"/>
          <w:highlight w:val="none"/>
        </w:rPr>
        <w:t>b)</w:t>
      </w:r>
      <w:r>
        <w:rPr>
          <w:rFonts w:hint="eastAsia"/>
          <w:color w:val="auto"/>
          <w:highlight w:val="none"/>
        </w:rPr>
        <w:t>优惠主体承接是指提供服务的人员为中小企业依照《中华人民共和国劳动合同法》订立劳动合同的从业人员。</w:t>
      </w:r>
    </w:p>
    <w:p w14:paraId="6C05764B">
      <w:pPr>
        <w:ind w:firstLine="420" w:firstLineChars="200"/>
        <w:rPr>
          <w:b w:val="0"/>
          <w:bCs w:val="0"/>
          <w:color w:val="auto"/>
          <w:highlight w:val="none"/>
          <w:u w:val="none"/>
        </w:rPr>
      </w:pPr>
      <w:r>
        <w:rPr>
          <w:rFonts w:hint="eastAsia"/>
          <w:color w:val="auto"/>
          <w:highlight w:val="none"/>
        </w:rPr>
        <w:t>（2）根据</w:t>
      </w:r>
      <w:r>
        <w:rPr>
          <w:rFonts w:hint="eastAsia"/>
          <w:color w:val="auto"/>
          <w:szCs w:val="22"/>
          <w:highlight w:val="none"/>
        </w:rPr>
        <w:t>《工业和信息化部、国家统计局、国家发展和改革委员会、财政部关于印发中小企业划型标准规定的通知》（工信部联企业〔2011〕300 号）</w:t>
      </w:r>
      <w:r>
        <w:rPr>
          <w:rFonts w:hint="eastAsia"/>
          <w:color w:val="auto"/>
          <w:highlight w:val="none"/>
        </w:rPr>
        <w:t>，</w:t>
      </w:r>
      <w:bookmarkStart w:id="51" w:name="_Hlk71970739"/>
      <w:r>
        <w:rPr>
          <w:rFonts w:hint="eastAsia"/>
          <w:b w:val="0"/>
          <w:bCs w:val="0"/>
          <w:color w:val="auto"/>
          <w:highlight w:val="none"/>
          <w:u w:val="none"/>
        </w:rPr>
        <w:t>本项目</w:t>
      </w:r>
      <w:bookmarkStart w:id="52" w:name="_Hlk71924718"/>
      <w:r>
        <w:rPr>
          <w:rFonts w:hint="eastAsia"/>
          <w:b w:val="0"/>
          <w:bCs w:val="0"/>
          <w:color w:val="auto"/>
          <w:highlight w:val="none"/>
          <w:u w:val="none"/>
        </w:rPr>
        <w:t>采购标的（服务需求）对应的中小企业划分标准所属行业</w:t>
      </w:r>
      <w:bookmarkEnd w:id="52"/>
      <w:r>
        <w:rPr>
          <w:rFonts w:hint="eastAsia"/>
          <w:b w:val="0"/>
          <w:bCs w:val="0"/>
          <w:color w:val="auto"/>
          <w:highlight w:val="none"/>
          <w:u w:val="none"/>
        </w:rPr>
        <w:t>为</w:t>
      </w:r>
      <w:r>
        <w:rPr>
          <w:rFonts w:hint="eastAsia"/>
          <w:b w:val="0"/>
          <w:bCs w:val="0"/>
          <w:color w:val="auto"/>
          <w:highlight w:val="none"/>
          <w:u w:val="none"/>
          <w:lang w:val="en-US" w:eastAsia="zh-CN"/>
        </w:rPr>
        <w:t>工</w:t>
      </w:r>
      <w:r>
        <w:rPr>
          <w:rFonts w:hint="eastAsia"/>
          <w:b w:val="0"/>
          <w:bCs w:val="0"/>
          <w:color w:val="auto"/>
          <w:highlight w:val="none"/>
          <w:u w:val="none"/>
        </w:rPr>
        <w:t>业。</w:t>
      </w:r>
      <w:bookmarkEnd w:id="51"/>
    </w:p>
    <w:p w14:paraId="4FB8785F">
      <w:pPr>
        <w:ind w:firstLine="420" w:firstLineChars="200"/>
        <w:rPr>
          <w:color w:val="auto"/>
          <w:highlight w:val="none"/>
        </w:rPr>
      </w:pPr>
      <w:r>
        <w:rPr>
          <w:rFonts w:hint="eastAsia"/>
          <w:color w:val="auto"/>
          <w:highlight w:val="none"/>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hint="eastAsia" w:ascii="宋体" w:hAnsi="宋体"/>
          <w:color w:val="auto"/>
          <w:szCs w:val="21"/>
          <w:highlight w:val="none"/>
        </w:rPr>
        <w:t>投标文件组成要求及格式</w:t>
      </w:r>
      <w:r>
        <w:rPr>
          <w:rFonts w:hint="eastAsia"/>
          <w:color w:val="auto"/>
          <w:highlight w:val="none"/>
        </w:rPr>
        <w:t>”中“三、投标人情况及资格证明文件”章节提供的格式）。</w:t>
      </w:r>
    </w:p>
    <w:p w14:paraId="5AB9BE8A">
      <w:pPr>
        <w:ind w:firstLine="420" w:firstLineChars="200"/>
        <w:rPr>
          <w:rFonts w:hint="default" w:eastAsia="楷体_GB2312"/>
          <w:color w:val="auto"/>
          <w:highlight w:val="none"/>
          <w:lang w:val="en-US" w:eastAsia="zh-CN"/>
        </w:rPr>
      </w:pPr>
      <w:r>
        <w:rPr>
          <w:rFonts w:hint="eastAsia"/>
          <w:color w:val="auto"/>
          <w:highlight w:val="none"/>
        </w:rPr>
        <w:t>（4）享受价格扣除获得政府采购合同的，小微企业不得将合同分包给大中型企业。</w:t>
      </w:r>
    </w:p>
    <w:p w14:paraId="0EABEFBB">
      <w:pPr>
        <w:ind w:firstLine="422" w:firstLineChars="200"/>
        <w:rPr>
          <w:b/>
          <w:bCs w:val="0"/>
          <w:color w:val="auto"/>
          <w:highlight w:val="none"/>
        </w:rPr>
      </w:pPr>
      <w:r>
        <w:rPr>
          <w:rFonts w:hint="eastAsia"/>
          <w:b/>
          <w:bCs w:val="0"/>
          <w:color w:val="auto"/>
          <w:highlight w:val="none"/>
        </w:rPr>
        <w:t>2.关于政府采购订单融资政策</w:t>
      </w:r>
    </w:p>
    <w:p w14:paraId="7DFDD99F">
      <w:pPr>
        <w:ind w:firstLine="420" w:firstLineChars="200"/>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rPr>
        <w:t>为进一步拓宽企业融资渠道，降低企业融资成本，</w:t>
      </w:r>
      <w:r>
        <w:rPr>
          <w:rFonts w:hint="eastAsia" w:ascii="Times New Roman" w:hAnsi="Times New Roman" w:eastAsia="宋体" w:cs="Times New Roman"/>
          <w:color w:val="auto"/>
          <w:highlight w:val="none"/>
          <w:lang w:val="en-US" w:eastAsia="zh-CN"/>
        </w:rPr>
        <w:t>根据</w:t>
      </w:r>
      <w:r>
        <w:rPr>
          <w:rFonts w:hint="eastAsia" w:ascii="Times New Roman" w:hAnsi="Times New Roman" w:eastAsia="宋体" w:cs="Times New Roman"/>
          <w:color w:val="auto"/>
          <w:highlight w:val="none"/>
        </w:rPr>
        <w:t>《新疆维吾尔自治区政府采购合同融资工作方案》(新财购[2022]17号)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现</w:t>
      </w:r>
      <w:r>
        <w:rPr>
          <w:rFonts w:hint="eastAsia" w:ascii="Times New Roman" w:hAnsi="Times New Roman" w:eastAsia="宋体" w:cs="Times New Roman"/>
          <w:color w:val="auto"/>
          <w:highlight w:val="none"/>
        </w:rPr>
        <w:t>推出政府采购订单融资服务，中标（成交）供应商可以凭借中标（成交）通知书或政府采购合同</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通过自治区财政厅搭建的“政采云”</w:t>
      </w:r>
      <w:r>
        <w:rPr>
          <w:rFonts w:hint="eastAsia" w:ascii="Times New Roman" w:hAnsi="Times New Roman" w:eastAsia="宋体" w:cs="Times New Roman"/>
          <w:color w:val="auto"/>
          <w:highlight w:val="none"/>
          <w:lang w:val="en-US" w:eastAsia="zh-CN"/>
        </w:rPr>
        <w:t>平台</w:t>
      </w:r>
      <w:r>
        <w:rPr>
          <w:rFonts w:hint="eastAsia" w:ascii="Times New Roman" w:hAnsi="Times New Roman" w:eastAsia="宋体" w:cs="Times New Roman"/>
          <w:color w:val="auto"/>
          <w:highlight w:val="none"/>
        </w:rPr>
        <w:t>，向参与政府采购合同融资业务的金融机构申请线上融资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金融机构在政策范围内，以供应商信用审查和政府采购信誉为基础，无财产抵押、按便捷贷款程序和优惠利率，为供应商提供一站式融资服务</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订单融资具体流程可登录</w:t>
      </w:r>
      <w:r>
        <w:rPr>
          <w:rFonts w:hint="eastAsia" w:ascii="Times New Roman" w:hAnsi="Times New Roman" w:eastAsia="宋体" w:cs="Times New Roman"/>
          <w:color w:val="auto"/>
          <w:highlight w:val="none"/>
          <w:lang w:val="en-US" w:eastAsia="zh-CN"/>
        </w:rPr>
        <w:t>新疆政采云</w:t>
      </w:r>
      <w:r>
        <w:rPr>
          <w:rFonts w:hint="eastAsia" w:ascii="Times New Roman" w:hAnsi="Times New Roman" w:eastAsia="宋体" w:cs="Times New Roman"/>
          <w:color w:val="auto"/>
          <w:highlight w:val="none"/>
        </w:rPr>
        <w:t>服务平台</w:t>
      </w:r>
      <w:r>
        <w:rPr>
          <w:rFonts w:hint="eastAsia" w:ascii="Times New Roman" w:hAnsi="Times New Roman" w:eastAsia="宋体" w:cs="Times New Roman"/>
          <w:color w:val="auto"/>
          <w:highlight w:val="none"/>
          <w:lang w:val="en-US" w:eastAsia="zh-CN"/>
        </w:rPr>
        <w:t>政采贷。</w:t>
      </w:r>
    </w:p>
    <w:p w14:paraId="75C73DCF">
      <w:pPr>
        <w:ind w:firstLine="422" w:firstLineChars="200"/>
        <w:rPr>
          <w:b/>
          <w:bCs w:val="0"/>
          <w:color w:val="auto"/>
          <w:highlight w:val="none"/>
        </w:rPr>
      </w:pPr>
      <w:r>
        <w:rPr>
          <w:rFonts w:hint="eastAsia"/>
          <w:b/>
          <w:bCs w:val="0"/>
          <w:color w:val="auto"/>
          <w:highlight w:val="none"/>
        </w:rPr>
        <w:t>3.代理服务费</w:t>
      </w:r>
    </w:p>
    <w:p w14:paraId="6EF00615">
      <w:pPr>
        <w:ind w:firstLine="420" w:firstLineChars="200"/>
        <w:rPr>
          <w:rFonts w:hint="eastAsia"/>
          <w:bCs/>
          <w:color w:val="auto"/>
          <w:highlight w:val="none"/>
        </w:rPr>
      </w:pPr>
      <w:r>
        <w:rPr>
          <w:rFonts w:hint="eastAsia"/>
          <w:bCs/>
          <w:color w:val="auto"/>
          <w:highlight w:val="none"/>
        </w:rPr>
        <w:t>本项目不向中标供应商收取代理服务费</w:t>
      </w:r>
    </w:p>
    <w:p w14:paraId="1020FAFA">
      <w:pPr>
        <w:ind w:firstLine="422" w:firstLineChars="20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4.节能环保产品说明</w:t>
      </w:r>
    </w:p>
    <w:p w14:paraId="47D642BB">
      <w:pPr>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拟采购的产品属于《关于调整优化节能产品环境标志产品政府采购执行机制的通知》（财库〔2019〕9号）、《关于印发环境标志产品政府采购品目清单的通知》（财库〔2019〕18号）和《关于印发节能产品政府采购品目清单的通知》（财库〔2019〕19号）品目清单范围内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65F3ABC1">
      <w:pPr>
        <w:pStyle w:val="2"/>
        <w:rPr>
          <w:rFonts w:hint="default" w:eastAsia="楷体_GB2312"/>
          <w:color w:val="auto"/>
          <w:highlight w:val="none"/>
          <w:lang w:val="en-US" w:eastAsia="zh-CN"/>
        </w:rPr>
      </w:pPr>
    </w:p>
    <w:p w14:paraId="0E3F31E2">
      <w:pPr>
        <w:rPr>
          <w:color w:val="auto"/>
          <w:sz w:val="28"/>
          <w:szCs w:val="28"/>
          <w:highlight w:val="none"/>
        </w:rPr>
      </w:pPr>
    </w:p>
    <w:p w14:paraId="2663A4B9">
      <w:pPr>
        <w:rPr>
          <w:color w:val="auto"/>
          <w:sz w:val="28"/>
          <w:szCs w:val="28"/>
          <w:highlight w:val="none"/>
        </w:rPr>
      </w:pPr>
    </w:p>
    <w:p w14:paraId="0682305B">
      <w:pPr>
        <w:rPr>
          <w:color w:val="auto"/>
          <w:sz w:val="28"/>
          <w:szCs w:val="28"/>
          <w:highlight w:val="none"/>
        </w:rPr>
      </w:pPr>
    </w:p>
    <w:p w14:paraId="1EDA47DE">
      <w:pPr>
        <w:pStyle w:val="7"/>
        <w:ind w:firstLine="2891" w:firstLineChars="900"/>
        <w:jc w:val="both"/>
        <w:rPr>
          <w:rFonts w:hint="eastAsia" w:ascii="方正小标宋_GBK" w:hAnsi="方正小标宋_GBK" w:eastAsia="方正小标宋_GBK" w:cs="方正小标宋_GBK"/>
          <w:b/>
          <w:bCs w:val="0"/>
          <w:color w:val="auto"/>
          <w:sz w:val="32"/>
          <w:szCs w:val="32"/>
          <w:highlight w:val="none"/>
        </w:rPr>
      </w:pPr>
      <w:r>
        <w:rPr>
          <w:rFonts w:hint="eastAsia" w:ascii="方正小标宋_GBK" w:hAnsi="方正小标宋_GBK" w:eastAsia="方正小标宋_GBK" w:cs="方正小标宋_GBK"/>
          <w:b/>
          <w:bCs w:val="0"/>
          <w:color w:val="auto"/>
          <w:sz w:val="32"/>
          <w:szCs w:val="32"/>
          <w:highlight w:val="none"/>
        </w:rPr>
        <w:t>第三章 用户需求书</w:t>
      </w:r>
    </w:p>
    <w:p w14:paraId="1494879E">
      <w:pPr>
        <w:ind w:firstLine="420" w:firstLineChars="200"/>
        <w:jc w:val="left"/>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1.本章带</w:t>
      </w:r>
      <w:r>
        <w:rPr>
          <w:rFonts w:hint="eastAsia" w:ascii="宋体" w:hAnsi="宋体" w:cs="Times New Roman"/>
          <w:color w:val="0000FF"/>
          <w:sz w:val="21"/>
          <w:szCs w:val="21"/>
          <w:highlight w:val="none"/>
          <w:lang w:eastAsia="zh-CN"/>
        </w:rPr>
        <w:t>“</w:t>
      </w:r>
      <w:r>
        <w:rPr>
          <w:rFonts w:hint="eastAsia" w:ascii="宋体" w:hAnsi="宋体" w:cs="Times New Roman"/>
          <w:color w:val="0000FF"/>
          <w:sz w:val="21"/>
          <w:szCs w:val="21"/>
          <w:highlight w:val="none"/>
          <w:lang w:val="en-US" w:eastAsia="zh-CN"/>
        </w:rPr>
        <w:t>*</w:t>
      </w:r>
      <w:r>
        <w:rPr>
          <w:rFonts w:hint="eastAsia" w:ascii="宋体" w:hAnsi="宋体" w:cs="Times New Roman"/>
          <w:color w:val="0000FF"/>
          <w:sz w:val="21"/>
          <w:szCs w:val="21"/>
          <w:highlight w:val="none"/>
          <w:lang w:eastAsia="zh-CN"/>
        </w:rPr>
        <w:t>”</w:t>
      </w:r>
      <w:r>
        <w:rPr>
          <w:rFonts w:hint="eastAsia" w:ascii="宋体" w:hAnsi="宋体" w:eastAsia="宋体" w:cs="Times New Roman"/>
          <w:color w:val="0000FF"/>
          <w:sz w:val="21"/>
          <w:szCs w:val="21"/>
          <w:highlight w:val="none"/>
        </w:rPr>
        <w:t>号条款为不可偏离条款</w:t>
      </w:r>
      <w:r>
        <w:rPr>
          <w:rFonts w:hint="eastAsia" w:ascii="宋体" w:hAnsi="宋体" w:eastAsia="宋体" w:cs="Times New Roman"/>
          <w:color w:val="auto"/>
          <w:sz w:val="21"/>
          <w:szCs w:val="21"/>
          <w:highlight w:val="none"/>
        </w:rPr>
        <w:t>，供应商必须完全响应满足，否则将导致投标无效。供应商</w:t>
      </w:r>
      <w:r>
        <w:rPr>
          <w:rFonts w:hint="eastAsia" w:ascii="宋体" w:hAnsi="宋体" w:cs="Times New Roman"/>
          <w:color w:val="auto"/>
          <w:sz w:val="21"/>
          <w:szCs w:val="21"/>
          <w:highlight w:val="none"/>
          <w:lang w:val="en-US" w:eastAsia="zh-CN"/>
        </w:rPr>
        <w:t>须填写</w:t>
      </w:r>
      <w:r>
        <w:rPr>
          <w:rFonts w:hint="eastAsia" w:ascii="宋体" w:hAnsi="宋体" w:eastAsia="宋体" w:cs="Times New Roman"/>
          <w:color w:val="auto"/>
          <w:sz w:val="21"/>
          <w:szCs w:val="21"/>
          <w:highlight w:val="none"/>
        </w:rPr>
        <w:t>《实质性条款响应表》</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并提供相应的佐证材料（如：检测报告、承诺函）</w:t>
      </w:r>
      <w:r>
        <w:rPr>
          <w:rFonts w:hint="eastAsia" w:ascii="宋体" w:hAnsi="宋体" w:eastAsia="宋体" w:cs="Times New Roman"/>
          <w:color w:val="auto"/>
          <w:sz w:val="21"/>
          <w:szCs w:val="21"/>
          <w:highlight w:val="none"/>
        </w:rPr>
        <w:t>。中标后</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若中标供应商</w:t>
      </w:r>
      <w:r>
        <w:rPr>
          <w:rFonts w:hint="eastAsia" w:ascii="宋体" w:hAnsi="宋体" w:eastAsia="宋体" w:cs="Times New Roman"/>
          <w:color w:val="auto"/>
          <w:sz w:val="21"/>
          <w:szCs w:val="21"/>
          <w:highlight w:val="none"/>
        </w:rPr>
        <w:t>不能满足本章带</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号条款要求的，采购方有权拒绝签订合同，一切后果由供应商承担。</w:t>
      </w:r>
    </w:p>
    <w:p w14:paraId="3B460B78">
      <w:pPr>
        <w:ind w:firstLine="420" w:firstLineChars="200"/>
        <w:jc w:val="left"/>
        <w:outlineLvl w:val="0"/>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val="en-US" w:eastAsia="zh-CN"/>
        </w:rPr>
        <w:t>根据</w:t>
      </w:r>
      <w:r>
        <w:rPr>
          <w:rFonts w:hint="eastAsia" w:ascii="宋体" w:hAnsi="宋体" w:cs="Times New Roman"/>
          <w:color w:val="0000FF"/>
          <w:sz w:val="21"/>
          <w:szCs w:val="21"/>
          <w:highlight w:val="none"/>
          <w:lang w:val="en-US" w:eastAsia="zh-CN"/>
        </w:rPr>
        <w:t>工信部《台式计算机政府采购需求标准（2023 年版）》，本项目“可评分项共4项</w:t>
      </w:r>
      <w:r>
        <w:rPr>
          <w:rFonts w:hint="eastAsia" w:ascii="宋体" w:hAnsi="宋体" w:cs="Times New Roman"/>
          <w:color w:val="auto"/>
          <w:sz w:val="21"/>
          <w:szCs w:val="21"/>
          <w:highlight w:val="none"/>
          <w:lang w:val="en-US" w:eastAsia="zh-CN"/>
        </w:rPr>
        <w:t>”供应商需填写</w:t>
      </w:r>
      <w:r>
        <w:rPr>
          <w:rFonts w:hint="eastAsia" w:ascii="宋体" w:hAnsi="宋体" w:eastAsia="宋体" w:cs="Times New Roman"/>
          <w:color w:val="auto"/>
          <w:sz w:val="21"/>
          <w:szCs w:val="21"/>
          <w:highlight w:val="none"/>
        </w:rPr>
        <w:t>《实质性条款响应表》，</w:t>
      </w:r>
      <w:r>
        <w:rPr>
          <w:rFonts w:hint="eastAsia" w:ascii="宋体" w:hAnsi="宋体" w:cs="Times New Roman"/>
          <w:color w:val="auto"/>
          <w:sz w:val="21"/>
          <w:szCs w:val="21"/>
          <w:highlight w:val="none"/>
          <w:lang w:val="en-US" w:eastAsia="zh-CN"/>
        </w:rPr>
        <w:t>并提供相应的佐证材料（如：检测报告、承诺函）。</w:t>
      </w:r>
    </w:p>
    <w:p w14:paraId="77B5151F">
      <w:pPr>
        <w:ind w:firstLine="420" w:firstLineChars="200"/>
        <w:jc w:val="left"/>
        <w:outlineLvl w:val="0"/>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其余未要求提供证明资料的条款，无需提供相关证明资料。</w:t>
      </w:r>
    </w:p>
    <w:p w14:paraId="62A576B0">
      <w:pPr>
        <w:pStyle w:val="5"/>
        <w:ind w:left="0" w:leftChars="0" w:firstLine="0" w:firstLineChars="0"/>
        <w:jc w:val="center"/>
        <w:rPr>
          <w:rFonts w:hint="eastAsia" w:ascii="黑体" w:eastAsia="黑体"/>
          <w:bCs w:val="0"/>
          <w:color w:val="auto"/>
          <w:sz w:val="24"/>
          <w:highlight w:val="none"/>
        </w:rPr>
      </w:pPr>
    </w:p>
    <w:p w14:paraId="2D61E551">
      <w:pPr>
        <w:pStyle w:val="5"/>
        <w:ind w:left="0" w:leftChars="0" w:firstLine="0" w:firstLineChars="0"/>
        <w:jc w:val="center"/>
        <w:rPr>
          <w:rFonts w:ascii="黑体" w:eastAsia="黑体"/>
          <w:bCs w:val="0"/>
          <w:color w:val="auto"/>
          <w:sz w:val="24"/>
          <w:highlight w:val="none"/>
        </w:rPr>
      </w:pPr>
      <w:r>
        <w:rPr>
          <w:rFonts w:hint="eastAsia" w:ascii="黑体" w:eastAsia="黑体"/>
          <w:bCs w:val="0"/>
          <w:color w:val="auto"/>
          <w:sz w:val="24"/>
          <w:highlight w:val="none"/>
        </w:rPr>
        <w:t>一、项目基本信息</w:t>
      </w:r>
    </w:p>
    <w:p w14:paraId="240F75B6">
      <w:pPr>
        <w:rPr>
          <w:rFonts w:ascii="宋体" w:hAnsi="宋体"/>
          <w:b/>
          <w:color w:val="auto"/>
          <w:szCs w:val="21"/>
          <w:highlight w:val="none"/>
        </w:rPr>
      </w:pPr>
    </w:p>
    <w:tbl>
      <w:tblPr>
        <w:tblStyle w:val="40"/>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95"/>
        <w:gridCol w:w="1995"/>
        <w:gridCol w:w="2850"/>
        <w:gridCol w:w="1335"/>
        <w:gridCol w:w="1560"/>
      </w:tblGrid>
      <w:tr w14:paraId="743F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2" w:type="dxa"/>
            <w:noWrap w:val="0"/>
            <w:vAlign w:val="center"/>
          </w:tcPr>
          <w:p w14:paraId="2BA37DFB">
            <w:pPr>
              <w:spacing w:line="276"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1395" w:type="dxa"/>
            <w:noWrap w:val="0"/>
            <w:vAlign w:val="center"/>
          </w:tcPr>
          <w:p w14:paraId="512A46CD">
            <w:pPr>
              <w:spacing w:line="276" w:lineRule="auto"/>
              <w:jc w:val="center"/>
              <w:rPr>
                <w:rFonts w:ascii="宋体" w:hAnsi="宋体"/>
                <w:bCs/>
                <w:color w:val="auto"/>
                <w:szCs w:val="21"/>
                <w:highlight w:val="none"/>
              </w:rPr>
            </w:pPr>
            <w:r>
              <w:rPr>
                <w:rFonts w:hint="eastAsia"/>
                <w:color w:val="auto"/>
                <w:szCs w:val="21"/>
                <w:highlight w:val="none"/>
              </w:rPr>
              <w:t>采购计划编号</w:t>
            </w:r>
          </w:p>
        </w:tc>
        <w:tc>
          <w:tcPr>
            <w:tcW w:w="1995" w:type="dxa"/>
            <w:noWrap w:val="0"/>
            <w:vAlign w:val="center"/>
          </w:tcPr>
          <w:p w14:paraId="311F90C5">
            <w:pPr>
              <w:spacing w:line="276" w:lineRule="auto"/>
              <w:jc w:val="center"/>
              <w:rPr>
                <w:rFonts w:ascii="宋体" w:hAnsi="宋体"/>
                <w:bCs/>
                <w:color w:val="auto"/>
                <w:szCs w:val="21"/>
                <w:highlight w:val="none"/>
              </w:rPr>
            </w:pPr>
            <w:r>
              <w:rPr>
                <w:rFonts w:hint="eastAsia" w:ascii="宋体" w:hAnsi="宋体"/>
                <w:bCs/>
                <w:color w:val="auto"/>
                <w:szCs w:val="21"/>
                <w:highlight w:val="none"/>
                <w:lang w:val="en-US" w:eastAsia="zh-CN"/>
              </w:rPr>
              <w:t>项目</w:t>
            </w:r>
            <w:r>
              <w:rPr>
                <w:rFonts w:hint="eastAsia" w:ascii="宋体" w:hAnsi="宋体"/>
                <w:bCs/>
                <w:color w:val="auto"/>
                <w:szCs w:val="21"/>
                <w:highlight w:val="none"/>
              </w:rPr>
              <w:t>名称</w:t>
            </w:r>
          </w:p>
        </w:tc>
        <w:tc>
          <w:tcPr>
            <w:tcW w:w="2850" w:type="dxa"/>
            <w:noWrap w:val="0"/>
            <w:vAlign w:val="center"/>
          </w:tcPr>
          <w:p w14:paraId="29BBB896">
            <w:pPr>
              <w:spacing w:line="276" w:lineRule="auto"/>
              <w:jc w:val="center"/>
              <w:rPr>
                <w:rFonts w:ascii="宋体" w:hAnsi="宋体"/>
                <w:bCs/>
                <w:color w:val="auto"/>
                <w:szCs w:val="21"/>
                <w:highlight w:val="none"/>
              </w:rPr>
            </w:pPr>
            <w:r>
              <w:rPr>
                <w:rFonts w:hint="eastAsia" w:ascii="宋体" w:hAnsi="宋体"/>
                <w:bCs/>
                <w:color w:val="auto"/>
                <w:szCs w:val="21"/>
                <w:highlight w:val="none"/>
              </w:rPr>
              <w:t>服务期限或完成时间</w:t>
            </w:r>
          </w:p>
        </w:tc>
        <w:tc>
          <w:tcPr>
            <w:tcW w:w="1335" w:type="dxa"/>
            <w:noWrap w:val="0"/>
            <w:vAlign w:val="center"/>
          </w:tcPr>
          <w:p w14:paraId="3B3184CE">
            <w:pPr>
              <w:spacing w:line="276" w:lineRule="auto"/>
              <w:jc w:val="center"/>
              <w:rPr>
                <w:rFonts w:ascii="宋体" w:hAnsi="宋体"/>
                <w:bCs/>
                <w:color w:val="auto"/>
                <w:szCs w:val="21"/>
                <w:highlight w:val="none"/>
              </w:rPr>
            </w:pPr>
            <w:r>
              <w:rPr>
                <w:rFonts w:hint="eastAsia" w:ascii="宋体" w:hAnsi="宋体"/>
                <w:bCs/>
                <w:color w:val="auto"/>
                <w:szCs w:val="21"/>
                <w:highlight w:val="none"/>
              </w:rPr>
              <w:t>所属行业</w:t>
            </w:r>
          </w:p>
        </w:tc>
        <w:tc>
          <w:tcPr>
            <w:tcW w:w="1560" w:type="dxa"/>
            <w:noWrap w:val="0"/>
            <w:vAlign w:val="center"/>
          </w:tcPr>
          <w:p w14:paraId="67439587">
            <w:pPr>
              <w:spacing w:line="276" w:lineRule="auto"/>
              <w:jc w:val="center"/>
              <w:rPr>
                <w:rFonts w:ascii="宋体" w:hAnsi="宋体"/>
                <w:bCs/>
                <w:color w:val="auto"/>
                <w:szCs w:val="21"/>
                <w:highlight w:val="none"/>
              </w:rPr>
            </w:pPr>
            <w:r>
              <w:rPr>
                <w:rFonts w:hint="eastAsia" w:ascii="宋体" w:hAnsi="宋体"/>
                <w:bCs/>
                <w:color w:val="auto"/>
                <w:szCs w:val="21"/>
                <w:highlight w:val="none"/>
              </w:rPr>
              <w:t>财政预算限额（元</w:t>
            </w:r>
            <w:r>
              <w:rPr>
                <w:rFonts w:hint="eastAsia" w:ascii="宋体" w:hAnsi="宋体"/>
                <w:bCs/>
                <w:color w:val="auto"/>
                <w:szCs w:val="21"/>
                <w:highlight w:val="none"/>
                <w:lang w:val="en-US" w:eastAsia="zh-CN"/>
              </w:rPr>
              <w:t>/年</w:t>
            </w:r>
            <w:r>
              <w:rPr>
                <w:rFonts w:hint="eastAsia" w:ascii="宋体" w:hAnsi="宋体"/>
                <w:bCs/>
                <w:color w:val="auto"/>
                <w:szCs w:val="21"/>
                <w:highlight w:val="none"/>
              </w:rPr>
              <w:t>）</w:t>
            </w:r>
          </w:p>
        </w:tc>
      </w:tr>
      <w:tr w14:paraId="30B8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02" w:type="dxa"/>
            <w:noWrap w:val="0"/>
            <w:vAlign w:val="center"/>
          </w:tcPr>
          <w:p w14:paraId="424F20FF">
            <w:pPr>
              <w:spacing w:line="276" w:lineRule="auto"/>
              <w:jc w:val="center"/>
              <w:rPr>
                <w:rFonts w:ascii="宋体" w:hAnsi="宋体"/>
                <w:bCs/>
                <w:color w:val="auto"/>
                <w:szCs w:val="21"/>
                <w:highlight w:val="none"/>
              </w:rPr>
            </w:pPr>
            <w:r>
              <w:rPr>
                <w:rFonts w:hint="eastAsia" w:ascii="宋体" w:hAnsi="宋体"/>
                <w:bCs/>
                <w:color w:val="auto"/>
                <w:szCs w:val="21"/>
                <w:highlight w:val="none"/>
              </w:rPr>
              <w:t>1</w:t>
            </w:r>
          </w:p>
        </w:tc>
        <w:tc>
          <w:tcPr>
            <w:tcW w:w="1395" w:type="dxa"/>
            <w:noWrap w:val="0"/>
            <w:vAlign w:val="center"/>
          </w:tcPr>
          <w:p w14:paraId="22492175">
            <w:pPr>
              <w:jc w:val="center"/>
              <w:rPr>
                <w:rFonts w:hint="default" w:ascii="宋体" w:hAnsi="宋体" w:eastAsia="宋体" w:cs="宋体"/>
                <w:bCs/>
                <w:color w:val="auto"/>
                <w:szCs w:val="21"/>
                <w:highlight w:val="none"/>
                <w:lang w:val="en-US" w:eastAsia="zh-CN"/>
              </w:rPr>
            </w:pPr>
            <w:r>
              <w:rPr>
                <w:rFonts w:hint="eastAsia" w:ascii="宋体" w:hAnsi="宋体" w:eastAsia="宋体" w:cs="Times New Roman"/>
                <w:bCs/>
                <w:color w:val="auto"/>
                <w:szCs w:val="21"/>
                <w:highlight w:val="none"/>
                <w:lang w:val="en-US" w:eastAsia="zh-CN"/>
              </w:rPr>
              <w:t>[2026]155号</w:t>
            </w:r>
          </w:p>
        </w:tc>
        <w:tc>
          <w:tcPr>
            <w:tcW w:w="1995" w:type="dxa"/>
            <w:noWrap w:val="0"/>
            <w:vAlign w:val="center"/>
          </w:tcPr>
          <w:p w14:paraId="33E813EF">
            <w:pPr>
              <w:spacing w:line="276" w:lineRule="auto"/>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大数据与智能应用综合教学实训基地实训节点（计算机）采购项目</w:t>
            </w:r>
          </w:p>
        </w:tc>
        <w:tc>
          <w:tcPr>
            <w:tcW w:w="2850" w:type="dxa"/>
            <w:noWrap w:val="0"/>
            <w:vAlign w:val="center"/>
          </w:tcPr>
          <w:p w14:paraId="0D1AFE92">
            <w:pPr>
              <w:pStyle w:val="133"/>
              <w:ind w:left="0" w:leftChars="0" w:firstLine="0" w:firstLineChars="0"/>
              <w:jc w:val="center"/>
              <w:rPr>
                <w:rFonts w:hint="default" w:eastAsia="宋体"/>
                <w:color w:val="auto"/>
                <w:highlight w:val="none"/>
                <w:lang w:val="en-US" w:eastAsia="zh-CN"/>
              </w:rPr>
            </w:pPr>
            <w:r>
              <w:rPr>
                <w:rFonts w:hint="eastAsia" w:ascii="宋体" w:hAnsi="宋体"/>
                <w:bCs/>
                <w:color w:val="auto"/>
                <w:szCs w:val="21"/>
                <w:highlight w:val="none"/>
                <w:lang w:val="en-US" w:eastAsia="zh-CN"/>
              </w:rPr>
              <w:t>自合同签订之日起30日内完成供货与安装调试。</w:t>
            </w:r>
          </w:p>
        </w:tc>
        <w:tc>
          <w:tcPr>
            <w:tcW w:w="1335" w:type="dxa"/>
            <w:noWrap w:val="0"/>
            <w:vAlign w:val="center"/>
          </w:tcPr>
          <w:p w14:paraId="38BB5CEC">
            <w:pPr>
              <w:spacing w:line="276" w:lineRule="auto"/>
              <w:jc w:val="center"/>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工业</w:t>
            </w:r>
          </w:p>
        </w:tc>
        <w:tc>
          <w:tcPr>
            <w:tcW w:w="1560" w:type="dxa"/>
            <w:noWrap w:val="0"/>
            <w:vAlign w:val="center"/>
          </w:tcPr>
          <w:p w14:paraId="4EF6EC08">
            <w:pPr>
              <w:jc w:val="center"/>
              <w:rPr>
                <w:rFonts w:hint="default" w:ascii="宋体" w:hAnsi="宋体"/>
                <w:bCs/>
                <w:color w:val="auto"/>
                <w:szCs w:val="21"/>
                <w:highlight w:val="none"/>
                <w:lang w:val="en-US"/>
              </w:rPr>
            </w:pPr>
            <w:r>
              <w:rPr>
                <w:rFonts w:hint="eastAsia" w:ascii="宋体" w:hAnsi="宋体"/>
                <w:bCs/>
                <w:color w:val="auto"/>
                <w:szCs w:val="21"/>
                <w:highlight w:val="none"/>
                <w:lang w:val="en-US" w:eastAsia="zh-CN"/>
              </w:rPr>
              <w:t>1010000元</w:t>
            </w:r>
          </w:p>
        </w:tc>
      </w:tr>
      <w:tr w14:paraId="3ECD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7" w:type="dxa"/>
            <w:gridSpan w:val="5"/>
            <w:noWrap w:val="0"/>
            <w:vAlign w:val="top"/>
          </w:tcPr>
          <w:p w14:paraId="3E615ADD">
            <w:pPr>
              <w:spacing w:line="276" w:lineRule="auto"/>
              <w:jc w:val="center"/>
              <w:rPr>
                <w:rFonts w:ascii="宋体" w:hAnsi="宋体"/>
                <w:bCs/>
                <w:color w:val="auto"/>
                <w:szCs w:val="21"/>
                <w:highlight w:val="none"/>
              </w:rPr>
            </w:pPr>
            <w:r>
              <w:rPr>
                <w:rFonts w:hint="eastAsia" w:ascii="宋体" w:hAnsi="宋体"/>
                <w:bCs/>
                <w:color w:val="auto"/>
                <w:szCs w:val="21"/>
                <w:highlight w:val="none"/>
              </w:rPr>
              <w:t>合计</w:t>
            </w:r>
          </w:p>
        </w:tc>
        <w:tc>
          <w:tcPr>
            <w:tcW w:w="1560" w:type="dxa"/>
            <w:noWrap w:val="0"/>
            <w:vAlign w:val="top"/>
          </w:tcPr>
          <w:p w14:paraId="158E06B2">
            <w:pPr>
              <w:spacing w:line="276" w:lineRule="auto"/>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1010000元</w:t>
            </w:r>
          </w:p>
        </w:tc>
      </w:tr>
    </w:tbl>
    <w:p w14:paraId="58C5B1D2">
      <w:pPr>
        <w:pStyle w:val="2"/>
        <w:rPr>
          <w:color w:val="auto"/>
          <w:highlight w:val="none"/>
        </w:rPr>
      </w:pPr>
    </w:p>
    <w:p w14:paraId="44654C2E">
      <w:pPr>
        <w:pStyle w:val="5"/>
        <w:numPr>
          <w:ilvl w:val="0"/>
          <w:numId w:val="0"/>
        </w:numPr>
        <w:jc w:val="both"/>
        <w:rPr>
          <w:rFonts w:ascii="黑体" w:eastAsia="黑体"/>
          <w:bCs w:val="0"/>
          <w:color w:val="auto"/>
          <w:sz w:val="24"/>
          <w:highlight w:val="none"/>
        </w:rPr>
      </w:pPr>
    </w:p>
    <w:p w14:paraId="33B07CBA">
      <w:pPr>
        <w:pStyle w:val="5"/>
        <w:numPr>
          <w:ilvl w:val="0"/>
          <w:numId w:val="6"/>
        </w:numPr>
        <w:jc w:val="center"/>
        <w:rPr>
          <w:rFonts w:ascii="黑体" w:eastAsia="黑体"/>
          <w:bCs w:val="0"/>
          <w:color w:val="auto"/>
          <w:sz w:val="24"/>
          <w:highlight w:val="none"/>
        </w:rPr>
      </w:pPr>
      <w:r>
        <w:rPr>
          <w:rFonts w:hint="eastAsia" w:ascii="黑体" w:eastAsia="黑体"/>
          <w:bCs w:val="0"/>
          <w:color w:val="auto"/>
          <w:sz w:val="24"/>
          <w:highlight w:val="none"/>
        </w:rPr>
        <w:t>项目概况</w:t>
      </w:r>
    </w:p>
    <w:p w14:paraId="308D58B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tLeast"/>
        <w:ind w:firstLine="420" w:firstLineChars="200"/>
        <w:jc w:val="left"/>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bidi="ar-SA"/>
        </w:rPr>
        <w:t>巴音郭楞职业技术学院作为巴州唯一的综合性高等职业院校，秉持“服务区域发展、培育高素质技术技能人才”的使命，依托当地油气、煤炭、特色农业等五大支柱产业，构建了以工科为主、多学科协调发展的办学格局。学校积极响应自治区“数字新疆”战略以及巴州产业发展目标，深入钻研信息技术、现代农业等领域，积累了丰富的教学与实训资源，为新一代信息技术类实训室的建设奠定了坚实基础。同时，国家及地方颁布了多项与数字经济相关的政策，学院现有的大数据技术、计算机应用技术等6个信息技术类专业，均处于政策重点扶持范围之内。建设相关实训室是推动专业从传统教学向新兴技术融合升级的关键举措。</w:t>
      </w:r>
    </w:p>
    <w:p w14:paraId="21139287">
      <w:pPr>
        <w:keepNext w:val="0"/>
        <w:keepLines w:val="0"/>
        <w:pageBreakBefore w:val="0"/>
        <w:widowControl/>
        <w:suppressLineNumbers w:val="0"/>
        <w:kinsoku/>
        <w:wordWrap/>
        <w:overflowPunct/>
        <w:topLinePunct w:val="0"/>
        <w:autoSpaceDE/>
        <w:autoSpaceDN/>
        <w:bidi w:val="0"/>
        <w:adjustRightInd/>
        <w:snapToGrid/>
        <w:spacing w:line="480" w:lineRule="atLeast"/>
        <w:ind w:firstLine="420" w:firstLineChars="200"/>
        <w:jc w:val="left"/>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bidi="ar-SA"/>
        </w:rPr>
        <w:t>巴州产业正加速向数字化、智能化转型，本地企业对人才的需求全面提升。传统支柱产业如塔里木油田推进“智慧油田”建设，迫切需要大数据采集分析类一线技术人才；特色农业电商、智慧文旅等新兴产业，对“大数据 + 行业应用”复合型人才的需求急剧增加。然而，目前巴州具备大数据与人工智能基础应用能力的技术人才存在明显缺口。作为区域人才培养的核心场所，学院亟需通过实训室建设，弥合人才培养与产业需求之间的衔接断层。</w:t>
      </w:r>
    </w:p>
    <w:p w14:paraId="027BBAC9">
      <w:pPr>
        <w:keepNext w:val="0"/>
        <w:keepLines w:val="0"/>
        <w:pageBreakBefore w:val="0"/>
        <w:widowControl/>
        <w:suppressLineNumbers w:val="0"/>
        <w:kinsoku/>
        <w:wordWrap/>
        <w:overflowPunct/>
        <w:topLinePunct w:val="0"/>
        <w:autoSpaceDE/>
        <w:autoSpaceDN/>
        <w:bidi w:val="0"/>
        <w:adjustRightInd/>
        <w:snapToGrid/>
        <w:spacing w:line="480" w:lineRule="atLeast"/>
        <w:ind w:firstLine="420" w:firstLineChars="200"/>
        <w:jc w:val="left"/>
        <w:textAlignment w:val="auto"/>
        <w:rPr>
          <w:rFonts w:hint="eastAsia"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bidi="ar-SA"/>
        </w:rPr>
        <w:t>国家相继出台了职业教育改革系列政策，明确要求职业院校对接新一代信息技术产业，搭建符合产业需求的实训基地，培养适应数字经济发展的人才。自治区也将信息技术类专业建设纳入职业教育高质量发展的重点任务，支持地州院校建设区域性实训中心。建设大数据与人工智能实训室，既是学院落实国家及地方职教改革要求的必要行动，也是提升专业办学实力、增强区域服务能力的关键途径。</w:t>
      </w:r>
    </w:p>
    <w:p w14:paraId="5029257B">
      <w:pPr>
        <w:pStyle w:val="2"/>
        <w:rPr>
          <w:rFonts w:hint="eastAsia"/>
          <w:lang w:val="en-US" w:eastAsia="zh-CN"/>
        </w:rPr>
      </w:pPr>
    </w:p>
    <w:tbl>
      <w:tblPr>
        <w:tblStyle w:val="40"/>
        <w:tblW w:w="9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548"/>
        <w:gridCol w:w="4761"/>
        <w:gridCol w:w="672"/>
        <w:gridCol w:w="807"/>
        <w:gridCol w:w="1079"/>
      </w:tblGrid>
      <w:tr w14:paraId="003E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blHeader/>
          <w:jc w:val="center"/>
        </w:trPr>
        <w:tc>
          <w:tcPr>
            <w:tcW w:w="9292" w:type="dxa"/>
            <w:gridSpan w:val="6"/>
            <w:tcBorders>
              <w:top w:val="nil"/>
              <w:left w:val="single" w:color="000000" w:sz="8" w:space="0"/>
              <w:bottom w:val="single" w:color="000000" w:sz="8" w:space="0"/>
              <w:right w:val="single" w:color="000000" w:sz="8" w:space="0"/>
            </w:tcBorders>
            <w:shd w:val="clear" w:color="auto" w:fill="auto"/>
            <w:noWrap/>
            <w:vAlign w:val="center"/>
          </w:tcPr>
          <w:p w14:paraId="1A2BE9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8"/>
                <w:szCs w:val="28"/>
                <w:u w:val="none"/>
                <w:lang w:val="en-US" w:eastAsia="zh-CN" w:bidi="ar"/>
              </w:rPr>
              <w:t>巴音职业技术学院两间教室：数量清单</w:t>
            </w:r>
          </w:p>
        </w:tc>
      </w:tr>
      <w:tr w14:paraId="075C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25" w:type="dxa"/>
            <w:tcBorders>
              <w:top w:val="nil"/>
              <w:left w:val="single" w:color="000000" w:sz="8" w:space="0"/>
              <w:bottom w:val="single" w:color="000000" w:sz="8" w:space="0"/>
              <w:right w:val="single" w:color="000000" w:sz="8" w:space="0"/>
            </w:tcBorders>
            <w:shd w:val="clear" w:color="auto" w:fill="auto"/>
            <w:noWrap/>
            <w:vAlign w:val="center"/>
          </w:tcPr>
          <w:p w14:paraId="1CFFD416">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548" w:type="dxa"/>
            <w:tcBorders>
              <w:top w:val="single" w:color="000000" w:sz="8" w:space="0"/>
              <w:left w:val="nil"/>
              <w:bottom w:val="single" w:color="000000" w:sz="8" w:space="0"/>
              <w:right w:val="single" w:color="000000" w:sz="8" w:space="0"/>
            </w:tcBorders>
            <w:shd w:val="clear" w:color="auto" w:fill="auto"/>
            <w:noWrap/>
            <w:vAlign w:val="center"/>
          </w:tcPr>
          <w:p w14:paraId="19EDA1B8">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4761" w:type="dxa"/>
            <w:tcBorders>
              <w:top w:val="single" w:color="000000" w:sz="8" w:space="0"/>
              <w:left w:val="nil"/>
              <w:bottom w:val="single" w:color="000000" w:sz="8" w:space="0"/>
              <w:right w:val="single" w:color="000000" w:sz="8" w:space="0"/>
            </w:tcBorders>
            <w:shd w:val="clear" w:color="auto" w:fill="auto"/>
            <w:noWrap/>
            <w:vAlign w:val="center"/>
          </w:tcPr>
          <w:p w14:paraId="0C25EFAA">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参数要求</w:t>
            </w:r>
          </w:p>
        </w:tc>
        <w:tc>
          <w:tcPr>
            <w:tcW w:w="672" w:type="dxa"/>
            <w:tcBorders>
              <w:top w:val="single" w:color="000000" w:sz="8" w:space="0"/>
              <w:left w:val="nil"/>
              <w:bottom w:val="single" w:color="000000" w:sz="8" w:space="0"/>
              <w:right w:val="single" w:color="000000" w:sz="8" w:space="0"/>
            </w:tcBorders>
            <w:shd w:val="clear" w:color="auto" w:fill="auto"/>
            <w:noWrap/>
            <w:vAlign w:val="center"/>
          </w:tcPr>
          <w:p w14:paraId="79142A47">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07" w:type="dxa"/>
            <w:tcBorders>
              <w:top w:val="single" w:color="000000" w:sz="8" w:space="0"/>
              <w:left w:val="nil"/>
              <w:bottom w:val="single" w:color="000000" w:sz="8" w:space="0"/>
              <w:right w:val="single" w:color="000000" w:sz="8" w:space="0"/>
            </w:tcBorders>
            <w:shd w:val="clear" w:color="auto" w:fill="auto"/>
            <w:noWrap/>
            <w:vAlign w:val="center"/>
          </w:tcPr>
          <w:p w14:paraId="150B196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14:paraId="7F11442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32DE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5" w:type="dxa"/>
            <w:tcBorders>
              <w:top w:val="nil"/>
              <w:left w:val="single" w:color="000000" w:sz="8" w:space="0"/>
              <w:bottom w:val="single" w:color="000000" w:sz="8" w:space="0"/>
              <w:right w:val="single" w:color="000000" w:sz="8" w:space="0"/>
            </w:tcBorders>
            <w:shd w:val="clear" w:color="auto" w:fill="auto"/>
            <w:noWrap/>
            <w:vAlign w:val="center"/>
          </w:tcPr>
          <w:p w14:paraId="781324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8" w:type="dxa"/>
            <w:tcBorders>
              <w:top w:val="nil"/>
              <w:left w:val="nil"/>
              <w:bottom w:val="single" w:color="000000" w:sz="8" w:space="0"/>
              <w:right w:val="single" w:color="000000" w:sz="8" w:space="0"/>
            </w:tcBorders>
            <w:shd w:val="clear" w:color="auto" w:fill="auto"/>
            <w:noWrap/>
            <w:vAlign w:val="center"/>
          </w:tcPr>
          <w:p w14:paraId="72E1655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w:t>
            </w:r>
          </w:p>
        </w:tc>
        <w:tc>
          <w:tcPr>
            <w:tcW w:w="4761" w:type="dxa"/>
            <w:tcBorders>
              <w:top w:val="nil"/>
              <w:left w:val="nil"/>
              <w:bottom w:val="single" w:color="000000" w:sz="8" w:space="0"/>
              <w:right w:val="single" w:color="000000" w:sz="8" w:space="0"/>
            </w:tcBorders>
            <w:shd w:val="clear" w:color="auto" w:fill="auto"/>
            <w:noWrap/>
            <w:vAlign w:val="center"/>
          </w:tcPr>
          <w:p w14:paraId="21F866F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具体参数详见《三、货物需求明细》</w:t>
            </w:r>
          </w:p>
        </w:tc>
        <w:tc>
          <w:tcPr>
            <w:tcW w:w="672" w:type="dxa"/>
            <w:tcBorders>
              <w:top w:val="nil"/>
              <w:left w:val="nil"/>
              <w:bottom w:val="single" w:color="000000" w:sz="8" w:space="0"/>
              <w:right w:val="single" w:color="000000" w:sz="8" w:space="0"/>
            </w:tcBorders>
            <w:shd w:val="clear" w:color="auto" w:fill="auto"/>
            <w:noWrap/>
            <w:vAlign w:val="center"/>
          </w:tcPr>
          <w:p w14:paraId="0755E9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807" w:type="dxa"/>
            <w:tcBorders>
              <w:top w:val="nil"/>
              <w:left w:val="nil"/>
              <w:bottom w:val="single" w:color="000000" w:sz="8" w:space="0"/>
              <w:right w:val="single" w:color="000000" w:sz="8" w:space="0"/>
            </w:tcBorders>
            <w:shd w:val="clear" w:color="auto" w:fill="auto"/>
            <w:noWrap/>
            <w:vAlign w:val="center"/>
          </w:tcPr>
          <w:p w14:paraId="60E51E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9" w:type="dxa"/>
            <w:tcBorders>
              <w:top w:val="nil"/>
              <w:left w:val="nil"/>
              <w:bottom w:val="single" w:color="000000" w:sz="8" w:space="0"/>
              <w:right w:val="single" w:color="000000" w:sz="8" w:space="0"/>
            </w:tcBorders>
            <w:shd w:val="clear" w:color="auto" w:fill="auto"/>
            <w:noWrap/>
            <w:vAlign w:val="center"/>
          </w:tcPr>
          <w:p w14:paraId="2579CD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核心产品</w:t>
            </w:r>
          </w:p>
        </w:tc>
      </w:tr>
      <w:tr w14:paraId="39B0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5" w:type="dxa"/>
            <w:tcBorders>
              <w:top w:val="nil"/>
              <w:left w:val="single" w:color="000000" w:sz="8" w:space="0"/>
              <w:bottom w:val="single" w:color="000000" w:sz="8" w:space="0"/>
              <w:right w:val="single" w:color="000000" w:sz="8" w:space="0"/>
            </w:tcBorders>
            <w:shd w:val="clear" w:color="auto" w:fill="auto"/>
            <w:noWrap/>
            <w:vAlign w:val="center"/>
          </w:tcPr>
          <w:p w14:paraId="6526F5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8" w:type="dxa"/>
            <w:tcBorders>
              <w:top w:val="nil"/>
              <w:left w:val="nil"/>
              <w:bottom w:val="single" w:color="000000" w:sz="8" w:space="0"/>
              <w:right w:val="single" w:color="000000" w:sz="8" w:space="0"/>
            </w:tcBorders>
            <w:shd w:val="clear" w:color="auto" w:fill="auto"/>
            <w:noWrap/>
            <w:vAlign w:val="center"/>
          </w:tcPr>
          <w:p w14:paraId="238194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网络同传还原系统</w:t>
            </w:r>
          </w:p>
        </w:tc>
        <w:tc>
          <w:tcPr>
            <w:tcW w:w="4761" w:type="dxa"/>
            <w:tcBorders>
              <w:top w:val="nil"/>
              <w:left w:val="nil"/>
              <w:bottom w:val="single" w:color="000000" w:sz="8" w:space="0"/>
              <w:right w:val="single" w:color="000000" w:sz="8" w:space="0"/>
            </w:tcBorders>
            <w:shd w:val="clear" w:color="auto" w:fill="auto"/>
            <w:vAlign w:val="center"/>
          </w:tcPr>
          <w:p w14:paraId="096ADB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一个版本同时兼容Windows操作系统及银河麒麟、统信等国产桌面操作系统的网络同传还原系统</w:t>
            </w:r>
          </w:p>
        </w:tc>
        <w:tc>
          <w:tcPr>
            <w:tcW w:w="672" w:type="dxa"/>
            <w:tcBorders>
              <w:top w:val="nil"/>
              <w:left w:val="nil"/>
              <w:bottom w:val="single" w:color="000000" w:sz="8" w:space="0"/>
              <w:right w:val="single" w:color="000000" w:sz="8" w:space="0"/>
            </w:tcBorders>
            <w:shd w:val="clear" w:color="auto" w:fill="auto"/>
            <w:noWrap/>
            <w:vAlign w:val="center"/>
          </w:tcPr>
          <w:p w14:paraId="7988D1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807" w:type="dxa"/>
            <w:tcBorders>
              <w:top w:val="nil"/>
              <w:left w:val="nil"/>
              <w:bottom w:val="single" w:color="000000" w:sz="8" w:space="0"/>
              <w:right w:val="single" w:color="000000" w:sz="8" w:space="0"/>
            </w:tcBorders>
            <w:shd w:val="clear" w:color="auto" w:fill="auto"/>
            <w:noWrap/>
            <w:vAlign w:val="center"/>
          </w:tcPr>
          <w:p w14:paraId="4C8337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79" w:type="dxa"/>
            <w:tcBorders>
              <w:top w:val="nil"/>
              <w:left w:val="nil"/>
              <w:bottom w:val="single" w:color="000000" w:sz="8" w:space="0"/>
              <w:right w:val="single" w:color="000000" w:sz="8" w:space="0"/>
            </w:tcBorders>
            <w:shd w:val="clear" w:color="auto" w:fill="auto"/>
            <w:noWrap/>
            <w:vAlign w:val="center"/>
          </w:tcPr>
          <w:p w14:paraId="56068105">
            <w:pPr>
              <w:snapToGrid w:val="0"/>
              <w:jc w:val="center"/>
              <w:rPr>
                <w:rFonts w:hint="eastAsia" w:ascii="宋体" w:hAnsi="宋体" w:eastAsia="宋体" w:cs="宋体"/>
                <w:i w:val="0"/>
                <w:iCs w:val="0"/>
                <w:color w:val="000000"/>
                <w:sz w:val="21"/>
                <w:szCs w:val="21"/>
                <w:u w:val="none"/>
              </w:rPr>
            </w:pPr>
          </w:p>
        </w:tc>
      </w:tr>
      <w:tr w14:paraId="5355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5" w:type="dxa"/>
            <w:tcBorders>
              <w:top w:val="nil"/>
              <w:left w:val="single" w:color="000000" w:sz="8" w:space="0"/>
              <w:bottom w:val="single" w:color="000000" w:sz="8" w:space="0"/>
              <w:right w:val="single" w:color="000000" w:sz="8" w:space="0"/>
            </w:tcBorders>
            <w:shd w:val="clear" w:color="auto" w:fill="auto"/>
            <w:noWrap/>
            <w:vAlign w:val="center"/>
          </w:tcPr>
          <w:p w14:paraId="41EF43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8" w:type="dxa"/>
            <w:tcBorders>
              <w:top w:val="nil"/>
              <w:left w:val="nil"/>
              <w:bottom w:val="single" w:color="000000" w:sz="8" w:space="0"/>
              <w:right w:val="single" w:color="000000" w:sz="8" w:space="0"/>
            </w:tcBorders>
            <w:shd w:val="clear" w:color="auto" w:fill="auto"/>
            <w:noWrap/>
            <w:vAlign w:val="center"/>
          </w:tcPr>
          <w:p w14:paraId="243585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4761" w:type="dxa"/>
            <w:tcBorders>
              <w:top w:val="nil"/>
              <w:left w:val="nil"/>
              <w:bottom w:val="single" w:color="000000" w:sz="8" w:space="0"/>
              <w:right w:val="single" w:color="000000" w:sz="8" w:space="0"/>
            </w:tcBorders>
            <w:shd w:val="clear" w:color="auto" w:fill="auto"/>
            <w:vAlign w:val="center"/>
          </w:tcPr>
          <w:p w14:paraId="22B5057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弱电使用六类非屏蔽双绞线（CAT6）布线，核心设备区与终端区采用星型拓扑结构，配置网格式桥架（300×100mm），弱电辅材包括但不仅限于：网线、插座、水晶头等。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强电布线采用符合国家标准的3平方铜芯线，用于为核心设备（交换机、服务器等）及终端设备（电脑、办公设备等）提供稳定电力供应。强电线路需按用电负荷合理分路，避免强电干扰弱电信号传输。强电辅材包括但不限于：3平方铜芯线（火线、零线、地线）、电源插座、空气开关、配电箱、线管、线盒、固定件等，所有强电材料需符合国家电气安全标准，具备良好的导电性能和绝缘性能。</w:t>
            </w:r>
          </w:p>
        </w:tc>
        <w:tc>
          <w:tcPr>
            <w:tcW w:w="672" w:type="dxa"/>
            <w:tcBorders>
              <w:top w:val="nil"/>
              <w:left w:val="nil"/>
              <w:bottom w:val="single" w:color="000000" w:sz="8" w:space="0"/>
              <w:right w:val="single" w:color="000000" w:sz="8" w:space="0"/>
            </w:tcBorders>
            <w:shd w:val="clear" w:color="auto" w:fill="auto"/>
            <w:noWrap/>
            <w:vAlign w:val="center"/>
          </w:tcPr>
          <w:p w14:paraId="14E09A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807" w:type="dxa"/>
            <w:tcBorders>
              <w:top w:val="nil"/>
              <w:left w:val="nil"/>
              <w:bottom w:val="single" w:color="000000" w:sz="8" w:space="0"/>
              <w:right w:val="single" w:color="000000" w:sz="8" w:space="0"/>
            </w:tcBorders>
            <w:shd w:val="clear" w:color="auto" w:fill="auto"/>
            <w:noWrap/>
            <w:vAlign w:val="center"/>
          </w:tcPr>
          <w:p w14:paraId="15412C3D">
            <w:pPr>
              <w:keepNext w:val="0"/>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平方</w:t>
            </w:r>
            <w:r>
              <w:rPr>
                <w:rFonts w:hint="eastAsia" w:ascii="宋体" w:hAnsi="宋体" w:cs="宋体"/>
                <w:i w:val="0"/>
                <w:iCs w:val="0"/>
                <w:color w:val="000000"/>
                <w:kern w:val="0"/>
                <w:sz w:val="21"/>
                <w:szCs w:val="21"/>
                <w:u w:val="none"/>
                <w:lang w:val="en-US" w:eastAsia="zh-CN" w:bidi="ar"/>
              </w:rPr>
              <w:t>米</w:t>
            </w:r>
          </w:p>
        </w:tc>
        <w:tc>
          <w:tcPr>
            <w:tcW w:w="1079" w:type="dxa"/>
            <w:tcBorders>
              <w:top w:val="nil"/>
              <w:left w:val="nil"/>
              <w:bottom w:val="single" w:color="000000" w:sz="8" w:space="0"/>
              <w:right w:val="single" w:color="000000" w:sz="8" w:space="0"/>
            </w:tcBorders>
            <w:shd w:val="clear" w:color="auto" w:fill="auto"/>
            <w:noWrap/>
            <w:vAlign w:val="center"/>
          </w:tcPr>
          <w:p w14:paraId="0B7763DA">
            <w:pPr>
              <w:snapToGrid w:val="0"/>
              <w:jc w:val="center"/>
              <w:rPr>
                <w:rFonts w:hint="eastAsia" w:ascii="宋体" w:hAnsi="宋体" w:eastAsia="宋体" w:cs="宋体"/>
                <w:i w:val="0"/>
                <w:iCs w:val="0"/>
                <w:color w:val="000000"/>
                <w:sz w:val="21"/>
                <w:szCs w:val="21"/>
                <w:u w:val="none"/>
              </w:rPr>
            </w:pPr>
          </w:p>
        </w:tc>
      </w:tr>
      <w:tr w14:paraId="741E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5" w:type="dxa"/>
            <w:tcBorders>
              <w:top w:val="nil"/>
              <w:left w:val="single" w:color="000000" w:sz="8" w:space="0"/>
              <w:bottom w:val="single" w:color="000000" w:sz="8" w:space="0"/>
              <w:right w:val="single" w:color="000000" w:sz="8" w:space="0"/>
            </w:tcBorders>
            <w:shd w:val="clear" w:color="auto" w:fill="auto"/>
            <w:noWrap/>
            <w:vAlign w:val="center"/>
          </w:tcPr>
          <w:p w14:paraId="6EF6BB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8" w:type="dxa"/>
            <w:tcBorders>
              <w:top w:val="nil"/>
              <w:left w:val="nil"/>
              <w:bottom w:val="single" w:color="000000" w:sz="8" w:space="0"/>
              <w:right w:val="single" w:color="000000" w:sz="8" w:space="0"/>
            </w:tcBorders>
            <w:shd w:val="clear" w:color="auto" w:fill="auto"/>
            <w:noWrap/>
            <w:vAlign w:val="center"/>
          </w:tcPr>
          <w:p w14:paraId="49CA20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静电地板</w:t>
            </w:r>
          </w:p>
        </w:tc>
        <w:tc>
          <w:tcPr>
            <w:tcW w:w="4761" w:type="dxa"/>
            <w:tcBorders>
              <w:top w:val="nil"/>
              <w:left w:val="nil"/>
              <w:bottom w:val="single" w:color="000000" w:sz="8" w:space="0"/>
              <w:right w:val="single" w:color="000000" w:sz="8" w:space="0"/>
            </w:tcBorders>
            <w:shd w:val="clear" w:color="auto" w:fill="auto"/>
            <w:vAlign w:val="center"/>
          </w:tcPr>
          <w:p w14:paraId="3EC016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Style w:val="138"/>
                <w:sz w:val="21"/>
                <w:szCs w:val="21"/>
                <w:lang w:val="en-US" w:eastAsia="zh-CN" w:bidi="ar"/>
              </w:rPr>
              <w:t>采</w:t>
            </w:r>
            <w:r>
              <w:rPr>
                <w:rStyle w:val="139"/>
                <w:sz w:val="21"/>
                <w:szCs w:val="21"/>
                <w:lang w:val="en-US" w:eastAsia="zh-CN" w:bidi="ar"/>
              </w:rPr>
              <w:t>用全陶瓷防静电</w:t>
            </w:r>
            <w:r>
              <w:rPr>
                <w:rStyle w:val="138"/>
                <w:sz w:val="21"/>
                <w:szCs w:val="21"/>
                <w:lang w:val="en-US" w:eastAsia="zh-CN" w:bidi="ar"/>
              </w:rPr>
              <w:t>地板（600×600mm规格），地板下铺设金属走线槽，实现强弱电分离。颜色采购人自选</w:t>
            </w:r>
          </w:p>
        </w:tc>
        <w:tc>
          <w:tcPr>
            <w:tcW w:w="672" w:type="dxa"/>
            <w:tcBorders>
              <w:top w:val="nil"/>
              <w:left w:val="nil"/>
              <w:bottom w:val="single" w:color="000000" w:sz="8" w:space="0"/>
              <w:right w:val="single" w:color="000000" w:sz="8" w:space="0"/>
            </w:tcBorders>
            <w:shd w:val="clear" w:color="auto" w:fill="auto"/>
            <w:noWrap/>
            <w:vAlign w:val="center"/>
          </w:tcPr>
          <w:p w14:paraId="7716D6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807" w:type="dxa"/>
            <w:tcBorders>
              <w:top w:val="nil"/>
              <w:left w:val="nil"/>
              <w:bottom w:val="single" w:color="000000" w:sz="8" w:space="0"/>
              <w:right w:val="single" w:color="000000" w:sz="8" w:space="0"/>
            </w:tcBorders>
            <w:shd w:val="clear" w:color="auto" w:fill="auto"/>
            <w:noWrap/>
            <w:vAlign w:val="center"/>
          </w:tcPr>
          <w:p w14:paraId="361A76B0">
            <w:pPr>
              <w:keepNext w:val="0"/>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平方</w:t>
            </w:r>
            <w:r>
              <w:rPr>
                <w:rFonts w:hint="eastAsia" w:ascii="宋体" w:hAnsi="宋体" w:cs="宋体"/>
                <w:i w:val="0"/>
                <w:iCs w:val="0"/>
                <w:color w:val="000000"/>
                <w:kern w:val="0"/>
                <w:sz w:val="21"/>
                <w:szCs w:val="21"/>
                <w:u w:val="none"/>
                <w:lang w:val="en-US" w:eastAsia="zh-CN" w:bidi="ar"/>
              </w:rPr>
              <w:t>米</w:t>
            </w:r>
          </w:p>
        </w:tc>
        <w:tc>
          <w:tcPr>
            <w:tcW w:w="1079" w:type="dxa"/>
            <w:tcBorders>
              <w:top w:val="nil"/>
              <w:left w:val="nil"/>
              <w:bottom w:val="single" w:color="000000" w:sz="8" w:space="0"/>
              <w:right w:val="single" w:color="000000" w:sz="8" w:space="0"/>
            </w:tcBorders>
            <w:shd w:val="clear" w:color="auto" w:fill="auto"/>
            <w:noWrap/>
            <w:vAlign w:val="center"/>
          </w:tcPr>
          <w:p w14:paraId="45CCE55D">
            <w:pPr>
              <w:snapToGrid w:val="0"/>
              <w:jc w:val="center"/>
              <w:rPr>
                <w:rFonts w:hint="eastAsia" w:ascii="宋体" w:hAnsi="宋体" w:eastAsia="宋体" w:cs="宋体"/>
                <w:i w:val="0"/>
                <w:iCs w:val="0"/>
                <w:color w:val="000000"/>
                <w:sz w:val="21"/>
                <w:szCs w:val="21"/>
                <w:u w:val="none"/>
              </w:rPr>
            </w:pPr>
          </w:p>
        </w:tc>
      </w:tr>
    </w:tbl>
    <w:p w14:paraId="581BA07A">
      <w:pPr>
        <w:pStyle w:val="5"/>
        <w:keepNext/>
        <w:numPr>
          <w:ilvl w:val="0"/>
          <w:numId w:val="6"/>
        </w:numPr>
        <w:jc w:val="center"/>
        <w:rPr>
          <w:rFonts w:hint="eastAsia" w:ascii="黑体" w:hAnsi="Arial" w:eastAsia="黑体" w:cs="Arial"/>
          <w:b/>
          <w:bCs/>
          <w:color w:val="auto"/>
          <w:sz w:val="24"/>
          <w:highlight w:val="none"/>
        </w:rPr>
      </w:pPr>
      <w:bookmarkStart w:id="53" w:name="_Hlk72073432"/>
      <w:r>
        <w:rPr>
          <w:rFonts w:hint="eastAsia" w:ascii="黑体" w:hAnsi="Arial" w:eastAsia="黑体" w:cs="Arial"/>
          <w:b/>
          <w:bCs/>
          <w:color w:val="auto"/>
          <w:sz w:val="24"/>
          <w:highlight w:val="none"/>
          <w:lang w:val="en-US" w:eastAsia="zh-CN"/>
        </w:rPr>
        <w:t>货物</w:t>
      </w:r>
      <w:r>
        <w:rPr>
          <w:rFonts w:hint="eastAsia" w:ascii="黑体" w:hAnsi="Arial" w:eastAsia="黑体" w:cs="Arial"/>
          <w:b/>
          <w:bCs/>
          <w:color w:val="auto"/>
          <w:sz w:val="24"/>
          <w:highlight w:val="none"/>
        </w:rPr>
        <w:t>需求明细</w:t>
      </w:r>
      <w:bookmarkEnd w:id="53"/>
    </w:p>
    <w:tbl>
      <w:tblPr>
        <w:tblStyle w:val="40"/>
        <w:tblW w:w="8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070"/>
        <w:gridCol w:w="642"/>
        <w:gridCol w:w="1238"/>
        <w:gridCol w:w="1032"/>
        <w:gridCol w:w="3190"/>
        <w:gridCol w:w="668"/>
      </w:tblGrid>
      <w:tr w14:paraId="5CD7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0A266D">
            <w:pPr>
              <w:keepNext/>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7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指标分类</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70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fldChar w:fldCharType="begin"/>
            </w:r>
            <w:r>
              <w:rPr>
                <w:rFonts w:hint="eastAsia" w:ascii="宋体" w:hAnsi="宋体" w:eastAsia="宋体" w:cs="宋体"/>
                <w:b/>
                <w:bCs/>
                <w:i w:val="0"/>
                <w:iCs w:val="0"/>
                <w:color w:val="000000"/>
                <w:kern w:val="0"/>
                <w:sz w:val="16"/>
                <w:szCs w:val="16"/>
                <w:u w:val="none"/>
                <w:lang w:val="en-US" w:eastAsia="zh-CN" w:bidi="ar"/>
              </w:rPr>
              <w:instrText xml:space="preserve"> YPELINK "" \l "Sheet1!A2" </w:instrText>
            </w:r>
            <w:r>
              <w:rPr>
                <w:rFonts w:hint="eastAsia" w:ascii="宋体" w:hAnsi="宋体" w:eastAsia="宋体" w:cs="宋体"/>
                <w:b/>
                <w:bCs/>
                <w:i w:val="0"/>
                <w:iCs w:val="0"/>
                <w:color w:val="000000"/>
                <w:kern w:val="0"/>
                <w:sz w:val="16"/>
                <w:szCs w:val="16"/>
                <w:u w:val="none"/>
                <w:lang w:val="en-US" w:eastAsia="zh-CN" w:bidi="ar"/>
              </w:rPr>
              <w:fldChar w:fldCharType="separate"/>
            </w:r>
            <w:r>
              <w:rPr>
                <w:rFonts w:hint="eastAsia" w:ascii="宋体" w:hAnsi="宋体" w:eastAsia="宋体" w:cs="宋体"/>
                <w:b/>
                <w:bCs/>
                <w:i w:val="0"/>
                <w:iCs w:val="0"/>
                <w:color w:val="000000"/>
                <w:kern w:val="0"/>
                <w:sz w:val="16"/>
                <w:szCs w:val="16"/>
                <w:u w:val="none"/>
                <w:lang w:val="en-US" w:eastAsia="zh-CN" w:bidi="ar"/>
              </w:rPr>
              <w:t>一级</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指标1</w:t>
            </w:r>
            <w:r>
              <w:rPr>
                <w:rFonts w:hint="eastAsia" w:ascii="宋体" w:hAnsi="宋体" w:eastAsia="宋体" w:cs="宋体"/>
                <w:b/>
                <w:bCs/>
                <w:i w:val="0"/>
                <w:iCs w:val="0"/>
                <w:color w:val="000000"/>
                <w:kern w:val="0"/>
                <w:sz w:val="16"/>
                <w:szCs w:val="16"/>
                <w:u w:val="none"/>
                <w:lang w:val="en-US" w:eastAsia="zh-CN" w:bidi="ar"/>
              </w:rPr>
              <w:fldChar w:fldCharType="end"/>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B3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fldChar w:fldCharType="begin"/>
            </w:r>
            <w:r>
              <w:rPr>
                <w:rFonts w:hint="eastAsia" w:ascii="宋体" w:hAnsi="宋体" w:eastAsia="宋体" w:cs="宋体"/>
                <w:b/>
                <w:bCs/>
                <w:i w:val="0"/>
                <w:iCs w:val="0"/>
                <w:color w:val="000000"/>
                <w:kern w:val="0"/>
                <w:sz w:val="16"/>
                <w:szCs w:val="16"/>
                <w:u w:val="none"/>
                <w:lang w:val="en-US" w:eastAsia="zh-CN" w:bidi="ar"/>
              </w:rPr>
              <w:instrText xml:space="preserve"> YPRINK "" \l "Sheet1!A2" </w:instrText>
            </w:r>
            <w:r>
              <w:rPr>
                <w:rFonts w:hint="eastAsia" w:ascii="宋体" w:hAnsi="宋体" w:eastAsia="宋体" w:cs="宋体"/>
                <w:b/>
                <w:bCs/>
                <w:i w:val="0"/>
                <w:iCs w:val="0"/>
                <w:color w:val="000000"/>
                <w:kern w:val="0"/>
                <w:sz w:val="16"/>
                <w:szCs w:val="16"/>
                <w:u w:val="none"/>
                <w:lang w:val="en-US" w:eastAsia="zh-CN" w:bidi="ar"/>
              </w:rPr>
              <w:fldChar w:fldCharType="separate"/>
            </w:r>
            <w:r>
              <w:rPr>
                <w:rFonts w:hint="eastAsia" w:ascii="宋体" w:hAnsi="宋体" w:eastAsia="宋体" w:cs="宋体"/>
                <w:b/>
                <w:bCs/>
                <w:i w:val="0"/>
                <w:iCs w:val="0"/>
                <w:color w:val="000000"/>
                <w:kern w:val="0"/>
                <w:sz w:val="16"/>
                <w:szCs w:val="16"/>
                <w:u w:val="none"/>
                <w:lang w:val="en-US" w:eastAsia="zh-CN" w:bidi="ar"/>
              </w:rPr>
              <w:t>二级</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指标 1</w:t>
            </w:r>
            <w:r>
              <w:rPr>
                <w:rFonts w:hint="eastAsia" w:ascii="宋体" w:hAnsi="宋体" w:eastAsia="宋体" w:cs="宋体"/>
                <w:b/>
                <w:bCs/>
                <w:i w:val="0"/>
                <w:iCs w:val="0"/>
                <w:color w:val="000000"/>
                <w:kern w:val="0"/>
                <w:sz w:val="16"/>
                <w:szCs w:val="16"/>
                <w:u w:val="none"/>
                <w:lang w:val="en-US" w:eastAsia="zh-CN" w:bidi="ar"/>
              </w:rPr>
              <w:fldChar w:fldCharType="end"/>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F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fldChar w:fldCharType="begin"/>
            </w:r>
            <w:r>
              <w:rPr>
                <w:rFonts w:hint="eastAsia" w:ascii="宋体" w:hAnsi="宋体" w:eastAsia="宋体" w:cs="宋体"/>
                <w:b/>
                <w:bCs/>
                <w:i w:val="0"/>
                <w:iCs w:val="0"/>
                <w:color w:val="000000"/>
                <w:kern w:val="0"/>
                <w:sz w:val="16"/>
                <w:szCs w:val="16"/>
                <w:u w:val="none"/>
                <w:lang w:val="en-US" w:eastAsia="zh-CN" w:bidi="ar"/>
              </w:rPr>
              <w:instrText xml:space="preserve"> HYERLIK " \l "Sheet1!A2" </w:instrText>
            </w:r>
            <w:r>
              <w:rPr>
                <w:rFonts w:hint="eastAsia" w:ascii="宋体" w:hAnsi="宋体" w:eastAsia="宋体" w:cs="宋体"/>
                <w:b/>
                <w:bCs/>
                <w:i w:val="0"/>
                <w:iCs w:val="0"/>
                <w:color w:val="000000"/>
                <w:kern w:val="0"/>
                <w:sz w:val="16"/>
                <w:szCs w:val="16"/>
                <w:u w:val="none"/>
                <w:lang w:val="en-US" w:eastAsia="zh-CN" w:bidi="ar"/>
              </w:rPr>
              <w:fldChar w:fldCharType="separate"/>
            </w:r>
            <w:r>
              <w:rPr>
                <w:rFonts w:hint="eastAsia" w:ascii="宋体" w:hAnsi="宋体" w:eastAsia="宋体" w:cs="宋体"/>
                <w:b/>
                <w:bCs/>
                <w:i w:val="0"/>
                <w:iCs w:val="0"/>
                <w:color w:val="000000"/>
                <w:kern w:val="0"/>
                <w:sz w:val="16"/>
                <w:szCs w:val="16"/>
                <w:u w:val="none"/>
                <w:lang w:val="en-US" w:eastAsia="zh-CN" w:bidi="ar"/>
              </w:rPr>
              <w:t>是否可以</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作为评分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因素2</w:t>
            </w:r>
            <w:r>
              <w:rPr>
                <w:rFonts w:hint="eastAsia" w:ascii="宋体" w:hAnsi="宋体" w:eastAsia="宋体" w:cs="宋体"/>
                <w:b/>
                <w:bCs/>
                <w:i w:val="0"/>
                <w:iCs w:val="0"/>
                <w:color w:val="000000"/>
                <w:kern w:val="0"/>
                <w:sz w:val="16"/>
                <w:szCs w:val="16"/>
                <w:u w:val="none"/>
                <w:lang w:val="en-US" w:eastAsia="zh-CN" w:bidi="ar"/>
              </w:rPr>
              <w:fldChar w:fldCharType="end"/>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A8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FF0000"/>
                <w:kern w:val="0"/>
                <w:sz w:val="28"/>
                <w:szCs w:val="28"/>
                <w:u w:val="none"/>
                <w:lang w:val="en-US" w:eastAsia="zh-CN" w:bidi="ar"/>
              </w:rPr>
              <w:t>采购文件参数要求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8B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1C80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1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BE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4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D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1C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BDA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国产芯片，≥8核8线程、主频≥2.7GHz，内存的最高速率≥3200MHz，通道数≥2，位宽≥64bit。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A6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226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D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8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A9D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03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置容量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32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6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内存规格：≥16G；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6FC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C1A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C3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2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DE7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D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A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3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 DDR4及以上内存类型；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A84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F7E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F0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C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F9E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5F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配置数量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（板载内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存不涉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16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31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6BE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009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34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3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1E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FF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成模块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98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87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集成资源扩展模块、计算处理模块、音频扩展模块等，主板的互联拓扑可通过处理器或交换电路实现；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B76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3FD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28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1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ABC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F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持的 CPU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和内存情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况</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46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B1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主板支持的 CPU和内存情况：支持国产CPU，支持1x SO-DIMM DDR4 3200/2933/2666/2400MHz 4G/8G/16G/32G/64；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59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29D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5D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29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75A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1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PCIe 插槽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8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0D4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主板内置PCIe 插槽数量：支持 PCIe 插槽数量不少于 2 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999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7D9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A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C7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C2E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6D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特殊孔位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及接口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E5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52C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a）预留满足 USB3.0 数据传输规范的接口，工作电压 5V，最大过电流应不小于 3A；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预留多功能导入装置板卡安装孔位，采用内置方式与主机一体化集成，容量不小于 145mm×125mm×16.5mm （长×宽×高）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B6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B09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0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CB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899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0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他内置接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D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048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主板其他内置接口：1 x RJ45、7 x USB 3.0 Gen 1、1 x AUDIO (Line in, Line out, Mic-in)</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2D7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BEA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3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4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0F6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F0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*单内存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插槽最大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可支持容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量（板载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内存不涉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67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87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F1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F7B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06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8B7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7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槽满配时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提供的最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高内存总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1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D3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15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D71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B9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9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F9B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1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DB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D3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E1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E52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5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FD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68E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48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储容量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1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2A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≥1TB</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CB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D8A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F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A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1F9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E6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A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51C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115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DCF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96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F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D61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4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盘总容量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3D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81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B14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7CA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0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73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F75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F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盘转速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B9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2E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D8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150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12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2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9343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7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接口协议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15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05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DF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8A2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6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8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B08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D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盘形态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D7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92F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32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B8D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56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10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444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F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接口协议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E0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F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UFS/SATA/PCIe/NVMe 等类型接口协议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F03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FBC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0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DD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8A6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5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储形态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C9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A26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采用插卡或板载等形态，可选用符合M.2或 2.5寸 SATA 或 mSATA 等标准的插卡形态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A9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FF5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8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0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1E4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1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扩展盘位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3E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11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B8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8E2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39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C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643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5A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备其他参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D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AE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固态盘应符合 SJ/T 11654 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295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C1A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89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68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EE4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1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362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43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独立显卡或集成显卡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13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F71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DA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F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22F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12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卡显存类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6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1D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显存类型应为DDR3/DDR4/GDDR5/GDDR6/LPDDR4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5DE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1CF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5A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6C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5CE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E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卡显存位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8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35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 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E7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8E2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C9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B1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71B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FC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卡显存容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D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B5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≥2GB</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229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4B1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B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97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964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7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接口协议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6D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5CE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 PCIe 协议版本大于等于 2.0 或 HT（HyperTransport）协议版本大于等于 3.0 的独立显卡接口协议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2C6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D6E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F3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F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8B4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48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屏占比</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79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D8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0A2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406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36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2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138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92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0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4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≥1920x1080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824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69C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8F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B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272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C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素密度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B9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CE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 像素/英寸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E01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A8E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8F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80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62D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FF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视角度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9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73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水平≥170°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84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832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2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8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279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DA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D6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E7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 英寸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22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050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8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B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609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2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屏幕比例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1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3B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DE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7C4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B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9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D3E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9B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外观颜色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7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45C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EB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9CE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52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30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317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C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防蓝光</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AD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6C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支持防蓝光模式，蓝光加权辐射亮度比应≤0.0012W/(·cd·sr)（瓦每坎特拉每球面度）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E0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401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79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84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956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6B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低频闪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8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3B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显示屏应支持低频闪≤-35dB</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B13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1A1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67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97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AF5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B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防炫目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8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0C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显示屏镜面反射率≤10%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9DA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204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3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C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820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2A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传声器数量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2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7B8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44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22B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D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A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257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0F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扬声器数量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D2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7E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2A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3EE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D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4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5F3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A9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F8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55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55A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E2D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7A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DE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984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3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03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B3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302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A8B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54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4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26F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4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90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8DC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90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6F4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B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A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480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A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光驱数量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DF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85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393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0BE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AA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7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1B7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8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键数目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32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2F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104键/108键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800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461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3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7F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C46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0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摄像头像素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C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EDD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6BF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3FB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1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35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AA2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AE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摄像头分辨率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4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2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45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F0F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F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7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E1A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41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扬声器功率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1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F0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91F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B8E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51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7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0C78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E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扬声器频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率范围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5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BC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4FE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394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D1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6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F03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E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扬声器总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谐波失真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CF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3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D6E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B94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7C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962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0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扬声器最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大声压级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1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7A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4D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150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7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6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730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8C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接方式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9A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C6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060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CE2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0E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F8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FA2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DC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B5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D54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2.3mm ~ 4.0mm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81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028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F9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9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26B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42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键压力</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C2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45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按键压力应在 0.54 N±0.14N</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C6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829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8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0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7B7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1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盘连接线</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AB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D2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 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F4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0B3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6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1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536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B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*键盘颜色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3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96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99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807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0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10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799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9B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键盘其他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41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68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364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0AF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F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7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4B9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B1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接方式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3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E8C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7A2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F39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7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B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6B5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3D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标连接线</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F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BD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 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92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583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8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25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A5F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7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 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28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3BC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800~1600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B34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535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B6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AF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76A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27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*鼠标颜色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A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5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58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E0F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2E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0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9A6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0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他要求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9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93B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其它参数应符合 GB/T 26245 的相关规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96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87A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B2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6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1E4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2C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内置光驱</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C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8D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C4B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6FE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6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D0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B5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74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0D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B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0D7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5C3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9C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9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D5D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B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及天线数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8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E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66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DB1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48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B0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C78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E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单无线网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卡天线数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C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102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D43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776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E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6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9C0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FA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*USB 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6D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002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机箱前面板应提供不少于 3 个 USB 接口（含 2 个 USB3.0 及以上接口）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166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ADD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88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19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4F3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25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USB 母座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37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29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C8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F01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50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2BD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D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0A6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BDE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59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6BD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0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8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9C8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F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B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763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E7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74E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DA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4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0FD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2B8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存储卡接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7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C9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7F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BDD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D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4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10E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基础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7F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*整机外观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2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2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 产品表面不应有凹痕、划伤、裂缝、变形和污染等。表面涂层均匀，不应起泡、龟裂、脱落和磨损，金属零部件无锈蚀及其它机械损伤；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产品表面说明功能的文字、符号、标志，应清晰、端正、牢固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73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104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F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5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34F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AA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*状态指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示灯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66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EA4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设备开关机，具有呼吸灯，提示设备开个关机状态，网络接口需要提供网络连接状态指示灯。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692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262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B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9F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57A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BC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*整机结构</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5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2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 机箱应符合 GB/T 4208、GB/T 26246的相关规定；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产品内部结构应符合通用部件的安装需求；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所有输入输出接口应符合相关国家或行业标准；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 产品零部件应紧固无松动，可插拔部件应可靠连接，开关、按钮和其它控制部件应灵活可靠，布局应方便使用；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e) 所有 I/O 连接器及需插接线缆的部位应预留采购人操作空间，方便插拔解锁与插拔线缆；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f) 可插拔板卡插槽部位应预留安装、拆卸或更换板卡空间；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g) 拆装可能接触到的金属剪口或金属尖角部位应做防划伤处理，以保证安全；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h) 整机内部走线应规整，固线结构和位置要合理可靠并做防割线处理，需便于理线和插拔操作，走线应不影响系统各主要部件组装和拆卸；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i) 如需通过孔走线，过线孔应做防割线处理；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j) 各插头位置和插拔方向应合理，应做到插拔无障碍设计，具备防呆设计，有效避免误操作；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k) 各主要部件拆装无障碍，使用常规工具拆装，无特殊拆装工具需求；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l) 各主要部件拆装步骤要少，各自拆装需避免相互干扰；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m) 对于整机或零部件外表面为高亮面的，应粘贴保护膜，保护膜需粘贴牢固，运输、组装等过程不易脱落，撕下无残留；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n) 其它要求应符合 GB/T 9813.1 的相关规定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7F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B4A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8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75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865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6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*机箱防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护要求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A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2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机箱应符合 GB/T 4208 中 IP20 防护要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12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30E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49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C4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501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2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*整机噪音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0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6D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产品工作在空闲状态下，产品的声功率级应不超过 4.5 Bel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468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AE7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6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C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1C8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4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*整机散热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72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26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在环境温度 25℃及处理器满载情况下，产品表面温度应符合如下要求：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a) 出风口在机箱后面板情况下，出风口温度不高于 55℃；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可触及面温度不高于 45℃；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显示器表面温度：显示屏不高于38℃，显示屏上下灯带位置温度（如涉及）不高于 40℃，出风口温度不高于 45℃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457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16E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7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BE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F3A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08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效限定值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A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B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产品能效限定值应达到 GB 28380-2012标准中能效等级 2 级及以上</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B18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3C4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A2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D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07B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8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*机身材质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B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212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金属</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208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97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6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87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3B4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2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*机身颜色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E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22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F87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5ED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1A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36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规格</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62B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F7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*机箱尺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寸容量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1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94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机箱体积应不大于 30L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DEE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0A7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D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CA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5AA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65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物理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核数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98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618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C7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A8A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06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1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455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D7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主频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CB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DC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≥2.7GHz</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320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70A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1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D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1AF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A5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级缓存容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8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A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≥16MB</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1A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0B4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4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8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615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4D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支持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的内存最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高速率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0D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F7E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≥3200MT/s</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56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6E1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BC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6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3D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D3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写速率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40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5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≥2666MT/s</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78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DF6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05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3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2F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B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辨率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3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FC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≥1920×1080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D95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B55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04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4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F02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4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示芯片核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心频率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5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92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≥300MHz</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E9B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029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A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5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5C4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E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*显存等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效频率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62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4F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≥1000MT/s</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16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61A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1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43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8E7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9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支持多屏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同时显示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0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BEF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显卡应支持 2 块屏幕同时显示，分辨率应不低于 1920×1080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A3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105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5D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9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F85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C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刷新率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1F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80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≥75Hz</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20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BDB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86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6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4D8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FC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位深</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F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6F5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 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55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379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A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A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9D7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F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56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505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 sRGB</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079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367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E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19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A0A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BE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5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7BF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 ≤ 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82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89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64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4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CC3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1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响应时间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1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D8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≤8ms</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E4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298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B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23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2A2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D8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76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F6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 尼特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9E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FF6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53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6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893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7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亮度一致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6B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96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89A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8CC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5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5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EF9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F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对比度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0A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59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AE6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856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A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E0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DF3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5B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其他参数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E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00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其它参数应符合SJ/T 11292 的相关规定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4F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6F9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3D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CC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91C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D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卡速率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7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0E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最高速率应不低于 1000Mbps，应支持10Mbps、100Mbps、1000Mbps 速率自适应</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5FF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162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2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B8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672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1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支持无线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网络通信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技术协议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02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91F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9B3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800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A7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0D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0F0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6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5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EB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81C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237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CC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EB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818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02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*内存扩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展接口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(板载内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存不涉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A3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82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D5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AAB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51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7D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906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E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存储扩展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载存储不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涉及)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D3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D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4D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0F5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D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9C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136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C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 USB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瞬间过流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E3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AD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支持有瞬间过流保护功能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F3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DCD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6E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31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AE5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0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*主板防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静电保护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FD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78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支持防静电保护功能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9B3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88E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B6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EB4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133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67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*I/O 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B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B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437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587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A5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7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CFF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94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接显示接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3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D7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显卡至少支持 VGA、HDMI、DVI、DP、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Type-C 中 1 种显示接口，并与显示器接口相匹配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629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B6C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FF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62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ADB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BD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独立显卡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62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B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4B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0B0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0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D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220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D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1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3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显示器应与显卡外接显示接口匹配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19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D9C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7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23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E45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E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BF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79A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显示器应提供显示器支架，根据采购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人需求支持屏幕旋转、升降等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D2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D94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2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B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7AF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3B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参数调节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3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84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a)提供 OSD 选单按钮用于调节色彩、模式等；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b)支持色温、亮度、对比度调节；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5D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975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93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43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1E9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5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理隐私保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护开关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24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8A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EF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229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7C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F0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4AB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6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传声器降噪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0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6C8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2D1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6C9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3B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E2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87E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1A4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键盘背光</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E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50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784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478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1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18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628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3F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光驱功能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88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126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DC9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670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2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3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CF1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E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*存储功能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A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94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 SATA 固态存储/PCIe 固态存储/UFS 固态存储/SATA 硬磁盘等存储部件提供存储功能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937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55F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F3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4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523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85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内置控制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器固态存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储加密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F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3D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DA8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5C6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C0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7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352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3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*网络功能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0F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6E7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a)支持网络连接、网络开启/关闭功能；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b)支持访问网络和数据交换功能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A16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DCF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32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D37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3C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频段</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44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459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C1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9B4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3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D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230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物理开关</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5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0F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E6A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64D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F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4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5D4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2F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*数据传输</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9B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7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支持数据传输能力，并提供数据流量和异常日志记录功能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4C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80B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8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CC0C">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28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蓝牙协议</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7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29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787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6A2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3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ED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5367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E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卡接口类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D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1C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 RJ45 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4FA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121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8C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A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CF5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E1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无线网卡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2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30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85A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BE8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13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24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CCC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7A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备拆装</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4C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11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网络设备支持物理拆装，包括无线网卡和蓝牙模块等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0B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D6A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55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C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698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EC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B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C5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 3.5mm 孔径 3 段式或 4 段式接口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272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DF8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88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2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26D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7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69D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D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至少支持 VGA、HDMI、DP中 1 种显示接口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1E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126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90B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E8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0C0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4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*HDMI、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Type-C 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示接口要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D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E3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若提供 HDMI 或 DP 或 Type-C 作为显示接口，应支持音频和视频同步输出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BB2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3CC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81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6F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ECC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22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其他接口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2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8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6B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BD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F3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D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940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979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存储卡接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口类型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C7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9E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A19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692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1D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2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B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C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适配能力</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F9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815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电源适配器电线组件应符合 GB/T 15934 的要求，可拆线的插头和连接器可以不做要求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B5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C85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3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A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CFB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B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*中文信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息处理要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D7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843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 18030 的相关规定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36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8CB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3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84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09A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CF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*操作系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统备份及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还原功能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9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5DF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支持操作系统备份及还原功能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11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00A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07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8E5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7FE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1E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份还原能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力</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48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20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支持备份及还原固件的功能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ED5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3C0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83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2F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286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0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*操作系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统及驱动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升级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D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5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支持通过网络、闪存盘等方式对操作系统、驱动进行升级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98E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194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8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35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610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4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*固件升级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C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24D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支持通过网络、闪存盘等方式对固件进行升级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45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4CA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1C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B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DDE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8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*BIOS 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持关闭通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讯接口</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7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6D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 BIOS 关闭以太网及 USB 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FB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9F6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BD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E8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E88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E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看信息</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4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4D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支持查看固件版本、内存信息、主板信息、处理器信息和系统时间信息等功能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B8D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1AE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B5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A4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679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A4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置启动顺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52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589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支持设置启动顺序功能，并按照设置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的启动顺序启动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9B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660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D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8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C5F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0F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置口令</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8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C5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支持设置口令、修改口令、验证口令功能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4BA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F17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1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A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A7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38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置网络引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2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D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支持网络引导启动和关闭功能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AB9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EA5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88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4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2B4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识别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E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指纹识别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C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6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FD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9D1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44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B7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35F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F5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人脸识别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550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5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79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7AC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50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52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127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FC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静脉识别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5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324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0F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18F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A4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B1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4D8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加速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A9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NPU/GPU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等AI加速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模块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6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6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81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A0C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C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76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191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65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视频编解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码加速模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7C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36E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85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B86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F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B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F6F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9D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影像处理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加速模块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2C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7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757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AD0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7F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D2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452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A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*固态存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储寿命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E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1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TBW ≥ 80TB（条件：240GB 硬盘容量）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9C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5BC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D9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A0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267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2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盘寿命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1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20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通电时间≥5 万小时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023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75A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9C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61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A6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5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屏幕失效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0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BC7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9813.2 的要求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68C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5F1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9F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1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DB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9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键寿命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0C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71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 万次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214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A30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51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2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085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32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*鼠标按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键寿命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8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5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 万次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4D7B">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51A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0E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30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463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0E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标线材寿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C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52C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键盘鼠标所用线材经±60°弯折不低于 3000 次，功能、外观完好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A2D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5ED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32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30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2E57">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CE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*风扇寿命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EF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F8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≥4万小时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F82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9DC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3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A0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96C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2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*电磁兼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容性要求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的抗扰度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65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CE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9254.2 的规定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1B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08F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3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75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A58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0E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气候环境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适应性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96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0DE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F0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C79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2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1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D84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7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振动适应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0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FC5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9D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66E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8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E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9E46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29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冲击适应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6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F0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FB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BF1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F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B8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285B">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8D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碰撞适应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9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47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D2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029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6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5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FA2F">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DF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运输包装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件跌落适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应性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27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38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F4B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10A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C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0F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373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79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*MTBF 测试</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74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96B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MTBF(m1)≥3 万小时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60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215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6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E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C9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4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件兼容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3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BA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支持流式软件、版式软件、浏览器、邮件采购人端、解压软件、多媒体、图形图像处理等常用软件</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E98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B58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72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8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94B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61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兼容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B9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7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 3 个及以上厂商的数据库产品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C0E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7BC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E9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51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51F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3B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*中间件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兼容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55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556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 3 个及以上厂商中间件产品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0E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593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5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4A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093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2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*平台软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件兼容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B5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1B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 3 个及以上厂商云计算及大数据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平台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7A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EDC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7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D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73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1E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装、运输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和贮存</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81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F0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9813.1 和商品包装政府采购需求标准的相关规定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48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A1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0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CF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A8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73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*配置检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查工具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7F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11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供应商提供自检测试工具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CD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478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2F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0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AC4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12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*服务响应</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60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C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a)供应商提供电话、电子邮件、远程连接等多种形式服务；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b)供应商提供同城 4h、异地 12h 技术响应服务，2 个工作日解决问题，对于未能解决的问题和故障应提供可行的升级方案，并提供周转设备或更换设备；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d)服务周期内提供产品的维修、换件和升级服务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B254">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163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2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96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9A3D">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3C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*服务周期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5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8A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 设备停产后应继续提供质量保障服务（含备品备件），服务终止时间与最后一批设备交付时间间隔不低于6 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产品停止服务时间应提前 1 年告知；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应明确产品发布日期</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76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803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0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B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CAB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08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*预装操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作系统</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5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DA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预装符合桌面操作系统政府采购需求标准的正版操作系统</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0F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8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A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77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B709">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F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*培训服务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7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7D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供应商提供培训材料、产品手册、培训视频等培训相关内容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281F">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EB1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B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0E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197A">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A9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*典型问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题解决手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F0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34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供应商提供典型问题解决说明文档或视频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4E5">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435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C7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D9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B51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*厂家升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级软件与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扩容服务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72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7C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供应商提供上门升级部件/软件与扩容的增值服务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EBD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58E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2CA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F8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A6D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A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量服务要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E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67E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免费服务周期（含换件和维修）应不小于 3 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B2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4847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1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2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A1D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DE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*合格证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书要求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A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84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供应商提供产品合格证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3B3">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7A2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9A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23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B7AE">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B6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*开箱组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装/使用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指导要求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8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6AA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供应商提供开箱组装/使用指导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04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CB4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1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5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7815">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16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*驱动下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载服务要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1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0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供应商提供驱动光盘或下载方式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83E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AF1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26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3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B6C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42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*兼容适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配软件下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载服务要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9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06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供应商提供兼容适配软件下载渠道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（光盘、网站）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419">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7694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E5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A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7F24">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03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跨架构平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台应用兼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B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27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23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3A0F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D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28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21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链合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规性</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7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件保障</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4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31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供应商保障产品主要部件，提供 6 年的备件服务能力（自购买之日起），或提供可兼容原设备的升级换代产品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977">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9A4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D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181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E9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A3B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链质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EEA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*抗干扰性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86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F5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当产品部件出现供应风险时，供应商应通知采购人并提供风险应对方案确保产品的服务保障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9B32">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CFF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EB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182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94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9430">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9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力证明</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6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04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供应商提供供应链稳定承诺书，确保产品的部件在产品服务周期内稳定供货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4C7C">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054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B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183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3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E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部件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9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*关键部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件安全要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14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04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和操作系统等关键部件应当符合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安全可靠测评要求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23A">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6BB3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C8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184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8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979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性要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F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*密码算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法实现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13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53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 芯片应符合 GM/T 0008 的相关规定，或芯片密码模块应符合 GB/T 37092或 GM/T 0028 的相关规定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5990">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2471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1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48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32B2">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62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USB 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管控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2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04A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BAD">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5A2D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6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186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0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188">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B5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安全物理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9E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69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38E">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F48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7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187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5B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1F3">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A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全基本要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F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DC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 产品应符合 GB/T 39276 的 5.2 的规定；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 生产厂商应建立漏洞跟踪表，保证产品版本涉及到的漏洞(如驱动程序等)可查看；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c) 产品不得包含已知的恶意代码或漏洞，不存在未声明的指令、功能、接口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A06">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03ED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7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188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83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081">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5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*固件安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全启动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2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6C5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支持固件安全启动功能，固件启动过程中只有通过启动校验才能正常启动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A981">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r w14:paraId="1999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31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189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82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A736">
            <w:pPr>
              <w:keepNext/>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61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*限用物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质的限量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要求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0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B77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 GB/T 26572 中规定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6238">
            <w:pPr>
              <w:keepNext/>
              <w:snapToGrid w:val="0"/>
              <w:ind w:left="0" w:leftChars="0" w:right="0" w:rightChars="0" w:firstLine="0" w:firstLineChars="0"/>
              <w:jc w:val="left"/>
              <w:rPr>
                <w:rFonts w:hint="eastAsia" w:ascii="宋体" w:hAnsi="宋体" w:eastAsia="宋体" w:cs="宋体"/>
                <w:i w:val="0"/>
                <w:iCs w:val="0"/>
                <w:color w:val="000000"/>
                <w:sz w:val="16"/>
                <w:szCs w:val="16"/>
                <w:u w:val="none"/>
              </w:rPr>
            </w:pPr>
          </w:p>
        </w:tc>
      </w:tr>
    </w:tbl>
    <w:p w14:paraId="537459DA">
      <w:pPr>
        <w:rPr>
          <w:rFonts w:hint="eastAsia"/>
        </w:rPr>
      </w:pPr>
    </w:p>
    <w:p w14:paraId="67849A68">
      <w:pPr>
        <w:pStyle w:val="5"/>
        <w:numPr>
          <w:ilvl w:val="0"/>
          <w:numId w:val="6"/>
        </w:numPr>
        <w:jc w:val="center"/>
        <w:rPr>
          <w:rFonts w:hint="eastAsia" w:ascii="黑体" w:hAnsi="Arial" w:eastAsia="黑体" w:cs="Arial"/>
          <w:b/>
          <w:bCs/>
          <w:color w:val="auto"/>
          <w:sz w:val="24"/>
          <w:highlight w:val="none"/>
        </w:rPr>
      </w:pPr>
      <w:r>
        <w:rPr>
          <w:rFonts w:hint="eastAsia" w:ascii="黑体" w:hAnsi="Arial" w:eastAsia="黑体" w:cs="Arial"/>
          <w:b/>
          <w:bCs/>
          <w:color w:val="auto"/>
          <w:sz w:val="24"/>
          <w:highlight w:val="none"/>
        </w:rPr>
        <w:t>实质性条款</w:t>
      </w:r>
    </w:p>
    <w:p w14:paraId="704B292D">
      <w:pPr>
        <w:rPr>
          <w:rFonts w:hint="eastAsia"/>
        </w:rPr>
      </w:pPr>
    </w:p>
    <w:tbl>
      <w:tblPr>
        <w:tblStyle w:val="4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8138"/>
      </w:tblGrid>
      <w:tr w14:paraId="4E1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661" w:type="dxa"/>
            <w:noWrap w:val="0"/>
            <w:vAlign w:val="top"/>
          </w:tcPr>
          <w:p w14:paraId="23BA4215">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8138" w:type="dxa"/>
            <w:noWrap w:val="0"/>
            <w:vAlign w:val="top"/>
          </w:tcPr>
          <w:p w14:paraId="20E2D17D">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实质性条款具体内容</w:t>
            </w:r>
          </w:p>
        </w:tc>
      </w:tr>
      <w:tr w14:paraId="0E2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14:paraId="1AEF484C">
            <w:pPr>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8138" w:type="dxa"/>
            <w:noWrap w:val="0"/>
            <w:vAlign w:val="center"/>
          </w:tcPr>
          <w:p w14:paraId="36EB6D77">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hAnsi="宋体" w:eastAsia="宋体"/>
                <w:b w:val="0"/>
                <w:bCs w:val="0"/>
                <w:color w:val="auto"/>
                <w:kern w:val="0"/>
                <w:szCs w:val="21"/>
                <w:highlight w:val="none"/>
                <w:lang w:val="en-US" w:eastAsia="zh-CN"/>
              </w:rPr>
            </w:pPr>
            <w:r>
              <w:rPr>
                <w:rFonts w:hint="eastAsia" w:ascii="宋体" w:hAnsi="宋体" w:cs="宋体"/>
                <w:color w:val="auto"/>
                <w:highlight w:val="none"/>
                <w:lang w:val="en-US" w:eastAsia="zh-CN"/>
              </w:rPr>
              <w:t>自合同签订之日起30日内完成供货与安装调试</w:t>
            </w:r>
          </w:p>
        </w:tc>
      </w:tr>
      <w:tr w14:paraId="04DB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14:paraId="372E5F9F">
            <w:pPr>
              <w:adjustRightInd w:val="0"/>
              <w:snapToGrid w:val="0"/>
              <w:spacing w:line="360" w:lineRule="auto"/>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2</w:t>
            </w:r>
          </w:p>
        </w:tc>
        <w:tc>
          <w:tcPr>
            <w:tcW w:w="8138" w:type="dxa"/>
            <w:noWrap w:val="0"/>
            <w:vAlign w:val="center"/>
          </w:tcPr>
          <w:p w14:paraId="42EEC0DB">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hAnsi="宋体" w:eastAsia="宋体"/>
                <w:b w:val="0"/>
                <w:bCs w:val="0"/>
                <w:color w:val="auto"/>
                <w:kern w:val="0"/>
                <w:szCs w:val="21"/>
                <w:highlight w:val="none"/>
                <w:lang w:val="en-US" w:eastAsia="zh-CN"/>
              </w:rPr>
            </w:pPr>
            <w:r>
              <w:rPr>
                <w:rFonts w:hint="eastAsia"/>
                <w:color w:val="auto"/>
                <w:highlight w:val="none"/>
              </w:rPr>
              <w:t>本项目标</w:t>
            </w:r>
            <w:r>
              <w:rPr>
                <w:rFonts w:hint="eastAsia"/>
                <w:color w:val="auto"/>
                <w:highlight w:val="none"/>
                <w:lang w:val="en-US" w:eastAsia="zh-CN"/>
              </w:rPr>
              <w:t>*</w:t>
            </w:r>
            <w:r>
              <w:rPr>
                <w:rFonts w:hint="eastAsia"/>
                <w:color w:val="auto"/>
                <w:highlight w:val="none"/>
              </w:rPr>
              <w:t>的条款</w:t>
            </w:r>
          </w:p>
        </w:tc>
      </w:tr>
      <w:tr w14:paraId="788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14:paraId="424254EB">
            <w:pPr>
              <w:adjustRightInd w:val="0"/>
              <w:snapToGrid w:val="0"/>
              <w:spacing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w:t>
            </w:r>
          </w:p>
        </w:tc>
        <w:tc>
          <w:tcPr>
            <w:tcW w:w="8138" w:type="dxa"/>
            <w:noWrap w:val="0"/>
            <w:vAlign w:val="center"/>
          </w:tcPr>
          <w:p w14:paraId="0FCECA4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宋体" w:hAnsi="宋体" w:eastAsia="宋体" w:cs="宋体"/>
                <w:bCs/>
                <w:color w:val="auto"/>
                <w:highlight w:val="none"/>
              </w:rPr>
            </w:pPr>
          </w:p>
        </w:tc>
      </w:tr>
    </w:tbl>
    <w:p w14:paraId="0A00BFEA">
      <w:pPr>
        <w:spacing w:line="540" w:lineRule="exact"/>
        <w:rPr>
          <w:color w:val="auto"/>
          <w:sz w:val="28"/>
          <w:szCs w:val="28"/>
          <w:highlight w:val="none"/>
        </w:rPr>
      </w:pPr>
      <w:r>
        <w:rPr>
          <w:rFonts w:hint="eastAsia" w:ascii="宋体" w:hAnsi="宋体" w:eastAsia="宋体" w:cs="宋体"/>
          <w:color w:val="auto"/>
          <w:szCs w:val="21"/>
          <w:highlight w:val="none"/>
        </w:rPr>
        <w:t>注：上表所列内容为不可负偏离条款，负偏离将视为未实质性满足招标文件要求作投标无效处理。</w:t>
      </w:r>
    </w:p>
    <w:p w14:paraId="024DA55A">
      <w:pPr>
        <w:pStyle w:val="5"/>
        <w:numPr>
          <w:ilvl w:val="0"/>
          <w:numId w:val="6"/>
        </w:numPr>
        <w:jc w:val="center"/>
        <w:rPr>
          <w:rFonts w:hint="eastAsia"/>
        </w:rPr>
      </w:pPr>
      <w:r>
        <w:rPr>
          <w:rFonts w:hint="eastAsia" w:ascii="黑体" w:hAnsi="Arial" w:eastAsia="黑体" w:cs="Arial"/>
          <w:b/>
          <w:bCs/>
          <w:color w:val="auto"/>
          <w:sz w:val="24"/>
          <w:highlight w:val="none"/>
        </w:rPr>
        <w:t>商务</w:t>
      </w:r>
      <w:r>
        <w:rPr>
          <w:rFonts w:hint="eastAsia" w:ascii="黑体" w:hAnsi="Arial" w:eastAsia="黑体" w:cs="Arial"/>
          <w:b/>
          <w:bCs/>
          <w:color w:val="auto"/>
          <w:sz w:val="24"/>
          <w:highlight w:val="none"/>
          <w:lang w:val="en-US" w:eastAsia="zh-CN"/>
        </w:rPr>
        <w:t>技术</w:t>
      </w:r>
      <w:r>
        <w:rPr>
          <w:rFonts w:hint="eastAsia" w:ascii="黑体" w:hAnsi="Arial" w:eastAsia="黑体" w:cs="Arial"/>
          <w:b/>
          <w:bCs/>
          <w:color w:val="auto"/>
          <w:sz w:val="24"/>
          <w:highlight w:val="none"/>
        </w:rPr>
        <w:t>要求</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
        <w:gridCol w:w="1433"/>
        <w:gridCol w:w="26"/>
        <w:gridCol w:w="6831"/>
      </w:tblGrid>
      <w:tr w14:paraId="66F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noWrap w:val="0"/>
            <w:vAlign w:val="center"/>
          </w:tcPr>
          <w:p w14:paraId="23B59B0D">
            <w:pPr>
              <w:jc w:val="center"/>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序号</w:t>
            </w:r>
          </w:p>
        </w:tc>
        <w:tc>
          <w:tcPr>
            <w:tcW w:w="796" w:type="pct"/>
            <w:gridSpan w:val="2"/>
            <w:noWrap w:val="0"/>
            <w:vAlign w:val="center"/>
          </w:tcPr>
          <w:p w14:paraId="247741A4">
            <w:pPr>
              <w:jc w:val="center"/>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商务需求项</w:t>
            </w:r>
          </w:p>
        </w:tc>
        <w:tc>
          <w:tcPr>
            <w:tcW w:w="3741" w:type="pct"/>
            <w:gridSpan w:val="2"/>
            <w:noWrap w:val="0"/>
            <w:vAlign w:val="center"/>
          </w:tcPr>
          <w:p w14:paraId="00316AE8">
            <w:pPr>
              <w:jc w:val="center"/>
              <w:rPr>
                <w:rFonts w:hint="eastAsia" w:ascii="黑体" w:hAnsi="黑体" w:eastAsia="黑体" w:cs="黑体"/>
                <w:b/>
                <w:bCs w:val="0"/>
                <w:color w:val="auto"/>
                <w:sz w:val="21"/>
                <w:szCs w:val="21"/>
                <w:highlight w:val="none"/>
              </w:rPr>
            </w:pPr>
            <w:r>
              <w:rPr>
                <w:rFonts w:hint="eastAsia" w:ascii="黑体" w:hAnsi="黑体" w:eastAsia="黑体" w:cs="黑体"/>
                <w:b/>
                <w:bCs w:val="0"/>
                <w:color w:val="auto"/>
                <w:sz w:val="21"/>
                <w:szCs w:val="21"/>
                <w:highlight w:val="none"/>
              </w:rPr>
              <w:t>招标商务要求</w:t>
            </w:r>
          </w:p>
        </w:tc>
      </w:tr>
      <w:tr w14:paraId="4D4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18D2A899">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w:t>
            </w:r>
            <w:r>
              <w:rPr>
                <w:rFonts w:hint="eastAsia" w:ascii="宋体" w:hAnsi="宋体" w:eastAsia="宋体" w:cs="宋体"/>
                <w:bCs/>
                <w:color w:val="auto"/>
                <w:highlight w:val="none"/>
              </w:rPr>
              <w:t>★</w:t>
            </w:r>
            <w:r>
              <w:rPr>
                <w:rFonts w:hint="eastAsia" w:ascii="宋体" w:hAnsi="宋体" w:eastAsia="宋体" w:cs="宋体"/>
                <w:b/>
                <w:bCs w:val="0"/>
                <w:color w:val="auto"/>
                <w:sz w:val="21"/>
                <w:szCs w:val="21"/>
                <w:highlight w:val="none"/>
              </w:rPr>
              <w:t>免费保修期内售后服务要求</w:t>
            </w:r>
          </w:p>
        </w:tc>
      </w:tr>
      <w:tr w14:paraId="00F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noWrap w:val="0"/>
            <w:vAlign w:val="center"/>
          </w:tcPr>
          <w:p w14:paraId="0FF4974F">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96" w:type="pct"/>
            <w:gridSpan w:val="2"/>
            <w:noWrap w:val="0"/>
            <w:vAlign w:val="top"/>
          </w:tcPr>
          <w:p w14:paraId="3C263CAC">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维修响应及故障解决时间</w:t>
            </w:r>
          </w:p>
        </w:tc>
        <w:tc>
          <w:tcPr>
            <w:tcW w:w="3741" w:type="pct"/>
            <w:gridSpan w:val="2"/>
            <w:noWrap w:val="0"/>
            <w:vAlign w:val="top"/>
          </w:tcPr>
          <w:p w14:paraId="584B385B">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保修期内，中标人需</w:t>
            </w:r>
            <w:r>
              <w:rPr>
                <w:rFonts w:hint="eastAsia" w:ascii="宋体" w:hAnsi="宋体" w:eastAsia="宋体" w:cs="宋体"/>
                <w:b w:val="0"/>
                <w:bCs/>
                <w:color w:val="auto"/>
                <w:kern w:val="0"/>
                <w:sz w:val="21"/>
                <w:szCs w:val="21"/>
                <w:highlight w:val="none"/>
                <w:lang w:val="en-US" w:eastAsia="zh-CN"/>
              </w:rPr>
              <w:t>向采购人</w:t>
            </w:r>
            <w:r>
              <w:rPr>
                <w:rFonts w:hint="eastAsia" w:ascii="宋体" w:hAnsi="宋体" w:eastAsia="宋体" w:cs="宋体"/>
                <w:b w:val="0"/>
                <w:bCs/>
                <w:color w:val="auto"/>
                <w:kern w:val="0"/>
                <w:sz w:val="21"/>
                <w:szCs w:val="21"/>
                <w:highlight w:val="none"/>
              </w:rPr>
              <w:t>提供售后技术支持服务，</w:t>
            </w:r>
            <w:r>
              <w:rPr>
                <w:rFonts w:hint="eastAsia" w:ascii="宋体" w:hAnsi="宋体" w:eastAsia="宋体" w:cs="宋体"/>
                <w:b w:val="0"/>
                <w:bCs/>
                <w:color w:val="auto"/>
                <w:kern w:val="0"/>
                <w:sz w:val="21"/>
                <w:szCs w:val="21"/>
                <w:highlight w:val="none"/>
                <w:lang w:val="en-US" w:eastAsia="zh-CN"/>
              </w:rPr>
              <w:t>并</w:t>
            </w:r>
            <w:r>
              <w:rPr>
                <w:rFonts w:hint="eastAsia" w:ascii="宋体" w:hAnsi="宋体" w:eastAsia="宋体" w:cs="宋体"/>
                <w:b w:val="0"/>
                <w:bCs/>
                <w:color w:val="auto"/>
                <w:kern w:val="0"/>
                <w:sz w:val="21"/>
                <w:szCs w:val="21"/>
                <w:highlight w:val="none"/>
              </w:rPr>
              <w:t>开通热线电话接受采购人的电话技术咨询，如故障远程不能排除，中标人应在3小时内提供现场服务，8小时内解决问题，若在规定时间不能修复，需马上提供替用件，或提供同样的设备免费供采购人使用,直到故障设备修复为止。</w:t>
            </w:r>
          </w:p>
        </w:tc>
      </w:tr>
      <w:tr w14:paraId="7AD4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noWrap w:val="0"/>
            <w:vAlign w:val="center"/>
          </w:tcPr>
          <w:p w14:paraId="00900F42">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p>
        </w:tc>
        <w:tc>
          <w:tcPr>
            <w:tcW w:w="796" w:type="pct"/>
            <w:gridSpan w:val="2"/>
            <w:vMerge w:val="restart"/>
            <w:noWrap w:val="0"/>
            <w:vAlign w:val="center"/>
          </w:tcPr>
          <w:p w14:paraId="42546A81">
            <w:pPr>
              <w:spacing w:line="360" w:lineRule="exact"/>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免费保修期</w:t>
            </w:r>
          </w:p>
        </w:tc>
        <w:tc>
          <w:tcPr>
            <w:tcW w:w="3741" w:type="pct"/>
            <w:gridSpan w:val="2"/>
            <w:noWrap w:val="0"/>
            <w:vAlign w:val="top"/>
          </w:tcPr>
          <w:p w14:paraId="6E34909D">
            <w:pPr>
              <w:spacing w:line="360" w:lineRule="exact"/>
              <w:rPr>
                <w:rFonts w:hint="eastAsia" w:ascii="宋体" w:hAnsi="宋体" w:eastAsia="宋体" w:cs="宋体"/>
                <w:b w:val="0"/>
                <w:bCs/>
                <w:color w:val="auto"/>
                <w:sz w:val="21"/>
                <w:szCs w:val="21"/>
                <w:highlight w:val="none"/>
              </w:rPr>
            </w:pPr>
            <w:r>
              <w:rPr>
                <w:rStyle w:val="137"/>
                <w:rFonts w:hint="eastAsia" w:ascii="宋体" w:hAnsi="宋体" w:eastAsia="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rPr>
              <w:t>货物免费保修期 3 年，时间自最终验收合格并交付使用之日起计算。</w:t>
            </w:r>
          </w:p>
        </w:tc>
      </w:tr>
      <w:tr w14:paraId="4E6D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noWrap w:val="0"/>
            <w:vAlign w:val="center"/>
          </w:tcPr>
          <w:p w14:paraId="6F6DEF9D">
            <w:pPr>
              <w:spacing w:line="360" w:lineRule="exact"/>
              <w:jc w:val="center"/>
              <w:rPr>
                <w:rFonts w:hint="eastAsia" w:ascii="宋体" w:hAnsi="宋体" w:eastAsia="宋体" w:cs="宋体"/>
                <w:b/>
                <w:bCs w:val="0"/>
                <w:color w:val="auto"/>
                <w:sz w:val="21"/>
                <w:szCs w:val="21"/>
                <w:highlight w:val="none"/>
              </w:rPr>
            </w:pPr>
          </w:p>
        </w:tc>
        <w:tc>
          <w:tcPr>
            <w:tcW w:w="796" w:type="pct"/>
            <w:gridSpan w:val="2"/>
            <w:vMerge w:val="continue"/>
            <w:noWrap w:val="0"/>
            <w:vAlign w:val="center"/>
          </w:tcPr>
          <w:p w14:paraId="1AE4F60D">
            <w:pPr>
              <w:spacing w:line="360" w:lineRule="exact"/>
              <w:rPr>
                <w:rFonts w:hint="eastAsia" w:ascii="宋体" w:hAnsi="宋体" w:eastAsia="宋体" w:cs="宋体"/>
                <w:b/>
                <w:bCs w:val="0"/>
                <w:color w:val="auto"/>
                <w:sz w:val="21"/>
                <w:szCs w:val="21"/>
                <w:highlight w:val="none"/>
              </w:rPr>
            </w:pPr>
          </w:p>
        </w:tc>
        <w:tc>
          <w:tcPr>
            <w:tcW w:w="3741" w:type="pct"/>
            <w:gridSpan w:val="2"/>
            <w:noWrap w:val="0"/>
            <w:vAlign w:val="center"/>
          </w:tcPr>
          <w:p w14:paraId="5FF2E2C8">
            <w:pPr>
              <w:spacing w:line="360" w:lineRule="exact"/>
              <w:rPr>
                <w:rFonts w:hint="eastAsia" w:ascii="宋体" w:hAnsi="宋体" w:eastAsia="宋体" w:cs="宋体"/>
                <w:b w:val="0"/>
                <w:bCs/>
                <w:color w:val="auto"/>
                <w:sz w:val="21"/>
                <w:szCs w:val="21"/>
                <w:highlight w:val="none"/>
              </w:rPr>
            </w:pPr>
            <w:r>
              <w:rPr>
                <w:rStyle w:val="137"/>
                <w:rFonts w:hint="eastAsia" w:ascii="宋体" w:hAnsi="宋体" w:eastAsia="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rPr>
              <w:t>免费保修期内，所有服务及配件全部免费。</w:t>
            </w:r>
          </w:p>
        </w:tc>
      </w:tr>
      <w:tr w14:paraId="37D5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noWrap w:val="0"/>
            <w:vAlign w:val="center"/>
          </w:tcPr>
          <w:p w14:paraId="69CDEECB">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p>
        </w:tc>
        <w:tc>
          <w:tcPr>
            <w:tcW w:w="796" w:type="pct"/>
            <w:gridSpan w:val="2"/>
            <w:noWrap w:val="0"/>
            <w:vAlign w:val="center"/>
          </w:tcPr>
          <w:p w14:paraId="04A17967">
            <w:pPr>
              <w:spacing w:line="360" w:lineRule="exact"/>
              <w:ind w:firstLine="211" w:firstLineChars="1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技术文件</w:t>
            </w:r>
          </w:p>
        </w:tc>
        <w:tc>
          <w:tcPr>
            <w:tcW w:w="3741" w:type="pct"/>
            <w:gridSpan w:val="2"/>
            <w:noWrap w:val="0"/>
            <w:vAlign w:val="center"/>
          </w:tcPr>
          <w:p w14:paraId="567BBC2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供应商应提供全套、完整的书面技术资料，包括仪器设备说明书、操作手册、简单维修说明、图纸等。</w:t>
            </w:r>
          </w:p>
        </w:tc>
      </w:tr>
      <w:tr w14:paraId="47D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02BBF8EF">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（二）免费保修期外售后服务要求</w:t>
            </w:r>
          </w:p>
        </w:tc>
      </w:tr>
      <w:tr w14:paraId="3C78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vMerge w:val="restart"/>
            <w:noWrap w:val="0"/>
            <w:vAlign w:val="center"/>
          </w:tcPr>
          <w:p w14:paraId="6BC5B058">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96" w:type="pct"/>
            <w:gridSpan w:val="2"/>
            <w:vMerge w:val="restart"/>
            <w:noWrap w:val="0"/>
            <w:vAlign w:val="center"/>
          </w:tcPr>
          <w:p w14:paraId="5AA76483">
            <w:pPr>
              <w:spacing w:line="360" w:lineRule="exact"/>
              <w:jc w:val="center"/>
              <w:rPr>
                <w:rFonts w:hint="eastAsia" w:ascii="宋体" w:hAnsi="宋体" w:eastAsia="宋体" w:cs="宋体"/>
                <w:b/>
                <w:bCs w:val="0"/>
                <w:color w:val="auto"/>
                <w:sz w:val="21"/>
                <w:szCs w:val="21"/>
                <w:highlight w:val="none"/>
              </w:rPr>
            </w:pPr>
            <w:r>
              <w:rPr>
                <w:rStyle w:val="43"/>
                <w:rFonts w:hint="eastAsia" w:ascii="宋体" w:hAnsi="宋体" w:eastAsia="宋体" w:cs="宋体"/>
                <w:b/>
                <w:bCs w:val="0"/>
                <w:color w:val="auto"/>
                <w:sz w:val="21"/>
                <w:szCs w:val="21"/>
                <w:highlight w:val="none"/>
              </w:rPr>
              <w:t>维修零配件、消耗品和免费保修期外建议</w:t>
            </w:r>
          </w:p>
        </w:tc>
        <w:tc>
          <w:tcPr>
            <w:tcW w:w="3726" w:type="pct"/>
            <w:noWrap w:val="0"/>
            <w:vAlign w:val="center"/>
          </w:tcPr>
          <w:p w14:paraId="3F6995AD">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由设备制造商提供售后服务，</w:t>
            </w:r>
            <w:r>
              <w:rPr>
                <w:rFonts w:hint="eastAsia" w:ascii="宋体" w:hAnsi="宋体" w:eastAsia="宋体" w:cs="宋体"/>
                <w:b w:val="0"/>
                <w:bCs/>
                <w:color w:val="auto"/>
                <w:sz w:val="21"/>
                <w:szCs w:val="21"/>
                <w:highlight w:val="none"/>
                <w:u w:val="single"/>
              </w:rPr>
              <w:t xml:space="preserve">1 </w:t>
            </w:r>
            <w:r>
              <w:rPr>
                <w:rFonts w:hint="eastAsia" w:ascii="宋体" w:hAnsi="宋体" w:eastAsia="宋体" w:cs="宋体"/>
                <w:b w:val="0"/>
                <w:bCs/>
                <w:color w:val="auto"/>
                <w:sz w:val="21"/>
                <w:szCs w:val="21"/>
                <w:highlight w:val="none"/>
              </w:rPr>
              <w:t>小时内响应，</w:t>
            </w:r>
            <w:r>
              <w:rPr>
                <w:rFonts w:hint="eastAsia" w:ascii="宋体" w:hAnsi="宋体" w:eastAsia="宋体" w:cs="宋体"/>
                <w:b w:val="0"/>
                <w:bCs/>
                <w:color w:val="auto"/>
                <w:sz w:val="21"/>
                <w:szCs w:val="21"/>
                <w:highlight w:val="none"/>
                <w:u w:val="single"/>
              </w:rPr>
              <w:t>24</w:t>
            </w:r>
            <w:r>
              <w:rPr>
                <w:rFonts w:hint="eastAsia" w:ascii="宋体" w:hAnsi="宋体" w:eastAsia="宋体" w:cs="宋体"/>
                <w:b w:val="0"/>
                <w:bCs/>
                <w:color w:val="auto"/>
                <w:sz w:val="21"/>
                <w:szCs w:val="21"/>
                <w:highlight w:val="none"/>
              </w:rPr>
              <w:t>小时维修到位，并在48小时内消除故障（不可抗力情况除外）。消耗品和零配件供应及时，特殊情况下可提供备用机。</w:t>
            </w:r>
          </w:p>
        </w:tc>
      </w:tr>
      <w:tr w14:paraId="096C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vMerge w:val="continue"/>
            <w:noWrap w:val="0"/>
            <w:vAlign w:val="center"/>
          </w:tcPr>
          <w:p w14:paraId="7D5C7B55">
            <w:pPr>
              <w:spacing w:line="360" w:lineRule="exact"/>
              <w:jc w:val="center"/>
              <w:rPr>
                <w:rFonts w:hint="eastAsia" w:ascii="宋体" w:hAnsi="宋体" w:eastAsia="宋体" w:cs="宋体"/>
                <w:b w:val="0"/>
                <w:bCs/>
                <w:color w:val="auto"/>
                <w:sz w:val="21"/>
                <w:szCs w:val="21"/>
                <w:highlight w:val="none"/>
              </w:rPr>
            </w:pPr>
          </w:p>
        </w:tc>
        <w:tc>
          <w:tcPr>
            <w:tcW w:w="796" w:type="pct"/>
            <w:gridSpan w:val="2"/>
            <w:vMerge w:val="continue"/>
            <w:noWrap w:val="0"/>
            <w:vAlign w:val="center"/>
          </w:tcPr>
          <w:p w14:paraId="6345BBB9">
            <w:pPr>
              <w:spacing w:line="360" w:lineRule="exact"/>
              <w:rPr>
                <w:rStyle w:val="43"/>
                <w:rFonts w:hint="eastAsia" w:ascii="宋体" w:hAnsi="宋体" w:eastAsia="宋体" w:cs="宋体"/>
                <w:b w:val="0"/>
                <w:bCs/>
                <w:color w:val="auto"/>
                <w:sz w:val="21"/>
                <w:szCs w:val="21"/>
                <w:highlight w:val="none"/>
              </w:rPr>
            </w:pPr>
          </w:p>
        </w:tc>
        <w:tc>
          <w:tcPr>
            <w:tcW w:w="3726" w:type="pct"/>
            <w:noWrap w:val="0"/>
            <w:vAlign w:val="center"/>
          </w:tcPr>
          <w:p w14:paraId="6C799EE5">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免费保修期外，若甲方有扩容需求或更换零配件，乙方需按照本次合同的单价执行，或低于本次合同的单价执行。</w:t>
            </w:r>
          </w:p>
        </w:tc>
      </w:tr>
      <w:tr w14:paraId="3DE8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noWrap w:val="0"/>
            <w:vAlign w:val="center"/>
          </w:tcPr>
          <w:p w14:paraId="102C013D">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（三）其他商务要求</w:t>
            </w:r>
          </w:p>
        </w:tc>
      </w:tr>
      <w:tr w14:paraId="4A9B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5F5BC2C9">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p>
        </w:tc>
        <w:tc>
          <w:tcPr>
            <w:tcW w:w="796" w:type="pct"/>
            <w:gridSpan w:val="2"/>
            <w:noWrap w:val="0"/>
            <w:vAlign w:val="center"/>
          </w:tcPr>
          <w:p w14:paraId="48064161">
            <w:pPr>
              <w:spacing w:line="360" w:lineRule="exact"/>
              <w:jc w:val="center"/>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交货</w:t>
            </w:r>
            <w:r>
              <w:rPr>
                <w:rFonts w:hint="eastAsia" w:ascii="宋体" w:hAnsi="宋体" w:eastAsia="宋体" w:cs="宋体"/>
                <w:b/>
                <w:bCs w:val="0"/>
                <w:color w:val="auto"/>
                <w:sz w:val="21"/>
                <w:szCs w:val="21"/>
                <w:highlight w:val="none"/>
                <w:lang w:val="en-US" w:eastAsia="zh-CN"/>
              </w:rPr>
              <w:t>时间及地点</w:t>
            </w:r>
          </w:p>
        </w:tc>
        <w:tc>
          <w:tcPr>
            <w:tcW w:w="3726" w:type="pct"/>
            <w:noWrap w:val="0"/>
            <w:vAlign w:val="center"/>
          </w:tcPr>
          <w:p w14:paraId="4B91BD1A">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1.1项目</w:t>
            </w:r>
            <w:r>
              <w:rPr>
                <w:rFonts w:hint="eastAsia" w:ascii="宋体" w:hAnsi="宋体" w:eastAsia="宋体" w:cs="宋体"/>
                <w:b w:val="0"/>
                <w:bCs w:val="0"/>
                <w:color w:val="auto"/>
                <w:sz w:val="21"/>
                <w:szCs w:val="21"/>
                <w:highlight w:val="none"/>
                <w:lang w:bidi="ar"/>
              </w:rPr>
              <w:t>工期（服务期限、送货期限）</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bidi="ar"/>
              </w:rPr>
              <w:t>自合同签订之日起</w:t>
            </w:r>
            <w:r>
              <w:rPr>
                <w:rFonts w:hint="eastAsia" w:ascii="宋体" w:hAnsi="宋体" w:cs="宋体"/>
                <w:b w:val="0"/>
                <w:bCs w:val="0"/>
                <w:color w:val="auto"/>
                <w:sz w:val="21"/>
                <w:szCs w:val="21"/>
                <w:highlight w:val="none"/>
                <w:lang w:val="en-US" w:eastAsia="zh-CN" w:bidi="ar"/>
              </w:rPr>
              <w:t>30</w:t>
            </w:r>
            <w:r>
              <w:rPr>
                <w:rFonts w:hint="eastAsia" w:ascii="宋体" w:hAnsi="宋体" w:eastAsia="宋体" w:cs="宋体"/>
                <w:b w:val="0"/>
                <w:bCs w:val="0"/>
                <w:color w:val="auto"/>
                <w:sz w:val="21"/>
                <w:szCs w:val="21"/>
                <w:highlight w:val="none"/>
                <w:lang w:bidi="ar"/>
              </w:rPr>
              <w:t>日内完成供货与安装调试</w:t>
            </w:r>
            <w:r>
              <w:rPr>
                <w:rFonts w:hint="eastAsia" w:ascii="宋体" w:hAnsi="宋体" w:eastAsia="宋体" w:cs="宋体"/>
                <w:b w:val="0"/>
                <w:bCs w:val="0"/>
                <w:color w:val="auto"/>
                <w:sz w:val="21"/>
                <w:szCs w:val="21"/>
                <w:highlight w:val="none"/>
                <w:lang w:val="en-US" w:eastAsia="zh-CN" w:bidi="ar"/>
              </w:rPr>
              <w:t>。</w:t>
            </w:r>
          </w:p>
          <w:p w14:paraId="5215F9AF">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bidi="ar"/>
              </w:rPr>
              <w:t>1.2项目</w:t>
            </w:r>
            <w:r>
              <w:rPr>
                <w:rFonts w:hint="eastAsia" w:ascii="宋体" w:hAnsi="宋体" w:eastAsia="宋体" w:cs="宋体"/>
                <w:b w:val="0"/>
                <w:bCs w:val="0"/>
                <w:color w:val="auto"/>
                <w:sz w:val="21"/>
                <w:szCs w:val="21"/>
                <w:highlight w:val="none"/>
                <w:lang w:bidi="ar"/>
              </w:rPr>
              <w:t>交付或实施的地点：巴音郭楞职业技术学院。</w:t>
            </w:r>
          </w:p>
        </w:tc>
      </w:tr>
      <w:tr w14:paraId="2211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61F55B10">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w:t>
            </w:r>
          </w:p>
        </w:tc>
        <w:tc>
          <w:tcPr>
            <w:tcW w:w="796" w:type="pct"/>
            <w:gridSpan w:val="2"/>
            <w:noWrap w:val="0"/>
            <w:vAlign w:val="center"/>
          </w:tcPr>
          <w:p w14:paraId="084DBF82">
            <w:pPr>
              <w:spacing w:line="360" w:lineRule="exact"/>
              <w:jc w:val="center"/>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w:t>
            </w:r>
            <w:r>
              <w:rPr>
                <w:rFonts w:hint="eastAsia" w:ascii="宋体" w:hAnsi="宋体" w:eastAsia="宋体" w:cs="宋体"/>
                <w:b/>
                <w:bCs w:val="0"/>
                <w:color w:val="auto"/>
                <w:sz w:val="21"/>
                <w:szCs w:val="21"/>
                <w:highlight w:val="none"/>
                <w:lang w:val="en-US" w:eastAsia="zh-CN"/>
              </w:rPr>
              <w:t>及结算</w:t>
            </w:r>
          </w:p>
        </w:tc>
        <w:tc>
          <w:tcPr>
            <w:tcW w:w="3726" w:type="pct"/>
            <w:noWrap w:val="0"/>
            <w:vAlign w:val="center"/>
          </w:tcPr>
          <w:p w14:paraId="0EA36C57">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2.1付款进度</w:t>
            </w:r>
          </w:p>
          <w:p w14:paraId="1B2ACB67">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合同签订后，甲方向乙方支付合同价款的30%作为预付款。</w:t>
            </w:r>
          </w:p>
          <w:p w14:paraId="16DE39E1">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所有货物到达</w:t>
            </w:r>
            <w:r>
              <w:rPr>
                <w:rFonts w:hint="eastAsia" w:ascii="宋体" w:hAnsi="宋体" w:eastAsia="宋体" w:cs="宋体"/>
                <w:b w:val="0"/>
                <w:bCs w:val="0"/>
                <w:color w:val="auto"/>
                <w:sz w:val="21"/>
                <w:szCs w:val="21"/>
                <w:highlight w:val="none"/>
                <w:lang w:val="en-US" w:eastAsia="zh-CN"/>
              </w:rPr>
              <w:t>指定安装</w:t>
            </w:r>
            <w:r>
              <w:rPr>
                <w:rFonts w:hint="eastAsia" w:ascii="宋体" w:hAnsi="宋体" w:eastAsia="宋体" w:cs="宋体"/>
                <w:b w:val="0"/>
                <w:bCs w:val="0"/>
                <w:color w:val="auto"/>
                <w:sz w:val="21"/>
                <w:szCs w:val="21"/>
                <w:highlight w:val="none"/>
              </w:rPr>
              <w:t>现场并安装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调试完成，甲方向乙方支付合同价款的30%。</w:t>
            </w:r>
          </w:p>
          <w:p w14:paraId="3B7A463F">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竣工验收合格后，甲方向乙方支付合同价款的</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w:t>
            </w:r>
          </w:p>
          <w:p w14:paraId="7F6E5E5B">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2.2关于结算</w:t>
            </w:r>
          </w:p>
          <w:p w14:paraId="6F9C995C">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本项目在实施过程中，</w:t>
            </w:r>
            <w:r>
              <w:rPr>
                <w:rFonts w:hint="eastAsia" w:ascii="宋体" w:hAnsi="宋体" w:eastAsia="宋体" w:cs="宋体"/>
                <w:b w:val="0"/>
                <w:bCs w:val="0"/>
                <w:color w:val="auto"/>
                <w:sz w:val="21"/>
                <w:szCs w:val="21"/>
                <w:highlight w:val="none"/>
                <w:lang w:val="en-US" w:eastAsia="zh-CN"/>
              </w:rPr>
              <w:t>根据现场实际情况，合理</w:t>
            </w:r>
            <w:r>
              <w:rPr>
                <w:rFonts w:hint="eastAsia" w:ascii="宋体" w:hAnsi="宋体" w:eastAsia="宋体" w:cs="宋体"/>
                <w:b w:val="0"/>
                <w:bCs w:val="0"/>
                <w:color w:val="auto"/>
                <w:sz w:val="21"/>
                <w:szCs w:val="21"/>
                <w:highlight w:val="none"/>
              </w:rPr>
              <w:t>变更部分的工作量包含在中标价中，合同价款不予调整。</w:t>
            </w:r>
          </w:p>
          <w:p w14:paraId="19F07BF9">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双方存在异议的费用，在异议未解决前，暂缓有异议部分费用的结算。</w:t>
            </w:r>
          </w:p>
          <w:p w14:paraId="279E9124">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依照合同规定，需对乙方追究违约责任的，其费用从乙方结算的费用中扣除。</w:t>
            </w:r>
          </w:p>
          <w:p w14:paraId="46522BBD">
            <w:pPr>
              <w:keepNext w:val="0"/>
              <w:keepLines w:val="0"/>
              <w:pageBreakBefore w:val="0"/>
              <w:widowControl w:val="0"/>
              <w:kinsoku/>
              <w:wordWrap/>
              <w:overflowPunct/>
              <w:topLinePunct w:val="0"/>
              <w:autoSpaceDE/>
              <w:autoSpaceDN/>
              <w:bidi w:val="0"/>
              <w:snapToGrid/>
              <w:spacing w:line="240" w:lineRule="auto"/>
              <w:jc w:val="both"/>
              <w:rPr>
                <w:rFonts w:hint="eastAsia"/>
                <w:b w:val="0"/>
                <w:bCs w:val="0"/>
                <w:color w:val="auto"/>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项目变更调整的合同价款及其他条款中约定的追加合同价款，应与项目款（进度款）同期调整结算。</w:t>
            </w:r>
          </w:p>
        </w:tc>
      </w:tr>
      <w:tr w14:paraId="7C5C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33B74C7C">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p>
        </w:tc>
        <w:tc>
          <w:tcPr>
            <w:tcW w:w="796" w:type="pct"/>
            <w:gridSpan w:val="2"/>
            <w:noWrap w:val="0"/>
            <w:vAlign w:val="center"/>
          </w:tcPr>
          <w:p w14:paraId="4A8B3673">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安装调试及验收</w:t>
            </w:r>
          </w:p>
        </w:tc>
        <w:tc>
          <w:tcPr>
            <w:tcW w:w="3726" w:type="pct"/>
            <w:noWrap w:val="0"/>
            <w:vAlign w:val="center"/>
          </w:tcPr>
          <w:p w14:paraId="30B266ED">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安装调试及验收：</w:t>
            </w:r>
          </w:p>
          <w:p w14:paraId="6005EDF6">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3.1中标供应商于到货3天内</w:t>
            </w:r>
            <w:r>
              <w:rPr>
                <w:rFonts w:hint="eastAsia" w:ascii="宋体" w:hAnsi="宋体" w:eastAsia="宋体" w:cs="宋体"/>
                <w:b w:val="0"/>
                <w:bCs/>
                <w:color w:val="auto"/>
                <w:sz w:val="21"/>
                <w:szCs w:val="21"/>
                <w:highlight w:val="none"/>
              </w:rPr>
              <w:t>应派有经验的技术人员到现场进行安装、调试，</w:t>
            </w:r>
            <w:r>
              <w:rPr>
                <w:rFonts w:hint="eastAsia" w:ascii="宋体" w:hAnsi="宋体" w:eastAsia="宋体" w:cs="宋体"/>
                <w:b w:val="0"/>
                <w:bCs/>
                <w:color w:val="auto"/>
                <w:sz w:val="21"/>
                <w:szCs w:val="21"/>
                <w:highlight w:val="none"/>
                <w:lang w:val="en-US" w:eastAsia="zh-CN"/>
              </w:rPr>
              <w:t>并于7天内完成</w:t>
            </w:r>
            <w:r>
              <w:rPr>
                <w:rFonts w:hint="eastAsia" w:ascii="宋体" w:hAnsi="宋体" w:eastAsia="宋体" w:cs="宋体"/>
                <w:b w:val="0"/>
                <w:bCs/>
                <w:color w:val="auto"/>
                <w:sz w:val="21"/>
                <w:szCs w:val="21"/>
                <w:highlight w:val="none"/>
              </w:rPr>
              <w:t>安装、调试</w:t>
            </w:r>
            <w:r>
              <w:rPr>
                <w:rFonts w:hint="eastAsia" w:ascii="宋体" w:hAnsi="宋体" w:eastAsia="宋体" w:cs="宋体"/>
                <w:b w:val="0"/>
                <w:bCs/>
                <w:color w:val="auto"/>
                <w:sz w:val="21"/>
                <w:szCs w:val="21"/>
                <w:highlight w:val="none"/>
                <w:lang w:eastAsia="zh-CN"/>
              </w:rPr>
              <w:t>。</w:t>
            </w:r>
          </w:p>
          <w:p w14:paraId="719A2C4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由采购人按合同和</w:t>
            </w:r>
            <w:r>
              <w:rPr>
                <w:rFonts w:hint="eastAsia" w:ascii="宋体" w:hAnsi="宋体" w:eastAsia="宋体" w:cs="宋体"/>
                <w:b w:val="0"/>
                <w:bCs/>
                <w:color w:val="auto"/>
                <w:sz w:val="21"/>
                <w:szCs w:val="21"/>
                <w:highlight w:val="none"/>
                <w:lang w:val="en-US" w:eastAsia="zh-CN"/>
              </w:rPr>
              <w:t>采购文件</w:t>
            </w:r>
            <w:r>
              <w:rPr>
                <w:rFonts w:hint="eastAsia" w:ascii="宋体" w:hAnsi="宋体" w:eastAsia="宋体" w:cs="宋体"/>
                <w:b w:val="0"/>
                <w:bCs/>
                <w:color w:val="auto"/>
                <w:sz w:val="21"/>
                <w:szCs w:val="21"/>
                <w:highlight w:val="none"/>
              </w:rPr>
              <w:t>、投标文件约定的要求和标准及中华人民共和国现行的验收规范和评定标准进行交货验收。</w:t>
            </w:r>
          </w:p>
          <w:p w14:paraId="2D1ECDA5">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投标人货物经过双方检验认可后，签署验收报告，产品保修期自验收合格之日起算，由投标人提供产品保修文件。</w:t>
            </w:r>
          </w:p>
          <w:p w14:paraId="5D3755A0">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r>
              <w:rPr>
                <w:rFonts w:hint="eastAsia" w:ascii="宋体" w:hAnsi="宋体" w:eastAsia="宋体" w:cs="宋体"/>
                <w:b w:val="0"/>
                <w:bCs/>
                <w:color w:val="auto"/>
                <w:sz w:val="21"/>
                <w:szCs w:val="21"/>
                <w:highlight w:val="none"/>
              </w:rPr>
              <w:t>当满足以下条件时，采购人才向中标</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签发货物验收报告：</w:t>
            </w:r>
          </w:p>
          <w:p w14:paraId="3F80B4D3">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（1）设备全新,外观无伤痕变形或明显修饰痕迹。</w:t>
            </w:r>
          </w:p>
          <w:p w14:paraId="143C0B37">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如有国标，需符合有关规定；如无国标，则按照行业标准；如无国标及行业标准，则按双方约定执行。投标文件提供的技术数据经实测证实是真实的。检验及质量保证期内达到的性能指标与要求一致，达到或优于相应标准。</w:t>
            </w:r>
          </w:p>
          <w:p w14:paraId="4FC276C1">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（3）技术文件资料、备件等已按规定数量移交完毕。</w:t>
            </w:r>
          </w:p>
          <w:p w14:paraId="1A6CB97F">
            <w:pPr>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（4）按照</w:t>
            </w:r>
            <w:r>
              <w:rPr>
                <w:rFonts w:hint="eastAsia" w:ascii="宋体" w:hAnsi="宋体" w:eastAsia="宋体" w:cs="宋体"/>
                <w:b w:val="0"/>
                <w:bCs/>
                <w:color w:val="auto"/>
                <w:sz w:val="21"/>
                <w:szCs w:val="21"/>
                <w:highlight w:val="none"/>
                <w:lang w:val="en-US" w:eastAsia="zh-CN"/>
              </w:rPr>
              <w:t>采购文件</w:t>
            </w:r>
            <w:r>
              <w:rPr>
                <w:rFonts w:hint="eastAsia" w:ascii="宋体" w:hAnsi="宋体" w:eastAsia="宋体" w:cs="宋体"/>
                <w:b w:val="0"/>
                <w:bCs/>
                <w:color w:val="auto"/>
                <w:sz w:val="21"/>
                <w:szCs w:val="21"/>
                <w:highlight w:val="none"/>
              </w:rPr>
              <w:t>要求及投标文件提供的技术要求验收需合格</w:t>
            </w:r>
            <w:r>
              <w:rPr>
                <w:rFonts w:hint="eastAsia" w:ascii="宋体" w:hAnsi="宋体" w:eastAsia="宋体" w:cs="宋体"/>
                <w:b w:val="0"/>
                <w:bCs/>
                <w:color w:val="auto"/>
                <w:sz w:val="21"/>
                <w:szCs w:val="21"/>
                <w:highlight w:val="none"/>
                <w:lang w:eastAsia="zh-CN"/>
              </w:rPr>
              <w:t>。</w:t>
            </w:r>
          </w:p>
          <w:p w14:paraId="2337433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采购人应当组成验收小组对采购项目进行验收。验收小组的成员应当具备与采购项目相关的专业知识和实践经验。采购人有权委托第三方专业机构对本项目进行监造和验收等监理服务，监理机构有权对供货方针对本项目的生产、安装、验收过程进行监督。采购人有权要求</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提供采购人认可的第三方检测机构按照监理机构认可的试验方法进行检测。检测结果需证明</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提供的技术数据是真实的，否则视为不合格。</w:t>
            </w:r>
          </w:p>
          <w:p w14:paraId="50713C46">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（6）货物具备产品合格证。</w:t>
            </w:r>
          </w:p>
          <w:p w14:paraId="22F012D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在货物安装调试合格后，所有技术指标达到技术规范书要求，经验收合格后，双方共同签署验收报告。</w:t>
            </w:r>
          </w:p>
          <w:p w14:paraId="48543B5C">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后期验收标准，采购单位可按照现行有效的国家标准、行业标准或地方标准进行检测验收</w:t>
            </w:r>
          </w:p>
        </w:tc>
      </w:tr>
      <w:tr w14:paraId="4FA0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4B311913">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p>
        </w:tc>
        <w:tc>
          <w:tcPr>
            <w:tcW w:w="796" w:type="pct"/>
            <w:gridSpan w:val="2"/>
            <w:noWrap w:val="0"/>
            <w:vAlign w:val="center"/>
          </w:tcPr>
          <w:p w14:paraId="78F7777A">
            <w:pPr>
              <w:spacing w:line="360" w:lineRule="exact"/>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违约</w:t>
            </w:r>
            <w:r>
              <w:rPr>
                <w:rFonts w:hint="eastAsia" w:ascii="宋体" w:hAnsi="宋体" w:eastAsia="宋体" w:cs="宋体"/>
                <w:b/>
                <w:bCs w:val="0"/>
                <w:color w:val="auto"/>
                <w:sz w:val="21"/>
                <w:szCs w:val="21"/>
                <w:highlight w:val="none"/>
                <w:lang w:val="en-US" w:eastAsia="zh-CN"/>
              </w:rPr>
              <w:t>责任</w:t>
            </w:r>
          </w:p>
        </w:tc>
        <w:tc>
          <w:tcPr>
            <w:tcW w:w="3726" w:type="pct"/>
            <w:noWrap w:val="0"/>
            <w:vAlign w:val="top"/>
          </w:tcPr>
          <w:p w14:paraId="1615D73F">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中标人不能交货的，需偿付不能交货部分货款的</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%的违约金，并将上报主管部门进行依法处理。</w:t>
            </w:r>
          </w:p>
          <w:p w14:paraId="4A2264DC">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中标人逾期交货的，每逾期一个日历日，由中标人按逾期交货部分货款0.</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%偿付违约金，并将上报主管部门进行依法处理。逾期交货超过七个日历日后，按不能交货处理。</w:t>
            </w:r>
          </w:p>
          <w:p w14:paraId="00B5F753">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4.3</w:t>
            </w:r>
            <w:r>
              <w:rPr>
                <w:rFonts w:hint="eastAsia" w:ascii="宋体" w:hAnsi="宋体" w:eastAsia="宋体" w:cs="宋体"/>
                <w:b w:val="0"/>
                <w:bCs/>
                <w:color w:val="auto"/>
                <w:sz w:val="21"/>
                <w:szCs w:val="21"/>
                <w:highlight w:val="none"/>
              </w:rPr>
              <w:t>中标人所交付产品、工程或服务不符合其投标承诺的，或在投标阶段为了中标而盲目虚假承诺、低价恶性竞争，在履约阶段则通过偷工减料、在产品中掺杂、掺假，以假充真，以次充好或者以不合格产品冒充合格产品的，由中标人负责包修、包换或退货，将将被没收履约保证金，且需偿付验收不合格部分货款的1%的违约金，同时将上报主管部门进行依法处理。</w:t>
            </w:r>
          </w:p>
          <w:p w14:paraId="55EF66C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针对中标人不能交货、逾期交货或所交付产品验收不合格等情形，采购人有权在履约评价中认定为履约等级“差</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p w14:paraId="1E8B25F7">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5违约金从履约保证金中扣除，不足部分由中标人偿付。</w:t>
            </w:r>
          </w:p>
          <w:p w14:paraId="19A6D90B">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4.6</w:t>
            </w:r>
            <w:r>
              <w:rPr>
                <w:rFonts w:hint="eastAsia" w:ascii="宋体" w:hAnsi="宋体" w:eastAsia="宋体" w:cs="宋体"/>
                <w:b w:val="0"/>
                <w:bCs/>
                <w:color w:val="auto"/>
                <w:sz w:val="21"/>
                <w:szCs w:val="21"/>
                <w:highlight w:val="none"/>
              </w:rPr>
              <w:t>中标人应保证采购人在使用该货物或其任何一部分时，免受第三方提出的侵犯其专利权、商标权、著作权或其他知识产权的起诉。中标人保证所提供软件的合法性，所产生的任何知识产权纠纷与采购人无关，若因知识产权纠纷造成的一切损害赔偿及损失由中标人承担，包括但不限于实际损失、预期损失和对方要求赔偿损失及支出的律师费、交通费和差旅费等。</w:t>
            </w:r>
          </w:p>
          <w:p w14:paraId="7776076D">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4.7</w:t>
            </w:r>
            <w:r>
              <w:rPr>
                <w:rFonts w:hint="eastAsia" w:ascii="宋体" w:hAnsi="宋体" w:eastAsia="宋体" w:cs="宋体"/>
                <w:b w:val="0"/>
                <w:bCs/>
                <w:color w:val="auto"/>
                <w:sz w:val="21"/>
                <w:szCs w:val="21"/>
                <w:highlight w:val="none"/>
              </w:rPr>
              <w:t>中标人在承担上述一项或多项违约责任后，仍需继续履行合同规定的义务（采购人另有要求的除外）。采购人未能及时追究中标人的任何一项违约责任并不代表采购人放弃追究中标人该项或其他违约责任。</w:t>
            </w:r>
          </w:p>
          <w:p w14:paraId="21E52FDE">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4.8</w:t>
            </w:r>
            <w:r>
              <w:rPr>
                <w:rFonts w:hint="eastAsia" w:ascii="宋体" w:hAnsi="宋体" w:eastAsia="宋体" w:cs="宋体"/>
                <w:b w:val="0"/>
                <w:bCs/>
                <w:color w:val="auto"/>
                <w:sz w:val="21"/>
                <w:szCs w:val="21"/>
                <w:highlight w:val="none"/>
              </w:rPr>
              <w:t>验收合格后，采购人逾期付款，应向中标人每日支付合同总价千分之三的违约金。如遇寒暑假、法定节假日或财政拨款等非因甲方原因造成甲方付款延迟，甲方不对此承担任何责任。</w:t>
            </w:r>
          </w:p>
        </w:tc>
      </w:tr>
      <w:tr w14:paraId="0F5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3F6F964B">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w:t>
            </w:r>
          </w:p>
        </w:tc>
        <w:tc>
          <w:tcPr>
            <w:tcW w:w="796" w:type="pct"/>
            <w:gridSpan w:val="2"/>
            <w:noWrap w:val="0"/>
            <w:vAlign w:val="center"/>
          </w:tcPr>
          <w:p w14:paraId="4F65930C">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关于争议</w:t>
            </w:r>
          </w:p>
        </w:tc>
        <w:tc>
          <w:tcPr>
            <w:tcW w:w="3726" w:type="pct"/>
            <w:noWrap w:val="0"/>
            <w:vAlign w:val="center"/>
          </w:tcPr>
          <w:p w14:paraId="28E00F92">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争议解决方法：</w:t>
            </w:r>
          </w:p>
          <w:p w14:paraId="41351275">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5.1</w:t>
            </w:r>
            <w:r>
              <w:rPr>
                <w:rFonts w:hint="eastAsia" w:ascii="宋体" w:hAnsi="宋体" w:eastAsia="宋体" w:cs="宋体"/>
                <w:b w:val="0"/>
                <w:bCs/>
                <w:color w:val="auto"/>
                <w:sz w:val="21"/>
                <w:szCs w:val="21"/>
                <w:highlight w:val="none"/>
              </w:rPr>
              <w:t>因货物的质量问题发生争议的，应当邀请国家认可的质量检测机构对货物质量进行鉴定。货物符合标准的，鉴定费由甲方承担；货物不符合质量标准的，鉴定费由乙方承担。</w:t>
            </w:r>
          </w:p>
          <w:p w14:paraId="18856694">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5.2</w:t>
            </w:r>
            <w:r>
              <w:rPr>
                <w:rFonts w:hint="eastAsia" w:ascii="宋体" w:hAnsi="宋体" w:eastAsia="宋体" w:cs="宋体"/>
                <w:b w:val="0"/>
                <w:bCs/>
                <w:color w:val="auto"/>
                <w:sz w:val="21"/>
                <w:szCs w:val="21"/>
                <w:highlight w:val="none"/>
              </w:rPr>
              <w:t>因履行本合同引起的或与本合同有关的争议，甲、乙双方应首先通过友好协商解决，如果协商不能解决争议，则向甲方所在地有管辖权的人民法院提起诉讼；</w:t>
            </w:r>
          </w:p>
        </w:tc>
      </w:tr>
      <w:tr w14:paraId="1819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551F17F5">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w:t>
            </w:r>
          </w:p>
        </w:tc>
        <w:tc>
          <w:tcPr>
            <w:tcW w:w="796" w:type="pct"/>
            <w:gridSpan w:val="2"/>
            <w:noWrap w:val="0"/>
            <w:vAlign w:val="center"/>
          </w:tcPr>
          <w:p w14:paraId="7B602564">
            <w:pPr>
              <w:spacing w:line="360" w:lineRule="exact"/>
              <w:jc w:val="center"/>
              <w:rPr>
                <w:rFonts w:hint="eastAsia" w:ascii="宋体" w:hAnsi="宋体" w:eastAsia="宋体" w:cs="宋体"/>
                <w:b/>
                <w:bCs w:val="0"/>
                <w:color w:val="auto"/>
                <w:sz w:val="21"/>
                <w:szCs w:val="21"/>
                <w:highlight w:val="none"/>
              </w:rPr>
            </w:pPr>
            <w:r>
              <w:rPr>
                <w:rStyle w:val="43"/>
                <w:rFonts w:hint="eastAsia" w:ascii="宋体" w:hAnsi="宋体" w:eastAsia="宋体" w:cs="宋体"/>
                <w:b/>
                <w:bCs w:val="0"/>
                <w:color w:val="auto"/>
                <w:sz w:val="21"/>
                <w:szCs w:val="21"/>
                <w:highlight w:val="none"/>
              </w:rPr>
              <w:t>运输、安装条件</w:t>
            </w:r>
          </w:p>
        </w:tc>
        <w:tc>
          <w:tcPr>
            <w:tcW w:w="3726" w:type="pct"/>
            <w:noWrap w:val="0"/>
            <w:vAlign w:val="center"/>
          </w:tcPr>
          <w:p w14:paraId="4E4E7315">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投标供应商须在签订合同之日起 </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天内向采购人提供设备的运行、安装、使用环境要求。</w:t>
            </w:r>
          </w:p>
        </w:tc>
      </w:tr>
      <w:tr w14:paraId="4C0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vMerge w:val="restart"/>
            <w:noWrap w:val="0"/>
            <w:vAlign w:val="center"/>
          </w:tcPr>
          <w:p w14:paraId="414D03B4">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w:t>
            </w:r>
          </w:p>
        </w:tc>
        <w:tc>
          <w:tcPr>
            <w:tcW w:w="796" w:type="pct"/>
            <w:gridSpan w:val="2"/>
            <w:vMerge w:val="restart"/>
            <w:noWrap w:val="0"/>
            <w:vAlign w:val="center"/>
          </w:tcPr>
          <w:p w14:paraId="225D3453">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培训</w:t>
            </w:r>
          </w:p>
        </w:tc>
        <w:tc>
          <w:tcPr>
            <w:tcW w:w="3726" w:type="pct"/>
            <w:noWrap w:val="0"/>
            <w:vAlign w:val="top"/>
          </w:tcPr>
          <w:p w14:paraId="43DF71D0">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7.1投标供应商应派专业技术人员免费对采购单位指定人员进行定期培训及指导，直至其完全掌握设备的基本故障处理技术。</w:t>
            </w:r>
          </w:p>
          <w:p w14:paraId="39C3C4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①设备的工作原理、系统构成和功能；</w:t>
            </w:r>
          </w:p>
          <w:p w14:paraId="3562F2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②使用</w:t>
            </w:r>
            <w:r>
              <w:rPr>
                <w:rFonts w:hint="eastAsia" w:ascii="宋体" w:hAnsi="宋体" w:cs="宋体"/>
                <w:i w:val="0"/>
                <w:iCs w:val="0"/>
                <w:color w:val="000000"/>
                <w:kern w:val="0"/>
                <w:sz w:val="21"/>
                <w:szCs w:val="21"/>
                <w:u w:val="none"/>
                <w:lang w:val="en-US" w:eastAsia="zh-CN" w:bidi="ar"/>
              </w:rPr>
              <w:t>时</w:t>
            </w:r>
            <w:r>
              <w:rPr>
                <w:rFonts w:hint="eastAsia" w:ascii="宋体" w:hAnsi="宋体" w:eastAsia="宋体" w:cs="宋体"/>
                <w:i w:val="0"/>
                <w:iCs w:val="0"/>
                <w:color w:val="000000"/>
                <w:kern w:val="0"/>
                <w:sz w:val="21"/>
                <w:szCs w:val="21"/>
                <w:u w:val="none"/>
                <w:lang w:val="en-US" w:eastAsia="zh-CN" w:bidi="ar"/>
              </w:rPr>
              <w:t>维护与安全操作规程，以及检修规程和安全导则；</w:t>
            </w:r>
          </w:p>
          <w:p w14:paraId="6C6780D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③常见故障的成因及其排除；</w:t>
            </w:r>
          </w:p>
          <w:p w14:paraId="3A02E64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color w:val="auto"/>
                <w:sz w:val="21"/>
                <w:szCs w:val="21"/>
                <w:highlight w:val="none"/>
                <w:lang w:val="en-US" w:eastAsia="zh-CN"/>
              </w:rPr>
              <w:t>培训的</w:t>
            </w:r>
            <w:r>
              <w:rPr>
                <w:rFonts w:hint="eastAsia" w:ascii="宋体" w:hAnsi="宋体" w:eastAsia="宋体" w:cs="宋体"/>
                <w:b w:val="0"/>
                <w:bCs/>
                <w:color w:val="auto"/>
                <w:sz w:val="21"/>
                <w:szCs w:val="21"/>
                <w:highlight w:val="none"/>
              </w:rPr>
              <w:t>核心是确保</w:t>
            </w:r>
            <w:r>
              <w:rPr>
                <w:rFonts w:hint="eastAsia" w:ascii="宋体" w:hAnsi="宋体" w:eastAsia="宋体" w:cs="宋体"/>
                <w:b w:val="0"/>
                <w:bCs/>
                <w:color w:val="auto"/>
                <w:sz w:val="21"/>
                <w:szCs w:val="21"/>
                <w:highlight w:val="none"/>
                <w:lang w:val="en-US" w:eastAsia="zh-CN"/>
              </w:rPr>
              <w:t>培训对象</w:t>
            </w:r>
            <w:r>
              <w:rPr>
                <w:rFonts w:hint="eastAsia" w:ascii="宋体" w:hAnsi="宋体" w:eastAsia="宋体" w:cs="宋体"/>
                <w:b w:val="0"/>
                <w:bCs/>
                <w:color w:val="auto"/>
                <w:sz w:val="21"/>
                <w:szCs w:val="21"/>
                <w:highlight w:val="none"/>
              </w:rPr>
              <w:t>具备独立操作、管理和</w:t>
            </w:r>
            <w:r>
              <w:rPr>
                <w:rFonts w:hint="eastAsia" w:ascii="宋体" w:hAnsi="宋体" w:eastAsia="宋体" w:cs="宋体"/>
                <w:b w:val="0"/>
                <w:bCs/>
                <w:color w:val="auto"/>
                <w:sz w:val="21"/>
                <w:szCs w:val="21"/>
                <w:highlight w:val="none"/>
                <w:lang w:val="en-US" w:eastAsia="zh-CN"/>
              </w:rPr>
              <w:t>简单</w:t>
            </w:r>
            <w:r>
              <w:rPr>
                <w:rFonts w:hint="eastAsia" w:ascii="宋体" w:hAnsi="宋体" w:eastAsia="宋体" w:cs="宋体"/>
                <w:b w:val="0"/>
                <w:bCs/>
                <w:color w:val="auto"/>
                <w:sz w:val="21"/>
                <w:szCs w:val="21"/>
                <w:highlight w:val="none"/>
              </w:rPr>
              <w:t>维护设备的能力。</w:t>
            </w:r>
          </w:p>
        </w:tc>
      </w:tr>
      <w:tr w14:paraId="78B5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vMerge w:val="continue"/>
            <w:noWrap w:val="0"/>
            <w:vAlign w:val="center"/>
          </w:tcPr>
          <w:p w14:paraId="2CF356AD">
            <w:pPr>
              <w:spacing w:line="360" w:lineRule="exact"/>
              <w:jc w:val="center"/>
              <w:rPr>
                <w:rFonts w:hint="eastAsia" w:ascii="宋体" w:hAnsi="宋体" w:eastAsia="宋体" w:cs="宋体"/>
                <w:b/>
                <w:bCs w:val="0"/>
                <w:color w:val="auto"/>
                <w:sz w:val="21"/>
                <w:szCs w:val="21"/>
                <w:highlight w:val="none"/>
              </w:rPr>
            </w:pPr>
          </w:p>
        </w:tc>
        <w:tc>
          <w:tcPr>
            <w:tcW w:w="796" w:type="pct"/>
            <w:gridSpan w:val="2"/>
            <w:vMerge w:val="continue"/>
            <w:noWrap w:val="0"/>
            <w:vAlign w:val="center"/>
          </w:tcPr>
          <w:p w14:paraId="025564B8">
            <w:pPr>
              <w:spacing w:line="360" w:lineRule="exact"/>
              <w:rPr>
                <w:rFonts w:hint="eastAsia" w:ascii="宋体" w:hAnsi="宋体" w:eastAsia="宋体" w:cs="宋体"/>
                <w:b/>
                <w:bCs w:val="0"/>
                <w:color w:val="auto"/>
                <w:sz w:val="21"/>
                <w:szCs w:val="21"/>
                <w:highlight w:val="none"/>
              </w:rPr>
            </w:pPr>
          </w:p>
        </w:tc>
        <w:tc>
          <w:tcPr>
            <w:tcW w:w="3726" w:type="pct"/>
            <w:noWrap w:val="0"/>
            <w:vAlign w:val="top"/>
          </w:tcPr>
          <w:p w14:paraId="31A50A61">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7.2现场培训：投标供应商应提供现场技术培训，保证使用人员正常操作设备的各种功能。</w:t>
            </w:r>
          </w:p>
        </w:tc>
      </w:tr>
      <w:tr w14:paraId="25DE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gridSpan w:val="2"/>
            <w:noWrap w:val="0"/>
            <w:vAlign w:val="center"/>
          </w:tcPr>
          <w:p w14:paraId="6FDA563F">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w:t>
            </w:r>
          </w:p>
        </w:tc>
        <w:tc>
          <w:tcPr>
            <w:tcW w:w="796" w:type="pct"/>
            <w:gridSpan w:val="2"/>
            <w:noWrap w:val="0"/>
            <w:vAlign w:val="center"/>
          </w:tcPr>
          <w:p w14:paraId="69C501E0">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知识产权</w:t>
            </w:r>
          </w:p>
        </w:tc>
        <w:tc>
          <w:tcPr>
            <w:tcW w:w="3726" w:type="pct"/>
            <w:noWrap w:val="0"/>
            <w:vAlign w:val="top"/>
          </w:tcPr>
          <w:p w14:paraId="311DBB2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购买产品后，有权对该产品与其他设备进行配套、整合或适当改进，而免受侵犯专利权的起诉。若因为知识产权纠纷造成的一切损害赔偿及损失由投标人承担，包括但不限于实际损失、预期损失和对方要求赔偿损失及支出的律师费、交通费和差旅费等。</w:t>
            </w:r>
          </w:p>
        </w:tc>
      </w:tr>
      <w:tr w14:paraId="1AD7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76" w:type="pct"/>
            <w:gridSpan w:val="2"/>
            <w:noWrap w:val="0"/>
            <w:vAlign w:val="center"/>
          </w:tcPr>
          <w:p w14:paraId="00646355">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p>
        </w:tc>
        <w:tc>
          <w:tcPr>
            <w:tcW w:w="796" w:type="pct"/>
            <w:gridSpan w:val="2"/>
            <w:noWrap w:val="0"/>
            <w:vAlign w:val="center"/>
          </w:tcPr>
          <w:p w14:paraId="6FD122F0">
            <w:pPr>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w:t>
            </w:r>
          </w:p>
        </w:tc>
        <w:tc>
          <w:tcPr>
            <w:tcW w:w="3726" w:type="pct"/>
            <w:noWrap w:val="0"/>
            <w:vAlign w:val="center"/>
          </w:tcPr>
          <w:p w14:paraId="476E38A4">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投标供应商应按其投标文件中的承诺，进行其售后服务工作。</w:t>
            </w:r>
          </w:p>
        </w:tc>
      </w:tr>
    </w:tbl>
    <w:p w14:paraId="5C6D78CD">
      <w:pPr>
        <w:widowControl w:val="0"/>
        <w:numPr>
          <w:ilvl w:val="0"/>
          <w:numId w:val="0"/>
        </w:numPr>
        <w:jc w:val="both"/>
        <w:rPr>
          <w:color w:val="auto"/>
          <w:highlight w:val="none"/>
        </w:rPr>
      </w:pPr>
    </w:p>
    <w:p w14:paraId="264416F7">
      <w:pPr>
        <w:widowControl w:val="0"/>
        <w:numPr>
          <w:ilvl w:val="0"/>
          <w:numId w:val="0"/>
        </w:numPr>
        <w:jc w:val="both"/>
        <w:rPr>
          <w:color w:val="auto"/>
          <w:highlight w:val="none"/>
        </w:rPr>
      </w:pPr>
    </w:p>
    <w:p w14:paraId="766DB468">
      <w:pPr>
        <w:widowControl w:val="0"/>
        <w:numPr>
          <w:ilvl w:val="0"/>
          <w:numId w:val="0"/>
        </w:numPr>
        <w:jc w:val="both"/>
        <w:rPr>
          <w:color w:val="auto"/>
          <w:highlight w:val="none"/>
        </w:rPr>
      </w:pPr>
    </w:p>
    <w:p w14:paraId="31270438">
      <w:pPr>
        <w:rPr>
          <w:rFonts w:hint="eastAsia" w:ascii="宋体" w:hAnsi="宋体"/>
          <w:color w:val="auto"/>
          <w:sz w:val="24"/>
          <w:highlight w:val="none"/>
        </w:rPr>
      </w:pPr>
      <w:bookmarkStart w:id="54" w:name="_Toc106616771"/>
      <w:bookmarkStart w:id="55" w:name="_Toc534725606"/>
    </w:p>
    <w:p w14:paraId="09159EA9">
      <w:pPr>
        <w:rPr>
          <w:rFonts w:hint="eastAsia" w:ascii="宋体" w:hAnsi="宋体"/>
          <w:color w:val="auto"/>
          <w:sz w:val="24"/>
          <w:highlight w:val="none"/>
        </w:rPr>
      </w:pPr>
    </w:p>
    <w:p w14:paraId="58ED7A02">
      <w:pPr>
        <w:jc w:val="center"/>
        <w:rPr>
          <w:rFonts w:hint="eastAsia" w:ascii="方正小标宋_GBK" w:hAnsi="方正小标宋_GBK" w:eastAsia="方正小标宋_GBK" w:cs="方正小标宋_GBK"/>
          <w:b w:val="0"/>
          <w:bCs/>
          <w:sz w:val="72"/>
          <w:szCs w:val="72"/>
        </w:rPr>
      </w:pPr>
    </w:p>
    <w:p w14:paraId="02735D04">
      <w:pPr>
        <w:pStyle w:val="2"/>
        <w:rPr>
          <w:rFonts w:hint="eastAsia" w:ascii="方正小标宋_GBK" w:hAnsi="方正小标宋_GBK" w:eastAsia="方正小标宋_GBK" w:cs="方正小标宋_GBK"/>
          <w:b w:val="0"/>
          <w:bCs/>
          <w:sz w:val="72"/>
          <w:szCs w:val="72"/>
        </w:rPr>
      </w:pPr>
    </w:p>
    <w:p w14:paraId="6B51BAB5">
      <w:pPr>
        <w:pStyle w:val="3"/>
        <w:rPr>
          <w:rFonts w:hint="eastAsia" w:ascii="方正小标宋_GBK" w:hAnsi="方正小标宋_GBK" w:eastAsia="方正小标宋_GBK" w:cs="方正小标宋_GBK"/>
          <w:b w:val="0"/>
          <w:bCs/>
          <w:sz w:val="72"/>
          <w:szCs w:val="72"/>
        </w:rPr>
      </w:pPr>
    </w:p>
    <w:p w14:paraId="3A11D650">
      <w:pPr>
        <w:rPr>
          <w:rFonts w:hint="eastAsia" w:ascii="方正小标宋_GBK" w:hAnsi="方正小标宋_GBK" w:eastAsia="方正小标宋_GBK" w:cs="方正小标宋_GBK"/>
          <w:b w:val="0"/>
          <w:bCs/>
          <w:sz w:val="72"/>
          <w:szCs w:val="72"/>
        </w:rPr>
      </w:pPr>
    </w:p>
    <w:p w14:paraId="28627B47">
      <w:pPr>
        <w:pStyle w:val="2"/>
        <w:rPr>
          <w:rFonts w:hint="eastAsia" w:ascii="方正小标宋_GBK" w:hAnsi="方正小标宋_GBK" w:eastAsia="方正小标宋_GBK" w:cs="方正小标宋_GBK"/>
          <w:b w:val="0"/>
          <w:bCs/>
          <w:sz w:val="72"/>
          <w:szCs w:val="72"/>
        </w:rPr>
      </w:pPr>
    </w:p>
    <w:p w14:paraId="24C17C63">
      <w:pPr>
        <w:pStyle w:val="3"/>
        <w:rPr>
          <w:rFonts w:hint="eastAsia"/>
        </w:rPr>
      </w:pPr>
    </w:p>
    <w:p w14:paraId="1B60C581">
      <w:pPr>
        <w:jc w:val="center"/>
        <w:rPr>
          <w:b/>
          <w:sz w:val="72"/>
          <w:szCs w:val="72"/>
        </w:rPr>
      </w:pPr>
      <w:r>
        <w:rPr>
          <w:rFonts w:hint="eastAsia" w:ascii="方正小标宋_GBK" w:hAnsi="方正小标宋_GBK" w:eastAsia="方正小标宋_GBK" w:cs="方正小标宋_GBK"/>
          <w:b w:val="0"/>
          <w:bCs/>
          <w:sz w:val="72"/>
          <w:szCs w:val="72"/>
        </w:rPr>
        <w:t>政府采购</w:t>
      </w:r>
      <w:r>
        <w:rPr>
          <w:rFonts w:hint="eastAsia" w:ascii="方正小标宋_GBK" w:hAnsi="方正小标宋_GBK" w:eastAsia="方正小标宋_GBK" w:cs="方正小标宋_GBK"/>
          <w:b w:val="0"/>
          <w:bCs/>
          <w:sz w:val="72"/>
          <w:szCs w:val="72"/>
          <w:lang w:val="en-US" w:eastAsia="zh-CN"/>
        </w:rPr>
        <w:t>投标</w:t>
      </w:r>
      <w:r>
        <w:rPr>
          <w:rFonts w:hint="eastAsia" w:ascii="方正小标宋_GBK" w:hAnsi="方正小标宋_GBK" w:eastAsia="方正小标宋_GBK" w:cs="方正小标宋_GBK"/>
          <w:b w:val="0"/>
          <w:bCs/>
          <w:sz w:val="72"/>
          <w:szCs w:val="72"/>
        </w:rPr>
        <w:t>文件</w:t>
      </w:r>
    </w:p>
    <w:p w14:paraId="79869676">
      <w:pPr>
        <w:pStyle w:val="122"/>
        <w:ind w:left="0" w:leftChars="0" w:firstLine="0" w:firstLineChars="0"/>
        <w:jc w:val="center"/>
        <w:rPr>
          <w:rFonts w:hint="eastAsia" w:ascii="方正小标宋_GBK" w:hAnsi="方正小标宋_GBK" w:eastAsia="方正小标宋_GBK" w:cs="方正小标宋_GBK"/>
          <w:b/>
          <w:bCs/>
          <w:color w:val="000000"/>
          <w:sz w:val="48"/>
          <w:szCs w:val="40"/>
          <w:lang w:val="en-US" w:eastAsia="zh-CN"/>
        </w:rPr>
      </w:pPr>
      <w:r>
        <w:rPr>
          <w:rFonts w:hint="eastAsia" w:ascii="方正小标宋_GBK" w:hAnsi="方正小标宋_GBK" w:eastAsia="方正小标宋_GBK" w:cs="方正小标宋_GBK"/>
          <w:b/>
          <w:bCs/>
          <w:color w:val="000000"/>
          <w:sz w:val="48"/>
          <w:szCs w:val="40"/>
          <w:lang w:val="en-US" w:eastAsia="zh-CN"/>
        </w:rPr>
        <w:t>（货物类）</w:t>
      </w:r>
    </w:p>
    <w:p w14:paraId="1F7D7CC9">
      <w:pPr>
        <w:pStyle w:val="122"/>
        <w:ind w:left="0" w:leftChars="0" w:firstLine="0" w:firstLineChars="0"/>
        <w:jc w:val="both"/>
        <w:rPr>
          <w:rFonts w:hint="eastAsia" w:eastAsia="宋体"/>
          <w:b/>
          <w:bCs/>
          <w:color w:val="000000"/>
          <w:sz w:val="32"/>
          <w:lang w:val="en-US" w:eastAsia="zh-CN"/>
        </w:rPr>
      </w:pPr>
    </w:p>
    <w:p w14:paraId="7918F2B0">
      <w:pPr>
        <w:pStyle w:val="122"/>
        <w:ind w:left="0" w:leftChars="0" w:firstLine="0" w:firstLineChars="0"/>
        <w:jc w:val="both"/>
        <w:rPr>
          <w:rFonts w:hint="eastAsia" w:eastAsia="宋体"/>
          <w:b/>
          <w:bCs/>
          <w:color w:val="000000"/>
          <w:sz w:val="32"/>
          <w:lang w:val="en-US" w:eastAsia="zh-CN"/>
        </w:rPr>
      </w:pPr>
    </w:p>
    <w:p w14:paraId="556C560E">
      <w:pPr>
        <w:pStyle w:val="122"/>
        <w:ind w:left="0" w:leftChars="0" w:firstLine="0" w:firstLineChars="0"/>
        <w:jc w:val="both"/>
        <w:rPr>
          <w:rFonts w:hint="eastAsia" w:eastAsia="宋体"/>
          <w:b/>
          <w:bCs/>
          <w:color w:val="000000"/>
          <w:sz w:val="32"/>
          <w:lang w:val="en-US" w:eastAsia="zh-CN"/>
        </w:rPr>
      </w:pPr>
    </w:p>
    <w:p w14:paraId="345AE354">
      <w:pPr>
        <w:pStyle w:val="122"/>
        <w:ind w:left="0" w:leftChars="0" w:firstLine="0" w:firstLineChars="0"/>
        <w:jc w:val="both"/>
        <w:rPr>
          <w:rFonts w:hint="eastAsia" w:eastAsia="宋体"/>
          <w:b/>
          <w:bCs/>
          <w:color w:val="000000"/>
          <w:sz w:val="32"/>
          <w:lang w:val="en-US" w:eastAsia="zh-CN"/>
        </w:rPr>
      </w:pPr>
    </w:p>
    <w:p w14:paraId="097AFCAB">
      <w:pPr>
        <w:pStyle w:val="122"/>
        <w:ind w:left="0" w:leftChars="0" w:firstLine="321" w:firstLineChars="100"/>
        <w:jc w:val="both"/>
        <w:rPr>
          <w:rFonts w:hint="eastAsia" w:ascii="方正小标宋_GBK" w:hAnsi="方正小标宋_GBK" w:eastAsia="方正小标宋_GBK" w:cs="方正小标宋_GBK"/>
          <w:b/>
          <w:bCs/>
          <w:color w:val="000000"/>
          <w:sz w:val="32"/>
          <w:lang w:val="en-US" w:eastAsia="zh-CN"/>
        </w:rPr>
      </w:pPr>
      <w:r>
        <w:rPr>
          <w:rFonts w:hint="eastAsia" w:ascii="方正小标宋_GBK" w:hAnsi="方正小标宋_GBK" w:eastAsia="方正小标宋_GBK" w:cs="方正小标宋_GBK"/>
          <w:b/>
          <w:bCs/>
          <w:color w:val="000000"/>
          <w:sz w:val="32"/>
          <w:lang w:val="en-US" w:eastAsia="zh-CN"/>
        </w:rPr>
        <w:t>项目名称：</w:t>
      </w:r>
    </w:p>
    <w:p w14:paraId="3FAE070D">
      <w:pPr>
        <w:pStyle w:val="122"/>
        <w:ind w:left="0" w:leftChars="0" w:firstLine="321" w:firstLineChars="100"/>
        <w:jc w:val="both"/>
        <w:rPr>
          <w:rFonts w:hint="eastAsia" w:ascii="方正小标宋_GBK" w:hAnsi="方正小标宋_GBK" w:eastAsia="方正小标宋_GBK" w:cs="方正小标宋_GBK"/>
          <w:b/>
          <w:bCs/>
          <w:sz w:val="32"/>
          <w:lang w:val="en-US" w:eastAsia="zh-CN"/>
        </w:rPr>
      </w:pPr>
      <w:r>
        <w:rPr>
          <w:rFonts w:hint="eastAsia" w:ascii="方正小标宋_GBK" w:hAnsi="方正小标宋_GBK" w:eastAsia="方正小标宋_GBK" w:cs="方正小标宋_GBK"/>
          <w:b/>
          <w:bCs/>
          <w:sz w:val="32"/>
          <w:lang w:val="en-US" w:eastAsia="zh-CN"/>
        </w:rPr>
        <w:t>项目编号：</w:t>
      </w:r>
    </w:p>
    <w:p w14:paraId="08835695">
      <w:pPr>
        <w:pStyle w:val="122"/>
        <w:ind w:left="0" w:leftChars="0" w:firstLine="321" w:firstLineChars="100"/>
        <w:jc w:val="both"/>
        <w:rPr>
          <w:rFonts w:hint="eastAsia" w:ascii="方正小标宋_GBK" w:hAnsi="方正小标宋_GBK" w:eastAsia="方正小标宋_GBK" w:cs="方正小标宋_GBK"/>
          <w:b/>
          <w:bCs/>
          <w:sz w:val="32"/>
          <w:lang w:val="en-US" w:eastAsia="zh-CN"/>
        </w:rPr>
      </w:pPr>
      <w:r>
        <w:rPr>
          <w:rFonts w:hint="eastAsia" w:ascii="方正小标宋_GBK" w:hAnsi="方正小标宋_GBK" w:eastAsia="方正小标宋_GBK" w:cs="方正小标宋_GBK"/>
          <w:b/>
          <w:bCs/>
          <w:sz w:val="32"/>
          <w:lang w:val="en-US" w:eastAsia="zh-CN"/>
        </w:rPr>
        <w:t>单位名称：</w:t>
      </w:r>
    </w:p>
    <w:p w14:paraId="3CB608DE">
      <w:pPr>
        <w:pStyle w:val="122"/>
        <w:ind w:left="0" w:leftChars="0" w:firstLine="321" w:firstLineChars="100"/>
        <w:jc w:val="both"/>
        <w:rPr>
          <w:rFonts w:hint="eastAsia" w:ascii="方正小标宋_GBK" w:hAnsi="方正小标宋_GBK" w:eastAsia="方正小标宋_GBK" w:cs="方正小标宋_GBK"/>
          <w:b/>
          <w:bCs/>
          <w:sz w:val="32"/>
          <w:lang w:val="en-US" w:eastAsia="zh-CN"/>
        </w:rPr>
      </w:pPr>
      <w:r>
        <w:rPr>
          <w:rFonts w:hint="eastAsia" w:ascii="方正小标宋_GBK" w:hAnsi="方正小标宋_GBK" w:eastAsia="方正小标宋_GBK" w:cs="方正小标宋_GBK"/>
          <w:b/>
          <w:bCs/>
          <w:sz w:val="32"/>
          <w:lang w:val="en-US" w:eastAsia="zh-CN"/>
        </w:rPr>
        <w:t>法定代表人：</w:t>
      </w:r>
    </w:p>
    <w:p w14:paraId="6B3C99E1">
      <w:pPr>
        <w:pStyle w:val="122"/>
        <w:ind w:left="0" w:leftChars="0" w:firstLine="321" w:firstLineChars="100"/>
        <w:jc w:val="both"/>
        <w:rPr>
          <w:rFonts w:hint="default" w:ascii="方正小标宋_GBK" w:hAnsi="方正小标宋_GBK" w:eastAsia="方正小标宋_GBK" w:cs="方正小标宋_GBK"/>
          <w:b/>
          <w:bCs/>
          <w:sz w:val="32"/>
          <w:lang w:val="en-US" w:eastAsia="zh-CN"/>
        </w:rPr>
      </w:pPr>
      <w:r>
        <w:rPr>
          <w:rFonts w:hint="eastAsia" w:ascii="方正小标宋_GBK" w:hAnsi="方正小标宋_GBK" w:eastAsia="方正小标宋_GBK" w:cs="方正小标宋_GBK"/>
          <w:b/>
          <w:bCs/>
          <w:sz w:val="32"/>
          <w:lang w:val="en-US" w:eastAsia="zh-CN"/>
        </w:rPr>
        <w:t>日  期：</w:t>
      </w:r>
    </w:p>
    <w:p w14:paraId="785AD49E">
      <w:pPr>
        <w:pStyle w:val="122"/>
        <w:ind w:firstLine="0"/>
        <w:jc w:val="both"/>
        <w:rPr>
          <w:rFonts w:hint="eastAsia" w:ascii="方正小标宋_GBK" w:hAnsi="方正小标宋_GBK" w:eastAsia="方正小标宋_GBK" w:cs="方正小标宋_GBK"/>
          <w:b/>
          <w:bCs/>
          <w:sz w:val="32"/>
        </w:rPr>
      </w:pPr>
    </w:p>
    <w:p w14:paraId="49240B71">
      <w:pPr>
        <w:pStyle w:val="122"/>
        <w:ind w:firstLine="0"/>
        <w:jc w:val="center"/>
        <w:rPr>
          <w:rFonts w:hint="eastAsia" w:ascii="宋体" w:hAnsi="宋体" w:eastAsia="宋体" w:cs="宋体"/>
          <w:b/>
          <w:bCs/>
          <w:sz w:val="32"/>
        </w:rPr>
      </w:pPr>
    </w:p>
    <w:p w14:paraId="55F24CA3">
      <w:pPr>
        <w:pStyle w:val="122"/>
        <w:ind w:firstLine="0"/>
        <w:jc w:val="center"/>
        <w:rPr>
          <w:rFonts w:hint="eastAsia" w:ascii="宋体" w:hAnsi="宋体" w:eastAsia="宋体" w:cs="宋体"/>
          <w:b/>
          <w:bCs/>
          <w:sz w:val="32"/>
        </w:rPr>
      </w:pPr>
    </w:p>
    <w:p w14:paraId="7946192C">
      <w:pPr>
        <w:pStyle w:val="122"/>
        <w:ind w:firstLine="0"/>
        <w:jc w:val="center"/>
        <w:rPr>
          <w:rFonts w:hint="eastAsia" w:ascii="宋体" w:hAnsi="宋体" w:eastAsia="宋体" w:cs="宋体"/>
          <w:b/>
          <w:bCs/>
          <w:sz w:val="32"/>
        </w:rPr>
      </w:pPr>
    </w:p>
    <w:p w14:paraId="3B591BE7">
      <w:pPr>
        <w:pStyle w:val="3"/>
        <w:ind w:left="0" w:leftChars="0" w:firstLine="0" w:firstLineChars="0"/>
        <w:rPr>
          <w:rFonts w:hint="eastAsia" w:eastAsia="宋体"/>
          <w:lang w:val="en-US" w:eastAsia="zh-CN"/>
        </w:rPr>
      </w:pPr>
    </w:p>
    <w:p w14:paraId="0A43053C">
      <w:pPr>
        <w:ind w:firstLine="3534" w:firstLineChars="1100"/>
        <w:rPr>
          <w:rFonts w:hint="eastAsia" w:ascii="方正小标宋_GBK" w:hAnsi="方正小标宋_GBK" w:eastAsia="方正小标宋_GBK" w:cs="方正小标宋_GBK"/>
          <w:b/>
          <w:bCs/>
          <w:color w:val="auto"/>
          <w:kern w:val="2"/>
          <w:sz w:val="32"/>
          <w:szCs w:val="32"/>
          <w:highlight w:val="none"/>
          <w:lang w:val="en-US" w:eastAsia="zh-CN"/>
        </w:rPr>
      </w:pPr>
    </w:p>
    <w:p w14:paraId="79385FC8">
      <w:pPr>
        <w:ind w:firstLine="3534" w:firstLineChars="1100"/>
        <w:rPr>
          <w:rFonts w:hint="eastAsia" w:ascii="方正小标宋_GBK" w:hAnsi="方正小标宋_GBK" w:eastAsia="方正小标宋_GBK" w:cs="方正小标宋_GBK"/>
          <w:b/>
          <w:bCs/>
          <w:color w:val="auto"/>
          <w:kern w:val="2"/>
          <w:sz w:val="32"/>
          <w:szCs w:val="32"/>
          <w:highlight w:val="none"/>
          <w:lang w:val="en-US" w:eastAsia="zh-CN"/>
        </w:rPr>
      </w:pPr>
    </w:p>
    <w:p w14:paraId="6E3D85EA">
      <w:pPr>
        <w:ind w:firstLine="3534" w:firstLineChars="1100"/>
        <w:rPr>
          <w:rFonts w:hint="eastAsia" w:ascii="方正小标宋_GBK" w:hAnsi="方正小标宋_GBK" w:eastAsia="方正小标宋_GBK" w:cs="方正小标宋_GBK"/>
          <w:b/>
          <w:bCs/>
          <w:color w:val="auto"/>
          <w:kern w:val="2"/>
          <w:sz w:val="32"/>
          <w:szCs w:val="32"/>
          <w:highlight w:val="none"/>
          <w:lang w:val="en-US" w:eastAsia="zh-CN"/>
        </w:rPr>
      </w:pPr>
      <w:r>
        <w:rPr>
          <w:rFonts w:hint="eastAsia" w:ascii="方正小标宋_GBK" w:hAnsi="方正小标宋_GBK" w:eastAsia="方正小标宋_GBK" w:cs="方正小标宋_GBK"/>
          <w:b/>
          <w:bCs/>
          <w:color w:val="auto"/>
          <w:kern w:val="2"/>
          <w:sz w:val="32"/>
          <w:szCs w:val="32"/>
          <w:highlight w:val="none"/>
          <w:lang w:val="en-US" w:eastAsia="zh-CN"/>
        </w:rPr>
        <w:t>目 录（格式自拟）</w:t>
      </w:r>
    </w:p>
    <w:p w14:paraId="33C393DB">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b/>
          <w:bCs/>
          <w:color w:val="auto"/>
          <w:sz w:val="24"/>
          <w:highlight w:val="none"/>
        </w:rPr>
      </w:pPr>
    </w:p>
    <w:p w14:paraId="543A69F2">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投标</w:t>
      </w:r>
      <w:r>
        <w:rPr>
          <w:rFonts w:hint="eastAsia" w:ascii="宋体" w:hAnsi="宋体"/>
          <w:b/>
          <w:bCs/>
          <w:color w:val="auto"/>
          <w:sz w:val="24"/>
          <w:highlight w:val="none"/>
        </w:rPr>
        <w:t>文件正文，主要包括以下内容：</w:t>
      </w:r>
    </w:p>
    <w:p w14:paraId="2B141B9B">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highlight w:val="none"/>
        </w:rPr>
      </w:pPr>
      <w:r>
        <w:rPr>
          <w:rFonts w:hint="eastAsia"/>
          <w:color w:val="auto"/>
          <w:highlight w:val="none"/>
        </w:rPr>
        <w:t>（1）</w:t>
      </w:r>
      <w:bookmarkStart w:id="56" w:name="_Hlk72070784"/>
      <w:r>
        <w:rPr>
          <w:rFonts w:hint="eastAsia"/>
          <w:color w:val="auto"/>
          <w:highlight w:val="none"/>
        </w:rPr>
        <w:t>投标函</w:t>
      </w:r>
      <w:bookmarkEnd w:id="56"/>
    </w:p>
    <w:p w14:paraId="1B4CFE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rPr>
      </w:pPr>
      <w:r>
        <w:rPr>
          <w:rFonts w:hint="eastAsia"/>
          <w:color w:val="auto"/>
          <w:highlight w:val="none"/>
        </w:rPr>
        <w:t>（2）</w:t>
      </w:r>
      <w:bookmarkStart w:id="57" w:name="_Hlk72062521"/>
      <w:r>
        <w:rPr>
          <w:rFonts w:hint="eastAsia"/>
          <w:color w:val="auto"/>
          <w:highlight w:val="none"/>
        </w:rPr>
        <w:t>政府采购投标及履约承诺函</w:t>
      </w:r>
      <w:bookmarkEnd w:id="57"/>
    </w:p>
    <w:p w14:paraId="4351B4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rPr>
      </w:pPr>
      <w:r>
        <w:rPr>
          <w:rFonts w:hint="eastAsia"/>
          <w:color w:val="auto"/>
          <w:highlight w:val="none"/>
        </w:rPr>
        <w:t>（3）投标单位反商业贿赂承诺书</w:t>
      </w:r>
    </w:p>
    <w:p w14:paraId="7EDC12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color w:val="auto"/>
          <w:highlight w:val="none"/>
          <w:lang w:eastAsia="zh-CN"/>
        </w:rPr>
      </w:pPr>
      <w:r>
        <w:rPr>
          <w:rFonts w:hint="eastAsia"/>
          <w:color w:val="auto"/>
          <w:highlight w:val="none"/>
        </w:rPr>
        <w:t>（4）具备履行合同所需的设备和专业技术能力的</w:t>
      </w:r>
      <w:r>
        <w:rPr>
          <w:rFonts w:hint="eastAsia"/>
          <w:color w:val="auto"/>
          <w:highlight w:val="none"/>
          <w:lang w:val="en-US" w:eastAsia="zh-CN"/>
        </w:rPr>
        <w:t>声明函</w:t>
      </w:r>
    </w:p>
    <w:p w14:paraId="6B5D57DB">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highlight w:val="none"/>
        </w:rPr>
      </w:pPr>
      <w:r>
        <w:rPr>
          <w:rFonts w:hint="eastAsia"/>
          <w:color w:val="auto"/>
          <w:highlight w:val="none"/>
        </w:rPr>
        <w:t>（5）投标人</w:t>
      </w:r>
      <w:r>
        <w:rPr>
          <w:rFonts w:hint="eastAsia"/>
          <w:color w:val="auto"/>
          <w:highlight w:val="none"/>
          <w:lang w:val="en-US" w:eastAsia="zh-CN"/>
        </w:rPr>
        <w:t>资格</w:t>
      </w:r>
      <w:r>
        <w:rPr>
          <w:rFonts w:hint="eastAsia"/>
          <w:color w:val="auto"/>
          <w:highlight w:val="none"/>
        </w:rPr>
        <w:t>证明文件（营业执照、资质证书、财务状况、税收、社保、中小企业、残疾人福利性单位、监狱企业声明函</w:t>
      </w:r>
      <w:r>
        <w:rPr>
          <w:rFonts w:hint="eastAsia"/>
          <w:color w:val="auto"/>
          <w:highlight w:val="none"/>
          <w:lang w:eastAsia="zh-CN"/>
        </w:rPr>
        <w:t>、</w:t>
      </w:r>
      <w:r>
        <w:rPr>
          <w:rFonts w:hint="eastAsia"/>
          <w:color w:val="auto"/>
          <w:highlight w:val="none"/>
          <w:lang w:val="en-US" w:eastAsia="zh-CN"/>
        </w:rPr>
        <w:t>节能、环保、信用查询、授权委托书、投标保证金、联合体协议书、分包协议</w:t>
      </w:r>
      <w:r>
        <w:rPr>
          <w:rFonts w:hint="eastAsia"/>
          <w:color w:val="auto"/>
          <w:highlight w:val="none"/>
        </w:rPr>
        <w:t>等）</w:t>
      </w:r>
    </w:p>
    <w:p w14:paraId="7C7A17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rPr>
      </w:pPr>
      <w:bookmarkStart w:id="58" w:name="_Hlk72257201"/>
      <w:r>
        <w:rPr>
          <w:rFonts w:hint="eastAsia"/>
          <w:color w:val="auto"/>
          <w:highlight w:val="none"/>
        </w:rPr>
        <w:t>（</w:t>
      </w:r>
      <w:r>
        <w:rPr>
          <w:rFonts w:hint="eastAsia"/>
          <w:color w:val="auto"/>
          <w:highlight w:val="none"/>
          <w:lang w:val="en-US" w:eastAsia="zh-CN"/>
        </w:rPr>
        <w:t>6</w:t>
      </w:r>
      <w:r>
        <w:rPr>
          <w:rFonts w:hint="eastAsia"/>
          <w:color w:val="auto"/>
          <w:highlight w:val="none"/>
        </w:rPr>
        <w:t>）开标一览表</w:t>
      </w:r>
    </w:p>
    <w:p w14:paraId="6493D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lang w:val="en-US" w:eastAsia="zh-CN"/>
        </w:rPr>
        <w:t>分项</w:t>
      </w:r>
      <w:r>
        <w:rPr>
          <w:rFonts w:hint="eastAsia"/>
          <w:color w:val="auto"/>
          <w:highlight w:val="none"/>
        </w:rPr>
        <w:t>报价表</w:t>
      </w:r>
    </w:p>
    <w:p w14:paraId="3314C4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val="en-US" w:eastAsia="zh-CN"/>
        </w:rPr>
        <w:t>实质性条款响应偏离表</w:t>
      </w:r>
    </w:p>
    <w:p w14:paraId="613F2DB5">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宋体"/>
          <w:color w:val="auto"/>
          <w:highlight w:val="none"/>
          <w:lang w:val="en-US" w:eastAsia="zh-CN"/>
        </w:rPr>
      </w:pPr>
      <w:r>
        <w:rPr>
          <w:rFonts w:hint="eastAsia" w:cs="宋体"/>
          <w:color w:val="auto"/>
          <w:highlight w:val="none"/>
          <w:lang w:val="en-US" w:eastAsia="zh-CN"/>
        </w:rPr>
        <w:t>（9）商务条款偏离表</w:t>
      </w:r>
    </w:p>
    <w:p w14:paraId="457F2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（10）</w:t>
      </w:r>
      <w:r>
        <w:rPr>
          <w:rFonts w:hint="eastAsia" w:ascii="宋体" w:hAnsi="宋体" w:cs="宋体"/>
          <w:color w:val="auto"/>
          <w:highlight w:val="none"/>
          <w:lang w:val="en-US" w:eastAsia="zh-CN"/>
        </w:rPr>
        <w:t>项目实施方案（根据商务技术评审因素，逐条响应）格式自定</w:t>
      </w:r>
    </w:p>
    <w:p w14:paraId="752A89DD">
      <w:pPr>
        <w:keepNext w:val="0"/>
        <w:keepLines w:val="0"/>
        <w:pageBreakBefore w:val="0"/>
        <w:widowControl w:val="0"/>
        <w:kinsoku/>
        <w:wordWrap/>
        <w:overflowPunct/>
        <w:topLinePunct w:val="0"/>
        <w:autoSpaceDE/>
        <w:autoSpaceDN/>
        <w:bidi w:val="0"/>
        <w:adjustRightInd/>
        <w:snapToGrid/>
        <w:ind w:left="0" w:leftChars="0" w:firstLine="1417" w:firstLineChars="675"/>
        <w:jc w:val="left"/>
        <w:textAlignment w:val="auto"/>
        <w:rPr>
          <w:color w:val="auto"/>
          <w:highlight w:val="none"/>
        </w:rPr>
      </w:pPr>
    </w:p>
    <w:bookmarkEnd w:id="58"/>
    <w:p w14:paraId="174457D5">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b/>
          <w:bCs/>
          <w:color w:val="auto"/>
          <w:sz w:val="24"/>
          <w:highlight w:val="none"/>
        </w:rPr>
      </w:pPr>
      <w:r>
        <w:rPr>
          <w:rFonts w:hint="eastAsia" w:ascii="宋体" w:hAnsi="宋体"/>
          <w:b/>
          <w:bCs/>
          <w:color w:val="auto"/>
          <w:sz w:val="24"/>
          <w:highlight w:val="none"/>
        </w:rPr>
        <w:t>2.</w:t>
      </w:r>
      <w:r>
        <w:rPr>
          <w:rFonts w:hint="eastAsia" w:ascii="宋体" w:hAnsi="宋体"/>
          <w:b/>
          <w:bCs/>
          <w:color w:val="auto"/>
          <w:sz w:val="24"/>
          <w:highlight w:val="none"/>
          <w:lang w:val="en-US" w:eastAsia="zh-CN"/>
        </w:rPr>
        <w:t>投标</w:t>
      </w:r>
      <w:r>
        <w:rPr>
          <w:rFonts w:hint="eastAsia" w:ascii="宋体" w:hAnsi="宋体"/>
          <w:b/>
          <w:bCs/>
          <w:color w:val="auto"/>
          <w:sz w:val="24"/>
          <w:highlight w:val="none"/>
        </w:rPr>
        <w:t>文件附件，主要包括以下内容：</w:t>
      </w:r>
    </w:p>
    <w:p w14:paraId="0D0C729B">
      <w:pPr>
        <w:keepNext w:val="0"/>
        <w:keepLines w:val="0"/>
        <w:pageBreakBefore w:val="0"/>
        <w:widowControl w:val="0"/>
        <w:kinsoku/>
        <w:wordWrap/>
        <w:overflowPunct/>
        <w:topLinePunct w:val="0"/>
        <w:autoSpaceDE/>
        <w:autoSpaceDN/>
        <w:bidi w:val="0"/>
        <w:adjustRightInd/>
        <w:snapToGrid/>
        <w:jc w:val="left"/>
        <w:textAlignment w:val="auto"/>
        <w:rPr>
          <w:color w:val="auto"/>
          <w:highlight w:val="none"/>
        </w:rPr>
      </w:pPr>
      <w:r>
        <w:rPr>
          <w:rFonts w:hint="eastAsia"/>
          <w:color w:val="auto"/>
          <w:highlight w:val="none"/>
        </w:rPr>
        <w:t>（1）法定代表人（负责人）证明书</w:t>
      </w:r>
    </w:p>
    <w:p w14:paraId="44C96B62">
      <w:pPr>
        <w:keepNext w:val="0"/>
        <w:keepLines w:val="0"/>
        <w:pageBreakBefore w:val="0"/>
        <w:widowControl w:val="0"/>
        <w:kinsoku/>
        <w:wordWrap/>
        <w:overflowPunct/>
        <w:topLinePunct w:val="0"/>
        <w:autoSpaceDE/>
        <w:autoSpaceDN/>
        <w:bidi w:val="0"/>
        <w:adjustRightInd/>
        <w:snapToGrid/>
        <w:jc w:val="left"/>
        <w:textAlignment w:val="auto"/>
        <w:rPr>
          <w:rFonts w:hint="eastAsia"/>
          <w:color w:val="auto"/>
          <w:highlight w:val="none"/>
        </w:rPr>
      </w:pPr>
      <w:r>
        <w:rPr>
          <w:rFonts w:hint="eastAsia"/>
          <w:color w:val="auto"/>
          <w:highlight w:val="none"/>
        </w:rPr>
        <w:t>（2）投标文件签署授权委托书</w:t>
      </w:r>
    </w:p>
    <w:p w14:paraId="48E9FEE5">
      <w:pPr>
        <w:keepNext w:val="0"/>
        <w:keepLines w:val="0"/>
        <w:pageBreakBefore w:val="0"/>
        <w:widowControl w:val="0"/>
        <w:kinsoku/>
        <w:wordWrap/>
        <w:overflowPunct/>
        <w:topLinePunct w:val="0"/>
        <w:autoSpaceDE/>
        <w:autoSpaceDN/>
        <w:bidi w:val="0"/>
        <w:adjustRightInd/>
        <w:snapToGrid/>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）投标保证金缴纳凭证</w:t>
      </w:r>
    </w:p>
    <w:p w14:paraId="076BBB10">
      <w:pPr>
        <w:keepNext w:val="0"/>
        <w:keepLines w:val="0"/>
        <w:pageBreakBefore w:val="0"/>
        <w:widowControl w:val="0"/>
        <w:kinsoku/>
        <w:wordWrap/>
        <w:overflowPunct/>
        <w:topLinePunct w:val="0"/>
        <w:autoSpaceDE/>
        <w:autoSpaceDN/>
        <w:bidi w:val="0"/>
        <w:adjustRightInd/>
        <w:snapToGrid/>
        <w:jc w:val="left"/>
        <w:textAlignment w:val="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）联合体协议书</w:t>
      </w:r>
    </w:p>
    <w:p w14:paraId="56A98768">
      <w:pPr>
        <w:keepNext w:val="0"/>
        <w:keepLines w:val="0"/>
        <w:pageBreakBefore w:val="0"/>
        <w:widowControl w:val="0"/>
        <w:kinsoku/>
        <w:wordWrap/>
        <w:overflowPunct/>
        <w:topLinePunct w:val="0"/>
        <w:autoSpaceDE/>
        <w:autoSpaceDN/>
        <w:bidi w:val="0"/>
        <w:adjustRightInd/>
        <w:snapToGrid/>
        <w:jc w:val="left"/>
        <w:textAlignment w:val="auto"/>
        <w:rPr>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分包意向协议</w:t>
      </w:r>
    </w:p>
    <w:p w14:paraId="53B369B2">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color w:val="auto"/>
          <w:highlight w:val="none"/>
          <w:lang w:val="en-GB"/>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）中小企业声明函、残疾人福利性单位声明函及监狱企业声明函</w:t>
      </w:r>
    </w:p>
    <w:p w14:paraId="7A946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highlight w:val="none"/>
          <w:lang w:val="en-US" w:eastAsia="zh-CN"/>
        </w:rPr>
        <w:t>产品</w:t>
      </w:r>
      <w:r>
        <w:rPr>
          <w:rFonts w:hint="eastAsia" w:ascii="宋体" w:hAnsi="宋体" w:cs="宋体"/>
          <w:color w:val="auto"/>
          <w:highlight w:val="none"/>
        </w:rPr>
        <w:t>认证情况</w:t>
      </w:r>
      <w:r>
        <w:rPr>
          <w:rFonts w:hint="eastAsia" w:ascii="宋体" w:hAnsi="宋体"/>
          <w:color w:val="auto"/>
          <w:highlight w:val="none"/>
        </w:rPr>
        <w:t>（</w:t>
      </w:r>
      <w:r>
        <w:rPr>
          <w:rFonts w:hint="eastAsia" w:ascii="宋体" w:hAnsi="宋体" w:eastAsia="宋体" w:cs="宋体"/>
          <w:color w:val="auto"/>
          <w:kern w:val="2"/>
          <w:sz w:val="21"/>
          <w:szCs w:val="21"/>
          <w:highlight w:val="none"/>
          <w:lang w:val="en-US" w:eastAsia="zh-CN" w:bidi="ar-SA"/>
        </w:rPr>
        <w:t>中国国家强制性产品认证证书（CCC）、</w:t>
      </w:r>
      <w:r>
        <w:rPr>
          <w:rFonts w:hint="eastAsia" w:ascii="宋体" w:hAnsi="宋体" w:eastAsia="宋体" w:cs="宋体"/>
          <w:color w:val="auto"/>
          <w:sz w:val="21"/>
          <w:szCs w:val="21"/>
          <w:highlight w:val="none"/>
        </w:rPr>
        <w:t>节能产品明细清单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环保产品明细清单</w:t>
      </w:r>
      <w:r>
        <w:rPr>
          <w:rFonts w:hint="eastAsia" w:ascii="宋体" w:hAnsi="宋体" w:eastAsia="宋体" w:cs="宋体"/>
          <w:color w:val="auto"/>
          <w:sz w:val="21"/>
          <w:szCs w:val="21"/>
          <w:highlight w:val="none"/>
          <w:lang w:eastAsia="zh-CN"/>
        </w:rPr>
        <w:t>）</w:t>
      </w:r>
    </w:p>
    <w:p w14:paraId="2D7152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olor w:val="auto"/>
          <w:highlight w:val="none"/>
        </w:rPr>
        <w:t>供应商同类项目业绩情况</w:t>
      </w:r>
    </w:p>
    <w:p w14:paraId="18F3F1DD">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9</w:t>
      </w:r>
      <w:r>
        <w:rPr>
          <w:rFonts w:hint="eastAsia" w:ascii="宋体" w:hAnsi="宋体"/>
          <w:color w:val="auto"/>
          <w:highlight w:val="none"/>
        </w:rPr>
        <w:t>）拟安排的项目负责人情况</w:t>
      </w:r>
    </w:p>
    <w:p w14:paraId="0B70A7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）拟安排的项目主要团队成员（主要技术人员）情况（项目负责人除外）</w:t>
      </w:r>
    </w:p>
    <w:p w14:paraId="3ABD43CA">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）项目服务承诺（格式自定）</w:t>
      </w:r>
    </w:p>
    <w:p w14:paraId="04F2F601">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12</w:t>
      </w:r>
      <w:r>
        <w:rPr>
          <w:rFonts w:hint="eastAsia" w:ascii="宋体" w:hAnsi="宋体"/>
          <w:color w:val="auto"/>
          <w:highlight w:val="none"/>
        </w:rPr>
        <w:t>）违约承诺（格式自定）</w:t>
      </w:r>
    </w:p>
    <w:p w14:paraId="55B9EBA2">
      <w:pPr>
        <w:rPr>
          <w:rFonts w:hint="eastAsia" w:ascii="宋体" w:hAnsi="宋体"/>
          <w:color w:val="auto"/>
          <w:highlight w:val="none"/>
          <w:lang w:val="en-US" w:eastAsia="zh-CN"/>
        </w:rPr>
      </w:pPr>
    </w:p>
    <w:p w14:paraId="711D633D">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3.投标文件增项，主要包括以下内容：</w:t>
      </w:r>
    </w:p>
    <w:p w14:paraId="2611995B">
      <w:pPr>
        <w:rPr>
          <w:rFonts w:hint="eastAsia"/>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w:t>
      </w:r>
      <w:r>
        <w:rPr>
          <w:rFonts w:hint="eastAsia" w:ascii="宋体" w:hAnsi="宋体"/>
          <w:color w:val="auto"/>
          <w:highlight w:val="none"/>
        </w:rPr>
        <w:t>）供应商获奖情况（格式自定）</w:t>
      </w:r>
    </w:p>
    <w:p w14:paraId="70C663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）供应商自主知识产权产品（</w:t>
      </w:r>
      <w:r>
        <w:rPr>
          <w:rFonts w:hint="eastAsia" w:ascii="宋体" w:hAnsi="宋体"/>
          <w:color w:val="auto"/>
          <w:highlight w:val="none"/>
          <w:lang w:val="en-US" w:eastAsia="zh-CN"/>
        </w:rPr>
        <w:t>专利、软著、</w:t>
      </w:r>
      <w:r>
        <w:rPr>
          <w:rFonts w:hint="eastAsia" w:ascii="宋体" w:hAnsi="宋体"/>
          <w:color w:val="auto"/>
          <w:highlight w:val="none"/>
        </w:rPr>
        <w:t>创新、设计）（格式自定）</w:t>
      </w:r>
    </w:p>
    <w:p w14:paraId="3B094215">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）拟投入的服务资源（车辆、场地、工具、机器等）情况（格式自定）</w:t>
      </w:r>
    </w:p>
    <w:p w14:paraId="71A56886">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小标宋_GBK" w:hAnsi="方正小标宋_GBK" w:eastAsia="方正小标宋_GBK" w:cs="方正小标宋_GBK"/>
          <w:b/>
          <w:bCs/>
          <w:color w:val="auto"/>
          <w:sz w:val="44"/>
          <w:szCs w:val="44"/>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w:t>
      </w:r>
      <w:r>
        <w:rPr>
          <w:rFonts w:hint="eastAsia"/>
          <w:color w:val="auto"/>
          <w:highlight w:val="none"/>
        </w:rPr>
        <w:t>投标人认为需要加以说明的其他内容（格式自定）</w:t>
      </w:r>
    </w:p>
    <w:p w14:paraId="4BE55B12">
      <w:pPr>
        <w:jc w:val="center"/>
        <w:rPr>
          <w:rFonts w:hint="eastAsia" w:ascii="黑体" w:hAnsi="宋体" w:eastAsia="黑体"/>
          <w:b/>
          <w:bCs/>
          <w:color w:val="auto"/>
          <w:sz w:val="28"/>
          <w:szCs w:val="28"/>
          <w:highlight w:val="none"/>
        </w:rPr>
      </w:pPr>
    </w:p>
    <w:p w14:paraId="3E512D8C">
      <w:pPr>
        <w:pStyle w:val="2"/>
        <w:rPr>
          <w:rFonts w:hint="eastAsia"/>
        </w:rPr>
      </w:pPr>
    </w:p>
    <w:p w14:paraId="56859552">
      <w:pPr>
        <w:keepNext w:val="0"/>
        <w:keepLines w:val="0"/>
        <w:pageBreakBefore w:val="0"/>
        <w:widowControl w:val="0"/>
        <w:kinsoku/>
        <w:wordWrap/>
        <w:overflowPunct/>
        <w:topLinePunct w:val="0"/>
        <w:autoSpaceDE/>
        <w:autoSpaceDN/>
        <w:bidi w:val="0"/>
        <w:adjustRightInd/>
        <w:snapToGrid/>
        <w:spacing w:after="146" w:afterLines="50"/>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政府采购违法行为风险知悉确认书</w:t>
      </w:r>
    </w:p>
    <w:p w14:paraId="094EF5C3">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本公司在投标前已充分知悉以下情形为参与政府采购活动时的重大风险事项，并承诺已对下述风险提示事项重点排查，做到严谨、诚信、依法依规参与政府采购活动。</w:t>
      </w:r>
    </w:p>
    <w:p w14:paraId="5DFD5FC3">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color w:val="auto"/>
          <w:szCs w:val="21"/>
          <w:highlight w:val="none"/>
        </w:rPr>
      </w:pPr>
      <w:r>
        <w:rPr>
          <w:rFonts w:hint="eastAsia" w:ascii="宋体" w:hAnsi="宋体"/>
          <w:b/>
          <w:bCs/>
          <w:color w:val="auto"/>
          <w:szCs w:val="21"/>
          <w:highlight w:val="none"/>
        </w:rPr>
        <w:t>一、本公司已充分知悉</w:t>
      </w:r>
      <w:r>
        <w:rPr>
          <w:rFonts w:hint="eastAsia"/>
          <w:b/>
          <w:bCs/>
          <w:color w:val="auto"/>
          <w:szCs w:val="21"/>
          <w:highlight w:val="none"/>
        </w:rPr>
        <w:t>“</w:t>
      </w:r>
      <w:r>
        <w:rPr>
          <w:rFonts w:hint="eastAsia" w:ascii="宋体" w:hAnsi="宋体"/>
          <w:b/>
          <w:bCs/>
          <w:color w:val="auto"/>
          <w:szCs w:val="21"/>
          <w:highlight w:val="none"/>
        </w:rPr>
        <w:t>隐瞒真实情况，提供虚假资料</w:t>
      </w:r>
      <w:r>
        <w:rPr>
          <w:rFonts w:hint="eastAsia"/>
          <w:b/>
          <w:bCs/>
          <w:color w:val="auto"/>
          <w:szCs w:val="21"/>
          <w:highlight w:val="none"/>
        </w:rPr>
        <w:t>”</w:t>
      </w:r>
      <w:r>
        <w:rPr>
          <w:rFonts w:hint="eastAsia" w:ascii="宋体" w:hAnsi="宋体"/>
          <w:b/>
          <w:bCs/>
          <w:color w:val="auto"/>
          <w:szCs w:val="21"/>
          <w:highlight w:val="none"/>
        </w:rPr>
        <w:t>的法定情形，相关情形包括但不限于：</w:t>
      </w:r>
    </w:p>
    <w:p w14:paraId="2F6EA42E">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（一）通过转让或者租借等方式从其他单位获取资格或者资质证书投标的。</w:t>
      </w:r>
    </w:p>
    <w:p w14:paraId="60DCB34F">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（二）由其他单位或者其他单位负责人在投标供应商编制的投标文件上加盖印章或者签字的。</w:t>
      </w:r>
    </w:p>
    <w:p w14:paraId="082BDD52">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（三）项目负责人或者主要技术人员不是本单位人员的。</w:t>
      </w:r>
    </w:p>
    <w:p w14:paraId="57F59F3D">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（四）投标保证金不是从投标供应商基本账户转出的。</w:t>
      </w:r>
    </w:p>
    <w:p w14:paraId="0AD8ADE5">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（五）其他隐瞒真实情况、提供虚假资料的行为。</w:t>
      </w:r>
    </w:p>
    <w:p w14:paraId="7DCA406F">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color w:val="auto"/>
          <w:szCs w:val="21"/>
          <w:highlight w:val="none"/>
        </w:rPr>
      </w:pPr>
      <w:r>
        <w:rPr>
          <w:rFonts w:hint="eastAsia" w:ascii="宋体" w:hAnsi="宋体"/>
          <w:b/>
          <w:bCs/>
          <w:color w:val="auto"/>
          <w:szCs w:val="21"/>
          <w:highlight w:val="none"/>
        </w:rPr>
        <w:t>二、本公司已充分知悉</w:t>
      </w:r>
      <w:r>
        <w:rPr>
          <w:rFonts w:hint="eastAsia"/>
          <w:b/>
          <w:bCs/>
          <w:color w:val="auto"/>
          <w:szCs w:val="21"/>
          <w:highlight w:val="none"/>
        </w:rPr>
        <w:t>“</w:t>
      </w:r>
      <w:r>
        <w:rPr>
          <w:rFonts w:hint="eastAsia" w:ascii="宋体" w:hAnsi="宋体"/>
          <w:b/>
          <w:bCs/>
          <w:color w:val="auto"/>
          <w:szCs w:val="21"/>
          <w:highlight w:val="none"/>
        </w:rPr>
        <w:t>与其他采购参加人串通投标</w:t>
      </w:r>
      <w:r>
        <w:rPr>
          <w:rFonts w:hint="eastAsia"/>
          <w:b/>
          <w:bCs/>
          <w:color w:val="auto"/>
          <w:szCs w:val="21"/>
          <w:highlight w:val="none"/>
        </w:rPr>
        <w:t>”</w:t>
      </w:r>
      <w:r>
        <w:rPr>
          <w:rFonts w:hint="eastAsia" w:ascii="宋体" w:hAnsi="宋体"/>
          <w:b/>
          <w:bCs/>
          <w:color w:val="auto"/>
          <w:szCs w:val="21"/>
          <w:highlight w:val="none"/>
        </w:rPr>
        <w:t>的法定情形，相关情形包括但不限于：</w:t>
      </w:r>
    </w:p>
    <w:p w14:paraId="7A446243">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（一）投标供应商之间相互约定给予未中标的供应商利益补偿。</w:t>
      </w:r>
    </w:p>
    <w:p w14:paraId="0C28D1D7">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（二）不同投标供应商的法定代表人、主要经营负责人、项目投标授权代表人、项目负责人、主要技术人员为同一人、属同一单位或者在同一单位缴纳社会保险。</w:t>
      </w:r>
    </w:p>
    <w:p w14:paraId="0CDF0FEC">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（三）不同投标供应商的投标文件由同一单位或者同一人编制，或者由同一人分阶段参与编制的。</w:t>
      </w:r>
    </w:p>
    <w:p w14:paraId="6A4B1F0B">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（四）不同投标供应商的投标文件或部分投标文件相互混装。</w:t>
      </w:r>
    </w:p>
    <w:p w14:paraId="45176C38">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（五）不同投标供应商的投标文件内容存在非正常一致。</w:t>
      </w:r>
    </w:p>
    <w:p w14:paraId="76E8C885">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（六）由同一单位工作人员为两家以上（含两家）供应商进行同一项投标活动的。</w:t>
      </w:r>
    </w:p>
    <w:p w14:paraId="329EFC34">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（七）不同投标人的投标报价呈规律性差异。</w:t>
      </w:r>
    </w:p>
    <w:p w14:paraId="3E1891DA">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（八）不同投标人的投标保证金从同一单位或者个人的账户转出。</w:t>
      </w:r>
    </w:p>
    <w:p w14:paraId="3489AB1B">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（九）主管部门依照法律、法规认定的其他情形。</w:t>
      </w:r>
    </w:p>
    <w:p w14:paraId="236FE6F8">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color w:val="auto"/>
          <w:szCs w:val="21"/>
          <w:highlight w:val="none"/>
        </w:rPr>
      </w:pPr>
      <w:r>
        <w:rPr>
          <w:rFonts w:hint="eastAsia" w:ascii="宋体" w:hAnsi="宋体"/>
          <w:b/>
          <w:bCs/>
          <w:color w:val="auto"/>
          <w:szCs w:val="21"/>
          <w:highlight w:val="none"/>
        </w:rPr>
        <w:t>三、本公司已充分知悉下列情形所对应的法律风险，并在投标前已对相关风险事项进行排查。</w:t>
      </w:r>
    </w:p>
    <w:p w14:paraId="0AEE64C1">
      <w:pPr>
        <w:keepNext w:val="0"/>
        <w:keepLines w:val="0"/>
        <w:pageBreakBefore w:val="0"/>
        <w:kinsoku/>
        <w:overflowPunct/>
        <w:topLinePunct w:val="0"/>
        <w:autoSpaceDE w:val="0"/>
        <w:autoSpaceDN w:val="0"/>
        <w:bidi w:val="0"/>
        <w:adjustRightInd/>
        <w:snapToGrid/>
        <w:spacing w:beforeAutospacing="0" w:afterAutospacing="0" w:line="360" w:lineRule="auto"/>
        <w:ind w:firstLine="404" w:firstLineChars="200"/>
        <w:jc w:val="both"/>
        <w:textAlignment w:val="auto"/>
        <w:rPr>
          <w:rFonts w:ascii="宋体" w:hAnsi="宋体"/>
          <w:b/>
          <w:bCs/>
          <w:color w:val="auto"/>
          <w:spacing w:val="-4"/>
          <w:kern w:val="0"/>
          <w:szCs w:val="21"/>
          <w:highlight w:val="none"/>
        </w:rPr>
      </w:pPr>
      <w:r>
        <w:rPr>
          <w:rFonts w:hint="eastAsia" w:ascii="宋体" w:hAnsi="宋体"/>
          <w:color w:val="auto"/>
          <w:spacing w:val="-4"/>
          <w:kern w:val="0"/>
          <w:szCs w:val="21"/>
          <w:highlight w:val="none"/>
        </w:rPr>
        <w:t>（一）对于从其他主体获取的投标资料，供应商应审慎核查，确保投标资料的真实性。</w:t>
      </w:r>
      <w:r>
        <w:rPr>
          <w:rFonts w:hint="eastAsia" w:ascii="宋体" w:hAnsi="宋体"/>
          <w:b/>
          <w:bCs/>
          <w:color w:val="auto"/>
          <w:spacing w:val="-4"/>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62418A46">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13FA6B7F">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（三）对于涉及安全生产、特种作业、抢险救灾、防疫等政府采购项目，供应商实施提供虚假资料、串通投标等违法行为的，主管部门将依法从严处理。</w:t>
      </w:r>
    </w:p>
    <w:p w14:paraId="4CF9BF14">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4211239">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F4ECCA6">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79FD5CC3">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22" w:firstLineChars="200"/>
        <w:jc w:val="both"/>
        <w:textAlignment w:val="auto"/>
        <w:rPr>
          <w:b/>
          <w:bCs/>
          <w:color w:val="auto"/>
          <w:sz w:val="21"/>
          <w:szCs w:val="21"/>
          <w:highlight w:val="none"/>
        </w:rPr>
      </w:pPr>
      <w:r>
        <w:rPr>
          <w:rFonts w:hint="eastAsia" w:ascii="宋体" w:hAnsi="宋体"/>
          <w:b/>
          <w:bCs/>
          <w:color w:val="auto"/>
          <w:sz w:val="21"/>
          <w:szCs w:val="21"/>
          <w:highlight w:val="none"/>
        </w:rPr>
        <w:t>四、本公司已充分知悉政府采购违法、违规行为的法律后果。</w:t>
      </w:r>
    </w:p>
    <w:p w14:paraId="76A85F26">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b/>
          <w:bCs/>
          <w:color w:val="auto"/>
          <w:spacing w:val="-4"/>
          <w:kern w:val="0"/>
          <w:sz w:val="21"/>
          <w:szCs w:val="21"/>
          <w:highlight w:val="none"/>
        </w:rPr>
      </w:pPr>
      <w:r>
        <w:rPr>
          <w:rFonts w:hint="eastAsia" w:ascii="宋体" w:hAnsi="宋体"/>
          <w:color w:val="auto"/>
          <w:spacing w:val="-4"/>
          <w:kern w:val="0"/>
          <w:sz w:val="21"/>
          <w:szCs w:val="21"/>
          <w:highlight w:val="none"/>
        </w:rPr>
        <w:t>经查实，若投标供应商存在政府采购违法、违规行为，</w:t>
      </w:r>
      <w:r>
        <w:rPr>
          <w:rFonts w:hint="eastAsia" w:ascii="宋体" w:hAnsi="宋体"/>
          <w:color w:val="auto"/>
          <w:spacing w:val="-4"/>
          <w:kern w:val="0"/>
          <w:sz w:val="21"/>
          <w:szCs w:val="21"/>
          <w:highlight w:val="none"/>
          <w:lang w:val="en-US" w:eastAsia="zh-CN"/>
        </w:rPr>
        <w:t>财政</w:t>
      </w:r>
      <w:r>
        <w:rPr>
          <w:rFonts w:hint="eastAsia" w:ascii="宋体" w:hAnsi="宋体"/>
          <w:color w:val="auto"/>
          <w:spacing w:val="-4"/>
          <w:kern w:val="0"/>
          <w:sz w:val="21"/>
          <w:szCs w:val="21"/>
          <w:highlight w:val="none"/>
        </w:rPr>
        <w:t>主管部门将依据</w:t>
      </w:r>
      <w:r>
        <w:rPr>
          <w:rFonts w:hint="eastAsia" w:ascii="宋体" w:hAnsi="宋体"/>
          <w:color w:val="auto"/>
          <w:spacing w:val="-4"/>
          <w:kern w:val="0"/>
          <w:sz w:val="21"/>
          <w:szCs w:val="21"/>
          <w:highlight w:val="none"/>
          <w:lang w:val="en-US" w:eastAsia="zh-CN"/>
        </w:rPr>
        <w:t>政府采购法律法规</w:t>
      </w:r>
      <w:r>
        <w:rPr>
          <w:rFonts w:hint="eastAsia" w:ascii="宋体" w:hAnsi="宋体"/>
          <w:color w:val="auto"/>
          <w:spacing w:val="-4"/>
          <w:kern w:val="0"/>
          <w:sz w:val="21"/>
          <w:szCs w:val="21"/>
          <w:highlight w:val="none"/>
        </w:rPr>
        <w:t>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b/>
          <w:bCs/>
          <w:color w:val="auto"/>
          <w:spacing w:val="-4"/>
          <w:kern w:val="0"/>
          <w:sz w:val="21"/>
          <w:szCs w:val="21"/>
          <w:highlight w:val="none"/>
        </w:rPr>
        <w:t>以下文字请投标供应商抄写并确认：“本公司已仔细阅读《政府采购违法行为风险知悉确认书》，充分知悉违法行为的法律后果，并承诺将严谨、诚信、依法依规参与政府采购活动”。</w:t>
      </w:r>
    </w:p>
    <w:tbl>
      <w:tblPr>
        <w:tblStyle w:val="4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75AF81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00C6C87">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color w:val="auto"/>
                <w:spacing w:val="-4"/>
                <w:kern w:val="0"/>
                <w:sz w:val="21"/>
                <w:szCs w:val="21"/>
                <w:highlight w:val="none"/>
              </w:rPr>
            </w:pPr>
          </w:p>
        </w:tc>
      </w:tr>
      <w:tr w14:paraId="641526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E9B53E6">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color w:val="auto"/>
                <w:spacing w:val="-4"/>
                <w:kern w:val="0"/>
                <w:sz w:val="21"/>
                <w:szCs w:val="21"/>
                <w:highlight w:val="none"/>
              </w:rPr>
            </w:pPr>
          </w:p>
        </w:tc>
      </w:tr>
      <w:tr w14:paraId="7B8D229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82F8505">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color w:val="auto"/>
                <w:spacing w:val="-4"/>
                <w:kern w:val="0"/>
                <w:sz w:val="21"/>
                <w:szCs w:val="21"/>
                <w:highlight w:val="none"/>
              </w:rPr>
            </w:pPr>
          </w:p>
        </w:tc>
      </w:tr>
      <w:tr w14:paraId="294A86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03D2843">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color w:val="auto"/>
                <w:spacing w:val="-4"/>
                <w:kern w:val="0"/>
                <w:sz w:val="21"/>
                <w:szCs w:val="21"/>
                <w:highlight w:val="none"/>
              </w:rPr>
            </w:pPr>
          </w:p>
        </w:tc>
      </w:tr>
    </w:tbl>
    <w:p w14:paraId="3EEA9CCC">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ascii="宋体" w:hAnsi="宋体"/>
          <w:b/>
          <w:bCs/>
          <w:color w:val="auto"/>
          <w:spacing w:val="-4"/>
          <w:kern w:val="0"/>
          <w:sz w:val="21"/>
          <w:szCs w:val="21"/>
          <w:highlight w:val="none"/>
        </w:rPr>
      </w:pPr>
      <w:r>
        <w:rPr>
          <w:rFonts w:hint="eastAsia" w:ascii="宋体" w:hAnsi="宋体"/>
          <w:b/>
          <w:bCs/>
          <w:color w:val="auto"/>
          <w:spacing w:val="-4"/>
          <w:kern w:val="0"/>
          <w:sz w:val="21"/>
          <w:szCs w:val="21"/>
          <w:highlight w:val="none"/>
        </w:rPr>
        <w:t>注：1.政府采购违法行为风险知悉确认书</w:t>
      </w:r>
      <w:r>
        <w:rPr>
          <w:rFonts w:hint="eastAsia" w:ascii="宋体" w:hAnsi="宋体"/>
          <w:b/>
          <w:bCs/>
          <w:color w:val="auto"/>
          <w:spacing w:val="-4"/>
          <w:kern w:val="0"/>
          <w:sz w:val="21"/>
          <w:szCs w:val="21"/>
          <w:highlight w:val="none"/>
          <w:lang w:val="en-US" w:eastAsia="zh-CN"/>
        </w:rPr>
        <w:t>为必填项，</w:t>
      </w:r>
      <w:r>
        <w:rPr>
          <w:rFonts w:hint="eastAsia"/>
          <w:b/>
          <w:bCs/>
          <w:color w:val="auto"/>
          <w:spacing w:val="-4"/>
          <w:kern w:val="0"/>
          <w:sz w:val="21"/>
          <w:szCs w:val="21"/>
          <w:highlight w:val="none"/>
          <w:lang w:val="en-US" w:eastAsia="zh-CN"/>
        </w:rPr>
        <w:t>供应商需手工填写</w:t>
      </w:r>
      <w:r>
        <w:rPr>
          <w:rFonts w:hint="eastAsia" w:ascii="宋体" w:hAnsi="宋体"/>
          <w:b/>
          <w:bCs/>
          <w:color w:val="auto"/>
          <w:spacing w:val="-4"/>
          <w:kern w:val="0"/>
          <w:sz w:val="21"/>
          <w:szCs w:val="21"/>
          <w:highlight w:val="none"/>
        </w:rPr>
        <w:t>。</w:t>
      </w:r>
    </w:p>
    <w:p w14:paraId="62CC7E5C">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6" w:firstLineChars="200"/>
        <w:jc w:val="both"/>
        <w:textAlignment w:val="auto"/>
        <w:rPr>
          <w:rFonts w:ascii="宋体" w:hAnsi="宋体"/>
          <w:color w:val="auto"/>
          <w:spacing w:val="-4"/>
          <w:kern w:val="0"/>
          <w:sz w:val="21"/>
          <w:szCs w:val="21"/>
          <w:highlight w:val="none"/>
        </w:rPr>
      </w:pPr>
      <w:r>
        <w:rPr>
          <w:rFonts w:hint="eastAsia" w:ascii="宋体" w:hAnsi="宋体"/>
          <w:b/>
          <w:bCs/>
          <w:color w:val="auto"/>
          <w:spacing w:val="-4"/>
          <w:kern w:val="0"/>
          <w:sz w:val="21"/>
          <w:szCs w:val="21"/>
          <w:highlight w:val="none"/>
        </w:rPr>
        <w:t>2.投标供应商负责人或投标授权代表签字并加盖单位公章后，扫描上传至投标文件一并提交。</w:t>
      </w:r>
    </w:p>
    <w:p w14:paraId="3AE71B90">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hint="eastAsia" w:ascii="宋体" w:hAnsi="宋体"/>
          <w:color w:val="auto"/>
          <w:spacing w:val="-4"/>
          <w:kern w:val="0"/>
          <w:sz w:val="21"/>
          <w:szCs w:val="21"/>
          <w:highlight w:val="none"/>
          <w:lang w:val="en-US" w:eastAsia="zh-CN"/>
        </w:rPr>
      </w:pPr>
      <w:r>
        <w:rPr>
          <w:rFonts w:hint="eastAsia" w:ascii="宋体" w:hAnsi="宋体"/>
          <w:color w:val="auto"/>
          <w:spacing w:val="-4"/>
          <w:kern w:val="0"/>
          <w:sz w:val="21"/>
          <w:szCs w:val="21"/>
          <w:highlight w:val="none"/>
          <w:lang w:val="en-US" w:eastAsia="zh-CN"/>
        </w:rPr>
        <w:t xml:space="preserve">                                       </w:t>
      </w:r>
    </w:p>
    <w:p w14:paraId="270BCD8B">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lang w:val="en-US" w:eastAsia="zh-CN"/>
        </w:rPr>
        <w:t xml:space="preserve">                                      </w:t>
      </w:r>
      <w:r>
        <w:rPr>
          <w:rFonts w:hint="eastAsia" w:ascii="宋体" w:hAnsi="宋体"/>
          <w:color w:val="auto"/>
          <w:spacing w:val="-4"/>
          <w:kern w:val="0"/>
          <w:sz w:val="21"/>
          <w:szCs w:val="21"/>
          <w:highlight w:val="none"/>
        </w:rPr>
        <w:t xml:space="preserve">负责人/投标授权代表签名：     </w:t>
      </w:r>
    </w:p>
    <w:p w14:paraId="35403DDF">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ascii="宋体" w:hAnsi="宋体"/>
          <w:color w:val="auto"/>
          <w:spacing w:val="-4"/>
          <w:kern w:val="0"/>
          <w:sz w:val="21"/>
          <w:szCs w:val="21"/>
          <w:highlight w:val="none"/>
        </w:rPr>
      </w:pPr>
      <w:r>
        <w:rPr>
          <w:rFonts w:hint="eastAsia" w:ascii="宋体" w:hAnsi="宋体"/>
          <w:color w:val="auto"/>
          <w:spacing w:val="-4"/>
          <w:kern w:val="0"/>
          <w:sz w:val="21"/>
          <w:szCs w:val="21"/>
          <w:highlight w:val="none"/>
          <w:lang w:val="en-US" w:eastAsia="zh-CN"/>
        </w:rPr>
        <w:t xml:space="preserve">                              </w:t>
      </w:r>
      <w:r>
        <w:rPr>
          <w:rFonts w:hint="eastAsia" w:ascii="宋体" w:hAnsi="宋体"/>
          <w:color w:val="auto"/>
          <w:spacing w:val="-4"/>
          <w:kern w:val="0"/>
          <w:sz w:val="21"/>
          <w:szCs w:val="21"/>
          <w:highlight w:val="none"/>
        </w:rPr>
        <w:t xml:space="preserve">知悉人（公章）：     </w:t>
      </w:r>
    </w:p>
    <w:p w14:paraId="528AB5F1">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lang w:val="en-US" w:eastAsia="zh-CN"/>
        </w:rPr>
        <w:t xml:space="preserve">                    </w:t>
      </w:r>
      <w:r>
        <w:rPr>
          <w:rFonts w:hint="eastAsia" w:ascii="宋体" w:hAnsi="宋体"/>
          <w:color w:val="auto"/>
          <w:spacing w:val="-4"/>
          <w:kern w:val="0"/>
          <w:sz w:val="21"/>
          <w:szCs w:val="21"/>
          <w:highlight w:val="none"/>
        </w:rPr>
        <w:t xml:space="preserve">日期：     </w:t>
      </w:r>
    </w:p>
    <w:p w14:paraId="2D7CF7FC">
      <w:pPr>
        <w:outlineLvl w:val="1"/>
        <w:rPr>
          <w:rFonts w:hint="eastAsia" w:ascii="宋体" w:hAnsi="宋体"/>
          <w:b/>
          <w:color w:val="auto"/>
          <w:sz w:val="28"/>
          <w:szCs w:val="28"/>
          <w:highlight w:val="none"/>
        </w:rPr>
      </w:pPr>
    </w:p>
    <w:p w14:paraId="445351D7">
      <w:pPr>
        <w:outlineLvl w:val="1"/>
        <w:rPr>
          <w:rFonts w:hint="eastAsia" w:ascii="宋体" w:hAnsi="宋体"/>
          <w:b/>
          <w:color w:val="auto"/>
          <w:sz w:val="28"/>
          <w:szCs w:val="28"/>
          <w:highlight w:val="none"/>
        </w:rPr>
      </w:pPr>
    </w:p>
    <w:p w14:paraId="6B429258">
      <w:pPr>
        <w:outlineLvl w:val="1"/>
        <w:rPr>
          <w:rFonts w:hint="eastAsia" w:ascii="宋体" w:hAnsi="宋体"/>
          <w:b/>
          <w:color w:val="auto"/>
          <w:sz w:val="28"/>
          <w:szCs w:val="28"/>
          <w:highlight w:val="none"/>
        </w:rPr>
      </w:pPr>
    </w:p>
    <w:p w14:paraId="308E2E0D">
      <w:pPr>
        <w:outlineLvl w:val="1"/>
        <w:rPr>
          <w:rFonts w:hint="eastAsia" w:ascii="宋体" w:hAnsi="宋体"/>
          <w:b/>
          <w:color w:val="auto"/>
          <w:sz w:val="28"/>
          <w:szCs w:val="28"/>
          <w:highlight w:val="none"/>
        </w:rPr>
      </w:pPr>
    </w:p>
    <w:p w14:paraId="52F7FA97">
      <w:pPr>
        <w:outlineLvl w:val="1"/>
        <w:rPr>
          <w:rFonts w:hint="eastAsia" w:ascii="黑体" w:eastAsia="黑体"/>
          <w:b/>
          <w:bCs w:val="0"/>
          <w:color w:val="auto"/>
          <w:kern w:val="0"/>
          <w:sz w:val="24"/>
          <w:highlight w:val="none"/>
        </w:rPr>
      </w:pPr>
      <w:r>
        <w:rPr>
          <w:rFonts w:hint="eastAsia" w:ascii="宋体" w:hAnsi="宋体"/>
          <w:b/>
          <w:color w:val="auto"/>
          <w:sz w:val="28"/>
          <w:szCs w:val="28"/>
          <w:highlight w:val="none"/>
        </w:rPr>
        <w:t>投标文件正文</w:t>
      </w:r>
    </w:p>
    <w:p w14:paraId="1B52B5FA">
      <w:pPr>
        <w:pStyle w:val="5"/>
        <w:jc w:val="center"/>
        <w:rPr>
          <w:rFonts w:ascii="黑体" w:eastAsia="黑体"/>
          <w:b/>
          <w:bCs w:val="0"/>
          <w:color w:val="auto"/>
          <w:kern w:val="0"/>
          <w:sz w:val="24"/>
          <w:highlight w:val="none"/>
        </w:rPr>
      </w:pPr>
      <w:r>
        <w:rPr>
          <w:rFonts w:hint="eastAsia" w:ascii="黑体" w:eastAsia="黑体"/>
          <w:b/>
          <w:bCs w:val="0"/>
          <w:color w:val="auto"/>
          <w:kern w:val="0"/>
          <w:sz w:val="24"/>
          <w:highlight w:val="none"/>
        </w:rPr>
        <w:t>一、投标函</w:t>
      </w:r>
    </w:p>
    <w:p w14:paraId="05052E69">
      <w:pPr>
        <w:spacing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巴音郭楞蒙古自治州政务服务和</w:t>
      </w:r>
      <w:r>
        <w:rPr>
          <w:rFonts w:hint="eastAsia" w:ascii="宋体" w:hAnsi="宋体"/>
          <w:color w:val="auto"/>
          <w:szCs w:val="21"/>
          <w:highlight w:val="none"/>
          <w:u w:val="single"/>
        </w:rPr>
        <w:t>公共资源交易中心</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rPr>
        <w:t xml:space="preserve">  </w:t>
      </w:r>
    </w:p>
    <w:p w14:paraId="78B0729B">
      <w:pPr>
        <w:ind w:firstLine="420" w:firstLineChars="200"/>
        <w:rPr>
          <w:rFonts w:ascii="宋体" w:hAnsi="宋体"/>
          <w:color w:val="auto"/>
          <w:szCs w:val="21"/>
          <w:highlight w:val="none"/>
        </w:rPr>
      </w:pPr>
      <w:bookmarkStart w:id="59" w:name="_Hlk73818812"/>
      <w:r>
        <w:rPr>
          <w:rFonts w:hint="eastAsia"/>
          <w:color w:val="auto"/>
          <w:szCs w:val="21"/>
          <w:highlight w:val="none"/>
        </w:rPr>
        <w:t>1、根据已收到贵单位的项目编号为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项目的招标文件，遵照《政府采购</w:t>
      </w:r>
      <w:r>
        <w:rPr>
          <w:rFonts w:hint="eastAsia"/>
          <w:color w:val="auto"/>
          <w:szCs w:val="21"/>
          <w:highlight w:val="none"/>
          <w:lang w:val="en-US" w:eastAsia="zh-CN"/>
        </w:rPr>
        <w:t>法</w:t>
      </w:r>
      <w:r>
        <w:rPr>
          <w:rFonts w:hint="eastAsia"/>
          <w:color w:val="auto"/>
          <w:szCs w:val="21"/>
          <w:highlight w:val="none"/>
        </w:rPr>
        <w:t>》和《政府采购</w:t>
      </w:r>
      <w:r>
        <w:rPr>
          <w:rFonts w:hint="eastAsia"/>
          <w:color w:val="auto"/>
          <w:szCs w:val="21"/>
          <w:highlight w:val="none"/>
          <w:lang w:val="en-US" w:eastAsia="zh-CN"/>
        </w:rPr>
        <w:t>法实施条例</w:t>
      </w:r>
      <w:r>
        <w:rPr>
          <w:rFonts w:hint="eastAsia"/>
          <w:color w:val="auto"/>
          <w:szCs w:val="21"/>
          <w:highlight w:val="none"/>
        </w:rPr>
        <w:t>》等有关规定，我单位经研究上述招标文件的专用条款及通用条款后，</w:t>
      </w:r>
      <w:bookmarkStart w:id="60" w:name="_Hlk72263588"/>
      <w:r>
        <w:rPr>
          <w:rFonts w:hint="eastAsia"/>
          <w:color w:val="auto"/>
          <w:szCs w:val="21"/>
          <w:highlight w:val="none"/>
        </w:rPr>
        <w:t>愿意按照招标文件要求承包上述项目并修补其任何缺陷。</w:t>
      </w:r>
      <w:bookmarkEnd w:id="60"/>
    </w:p>
    <w:p w14:paraId="5C362578">
      <w:pPr>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、投标价格见</w:t>
      </w:r>
      <w:r>
        <w:rPr>
          <w:rFonts w:hint="eastAsia"/>
          <w:color w:val="auto"/>
          <w:szCs w:val="21"/>
          <w:highlight w:val="none"/>
        </w:rPr>
        <w:t>投标书编制软件中《开标一览表》中填写的投标报价。</w:t>
      </w:r>
    </w:p>
    <w:p w14:paraId="6E524AF8">
      <w:pPr>
        <w:ind w:firstLine="420" w:firstLineChars="200"/>
        <w:rPr>
          <w:rFonts w:ascii="宋体" w:hAnsi="宋体"/>
          <w:color w:val="auto"/>
          <w:szCs w:val="21"/>
          <w:highlight w:val="none"/>
        </w:rPr>
      </w:pPr>
      <w:r>
        <w:rPr>
          <w:rFonts w:hint="eastAsia" w:ascii="宋体" w:hAnsi="宋体"/>
          <w:color w:val="auto"/>
          <w:szCs w:val="21"/>
          <w:highlight w:val="none"/>
        </w:rPr>
        <w:t>3、如果我单位中标，我单位将按照招标文件的要求提交履约担保。</w:t>
      </w:r>
    </w:p>
    <w:p w14:paraId="090CA469">
      <w:pPr>
        <w:ind w:firstLine="420" w:firstLineChars="200"/>
        <w:rPr>
          <w:rFonts w:ascii="宋体" w:hAnsi="宋体"/>
          <w:color w:val="auto"/>
          <w:szCs w:val="21"/>
          <w:highlight w:val="none"/>
        </w:rPr>
      </w:pPr>
      <w:r>
        <w:rPr>
          <w:rFonts w:hint="eastAsia" w:ascii="宋体" w:hAnsi="宋体"/>
          <w:color w:val="auto"/>
          <w:szCs w:val="21"/>
          <w:highlight w:val="none"/>
        </w:rPr>
        <w:t>4、我单位同意所递交的投标文件在“对通用条款的补充内容”中明确的投标有效期内有效，在此期间内我单位的投标有可能中标，我方将受此约束。</w:t>
      </w:r>
    </w:p>
    <w:p w14:paraId="415AA2DA">
      <w:pPr>
        <w:ind w:firstLine="420" w:firstLineChars="200"/>
        <w:rPr>
          <w:rFonts w:ascii="宋体" w:hAnsi="宋体"/>
          <w:color w:val="auto"/>
          <w:szCs w:val="21"/>
          <w:highlight w:val="none"/>
        </w:rPr>
      </w:pPr>
      <w:r>
        <w:rPr>
          <w:rFonts w:hint="eastAsia" w:ascii="宋体" w:hAnsi="宋体"/>
          <w:color w:val="auto"/>
          <w:szCs w:val="21"/>
          <w:highlight w:val="none"/>
        </w:rPr>
        <w:t>5、除非另外达成协议并生效，贵单位的中标通知书和本投标文件将构成合同的重要内容。</w:t>
      </w:r>
    </w:p>
    <w:p w14:paraId="069A9D86">
      <w:pPr>
        <w:ind w:left="525" w:leftChars="200" w:hanging="105" w:hangingChars="50"/>
        <w:rPr>
          <w:rFonts w:ascii="宋体" w:hAnsi="宋体"/>
          <w:color w:val="auto"/>
          <w:szCs w:val="21"/>
          <w:highlight w:val="none"/>
        </w:rPr>
      </w:pPr>
      <w:r>
        <w:rPr>
          <w:rFonts w:hint="eastAsia" w:ascii="宋体" w:hAnsi="宋体"/>
          <w:color w:val="auto"/>
          <w:szCs w:val="21"/>
          <w:highlight w:val="none"/>
        </w:rPr>
        <w:t>6、我单位理解贵单位将不受必须接受所收到的最低报价或其它任何投标文件的约束。</w:t>
      </w:r>
      <w:bookmarkEnd w:id="59"/>
    </w:p>
    <w:p w14:paraId="55D95E18">
      <w:pPr>
        <w:ind w:firstLine="420" w:firstLineChars="200"/>
        <w:rPr>
          <w:rFonts w:ascii="宋体" w:hAnsi="宋体"/>
          <w:color w:val="auto"/>
          <w:szCs w:val="21"/>
          <w:highlight w:val="none"/>
        </w:rPr>
      </w:pPr>
      <w:r>
        <w:rPr>
          <w:rFonts w:hint="eastAsia" w:ascii="宋体" w:hAnsi="宋体"/>
          <w:color w:val="auto"/>
          <w:szCs w:val="21"/>
          <w:highlight w:val="none"/>
        </w:rPr>
        <w:t>7.如我单位提交样品，且未在规定时间内取回样品的，视同放弃取回，同意</w:t>
      </w:r>
      <w:r>
        <w:rPr>
          <w:rFonts w:hint="eastAsia" w:ascii="宋体" w:hAnsi="宋体"/>
          <w:color w:val="auto"/>
          <w:szCs w:val="21"/>
          <w:highlight w:val="none"/>
          <w:lang w:val="en-US" w:eastAsia="zh-CN"/>
        </w:rPr>
        <w:t>巴州政务服务和公共资源交易中</w:t>
      </w:r>
      <w:r>
        <w:rPr>
          <w:rFonts w:hint="eastAsia" w:ascii="宋体" w:hAnsi="宋体"/>
          <w:color w:val="auto"/>
          <w:szCs w:val="21"/>
          <w:highlight w:val="none"/>
        </w:rPr>
        <w:t>心对我单位提交的样品进行清理。</w:t>
      </w:r>
    </w:p>
    <w:p w14:paraId="612D3554">
      <w:pPr>
        <w:ind w:firstLine="420" w:firstLineChars="200"/>
        <w:rPr>
          <w:color w:val="auto"/>
          <w:szCs w:val="21"/>
          <w:highlight w:val="none"/>
          <w:u w:val="singl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 xml:space="preserve">    单位地址：</w:t>
      </w:r>
      <w:r>
        <w:rPr>
          <w:rFonts w:hint="eastAsia"/>
          <w:color w:val="auto"/>
          <w:szCs w:val="21"/>
          <w:highlight w:val="none"/>
          <w:u w:val="single"/>
        </w:rPr>
        <w:t xml:space="preserve">               </w:t>
      </w:r>
    </w:p>
    <w:p w14:paraId="3B93A7C8">
      <w:pPr>
        <w:ind w:left="540" w:leftChars="257"/>
        <w:rPr>
          <w:color w:val="auto"/>
          <w:szCs w:val="21"/>
          <w:highlight w:val="none"/>
          <w:u w:val="single"/>
        </w:rPr>
      </w:pPr>
      <w:r>
        <w:rPr>
          <w:rFonts w:hint="eastAsia"/>
          <w:color w:val="auto"/>
          <w:szCs w:val="21"/>
          <w:highlight w:val="none"/>
        </w:rPr>
        <w:t>法定代表人（负责人）或其委托代理人：</w:t>
      </w:r>
      <w:r>
        <w:rPr>
          <w:rFonts w:hint="eastAsia"/>
          <w:color w:val="auto"/>
          <w:szCs w:val="21"/>
          <w:highlight w:val="none"/>
          <w:u w:val="single"/>
        </w:rPr>
        <w:t xml:space="preserve">                   </w:t>
      </w:r>
    </w:p>
    <w:p w14:paraId="481DA08B">
      <w:pPr>
        <w:ind w:left="540" w:leftChars="257"/>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电话：</w:t>
      </w:r>
      <w:r>
        <w:rPr>
          <w:rFonts w:hint="eastAsia"/>
          <w:color w:val="auto"/>
          <w:szCs w:val="21"/>
          <w:highlight w:val="none"/>
          <w:u w:val="single"/>
        </w:rPr>
        <w:t xml:space="preserve">          </w:t>
      </w:r>
      <w:r>
        <w:rPr>
          <w:rFonts w:hint="eastAsia"/>
          <w:color w:val="auto"/>
          <w:szCs w:val="21"/>
          <w:highlight w:val="none"/>
        </w:rPr>
        <w:t xml:space="preserve">  邮箱：</w:t>
      </w:r>
      <w:r>
        <w:rPr>
          <w:rFonts w:hint="eastAsia"/>
          <w:color w:val="auto"/>
          <w:szCs w:val="21"/>
          <w:highlight w:val="none"/>
          <w:u w:val="single"/>
        </w:rPr>
        <w:t xml:space="preserve">            </w:t>
      </w:r>
    </w:p>
    <w:p w14:paraId="0F537A74">
      <w:pPr>
        <w:ind w:left="540" w:leftChars="257"/>
        <w:rPr>
          <w:color w:val="auto"/>
          <w:szCs w:val="21"/>
          <w:highlight w:val="none"/>
        </w:rPr>
      </w:pPr>
      <w:r>
        <w:rPr>
          <w:rFonts w:hint="eastAsia"/>
          <w:color w:val="auto"/>
          <w:szCs w:val="21"/>
          <w:highlight w:val="none"/>
        </w:rPr>
        <w:t>开户银行名称：</w:t>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rPr>
        <w:tab/>
      </w:r>
      <w:r>
        <w:rPr>
          <w:rFonts w:hint="eastAsia"/>
          <w:color w:val="auto"/>
          <w:szCs w:val="21"/>
          <w:highlight w:val="none"/>
        </w:rPr>
        <w:t>开户银行账号：</w:t>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p>
    <w:p w14:paraId="5127FF4D">
      <w:pPr>
        <w:ind w:left="540" w:leftChars="257"/>
        <w:rPr>
          <w:color w:val="auto"/>
          <w:szCs w:val="21"/>
          <w:highlight w:val="none"/>
        </w:rPr>
      </w:pPr>
      <w:r>
        <w:rPr>
          <w:rFonts w:hint="eastAsia"/>
          <w:color w:val="auto"/>
          <w:szCs w:val="21"/>
          <w:highlight w:val="none"/>
        </w:rPr>
        <w:t>开户银行地址：</w:t>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rPr>
        <w:tab/>
      </w:r>
      <w:r>
        <w:rPr>
          <w:rFonts w:hint="eastAsia"/>
          <w:color w:val="auto"/>
          <w:szCs w:val="21"/>
          <w:highlight w:val="none"/>
        </w:rPr>
        <w:t>开户银行电话：</w:t>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r>
        <w:rPr>
          <w:rFonts w:hint="eastAsia"/>
          <w:color w:val="auto"/>
          <w:szCs w:val="21"/>
          <w:highlight w:val="none"/>
          <w:u w:val="single"/>
        </w:rPr>
        <w:tab/>
      </w:r>
    </w:p>
    <w:p w14:paraId="2C9F05C8">
      <w:pPr>
        <w:ind w:firstLine="616" w:firstLineChars="257"/>
        <w:rPr>
          <w:color w:val="auto"/>
          <w:sz w:val="24"/>
          <w:highlight w:val="none"/>
        </w:rPr>
      </w:pPr>
      <w:r>
        <w:rPr>
          <w:rFonts w:hint="eastAsia"/>
          <w:color w:val="auto"/>
          <w:sz w:val="24"/>
          <w:highlight w:val="none"/>
        </w:rPr>
        <w:t xml:space="preserve">                               </w:t>
      </w:r>
    </w:p>
    <w:p w14:paraId="0E63FE90">
      <w:pPr>
        <w:rPr>
          <w:rFonts w:hint="eastAsia" w:ascii="黑体" w:hAnsi="宋体" w:eastAsia="黑体"/>
          <w:color w:val="auto"/>
          <w:highlight w:val="none"/>
          <w:lang w:val="en-US" w:eastAsia="zh-CN"/>
        </w:rPr>
      </w:pPr>
      <w:r>
        <w:rPr>
          <w:rFonts w:hint="eastAsia" w:ascii="黑体" w:hAnsi="宋体" w:eastAsia="黑体"/>
          <w:color w:val="auto"/>
          <w:highlight w:val="none"/>
          <w:lang w:val="en-US" w:eastAsia="zh-CN"/>
        </w:rPr>
        <w:t xml:space="preserve"> </w:t>
      </w:r>
    </w:p>
    <w:p w14:paraId="3A05F32B">
      <w:pPr>
        <w:jc w:val="center"/>
        <w:rPr>
          <w:color w:val="auto"/>
          <w:highlight w:val="none"/>
        </w:rPr>
      </w:pPr>
      <w:r>
        <w:rPr>
          <w:rFonts w:hint="eastAsia"/>
          <w:color w:val="auto"/>
          <w:highlight w:val="none"/>
          <w:lang w:val="en-US" w:eastAsia="zh-CN"/>
        </w:rPr>
        <w:t xml:space="preserve">                                                     </w:t>
      </w:r>
      <w:r>
        <w:rPr>
          <w:color w:val="auto"/>
          <w:highlight w:val="none"/>
        </w:rPr>
        <w:t>投标人</w:t>
      </w:r>
      <w:r>
        <w:rPr>
          <w:rFonts w:hint="eastAsia"/>
          <w:color w:val="auto"/>
          <w:highlight w:val="none"/>
          <w:lang w:eastAsia="zh-CN"/>
        </w:rPr>
        <w:t>（</w:t>
      </w:r>
      <w:r>
        <w:rPr>
          <w:color w:val="auto"/>
          <w:highlight w:val="none"/>
        </w:rPr>
        <w:t>签章</w:t>
      </w:r>
      <w:r>
        <w:rPr>
          <w:rFonts w:hint="eastAsia"/>
          <w:color w:val="auto"/>
          <w:highlight w:val="none"/>
          <w:lang w:eastAsia="zh-CN"/>
        </w:rPr>
        <w:t>）</w:t>
      </w:r>
      <w:r>
        <w:rPr>
          <w:color w:val="auto"/>
          <w:highlight w:val="none"/>
        </w:rPr>
        <w:t>：_________________</w:t>
      </w:r>
    </w:p>
    <w:p w14:paraId="3AD3E11B">
      <w:pPr>
        <w:jc w:val="center"/>
        <w:rPr>
          <w:rFonts w:hint="eastAsia"/>
          <w:color w:val="auto"/>
          <w:highlight w:val="none"/>
          <w:lang w:val="en-US" w:eastAsia="zh-CN"/>
        </w:rPr>
      </w:pPr>
      <w:r>
        <w:rPr>
          <w:rFonts w:hint="eastAsia"/>
          <w:color w:val="auto"/>
          <w:highlight w:val="none"/>
          <w:lang w:val="en-US" w:eastAsia="zh-CN"/>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color w:val="auto"/>
          <w:sz w:val="24"/>
          <w:highlight w:val="none"/>
        </w:rPr>
        <w:t xml:space="preserve"> </w:t>
      </w:r>
    </w:p>
    <w:p w14:paraId="366379D0">
      <w:pPr>
        <w:pStyle w:val="2"/>
        <w:rPr>
          <w:rFonts w:hint="eastAsia"/>
          <w:color w:val="auto"/>
          <w:highlight w:val="none"/>
          <w:lang w:val="en-US" w:eastAsia="zh-CN"/>
        </w:rPr>
      </w:pPr>
    </w:p>
    <w:p w14:paraId="0D3E0251">
      <w:pPr>
        <w:rPr>
          <w:rFonts w:ascii="黑体" w:hAnsi="宋体" w:eastAsia="黑体"/>
          <w:color w:val="auto"/>
          <w:highlight w:val="none"/>
        </w:rPr>
      </w:pPr>
    </w:p>
    <w:p w14:paraId="43B23F6C">
      <w:pPr>
        <w:pStyle w:val="5"/>
        <w:jc w:val="center"/>
        <w:rPr>
          <w:rFonts w:ascii="黑体" w:eastAsia="黑体"/>
          <w:b/>
          <w:bCs w:val="0"/>
          <w:color w:val="auto"/>
          <w:kern w:val="0"/>
          <w:sz w:val="24"/>
          <w:highlight w:val="none"/>
        </w:rPr>
      </w:pPr>
      <w:r>
        <w:rPr>
          <w:rFonts w:hint="eastAsia" w:ascii="黑体" w:eastAsia="黑体"/>
          <w:b/>
          <w:bCs w:val="0"/>
          <w:color w:val="auto"/>
          <w:kern w:val="0"/>
          <w:sz w:val="24"/>
          <w:highlight w:val="none"/>
        </w:rPr>
        <w:t>二、政府采购投标及履约承诺函</w:t>
      </w:r>
    </w:p>
    <w:p w14:paraId="4268501C">
      <w:pPr>
        <w:rPr>
          <w:rFonts w:ascii="宋体" w:hAnsi="宋体"/>
          <w:color w:val="auto"/>
          <w:sz w:val="24"/>
          <w:highlight w:val="none"/>
        </w:rPr>
      </w:pPr>
    </w:p>
    <w:p w14:paraId="6220596D">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巴州政务服务和</w:t>
      </w:r>
      <w:r>
        <w:rPr>
          <w:rFonts w:hint="eastAsia" w:ascii="宋体" w:hAnsi="宋体"/>
          <w:color w:val="auto"/>
          <w:szCs w:val="21"/>
          <w:highlight w:val="none"/>
          <w:u w:val="single"/>
        </w:rPr>
        <w:t>公共资源交易中心</w:t>
      </w:r>
    </w:p>
    <w:p w14:paraId="0596AA36">
      <w:pPr>
        <w:ind w:right="-815" w:firstLine="420" w:firstLineChars="200"/>
        <w:rPr>
          <w:rFonts w:ascii="宋体" w:hAnsi="宋体"/>
          <w:color w:val="auto"/>
          <w:szCs w:val="21"/>
          <w:highlight w:val="none"/>
        </w:rPr>
      </w:pPr>
      <w:r>
        <w:rPr>
          <w:rFonts w:hint="eastAsia" w:ascii="宋体" w:hAnsi="宋体"/>
          <w:color w:val="auto"/>
          <w:szCs w:val="21"/>
          <w:highlight w:val="none"/>
        </w:rPr>
        <w:t>我单位承诺：</w:t>
      </w:r>
    </w:p>
    <w:p w14:paraId="3092DEE9">
      <w:pPr>
        <w:ind w:firstLine="420" w:firstLineChars="200"/>
        <w:rPr>
          <w:rFonts w:ascii="宋体" w:hAnsi="宋体"/>
          <w:color w:val="auto"/>
          <w:szCs w:val="21"/>
          <w:highlight w:val="none"/>
        </w:rPr>
      </w:pPr>
      <w:r>
        <w:rPr>
          <w:rFonts w:hint="eastAsia" w:ascii="宋体" w:hAnsi="宋体"/>
          <w:color w:val="auto"/>
          <w:szCs w:val="21"/>
          <w:highlight w:val="none"/>
        </w:rPr>
        <w:t>1.我单位参与本项目所投标（响应）的货物、工程或服务，不存在侵犯知识产权的情况；已知悉并同意中标（成交）结果信息公示（公开）的内容。</w:t>
      </w:r>
    </w:p>
    <w:p w14:paraId="59173EFD">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2.我单位参与本项目投标前三年内，在经营活动中没有因违法经营受到刑事处罚或者责令停产停业、吊销许可证或者执照、较大数额罚款等行政处罚。</w:t>
      </w:r>
    </w:p>
    <w:p w14:paraId="7B46D86B">
      <w:pPr>
        <w:ind w:firstLine="420" w:firstLineChars="200"/>
        <w:rPr>
          <w:rFonts w:ascii="宋体" w:hAnsi="宋体"/>
          <w:color w:val="auto"/>
          <w:szCs w:val="21"/>
          <w:highlight w:val="none"/>
        </w:rPr>
      </w:pPr>
      <w:r>
        <w:rPr>
          <w:rFonts w:hint="eastAsia" w:ascii="宋体" w:hAnsi="宋体"/>
          <w:color w:val="auto"/>
          <w:szCs w:val="21"/>
          <w:highlight w:val="none"/>
        </w:rPr>
        <w:t>3.我单位参与本项目</w:t>
      </w:r>
      <w:r>
        <w:rPr>
          <w:rFonts w:hint="eastAsia"/>
          <w:color w:val="auto"/>
          <w:highlight w:val="none"/>
        </w:rPr>
        <w:t>政府采购活动时不存在被有关部门禁止参与政府采购活动且在有效期内的情况。</w:t>
      </w:r>
    </w:p>
    <w:p w14:paraId="6970F8BA">
      <w:pPr>
        <w:ind w:firstLine="420" w:firstLineChars="200"/>
        <w:rPr>
          <w:rFonts w:ascii="宋体" w:hAnsi="宋体"/>
          <w:color w:val="auto"/>
          <w:szCs w:val="21"/>
          <w:highlight w:val="none"/>
        </w:rPr>
      </w:pPr>
      <w:r>
        <w:rPr>
          <w:rFonts w:hint="eastAsia" w:ascii="宋体" w:hAnsi="宋体"/>
          <w:color w:val="auto"/>
          <w:szCs w:val="21"/>
          <w:highlight w:val="none"/>
        </w:rPr>
        <w:t>4.我单位具备《中华人民共和国政府采购法》第二十二条第一款规定的六项条件。</w:t>
      </w:r>
    </w:p>
    <w:p w14:paraId="41201FD3">
      <w:pPr>
        <w:ind w:firstLine="420" w:firstLineChars="200"/>
        <w:rPr>
          <w:rFonts w:ascii="宋体" w:hAnsi="宋体"/>
          <w:color w:val="auto"/>
          <w:szCs w:val="21"/>
          <w:highlight w:val="none"/>
        </w:rPr>
      </w:pPr>
      <w:r>
        <w:rPr>
          <w:rFonts w:hint="eastAsia" w:ascii="宋体" w:hAnsi="宋体"/>
          <w:color w:val="auto"/>
          <w:szCs w:val="21"/>
          <w:highlight w:val="none"/>
        </w:rPr>
        <w:t>5.我单位</w:t>
      </w:r>
      <w:r>
        <w:rPr>
          <w:rFonts w:hint="eastAsia"/>
          <w:color w:val="auto"/>
          <w:highlight w:val="none"/>
        </w:rPr>
        <w:t>未被列入失信被执行人、重大税收违法案件当事人名单、政府采购严重违法失信行为记录名单</w:t>
      </w:r>
    </w:p>
    <w:p w14:paraId="4C0248F0">
      <w:pPr>
        <w:ind w:firstLine="420" w:firstLineChars="200"/>
        <w:rPr>
          <w:rFonts w:ascii="宋体" w:hAnsi="宋体"/>
          <w:color w:val="auto"/>
          <w:szCs w:val="21"/>
          <w:highlight w:val="none"/>
        </w:rPr>
      </w:pPr>
      <w:r>
        <w:rPr>
          <w:rFonts w:hint="eastAsia" w:ascii="宋体" w:hAnsi="宋体"/>
          <w:color w:val="auto"/>
          <w:szCs w:val="21"/>
          <w:highlight w:val="none"/>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1DC50BD">
      <w:pPr>
        <w:ind w:firstLine="420" w:firstLineChars="200"/>
        <w:rPr>
          <w:rFonts w:ascii="宋体" w:hAnsi="宋体"/>
          <w:color w:val="auto"/>
          <w:szCs w:val="21"/>
          <w:highlight w:val="none"/>
        </w:rPr>
      </w:pPr>
      <w:r>
        <w:rPr>
          <w:rFonts w:hint="eastAsia" w:ascii="宋体" w:hAnsi="宋体"/>
          <w:color w:val="auto"/>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29DC36A">
      <w:pPr>
        <w:ind w:firstLine="420" w:firstLineChars="200"/>
        <w:rPr>
          <w:rFonts w:ascii="宋体" w:hAnsi="宋体"/>
          <w:color w:val="auto"/>
          <w:szCs w:val="21"/>
          <w:highlight w:val="none"/>
        </w:rPr>
      </w:pPr>
      <w:r>
        <w:rPr>
          <w:rFonts w:hint="eastAsia" w:ascii="宋体" w:hAnsi="宋体"/>
          <w:color w:val="auto"/>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EFB9C45">
      <w:pPr>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041D32">
      <w:pPr>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.我单位承诺中标后项目不转包，未经采购人同意不进行分包。</w:t>
      </w:r>
    </w:p>
    <w:p w14:paraId="733EE79B">
      <w:pPr>
        <w:ind w:firstLine="420" w:firstLineChars="200"/>
        <w:rPr>
          <w:rFonts w:ascii="宋体" w:hAnsi="宋体"/>
          <w:color w:val="auto"/>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D7B5B0">
      <w:pPr>
        <w:ind w:firstLine="420" w:firstLineChars="200"/>
        <w:rPr>
          <w:rFonts w:ascii="宋体" w:hAnsi="宋体"/>
          <w:color w:val="auto"/>
          <w:highlight w:val="none"/>
        </w:rPr>
      </w:pPr>
      <w:r>
        <w:rPr>
          <w:rFonts w:ascii="宋体" w:hAnsi="宋体"/>
          <w:color w:val="auto"/>
          <w:highlight w:val="none"/>
        </w:rPr>
        <w:t>11.</w:t>
      </w:r>
      <w:r>
        <w:rPr>
          <w:rFonts w:hint="eastAsia" w:ascii="宋体" w:hAnsi="宋体"/>
          <w:color w:val="auto"/>
          <w:highlight w:val="none"/>
        </w:rPr>
        <w:t>我单位保证，若所投货物涉及</w:t>
      </w:r>
      <w:r>
        <w:rPr>
          <w:rFonts w:ascii="宋体" w:hAnsi="宋体"/>
          <w:color w:val="auto"/>
          <w:highlight w:val="none"/>
        </w:rPr>
        <w:t>《</w:t>
      </w:r>
      <w:r>
        <w:rPr>
          <w:rFonts w:hint="eastAsia" w:ascii="宋体" w:hAnsi="宋体"/>
          <w:color w:val="auto"/>
          <w:highlight w:val="none"/>
        </w:rPr>
        <w:t>财政部生态环境部关于印发节能产品政府采购品目清单的通知》（财库〔20</w:t>
      </w:r>
      <w:r>
        <w:rPr>
          <w:rFonts w:ascii="宋体" w:hAnsi="宋体"/>
          <w:color w:val="auto"/>
          <w:highlight w:val="none"/>
        </w:rPr>
        <w:t>19</w:t>
      </w:r>
      <w:r>
        <w:rPr>
          <w:rFonts w:hint="eastAsia" w:ascii="宋体" w:hAnsi="宋体"/>
          <w:color w:val="auto"/>
          <w:highlight w:val="none"/>
        </w:rPr>
        <w:t>〕</w:t>
      </w:r>
      <w:r>
        <w:rPr>
          <w:rFonts w:ascii="宋体" w:hAnsi="宋体"/>
          <w:color w:val="auto"/>
          <w:highlight w:val="none"/>
        </w:rPr>
        <w:t>19</w:t>
      </w:r>
      <w:r>
        <w:rPr>
          <w:rFonts w:hint="eastAsia" w:ascii="宋体" w:hAnsi="宋体"/>
          <w:color w:val="auto"/>
          <w:highlight w:val="none"/>
        </w:rPr>
        <w:t>号）列明的政府采购强制产品，则所投该产品符合节能产品的认证要求。</w:t>
      </w:r>
    </w:p>
    <w:p w14:paraId="0A3E258F">
      <w:pPr>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DF01FD7">
      <w:pPr>
        <w:numPr>
          <w:ilvl w:val="0"/>
          <w:numId w:val="0"/>
        </w:numPr>
        <w:ind w:firstLine="420" w:firstLineChars="200"/>
        <w:rPr>
          <w:rFonts w:ascii="宋体" w:hAnsi="宋体"/>
          <w:color w:val="auto"/>
          <w:highlight w:val="none"/>
        </w:rPr>
      </w:pPr>
      <w:r>
        <w:rPr>
          <w:rFonts w:hint="eastAsia" w:ascii="宋体" w:hAnsi="宋体"/>
          <w:color w:val="auto"/>
          <w:highlight w:val="none"/>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3B70AB4">
      <w:pPr>
        <w:ind w:firstLine="420" w:firstLineChars="200"/>
        <w:rPr>
          <w:rFonts w:ascii="宋体" w:hAnsi="宋体"/>
          <w:color w:val="auto"/>
          <w:highlight w:val="none"/>
        </w:rPr>
      </w:pPr>
    </w:p>
    <w:p w14:paraId="4CC189E5">
      <w:pPr>
        <w:ind w:firstLine="420" w:firstLineChars="200"/>
        <w:rPr>
          <w:rFonts w:ascii="宋体" w:hAnsi="宋体"/>
          <w:color w:val="auto"/>
          <w:szCs w:val="21"/>
          <w:highlight w:val="none"/>
        </w:rPr>
      </w:pPr>
      <w:r>
        <w:rPr>
          <w:rFonts w:hint="eastAsia" w:ascii="宋体" w:hAnsi="宋体"/>
          <w:color w:val="auto"/>
          <w:szCs w:val="21"/>
          <w:highlight w:val="none"/>
        </w:rPr>
        <w:t>以上承诺，如有违反，愿依照国家相关法律法规处理，并承担由此给采购人带来的损失。</w:t>
      </w:r>
    </w:p>
    <w:p w14:paraId="4F3C192D">
      <w:pPr>
        <w:spacing w:before="60" w:beforeLines="25" w:after="60" w:afterLines="25"/>
        <w:ind w:firstLine="5460" w:firstLineChars="2600"/>
        <w:rPr>
          <w:rFonts w:ascii="宋体" w:hAnsi="宋体"/>
          <w:color w:val="auto"/>
          <w:szCs w:val="21"/>
          <w:highlight w:val="none"/>
        </w:rPr>
      </w:pPr>
      <w:r>
        <w:rPr>
          <w:rFonts w:hint="eastAsia" w:ascii="宋体" w:hAnsi="宋体"/>
          <w:color w:val="auto"/>
          <w:szCs w:val="21"/>
          <w:highlight w:val="none"/>
        </w:rPr>
        <w:t xml:space="preserve">                                    </w:t>
      </w:r>
    </w:p>
    <w:p w14:paraId="66EC363D">
      <w:pPr>
        <w:jc w:val="center"/>
        <w:rPr>
          <w:color w:val="auto"/>
          <w:highlight w:val="none"/>
        </w:rPr>
      </w:pPr>
      <w:r>
        <w:rPr>
          <w:rFonts w:hint="eastAsia"/>
          <w:color w:val="auto"/>
          <w:highlight w:val="none"/>
          <w:lang w:val="en-US" w:eastAsia="zh-CN"/>
        </w:rPr>
        <w:t xml:space="preserve">                                                     </w:t>
      </w:r>
      <w:r>
        <w:rPr>
          <w:color w:val="auto"/>
          <w:highlight w:val="none"/>
        </w:rPr>
        <w:t>投标人</w:t>
      </w:r>
      <w:r>
        <w:rPr>
          <w:rFonts w:hint="eastAsia"/>
          <w:color w:val="auto"/>
          <w:highlight w:val="none"/>
          <w:lang w:eastAsia="zh-CN"/>
        </w:rPr>
        <w:t>（</w:t>
      </w:r>
      <w:r>
        <w:rPr>
          <w:color w:val="auto"/>
          <w:highlight w:val="none"/>
        </w:rPr>
        <w:t>签章</w:t>
      </w:r>
      <w:r>
        <w:rPr>
          <w:rFonts w:hint="eastAsia"/>
          <w:color w:val="auto"/>
          <w:highlight w:val="none"/>
          <w:lang w:eastAsia="zh-CN"/>
        </w:rPr>
        <w:t>）</w:t>
      </w:r>
      <w:r>
        <w:rPr>
          <w:color w:val="auto"/>
          <w:highlight w:val="none"/>
        </w:rPr>
        <w:t>：_________________</w:t>
      </w:r>
    </w:p>
    <w:p w14:paraId="14F2CF54">
      <w:pPr>
        <w:jc w:val="center"/>
        <w:rPr>
          <w:rFonts w:hint="eastAsia"/>
          <w:color w:val="auto"/>
          <w:highlight w:val="none"/>
          <w:lang w:val="en-US" w:eastAsia="zh-CN"/>
        </w:rPr>
      </w:pPr>
      <w:r>
        <w:rPr>
          <w:rFonts w:hint="eastAsia"/>
          <w:color w:val="auto"/>
          <w:highlight w:val="none"/>
          <w:lang w:val="en-US" w:eastAsia="zh-CN"/>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color w:val="auto"/>
          <w:sz w:val="24"/>
          <w:highlight w:val="none"/>
        </w:rPr>
        <w:t xml:space="preserve"> </w:t>
      </w:r>
    </w:p>
    <w:p w14:paraId="2B1D9EED">
      <w:pPr>
        <w:ind w:firstLine="645"/>
        <w:rPr>
          <w:rFonts w:ascii="宋体" w:hAnsi="宋体"/>
          <w:color w:val="auto"/>
          <w:szCs w:val="21"/>
          <w:highlight w:val="none"/>
        </w:rPr>
      </w:pPr>
    </w:p>
    <w:p w14:paraId="079E90DB">
      <w:pPr>
        <w:jc w:val="both"/>
        <w:rPr>
          <w:rFonts w:hint="eastAsia" w:ascii="宋体" w:hAnsi="宋体" w:eastAsia="宋体" w:cs="Times New Roman"/>
          <w:color w:val="auto"/>
          <w:szCs w:val="21"/>
          <w:highlight w:val="none"/>
          <w:lang w:val="en-US" w:eastAsia="zh-CN"/>
        </w:rPr>
      </w:pPr>
    </w:p>
    <w:p w14:paraId="4C6D2B70">
      <w:pPr>
        <w:ind w:firstLine="420" w:firstLineChars="200"/>
        <w:jc w:val="center"/>
        <w:rPr>
          <w:rFonts w:hint="eastAsia" w:ascii="宋体" w:hAnsi="宋体" w:eastAsia="宋体" w:cs="Times New Roman"/>
          <w:color w:val="auto"/>
          <w:szCs w:val="21"/>
          <w:highlight w:val="none"/>
          <w:lang w:val="en-US" w:eastAsia="zh-CN"/>
        </w:rPr>
      </w:pPr>
    </w:p>
    <w:p w14:paraId="4F17CFC4">
      <w:pPr>
        <w:ind w:firstLine="420" w:firstLineChars="200"/>
        <w:jc w:val="center"/>
        <w:rPr>
          <w:rFonts w:hint="eastAsia" w:ascii="宋体" w:hAnsi="宋体" w:eastAsia="宋体" w:cs="Times New Roman"/>
          <w:color w:val="auto"/>
          <w:szCs w:val="21"/>
          <w:highlight w:val="none"/>
          <w:lang w:val="en-US" w:eastAsia="zh-CN"/>
        </w:rPr>
      </w:pPr>
    </w:p>
    <w:p w14:paraId="63A4E777">
      <w:pPr>
        <w:ind w:firstLine="420" w:firstLineChars="200"/>
        <w:jc w:val="center"/>
        <w:rPr>
          <w:rFonts w:hint="eastAsia" w:ascii="宋体" w:hAnsi="宋体" w:eastAsia="宋体" w:cs="Times New Roman"/>
          <w:color w:val="auto"/>
          <w:szCs w:val="21"/>
          <w:highlight w:val="none"/>
          <w:lang w:val="en-US" w:eastAsia="zh-CN"/>
        </w:rPr>
      </w:pPr>
    </w:p>
    <w:p w14:paraId="6B6CAFCD">
      <w:pPr>
        <w:ind w:firstLine="482" w:firstLineChars="200"/>
        <w:jc w:val="center"/>
        <w:rPr>
          <w:rFonts w:hint="eastAsia" w:ascii="黑体" w:hAnsi="Times New Roman" w:eastAsia="黑体" w:cs="Times New Roman"/>
          <w:b/>
          <w:bCs w:val="0"/>
          <w:color w:val="auto"/>
          <w:kern w:val="0"/>
          <w:sz w:val="24"/>
          <w:szCs w:val="32"/>
          <w:highlight w:val="none"/>
          <w:lang w:val="en-US" w:eastAsia="zh-CN" w:bidi="ar-SA"/>
        </w:rPr>
      </w:pPr>
      <w:r>
        <w:rPr>
          <w:rFonts w:hint="eastAsia" w:ascii="黑体" w:hAnsi="Times New Roman" w:eastAsia="黑体" w:cs="Times New Roman"/>
          <w:b/>
          <w:bCs w:val="0"/>
          <w:color w:val="auto"/>
          <w:kern w:val="0"/>
          <w:sz w:val="24"/>
          <w:szCs w:val="32"/>
          <w:highlight w:val="none"/>
          <w:lang w:val="en-US" w:eastAsia="zh-CN" w:bidi="ar-SA"/>
        </w:rPr>
        <w:t>三、投标单位反商业贿赂承诺书</w:t>
      </w:r>
    </w:p>
    <w:p w14:paraId="1B2394E2">
      <w:pPr>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w:t>
      </w:r>
    </w:p>
    <w:p w14:paraId="5AA7EDF8">
      <w:pPr>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我公司承诺在</w:t>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u w:val="single"/>
          <w:lang w:val="en-US" w:eastAsia="zh-CN"/>
        </w:rPr>
        <w:tab/>
      </w:r>
      <w:r>
        <w:rPr>
          <w:rFonts w:hint="eastAsia" w:ascii="宋体" w:hAnsi="宋体" w:eastAsia="宋体" w:cs="Times New Roman"/>
          <w:color w:val="auto"/>
          <w:highlight w:val="none"/>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23C323C">
      <w:pPr>
        <w:ind w:firstLine="420" w:firstLineChars="200"/>
        <w:rPr>
          <w:rFonts w:hint="eastAsia" w:ascii="宋体" w:hAnsi="宋体" w:eastAsia="宋体" w:cs="Times New Roman"/>
          <w:color w:val="auto"/>
          <w:highlight w:val="none"/>
        </w:rPr>
      </w:pPr>
    </w:p>
    <w:p w14:paraId="66E2E33F">
      <w:pPr>
        <w:ind w:firstLine="420" w:firstLineChars="200"/>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投标供应商名称：  （盖章）</w:t>
      </w:r>
    </w:p>
    <w:p w14:paraId="46E474BE">
      <w:pPr>
        <w:ind w:firstLine="420" w:firstLineChars="200"/>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公司法定代表人：  （签字）</w:t>
      </w:r>
    </w:p>
    <w:p w14:paraId="50E5E83C">
      <w:pPr>
        <w:ind w:firstLine="420" w:firstLineChars="200"/>
        <w:jc w:val="right"/>
        <w:rPr>
          <w:rFonts w:hint="eastAsia"/>
          <w:color w:val="auto"/>
          <w:highlight w:val="none"/>
          <w:lang w:val="en-US" w:eastAsia="zh-CN"/>
        </w:rPr>
      </w:pPr>
      <w:r>
        <w:rPr>
          <w:rFonts w:hint="eastAsia" w:ascii="宋体" w:hAnsi="宋体" w:eastAsia="宋体" w:cs="Times New Roman"/>
          <w:color w:val="auto"/>
          <w:highlight w:val="none"/>
        </w:rPr>
        <w:t>委托代理人：      （签字）</w:t>
      </w:r>
    </w:p>
    <w:p w14:paraId="47B000ED">
      <w:pPr>
        <w:ind w:firstLine="482" w:firstLineChars="200"/>
        <w:jc w:val="center"/>
        <w:rPr>
          <w:rFonts w:hint="eastAsia" w:ascii="黑体" w:hAnsi="Times New Roman" w:eastAsia="黑体" w:cs="Times New Roman"/>
          <w:b/>
          <w:bCs w:val="0"/>
          <w:color w:val="auto"/>
          <w:kern w:val="0"/>
          <w:sz w:val="24"/>
          <w:szCs w:val="32"/>
          <w:highlight w:val="none"/>
          <w:lang w:val="en-US" w:eastAsia="zh-CN" w:bidi="ar-SA"/>
        </w:rPr>
      </w:pPr>
    </w:p>
    <w:p w14:paraId="20AB5BAB">
      <w:pPr>
        <w:ind w:firstLine="482" w:firstLineChars="200"/>
        <w:jc w:val="center"/>
        <w:rPr>
          <w:rFonts w:hint="eastAsia" w:ascii="黑体" w:hAnsi="Times New Roman" w:eastAsia="黑体" w:cs="Times New Roman"/>
          <w:b/>
          <w:bCs w:val="0"/>
          <w:color w:val="auto"/>
          <w:kern w:val="0"/>
          <w:sz w:val="24"/>
          <w:szCs w:val="32"/>
          <w:highlight w:val="none"/>
          <w:lang w:val="en-US" w:eastAsia="zh-CN" w:bidi="ar-SA"/>
        </w:rPr>
      </w:pPr>
      <w:r>
        <w:rPr>
          <w:rFonts w:hint="eastAsia" w:ascii="黑体" w:hAnsi="Times New Roman" w:eastAsia="黑体" w:cs="Times New Roman"/>
          <w:b/>
          <w:bCs w:val="0"/>
          <w:color w:val="auto"/>
          <w:kern w:val="0"/>
          <w:sz w:val="24"/>
          <w:szCs w:val="32"/>
          <w:highlight w:val="none"/>
          <w:lang w:val="en-US" w:eastAsia="zh-CN" w:bidi="ar-SA"/>
        </w:rPr>
        <w:t>四、具备履行合同所必需的设备和专业技术能力的书面声明</w:t>
      </w:r>
    </w:p>
    <w:p w14:paraId="09E123C7">
      <w:pPr>
        <w:ind w:firstLine="420" w:firstLineChars="200"/>
        <w:rPr>
          <w:rFonts w:hint="eastAsia" w:ascii="宋体" w:hAnsi="宋体" w:eastAsia="宋体" w:cs="Times New Roman"/>
          <w:color w:val="auto"/>
          <w:szCs w:val="21"/>
          <w:highlight w:val="none"/>
        </w:rPr>
      </w:pPr>
    </w:p>
    <w:p w14:paraId="134895C7">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我单位郑重声明：我单位具备履行本项采购合同所必需的设备和专业技术能力，为履行本项采购合同我公司具备如下主要设备和主要专业技术能力：</w:t>
      </w:r>
    </w:p>
    <w:p w14:paraId="11B0ECA6">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主要设备</w:t>
      </w:r>
      <w:r>
        <w:rPr>
          <w:rFonts w:hint="eastAsia" w:ascii="宋体" w:hAnsi="宋体" w:eastAsia="宋体" w:cs="Times New Roman"/>
          <w:color w:val="auto"/>
          <w:szCs w:val="21"/>
          <w:highlight w:val="none"/>
          <w:lang w:val="en-US" w:eastAsia="zh-CN"/>
        </w:rPr>
        <w:t>有：</w:t>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 xml:space="preserve">                                                    </w:t>
      </w:r>
    </w:p>
    <w:p w14:paraId="02FE97E6">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主要专业技术能力有：</w:t>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u w:val="single"/>
          <w:lang w:val="en-US" w:eastAsia="zh-CN"/>
        </w:rPr>
        <w:tab/>
      </w:r>
      <w:r>
        <w:rPr>
          <w:rFonts w:hint="eastAsia" w:ascii="宋体" w:hAnsi="宋体" w:eastAsia="宋体" w:cs="Times New Roman"/>
          <w:color w:val="auto"/>
          <w:szCs w:val="21"/>
          <w:highlight w:val="none"/>
        </w:rPr>
        <w:t xml:space="preserve">                                           </w:t>
      </w:r>
    </w:p>
    <w:p w14:paraId="0AAE94AB">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p w14:paraId="4E5B71EF">
      <w:pPr>
        <w:ind w:firstLine="420" w:firstLineChars="200"/>
        <w:rPr>
          <w:rFonts w:hint="eastAsia" w:ascii="宋体" w:hAnsi="宋体" w:eastAsia="宋体" w:cs="Times New Roman"/>
          <w:color w:val="auto"/>
          <w:szCs w:val="21"/>
          <w:highlight w:val="none"/>
        </w:rPr>
      </w:pPr>
    </w:p>
    <w:p w14:paraId="6E5087BB">
      <w:pPr>
        <w:ind w:firstLine="420" w:firstLineChars="200"/>
        <w:rPr>
          <w:rFonts w:hint="eastAsia" w:ascii="宋体" w:hAnsi="宋体" w:eastAsia="宋体" w:cs="Times New Roman"/>
          <w:color w:val="auto"/>
          <w:szCs w:val="21"/>
          <w:highlight w:val="none"/>
        </w:rPr>
      </w:pPr>
    </w:p>
    <w:p w14:paraId="28B4D86E">
      <w:pPr>
        <w:jc w:val="center"/>
        <w:rPr>
          <w:rFonts w:hint="default" w:eastAsia="宋体"/>
          <w:color w:val="auto"/>
          <w:highlight w:val="none"/>
          <w:lang w:val="en-US" w:eastAsia="zh-CN"/>
        </w:rPr>
      </w:pPr>
      <w:r>
        <w:rPr>
          <w:rFonts w:hint="eastAsia"/>
          <w:color w:val="auto"/>
          <w:highlight w:val="none"/>
          <w:lang w:val="en-US" w:eastAsia="zh-CN"/>
        </w:rPr>
        <w:t xml:space="preserve">                                                </w:t>
      </w:r>
      <w:r>
        <w:rPr>
          <w:color w:val="auto"/>
          <w:highlight w:val="none"/>
        </w:rPr>
        <w:t>投标人</w:t>
      </w:r>
      <w:r>
        <w:rPr>
          <w:rFonts w:hint="eastAsia"/>
          <w:color w:val="auto"/>
          <w:highlight w:val="none"/>
          <w:lang w:eastAsia="zh-CN"/>
        </w:rPr>
        <w:t>（</w:t>
      </w:r>
      <w:r>
        <w:rPr>
          <w:color w:val="auto"/>
          <w:highlight w:val="none"/>
        </w:rPr>
        <w:t>签章</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ab/>
      </w:r>
      <w:r>
        <w:rPr>
          <w:rFonts w:hint="eastAsia"/>
          <w:color w:val="auto"/>
          <w:highlight w:val="none"/>
          <w:lang w:val="en-US" w:eastAsia="zh-CN"/>
        </w:rPr>
        <w:t xml:space="preserve">  </w:t>
      </w:r>
    </w:p>
    <w:p w14:paraId="744BAE52">
      <w:pPr>
        <w:jc w:val="center"/>
        <w:rPr>
          <w:rFonts w:hint="eastAsia" w:ascii="黑体" w:hAnsi="Times New Roman" w:eastAsia="黑体" w:cs="Times New Roman"/>
          <w:b/>
          <w:bCs w:val="0"/>
          <w:color w:val="auto"/>
          <w:kern w:val="0"/>
          <w:sz w:val="24"/>
          <w:szCs w:val="32"/>
          <w:highlight w:val="none"/>
          <w:lang w:val="en-US" w:eastAsia="zh-CN" w:bidi="ar-SA"/>
        </w:rPr>
      </w:pPr>
      <w:r>
        <w:rPr>
          <w:rFonts w:hint="eastAsia"/>
          <w:color w:val="auto"/>
          <w:highlight w:val="none"/>
          <w:lang w:val="en-US" w:eastAsia="zh-CN"/>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color w:val="auto"/>
          <w:sz w:val="24"/>
          <w:highlight w:val="none"/>
        </w:rPr>
        <w:t xml:space="preserve"> </w:t>
      </w:r>
    </w:p>
    <w:p w14:paraId="6C3DB8FF">
      <w:pPr>
        <w:pStyle w:val="5"/>
        <w:spacing w:before="120" w:after="120"/>
        <w:jc w:val="center"/>
        <w:rPr>
          <w:rFonts w:hint="eastAsia" w:ascii="黑体" w:hAnsi="Times New Roman" w:eastAsia="黑体" w:cs="Times New Roman"/>
          <w:b/>
          <w:bCs w:val="0"/>
          <w:color w:val="auto"/>
          <w:kern w:val="0"/>
          <w:sz w:val="24"/>
          <w:szCs w:val="32"/>
          <w:highlight w:val="none"/>
          <w:lang w:val="en-US" w:eastAsia="zh-CN" w:bidi="ar-SA"/>
        </w:rPr>
      </w:pPr>
    </w:p>
    <w:p w14:paraId="77162DB7">
      <w:pPr>
        <w:pStyle w:val="5"/>
        <w:spacing w:before="120" w:after="120"/>
        <w:jc w:val="center"/>
        <w:rPr>
          <w:rFonts w:hint="eastAsia" w:ascii="黑体" w:hAnsi="Times New Roman" w:eastAsia="黑体" w:cs="Times New Roman"/>
          <w:b/>
          <w:bCs w:val="0"/>
          <w:color w:val="auto"/>
          <w:kern w:val="0"/>
          <w:sz w:val="24"/>
          <w:szCs w:val="32"/>
          <w:highlight w:val="none"/>
          <w:lang w:val="en-US" w:eastAsia="zh-CN" w:bidi="ar-SA"/>
        </w:rPr>
      </w:pPr>
    </w:p>
    <w:p w14:paraId="20B34103">
      <w:pPr>
        <w:pStyle w:val="5"/>
        <w:spacing w:before="120" w:after="120"/>
        <w:jc w:val="center"/>
        <w:rPr>
          <w:rFonts w:hint="eastAsia" w:ascii="黑体" w:hAnsi="Times New Roman" w:eastAsia="黑体" w:cs="Times New Roman"/>
          <w:b/>
          <w:bCs w:val="0"/>
          <w:color w:val="auto"/>
          <w:kern w:val="0"/>
          <w:sz w:val="24"/>
          <w:szCs w:val="32"/>
          <w:highlight w:val="none"/>
          <w:lang w:val="en-US" w:eastAsia="zh-CN" w:bidi="ar-SA"/>
        </w:rPr>
      </w:pPr>
      <w:r>
        <w:rPr>
          <w:rFonts w:hint="eastAsia" w:ascii="黑体" w:hAnsi="Times New Roman" w:eastAsia="黑体" w:cs="Times New Roman"/>
          <w:b/>
          <w:bCs w:val="0"/>
          <w:color w:val="auto"/>
          <w:kern w:val="0"/>
          <w:sz w:val="24"/>
          <w:szCs w:val="32"/>
          <w:highlight w:val="none"/>
          <w:lang w:val="en-US" w:eastAsia="zh-CN" w:bidi="ar-SA"/>
        </w:rPr>
        <w:t>五、投标人情况及资格证明文件</w:t>
      </w:r>
    </w:p>
    <w:p w14:paraId="52644771">
      <w:pPr>
        <w:keepNext w:val="0"/>
        <w:keepLines w:val="0"/>
        <w:pageBreakBefore w:val="0"/>
        <w:widowControl w:val="0"/>
        <w:tabs>
          <w:tab w:val="left" w:pos="900"/>
        </w:tabs>
        <w:kinsoku/>
        <w:wordWrap/>
        <w:overflowPunct/>
        <w:topLinePunct w:val="0"/>
        <w:autoSpaceDE/>
        <w:autoSpaceDN/>
        <w:bidi w:val="0"/>
        <w:snapToGrid/>
        <w:spacing w:line="360" w:lineRule="auto"/>
        <w:ind w:firstLine="420" w:firstLineChars="200"/>
        <w:jc w:val="both"/>
        <w:rPr>
          <w:rFonts w:hint="eastAsia" w:ascii="宋体" w:hAnsi="宋体" w:cs="宋体"/>
          <w:color w:val="auto"/>
          <w:highlight w:val="none"/>
        </w:rPr>
      </w:pPr>
    </w:p>
    <w:p w14:paraId="75655B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color w:val="auto"/>
          <w:highlight w:val="none"/>
        </w:rPr>
        <w:t>特别提示：投标人须按</w:t>
      </w:r>
      <w:r>
        <w:rPr>
          <w:rFonts w:hint="eastAsia"/>
          <w:color w:val="auto"/>
          <w:highlight w:val="none"/>
          <w:lang w:eastAsia="zh-CN"/>
        </w:rPr>
        <w:t>《</w:t>
      </w:r>
      <w:r>
        <w:rPr>
          <w:rFonts w:hint="eastAsia"/>
          <w:color w:val="auto"/>
          <w:highlight w:val="none"/>
          <w:lang w:val="en-US" w:eastAsia="zh-CN"/>
        </w:rPr>
        <w:t>资格性审查表</w:t>
      </w:r>
      <w:r>
        <w:rPr>
          <w:rFonts w:hint="eastAsia"/>
          <w:color w:val="auto"/>
          <w:highlight w:val="none"/>
          <w:lang w:eastAsia="zh-CN"/>
        </w:rPr>
        <w:t>》</w:t>
      </w:r>
      <w:r>
        <w:rPr>
          <w:rFonts w:hint="eastAsia"/>
          <w:color w:val="auto"/>
          <w:highlight w:val="none"/>
        </w:rPr>
        <w:t>提供相</w:t>
      </w:r>
      <w:r>
        <w:rPr>
          <w:rFonts w:hint="eastAsia"/>
          <w:color w:val="auto"/>
          <w:highlight w:val="none"/>
          <w:lang w:val="en-US" w:eastAsia="zh-CN"/>
        </w:rPr>
        <w:t>应</w:t>
      </w:r>
      <w:r>
        <w:rPr>
          <w:rFonts w:hint="eastAsia"/>
          <w:color w:val="auto"/>
          <w:highlight w:val="none"/>
        </w:rPr>
        <w:t>的资格证明资料，未提供或提供不完整、不符合要求的，将作投标无效处理。</w:t>
      </w:r>
    </w:p>
    <w:p w14:paraId="5006786B">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如：</w:t>
      </w:r>
    </w:p>
    <w:p w14:paraId="794E0E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具有独立承担民事责任的能力：在中华人民共和国境内注册的法人或其他组织或自然人， 投标（响应）时提交有效的营业执照（或事业法人登记证或身份证等相关证明） 副本复印件。分支机构</w:t>
      </w:r>
      <w:r>
        <w:rPr>
          <w:rFonts w:hint="eastAsia" w:ascii="Times New Roman" w:hAnsi="Times New Roman" w:eastAsia="宋体" w:cs="Times New Roman"/>
          <w:color w:val="auto"/>
          <w:highlight w:val="none"/>
          <w:lang w:val="en-US" w:eastAsia="zh-CN"/>
        </w:rPr>
        <w:t>投标</w:t>
      </w:r>
      <w:r>
        <w:rPr>
          <w:rFonts w:hint="eastAsia" w:ascii="Times New Roman" w:hAnsi="Times New Roman" w:eastAsia="宋体" w:cs="Times New Roman"/>
          <w:color w:val="auto"/>
          <w:highlight w:val="none"/>
        </w:rPr>
        <w:t>的</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仅限</w:t>
      </w:r>
      <w:r>
        <w:rPr>
          <w:rFonts w:hint="eastAsia" w:ascii="Times New Roman" w:hAnsi="Times New Roman" w:eastAsia="宋体" w:cs="Times New Roman"/>
          <w:color w:val="auto"/>
          <w:highlight w:val="none"/>
        </w:rPr>
        <w:t>银行</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保险</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石油石化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电力</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电信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邮政</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铁路等特殊</w:t>
      </w:r>
      <w:r>
        <w:rPr>
          <w:rFonts w:hint="eastAsia" w:ascii="Times New Roman" w:hAnsi="Times New Roman" w:eastAsia="宋体" w:cs="Times New Roman"/>
          <w:color w:val="auto"/>
          <w:highlight w:val="none"/>
          <w:lang w:val="en-US" w:eastAsia="zh-CN"/>
        </w:rPr>
        <w:t>行业</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，须提供总公司和分公司营业执照</w:t>
      </w:r>
      <w:r>
        <w:rPr>
          <w:rFonts w:hint="eastAsia" w:ascii="Times New Roman" w:hAnsi="Times New Roman" w:eastAsia="宋体" w:cs="Times New Roman"/>
          <w:color w:val="auto"/>
          <w:highlight w:val="none"/>
          <w:lang w:val="en-US" w:eastAsia="zh-CN"/>
        </w:rPr>
        <w:t>扫描件</w:t>
      </w:r>
      <w:r>
        <w:rPr>
          <w:rFonts w:hint="eastAsia" w:ascii="Times New Roman" w:hAnsi="Times New Roman" w:eastAsia="宋体" w:cs="Times New Roman"/>
          <w:color w:val="auto"/>
          <w:highlight w:val="none"/>
        </w:rPr>
        <w:t>，总公司出具给分支机构的授权书</w:t>
      </w:r>
      <w:r>
        <w:rPr>
          <w:rFonts w:hint="eastAsia" w:ascii="Times New Roman" w:hAnsi="Times New Roman" w:eastAsia="宋体" w:cs="Times New Roman"/>
          <w:color w:val="auto"/>
          <w:highlight w:val="none"/>
          <w:lang w:eastAsia="zh-CN"/>
        </w:rPr>
        <w:t>。</w:t>
      </w:r>
    </w:p>
    <w:p w14:paraId="06D12A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2.具有良好的商业信誉和健全的财务会计制度，</w:t>
      </w:r>
      <w:r>
        <w:rPr>
          <w:rFonts w:hint="eastAsia" w:ascii="Times New Roman" w:hAnsi="Times New Roman" w:eastAsia="宋体" w:cs="Times New Roman"/>
          <w:color w:val="auto"/>
          <w:highlight w:val="none"/>
          <w:lang w:val="en-US" w:eastAsia="zh-CN"/>
        </w:rPr>
        <w:t>须</w:t>
      </w:r>
      <w:r>
        <w:rPr>
          <w:rFonts w:hint="eastAsia" w:ascii="Times New Roman" w:hAnsi="Times New Roman" w:eastAsia="宋体" w:cs="Times New Roman"/>
          <w:color w:val="auto"/>
          <w:highlight w:val="none"/>
        </w:rPr>
        <w:t>提供最近一个年度的财务状况报告（资产负债表、利润表）或财务审计报告，成立不满一年不需提供；</w:t>
      </w:r>
    </w:p>
    <w:p w14:paraId="74BA82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3.依法缴纳税收和社会保障资金的</w:t>
      </w:r>
      <w:r>
        <w:rPr>
          <w:rFonts w:hint="eastAsia" w:ascii="Times New Roman" w:hAnsi="Times New Roman" w:eastAsia="宋体" w:cs="Times New Roman"/>
          <w:color w:val="auto"/>
          <w:highlight w:val="none"/>
          <w:lang w:val="en-US" w:eastAsia="zh-CN"/>
        </w:rPr>
        <w:t>良好记录，须</w:t>
      </w:r>
      <w:r>
        <w:rPr>
          <w:rFonts w:hint="eastAsia" w:ascii="Times New Roman" w:hAnsi="Times New Roman" w:eastAsia="宋体" w:cs="Times New Roman"/>
          <w:color w:val="auto"/>
          <w:highlight w:val="none"/>
        </w:rPr>
        <w:t>提供</w:t>
      </w:r>
      <w:r>
        <w:rPr>
          <w:rFonts w:hint="eastAsia" w:ascii="Times New Roman" w:hAnsi="Times New Roman" w:eastAsia="宋体" w:cs="Times New Roman"/>
          <w:color w:val="auto"/>
          <w:highlight w:val="none"/>
          <w:lang w:val="en-US" w:eastAsia="zh-CN"/>
        </w:rPr>
        <w:t>开标时间</w:t>
      </w:r>
      <w:r>
        <w:rPr>
          <w:rFonts w:hint="eastAsia" w:ascii="Times New Roman" w:hAnsi="Times New Roman" w:eastAsia="宋体" w:cs="Times New Roman"/>
          <w:color w:val="auto"/>
          <w:highlight w:val="none"/>
        </w:rPr>
        <w:t>截止前6个月内至少三个月依法缴纳税收及缴纳社会保障资金的证明材料。投标人依法享受缓缴、免缴税收、社会保障资金的提供证明材料；</w:t>
      </w:r>
    </w:p>
    <w:p w14:paraId="2CB140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val="en-US" w:eastAsia="zh-CN"/>
        </w:rPr>
        <w:t>供应商参加政府采购活动前三年内，在经营活动中没有重大违法记录：须提供</w:t>
      </w:r>
      <w:r>
        <w:rPr>
          <w:rFonts w:hint="eastAsia" w:ascii="Times New Roman" w:hAnsi="Times New Roman" w:eastAsia="宋体" w:cs="Times New Roman"/>
          <w:color w:val="auto"/>
          <w:highlight w:val="none"/>
        </w:rPr>
        <w:t>未被“信用中国”网站（http://www.creditchina.gov.cn）、中国政府采购网(http://www.ccgp.gov.cn)、国家企业信用信息公示系统(</w:t>
      </w: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HYPERLINK "http://www/" \t "_blank" </w:instrText>
      </w:r>
      <w:r>
        <w:rPr>
          <w:rFonts w:hint="eastAsia"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http://www</w:t>
      </w:r>
      <w:r>
        <w:rPr>
          <w:rFonts w:hint="eastAsia"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rPr>
        <w:t>.gsxt.gov.cn)列入失信被执行人、重大税收违法案件当事人名单、政府采购严重违法失信行为记录名单（提供开标</w:t>
      </w:r>
      <w:r>
        <w:rPr>
          <w:rFonts w:hint="eastAsia" w:ascii="Times New Roman" w:hAnsi="Times New Roman" w:eastAsia="宋体" w:cs="Times New Roman"/>
          <w:color w:val="auto"/>
          <w:highlight w:val="none"/>
          <w:lang w:val="en-US" w:eastAsia="zh-CN"/>
        </w:rPr>
        <w:t>截止时间</w:t>
      </w:r>
      <w:r>
        <w:rPr>
          <w:rFonts w:hint="eastAsia" w:ascii="Times New Roman" w:hAnsi="Times New Roman" w:eastAsia="宋体" w:cs="Times New Roman"/>
          <w:color w:val="auto"/>
          <w:highlight w:val="none"/>
        </w:rPr>
        <w:t>前7日内网站查询截图）；</w:t>
      </w:r>
    </w:p>
    <w:p w14:paraId="7DA24A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特定资质证明材料</w:t>
      </w:r>
      <w:r>
        <w:rPr>
          <w:rFonts w:hint="eastAsia" w:ascii="Times New Roman" w:hAnsi="Times New Roman" w:eastAsia="宋体" w:cs="Times New Roman"/>
          <w:color w:val="auto"/>
          <w:highlight w:val="none"/>
          <w:lang w:eastAsia="zh-CN"/>
        </w:rPr>
        <w:t>；</w:t>
      </w:r>
    </w:p>
    <w:p w14:paraId="2A7AF3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eastAsia="zh-CN"/>
        </w:rPr>
        <w:t>6.落实的政府采购政策：中小企业、残疾人福利性单位、监狱企业、强制节能、环保等；</w:t>
      </w:r>
    </w:p>
    <w:p w14:paraId="65E51B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7.法人授权委托书；</w:t>
      </w:r>
    </w:p>
    <w:p w14:paraId="3C79BA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8.投标保证金缴纳凭证或投标保函；</w:t>
      </w:r>
    </w:p>
    <w:p w14:paraId="5E11F7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9.联合体协议书；</w:t>
      </w:r>
    </w:p>
    <w:p w14:paraId="705699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10.分包协议书；</w:t>
      </w:r>
    </w:p>
    <w:p w14:paraId="615BAF28">
      <w:pPr>
        <w:pStyle w:val="3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w:t>
      </w:r>
    </w:p>
    <w:p w14:paraId="5AA4B0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w:t>
      </w:r>
    </w:p>
    <w:p w14:paraId="24A0CAA3">
      <w:pPr>
        <w:pStyle w:val="3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ascii="Times New Roman" w:hAnsi="Times New Roman" w:eastAsia="宋体" w:cs="Times New Roman"/>
          <w:color w:val="auto"/>
          <w:highlight w:val="none"/>
          <w:lang w:val="en-US" w:eastAsia="zh-CN"/>
        </w:rPr>
        <w:t>13.....</w:t>
      </w:r>
    </w:p>
    <w:p w14:paraId="7CE845BD">
      <w:pPr>
        <w:pStyle w:val="2"/>
        <w:rPr>
          <w:rFonts w:hint="eastAsia" w:ascii="黑体" w:hAnsi="宋体" w:eastAsia="黑体"/>
          <w:bCs/>
          <w:color w:val="auto"/>
          <w:kern w:val="0"/>
          <w:sz w:val="24"/>
          <w:szCs w:val="32"/>
          <w:highlight w:val="none"/>
        </w:rPr>
      </w:pPr>
    </w:p>
    <w:p w14:paraId="215E4D2D">
      <w:pPr>
        <w:pStyle w:val="34"/>
        <w:jc w:val="both"/>
        <w:rPr>
          <w:rFonts w:hint="eastAsia"/>
          <w:b/>
          <w:bCs/>
          <w:color w:val="auto"/>
          <w:highlight w:val="none"/>
        </w:rPr>
      </w:pPr>
    </w:p>
    <w:p w14:paraId="00C7ED00">
      <w:pPr>
        <w:pStyle w:val="5"/>
        <w:ind w:firstLine="3494" w:firstLineChars="1450"/>
        <w:jc w:val="both"/>
        <w:rPr>
          <w:rFonts w:hint="eastAsia" w:ascii="黑体" w:hAnsi="Times New Roman" w:eastAsia="黑体" w:cs="Times New Roman"/>
          <w:b/>
          <w:bCs w:val="0"/>
          <w:color w:val="auto"/>
          <w:sz w:val="24"/>
          <w:szCs w:val="24"/>
          <w:highlight w:val="none"/>
          <w:lang w:val="en-US" w:eastAsia="zh-CN"/>
        </w:rPr>
      </w:pPr>
      <w:bookmarkStart w:id="61" w:name="_Toc106616779"/>
      <w:r>
        <w:rPr>
          <w:rFonts w:hint="eastAsia" w:ascii="黑体" w:hAnsi="Times New Roman" w:eastAsia="黑体" w:cs="Times New Roman"/>
          <w:b/>
          <w:bCs w:val="0"/>
          <w:color w:val="auto"/>
          <w:sz w:val="24"/>
          <w:szCs w:val="24"/>
          <w:highlight w:val="none"/>
          <w:lang w:val="en-US" w:eastAsia="zh-CN"/>
        </w:rPr>
        <w:t>六、开标一览表</w:t>
      </w:r>
      <w:bookmarkEnd w:id="61"/>
    </w:p>
    <w:tbl>
      <w:tblPr>
        <w:tblStyle w:val="40"/>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733D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2929" w:type="dxa"/>
            <w:noWrap w:val="0"/>
            <w:vAlign w:val="center"/>
          </w:tcPr>
          <w:p w14:paraId="0A7FB619">
            <w:pPr>
              <w:tabs>
                <w:tab w:val="left" w:pos="142"/>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035" w:type="dxa"/>
            <w:noWrap w:val="0"/>
            <w:vAlign w:val="center"/>
          </w:tcPr>
          <w:p w14:paraId="74D479FE">
            <w:pPr>
              <w:tabs>
                <w:tab w:val="left" w:pos="142"/>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14:paraId="6533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jc w:val="center"/>
        </w:trPr>
        <w:tc>
          <w:tcPr>
            <w:tcW w:w="2929" w:type="dxa"/>
            <w:noWrap w:val="0"/>
            <w:vAlign w:val="center"/>
          </w:tcPr>
          <w:p w14:paraId="670DF0F6">
            <w:pPr>
              <w:tabs>
                <w:tab w:val="left" w:pos="142"/>
              </w:tabs>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035" w:type="dxa"/>
            <w:noWrap w:val="0"/>
            <w:vAlign w:val="center"/>
          </w:tcPr>
          <w:p w14:paraId="58E0A93C">
            <w:pPr>
              <w:tabs>
                <w:tab w:val="left" w:pos="142"/>
              </w:tabs>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14:paraId="5D57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blCellSpacing w:w="0" w:type="dxa"/>
          <w:jc w:val="center"/>
        </w:trPr>
        <w:tc>
          <w:tcPr>
            <w:tcW w:w="2929" w:type="dxa"/>
            <w:noWrap w:val="0"/>
            <w:vAlign w:val="center"/>
          </w:tcPr>
          <w:p w14:paraId="463AE468">
            <w:pPr>
              <w:tabs>
                <w:tab w:val="left" w:pos="142"/>
              </w:tabs>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6035" w:type="dxa"/>
            <w:noWrap w:val="0"/>
            <w:vAlign w:val="center"/>
          </w:tcPr>
          <w:p w14:paraId="1D742367">
            <w:pPr>
              <w:tabs>
                <w:tab w:val="left" w:pos="142"/>
              </w:tabs>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p>
          <w:p w14:paraId="4146A10D">
            <w:pPr>
              <w:tabs>
                <w:tab w:val="left" w:pos="142"/>
              </w:tabs>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 (大写):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0BDE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blCellSpacing w:w="0" w:type="dxa"/>
          <w:jc w:val="center"/>
        </w:trPr>
        <w:tc>
          <w:tcPr>
            <w:tcW w:w="2929" w:type="dxa"/>
            <w:noWrap w:val="0"/>
            <w:vAlign w:val="center"/>
          </w:tcPr>
          <w:p w14:paraId="4131A261">
            <w:pPr>
              <w:tabs>
                <w:tab w:val="left" w:pos="142"/>
              </w:tabs>
              <w:spacing w:line="5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p>
        </w:tc>
        <w:tc>
          <w:tcPr>
            <w:tcW w:w="6035" w:type="dxa"/>
            <w:noWrap w:val="0"/>
            <w:vAlign w:val="center"/>
          </w:tcPr>
          <w:p w14:paraId="1E0D8CE8">
            <w:pPr>
              <w:tabs>
                <w:tab w:val="left" w:pos="142"/>
              </w:tabs>
              <w:spacing w:line="500" w:lineRule="exact"/>
              <w:ind w:firstLine="420" w:firstLineChars="200"/>
              <w:jc w:val="left"/>
              <w:rPr>
                <w:rFonts w:hint="eastAsia" w:ascii="宋体" w:hAnsi="宋体" w:eastAsia="宋体" w:cs="宋体"/>
                <w:color w:val="auto"/>
                <w:sz w:val="21"/>
                <w:szCs w:val="21"/>
                <w:highlight w:val="none"/>
              </w:rPr>
            </w:pPr>
          </w:p>
        </w:tc>
      </w:tr>
      <w:tr w14:paraId="5BF6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blCellSpacing w:w="0" w:type="dxa"/>
          <w:jc w:val="center"/>
        </w:trPr>
        <w:tc>
          <w:tcPr>
            <w:tcW w:w="2929" w:type="dxa"/>
            <w:noWrap w:val="0"/>
            <w:vAlign w:val="center"/>
          </w:tcPr>
          <w:p w14:paraId="21171888">
            <w:pPr>
              <w:tabs>
                <w:tab w:val="left" w:pos="142"/>
              </w:tabs>
              <w:spacing w:line="5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035" w:type="dxa"/>
            <w:noWrap w:val="0"/>
            <w:vAlign w:val="center"/>
          </w:tcPr>
          <w:p w14:paraId="569F01CD">
            <w:pPr>
              <w:tabs>
                <w:tab w:val="left" w:pos="142"/>
              </w:tabs>
              <w:spacing w:line="500" w:lineRule="exact"/>
              <w:ind w:firstLine="420" w:firstLineChars="200"/>
              <w:jc w:val="left"/>
              <w:rPr>
                <w:rFonts w:hint="eastAsia" w:ascii="宋体" w:hAnsi="宋体" w:eastAsia="宋体" w:cs="宋体"/>
                <w:color w:val="auto"/>
                <w:sz w:val="21"/>
                <w:szCs w:val="21"/>
                <w:highlight w:val="none"/>
                <w:lang w:val="en-US" w:eastAsia="zh-CN"/>
              </w:rPr>
            </w:pPr>
          </w:p>
        </w:tc>
      </w:tr>
      <w:tr w14:paraId="64FE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blCellSpacing w:w="0" w:type="dxa"/>
          <w:jc w:val="center"/>
        </w:trPr>
        <w:tc>
          <w:tcPr>
            <w:tcW w:w="2929" w:type="dxa"/>
            <w:noWrap w:val="0"/>
            <w:vAlign w:val="center"/>
          </w:tcPr>
          <w:p w14:paraId="45562D43">
            <w:pPr>
              <w:tabs>
                <w:tab w:val="left" w:pos="142"/>
              </w:tabs>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项目（技术）负责人</w:t>
            </w:r>
          </w:p>
        </w:tc>
        <w:tc>
          <w:tcPr>
            <w:tcW w:w="6035" w:type="dxa"/>
            <w:noWrap w:val="0"/>
            <w:vAlign w:val="center"/>
          </w:tcPr>
          <w:p w14:paraId="72248C7F">
            <w:pPr>
              <w:tabs>
                <w:tab w:val="left" w:pos="142"/>
              </w:tabs>
              <w:spacing w:line="500" w:lineRule="exact"/>
              <w:ind w:firstLine="420" w:firstLineChars="200"/>
              <w:jc w:val="left"/>
              <w:rPr>
                <w:rFonts w:hint="eastAsia" w:ascii="宋体" w:hAnsi="宋体" w:eastAsia="宋体" w:cs="宋体"/>
                <w:color w:val="auto"/>
                <w:sz w:val="21"/>
                <w:szCs w:val="21"/>
                <w:highlight w:val="none"/>
              </w:rPr>
            </w:pPr>
          </w:p>
        </w:tc>
      </w:tr>
    </w:tbl>
    <w:p w14:paraId="63AE2DA2">
      <w:pPr>
        <w:jc w:val="center"/>
        <w:rPr>
          <w:rFonts w:hint="eastAsia"/>
          <w:color w:val="auto"/>
          <w:highlight w:val="none"/>
          <w:lang w:val="en-US" w:eastAsia="zh-CN"/>
        </w:rPr>
      </w:pPr>
      <w:r>
        <w:rPr>
          <w:rFonts w:hint="eastAsia"/>
          <w:color w:val="auto"/>
          <w:highlight w:val="none"/>
          <w:lang w:val="en-US" w:eastAsia="zh-CN"/>
        </w:rPr>
        <w:t xml:space="preserve">                                                     </w:t>
      </w:r>
    </w:p>
    <w:p w14:paraId="497500F0">
      <w:pPr>
        <w:jc w:val="center"/>
        <w:rPr>
          <w:color w:val="auto"/>
          <w:highlight w:val="none"/>
        </w:rPr>
      </w:pPr>
      <w:r>
        <w:rPr>
          <w:rFonts w:hint="eastAsia"/>
          <w:color w:val="auto"/>
          <w:highlight w:val="none"/>
          <w:lang w:val="en-US" w:eastAsia="zh-CN"/>
        </w:rPr>
        <w:t xml:space="preserve">                                                 </w:t>
      </w:r>
      <w:r>
        <w:rPr>
          <w:color w:val="auto"/>
          <w:highlight w:val="none"/>
        </w:rPr>
        <w:t>投标人</w:t>
      </w:r>
      <w:r>
        <w:rPr>
          <w:rFonts w:hint="eastAsia"/>
          <w:color w:val="auto"/>
          <w:highlight w:val="none"/>
          <w:lang w:eastAsia="zh-CN"/>
        </w:rPr>
        <w:t>（</w:t>
      </w:r>
      <w:r>
        <w:rPr>
          <w:rFonts w:hint="eastAsia"/>
          <w:color w:val="auto"/>
          <w:highlight w:val="none"/>
          <w:lang w:val="en-US" w:eastAsia="zh-CN"/>
        </w:rPr>
        <w:t>签字并盖章</w:t>
      </w:r>
      <w:r>
        <w:rPr>
          <w:rFonts w:hint="eastAsia"/>
          <w:color w:val="auto"/>
          <w:highlight w:val="none"/>
          <w:lang w:eastAsia="zh-CN"/>
        </w:rPr>
        <w:t>）</w:t>
      </w:r>
      <w:r>
        <w:rPr>
          <w:color w:val="auto"/>
          <w:highlight w:val="none"/>
        </w:rPr>
        <w:t>：_________________</w:t>
      </w:r>
    </w:p>
    <w:p w14:paraId="2CC78D05">
      <w:pPr>
        <w:jc w:val="center"/>
        <w:rPr>
          <w:rFonts w:hint="eastAsia"/>
          <w:color w:val="auto"/>
          <w:highlight w:val="none"/>
          <w:lang w:val="en-US" w:eastAsia="zh-CN"/>
        </w:rPr>
      </w:pPr>
      <w:r>
        <w:rPr>
          <w:rFonts w:hint="eastAsia"/>
          <w:color w:val="auto"/>
          <w:highlight w:val="none"/>
          <w:lang w:val="en-US" w:eastAsia="zh-CN"/>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color w:val="auto"/>
          <w:sz w:val="24"/>
          <w:highlight w:val="none"/>
        </w:rPr>
        <w:t xml:space="preserve"> </w:t>
      </w:r>
    </w:p>
    <w:p w14:paraId="439B78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03855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p>
    <w:p w14:paraId="49F78C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rPr>
      </w:pPr>
      <w:r>
        <w:rPr>
          <w:rFonts w:hint="eastAsia"/>
          <w:color w:val="auto"/>
          <w:highlight w:val="none"/>
        </w:rPr>
        <w:t>注:</w:t>
      </w:r>
    </w:p>
    <w:p w14:paraId="02F7E9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0"/>
          <w:sz w:val="21"/>
          <w:szCs w:val="20"/>
          <w:highlight w:val="none"/>
          <w:lang w:val="en-US" w:eastAsia="zh-CN" w:bidi="ar-SA"/>
        </w:rPr>
      </w:pPr>
      <w:r>
        <w:rPr>
          <w:rFonts w:hint="eastAsia"/>
          <w:color w:val="auto"/>
          <w:highlight w:val="none"/>
        </w:rPr>
        <w:t>投标总报</w:t>
      </w:r>
      <w:r>
        <w:rPr>
          <w:rFonts w:hint="eastAsia" w:ascii="宋体" w:hAnsi="宋体" w:eastAsia="宋体" w:cs="Times New Roman"/>
          <w:color w:val="auto"/>
          <w:kern w:val="0"/>
          <w:sz w:val="21"/>
          <w:szCs w:val="20"/>
          <w:highlight w:val="none"/>
          <w:lang w:val="en-US" w:eastAsia="zh-CN" w:bidi="ar-SA"/>
        </w:rPr>
        <w:t>价应包含本项目实施期间的所有含税费用。</w:t>
      </w:r>
    </w:p>
    <w:p w14:paraId="21D1B2F6">
      <w:pPr>
        <w:pStyle w:val="39"/>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Times New Roman"/>
          <w:color w:val="auto"/>
          <w:kern w:val="0"/>
          <w:sz w:val="21"/>
          <w:szCs w:val="20"/>
          <w:highlight w:val="none"/>
          <w:lang w:val="en-US" w:eastAsia="zh-CN" w:bidi="ar-SA"/>
        </w:rPr>
      </w:pPr>
      <w:r>
        <w:rPr>
          <w:rFonts w:hint="eastAsia" w:ascii="宋体" w:hAnsi="宋体" w:eastAsia="宋体" w:cs="Times New Roman"/>
          <w:color w:val="auto"/>
          <w:kern w:val="0"/>
          <w:sz w:val="21"/>
          <w:szCs w:val="20"/>
          <w:highlight w:val="none"/>
          <w:lang w:val="en-US" w:eastAsia="zh-CN" w:bidi="ar-SA"/>
        </w:rPr>
        <w:t>投标人的投标报价不得超过预算金额，否则将导致投标被否决。</w:t>
      </w:r>
    </w:p>
    <w:p w14:paraId="6E6D54F3">
      <w:pPr>
        <w:pStyle w:val="39"/>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Times New Roman"/>
          <w:color w:val="auto"/>
          <w:kern w:val="0"/>
          <w:sz w:val="21"/>
          <w:szCs w:val="20"/>
          <w:highlight w:val="none"/>
          <w:lang w:val="en-US" w:eastAsia="zh-CN" w:bidi="ar-SA"/>
        </w:rPr>
      </w:pPr>
      <w:r>
        <w:rPr>
          <w:rFonts w:hint="eastAsia" w:ascii="宋体" w:hAnsi="宋体" w:eastAsia="宋体" w:cs="Times New Roman"/>
          <w:color w:val="auto"/>
          <w:kern w:val="0"/>
          <w:sz w:val="21"/>
          <w:szCs w:val="20"/>
          <w:highlight w:val="none"/>
          <w:lang w:val="en-US" w:eastAsia="zh-CN" w:bidi="ar-SA"/>
        </w:rPr>
        <w:t>投标文件中开标一览表（报价表）内容与投标文件中响应内容不一致的，以开标一览表（报价表）为准。</w:t>
      </w:r>
    </w:p>
    <w:p w14:paraId="0EA1E159">
      <w:pPr>
        <w:rPr>
          <w:rFonts w:hint="eastAsia" w:ascii="宋体" w:hAnsi="宋体" w:eastAsia="宋体" w:cs="Times New Roman"/>
          <w:color w:val="auto"/>
          <w:kern w:val="0"/>
          <w:sz w:val="21"/>
          <w:szCs w:val="20"/>
          <w:highlight w:val="none"/>
          <w:lang w:val="en-US" w:eastAsia="zh-CN" w:bidi="ar-SA"/>
        </w:rPr>
      </w:pPr>
    </w:p>
    <w:p w14:paraId="3334BBE3">
      <w:pPr>
        <w:pStyle w:val="2"/>
        <w:rPr>
          <w:rFonts w:hint="eastAsia" w:ascii="宋体" w:hAnsi="宋体" w:eastAsia="宋体" w:cs="Times New Roman"/>
          <w:color w:val="auto"/>
          <w:kern w:val="0"/>
          <w:sz w:val="21"/>
          <w:szCs w:val="20"/>
          <w:highlight w:val="none"/>
          <w:lang w:val="en-US" w:eastAsia="zh-CN" w:bidi="ar-SA"/>
        </w:rPr>
      </w:pPr>
    </w:p>
    <w:p w14:paraId="317A8585">
      <w:pPr>
        <w:rPr>
          <w:rFonts w:hint="eastAsia" w:ascii="宋体" w:hAnsi="宋体" w:eastAsia="宋体" w:cs="Times New Roman"/>
          <w:color w:val="auto"/>
          <w:kern w:val="0"/>
          <w:sz w:val="21"/>
          <w:szCs w:val="20"/>
          <w:highlight w:val="none"/>
          <w:lang w:val="en-US" w:eastAsia="zh-CN" w:bidi="ar-SA"/>
        </w:rPr>
      </w:pPr>
    </w:p>
    <w:p w14:paraId="13677AB4">
      <w:pPr>
        <w:pStyle w:val="2"/>
        <w:rPr>
          <w:rFonts w:hint="eastAsia" w:ascii="宋体" w:hAnsi="宋体" w:eastAsia="宋体" w:cs="Times New Roman"/>
          <w:color w:val="auto"/>
          <w:kern w:val="0"/>
          <w:sz w:val="21"/>
          <w:szCs w:val="20"/>
          <w:highlight w:val="none"/>
          <w:lang w:val="en-US" w:eastAsia="zh-CN" w:bidi="ar-SA"/>
        </w:rPr>
      </w:pPr>
    </w:p>
    <w:p w14:paraId="0729359C">
      <w:pPr>
        <w:rPr>
          <w:rFonts w:hint="default"/>
          <w:color w:val="auto"/>
          <w:highlight w:val="none"/>
          <w:lang w:val="en-US" w:eastAsia="zh-CN"/>
        </w:rPr>
        <w:sectPr>
          <w:headerReference r:id="rId4" w:type="first"/>
          <w:footerReference r:id="rId6" w:type="first"/>
          <w:headerReference r:id="rId3" w:type="default"/>
          <w:footerReference r:id="rId5" w:type="default"/>
          <w:pgSz w:w="11906" w:h="16838"/>
          <w:pgMar w:top="1418" w:right="1588" w:bottom="1418" w:left="1365" w:header="851" w:footer="907" w:gutter="0"/>
          <w:cols w:space="720" w:num="1"/>
          <w:docGrid w:type="lines" w:linePitch="290" w:charSpace="0"/>
        </w:sectPr>
      </w:pPr>
    </w:p>
    <w:p w14:paraId="0BACAE0C">
      <w:pPr>
        <w:pStyle w:val="5"/>
        <w:ind w:firstLine="5662" w:firstLineChars="2350"/>
        <w:jc w:val="both"/>
        <w:rPr>
          <w:rFonts w:hint="eastAsia" w:eastAsia="黑体"/>
          <w:b/>
          <w:bCs/>
          <w:color w:val="auto"/>
          <w:sz w:val="24"/>
          <w:szCs w:val="24"/>
          <w:highlight w:val="none"/>
          <w:lang w:val="en-US" w:eastAsia="zh-CN"/>
        </w:rPr>
      </w:pPr>
      <w:r>
        <w:rPr>
          <w:rFonts w:hint="eastAsia" w:ascii="黑体" w:eastAsia="黑体"/>
          <w:b/>
          <w:bCs/>
          <w:color w:val="auto"/>
          <w:sz w:val="24"/>
          <w:szCs w:val="24"/>
          <w:highlight w:val="none"/>
        </w:rPr>
        <w:t>七、</w:t>
      </w:r>
      <w:r>
        <w:rPr>
          <w:rFonts w:hint="eastAsia" w:ascii="黑体" w:eastAsia="黑体"/>
          <w:b/>
          <w:bCs/>
          <w:color w:val="auto"/>
          <w:sz w:val="24"/>
          <w:szCs w:val="24"/>
          <w:highlight w:val="none"/>
          <w:lang w:val="en-US" w:eastAsia="zh-CN"/>
        </w:rPr>
        <w:t>分项</w:t>
      </w:r>
      <w:r>
        <w:rPr>
          <w:rFonts w:hint="eastAsia" w:ascii="黑体" w:eastAsia="黑体"/>
          <w:b/>
          <w:bCs/>
          <w:color w:val="auto"/>
          <w:sz w:val="24"/>
          <w:szCs w:val="24"/>
          <w:highlight w:val="none"/>
        </w:rPr>
        <w:t>报价</w:t>
      </w:r>
      <w:r>
        <w:rPr>
          <w:rFonts w:hint="eastAsia" w:ascii="黑体" w:eastAsia="黑体"/>
          <w:b/>
          <w:bCs/>
          <w:color w:val="auto"/>
          <w:sz w:val="24"/>
          <w:szCs w:val="24"/>
          <w:highlight w:val="none"/>
          <w:lang w:val="en-US" w:eastAsia="zh-CN"/>
        </w:rPr>
        <w:t>表</w:t>
      </w:r>
    </w:p>
    <w:p w14:paraId="1716028A">
      <w:pPr>
        <w:pStyle w:val="17"/>
        <w:ind w:firstLine="3360" w:firstLineChars="1600"/>
        <w:jc w:val="both"/>
        <w:rPr>
          <w:rFonts w:hint="eastAsia" w:ascii="宋体" w:hAnsi="宋体" w:eastAsia="宋体" w:cs="Times New Roman"/>
          <w:color w:val="auto"/>
          <w:kern w:val="0"/>
          <w:sz w:val="21"/>
          <w:szCs w:val="21"/>
          <w:highlight w:val="none"/>
          <w:lang w:val="en-US" w:eastAsia="zh-CN" w:bidi="ar-SA"/>
        </w:rPr>
      </w:pPr>
    </w:p>
    <w:p w14:paraId="7C12BBAF">
      <w:pPr>
        <w:pStyle w:val="17"/>
        <w:ind w:firstLine="3570" w:firstLineChars="1700"/>
        <w:jc w:val="both"/>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（货物类模板）</w:t>
      </w:r>
    </w:p>
    <w:p w14:paraId="1A7E2C32">
      <w:pPr>
        <w:pStyle w:val="17"/>
        <w:rPr>
          <w:color w:val="auto"/>
          <w:highlight w:val="none"/>
        </w:rPr>
      </w:pPr>
      <w:r>
        <w:rPr>
          <w:rFonts w:hint="eastAsia"/>
          <w:color w:val="auto"/>
          <w:highlight w:val="none"/>
        </w:rPr>
        <w:t xml:space="preserve">   </w:t>
      </w:r>
    </w:p>
    <w:p w14:paraId="75F7A99A">
      <w:pPr>
        <w:rPr>
          <w:color w:val="auto"/>
          <w:highlight w:val="none"/>
        </w:rPr>
      </w:pPr>
      <w:r>
        <w:rPr>
          <w:color w:val="auto"/>
          <w:highlight w:val="none"/>
        </w:rPr>
        <w:t>货币及单位：人民币/元</w:t>
      </w:r>
    </w:p>
    <w:tbl>
      <w:tblPr>
        <w:tblStyle w:val="4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0"/>
        <w:gridCol w:w="2060"/>
        <w:gridCol w:w="1195"/>
        <w:gridCol w:w="1514"/>
        <w:gridCol w:w="854"/>
        <w:gridCol w:w="854"/>
        <w:gridCol w:w="1448"/>
        <w:gridCol w:w="1989"/>
        <w:gridCol w:w="1149"/>
        <w:gridCol w:w="1081"/>
        <w:gridCol w:w="1198"/>
      </w:tblGrid>
      <w:tr w14:paraId="69A0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2DF5BD86">
            <w:pPr>
              <w:jc w:val="center"/>
              <w:rPr>
                <w:rFonts w:hint="eastAsia" w:ascii="宋体" w:hAnsi="宋体" w:cs="宋体"/>
                <w:color w:val="auto"/>
                <w:highlight w:val="none"/>
              </w:rPr>
            </w:pPr>
            <w:r>
              <w:rPr>
                <w:rFonts w:hint="eastAsia" w:ascii="宋体" w:hAnsi="宋体" w:cs="宋体"/>
                <w:color w:val="auto"/>
                <w:highlight w:val="none"/>
              </w:rPr>
              <w:t>序号</w:t>
            </w:r>
          </w:p>
        </w:tc>
        <w:tc>
          <w:tcPr>
            <w:tcW w:w="724" w:type="pct"/>
            <w:noWrap w:val="0"/>
            <w:vAlign w:val="top"/>
          </w:tcPr>
          <w:p w14:paraId="6EB0AB78">
            <w:pPr>
              <w:jc w:val="center"/>
              <w:rPr>
                <w:rFonts w:hint="eastAsia" w:ascii="宋体" w:hAnsi="宋体" w:cs="宋体"/>
                <w:color w:val="auto"/>
                <w:highlight w:val="none"/>
              </w:rPr>
            </w:pPr>
            <w:r>
              <w:rPr>
                <w:rFonts w:hint="eastAsia" w:ascii="宋体" w:hAnsi="宋体" w:cs="宋体"/>
                <w:color w:val="auto"/>
                <w:highlight w:val="none"/>
              </w:rPr>
              <w:t>货物名称</w:t>
            </w:r>
          </w:p>
        </w:tc>
        <w:tc>
          <w:tcPr>
            <w:tcW w:w="420" w:type="pct"/>
            <w:noWrap w:val="0"/>
            <w:vAlign w:val="top"/>
          </w:tcPr>
          <w:p w14:paraId="2FC29203">
            <w:pPr>
              <w:jc w:val="center"/>
              <w:rPr>
                <w:rFonts w:hint="eastAsia" w:ascii="宋体" w:hAnsi="宋体" w:cs="宋体"/>
                <w:color w:val="auto"/>
                <w:highlight w:val="none"/>
              </w:rPr>
            </w:pPr>
            <w:r>
              <w:rPr>
                <w:rFonts w:hint="eastAsia" w:ascii="宋体" w:hAnsi="宋体" w:cs="宋体"/>
                <w:color w:val="auto"/>
                <w:highlight w:val="none"/>
              </w:rPr>
              <w:t>货物名称</w:t>
            </w:r>
          </w:p>
        </w:tc>
        <w:tc>
          <w:tcPr>
            <w:tcW w:w="532" w:type="pct"/>
            <w:noWrap w:val="0"/>
            <w:vAlign w:val="top"/>
          </w:tcPr>
          <w:p w14:paraId="4B120A00">
            <w:pPr>
              <w:jc w:val="center"/>
              <w:rPr>
                <w:rFonts w:hint="eastAsia" w:ascii="宋体" w:hAnsi="宋体" w:cs="宋体"/>
                <w:color w:val="auto"/>
                <w:highlight w:val="none"/>
              </w:rPr>
            </w:pPr>
            <w:r>
              <w:rPr>
                <w:rFonts w:hint="eastAsia" w:ascii="宋体" w:hAnsi="宋体" w:cs="宋体"/>
                <w:color w:val="auto"/>
                <w:highlight w:val="none"/>
              </w:rPr>
              <w:t>规格型号</w:t>
            </w:r>
          </w:p>
        </w:tc>
        <w:tc>
          <w:tcPr>
            <w:tcW w:w="300" w:type="pct"/>
            <w:noWrap w:val="0"/>
            <w:vAlign w:val="top"/>
          </w:tcPr>
          <w:p w14:paraId="650FCB57">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技术参数（特征描述）</w:t>
            </w:r>
          </w:p>
        </w:tc>
        <w:tc>
          <w:tcPr>
            <w:tcW w:w="300" w:type="pct"/>
            <w:noWrap w:val="0"/>
            <w:vAlign w:val="top"/>
          </w:tcPr>
          <w:p w14:paraId="0D9E20B5">
            <w:pPr>
              <w:jc w:val="center"/>
              <w:rPr>
                <w:rFonts w:hint="eastAsia" w:ascii="宋体" w:hAnsi="宋体" w:cs="宋体"/>
                <w:color w:val="auto"/>
                <w:highlight w:val="none"/>
              </w:rPr>
            </w:pPr>
            <w:r>
              <w:rPr>
                <w:rFonts w:hint="eastAsia" w:ascii="宋体" w:hAnsi="宋体" w:cs="宋体"/>
                <w:color w:val="auto"/>
                <w:highlight w:val="none"/>
              </w:rPr>
              <w:t>品牌</w:t>
            </w:r>
          </w:p>
        </w:tc>
        <w:tc>
          <w:tcPr>
            <w:tcW w:w="509" w:type="pct"/>
            <w:noWrap w:val="0"/>
            <w:vAlign w:val="top"/>
          </w:tcPr>
          <w:p w14:paraId="47C77500">
            <w:pPr>
              <w:jc w:val="center"/>
              <w:rPr>
                <w:rFonts w:hint="eastAsia" w:ascii="宋体" w:hAnsi="宋体" w:cs="宋体"/>
                <w:color w:val="auto"/>
                <w:highlight w:val="none"/>
              </w:rPr>
            </w:pPr>
            <w:r>
              <w:rPr>
                <w:rFonts w:hint="eastAsia" w:ascii="宋体" w:hAnsi="宋体" w:cs="宋体"/>
                <w:color w:val="auto"/>
                <w:highlight w:val="none"/>
              </w:rPr>
              <w:t>产地</w:t>
            </w:r>
          </w:p>
        </w:tc>
        <w:tc>
          <w:tcPr>
            <w:tcW w:w="699" w:type="pct"/>
            <w:noWrap w:val="0"/>
            <w:vAlign w:val="top"/>
          </w:tcPr>
          <w:p w14:paraId="4F01AFFB">
            <w:pPr>
              <w:jc w:val="center"/>
              <w:rPr>
                <w:rFonts w:hint="eastAsia" w:ascii="宋体" w:hAnsi="宋体" w:cs="宋体"/>
                <w:color w:val="auto"/>
                <w:highlight w:val="none"/>
              </w:rPr>
            </w:pPr>
            <w:r>
              <w:rPr>
                <w:rFonts w:hint="eastAsia" w:ascii="宋体" w:hAnsi="宋体" w:cs="宋体"/>
                <w:color w:val="auto"/>
                <w:highlight w:val="none"/>
              </w:rPr>
              <w:t>制造商名称</w:t>
            </w:r>
          </w:p>
        </w:tc>
        <w:tc>
          <w:tcPr>
            <w:tcW w:w="404" w:type="pct"/>
            <w:noWrap w:val="0"/>
            <w:vAlign w:val="top"/>
          </w:tcPr>
          <w:p w14:paraId="6C5D04E5">
            <w:pPr>
              <w:jc w:val="center"/>
              <w:rPr>
                <w:rFonts w:hint="eastAsia" w:ascii="宋体" w:hAnsi="宋体" w:cs="宋体"/>
                <w:color w:val="auto"/>
                <w:highlight w:val="none"/>
              </w:rPr>
            </w:pPr>
            <w:r>
              <w:rPr>
                <w:rFonts w:hint="eastAsia" w:ascii="宋体" w:hAnsi="宋体" w:cs="宋体"/>
                <w:color w:val="auto"/>
                <w:highlight w:val="none"/>
              </w:rPr>
              <w:t>单价</w:t>
            </w:r>
          </w:p>
        </w:tc>
        <w:tc>
          <w:tcPr>
            <w:tcW w:w="380" w:type="pct"/>
            <w:noWrap w:val="0"/>
            <w:vAlign w:val="top"/>
          </w:tcPr>
          <w:p w14:paraId="72CB2E3E">
            <w:pPr>
              <w:jc w:val="center"/>
              <w:rPr>
                <w:rFonts w:hint="eastAsia" w:ascii="宋体" w:hAnsi="宋体" w:cs="宋体"/>
                <w:color w:val="auto"/>
                <w:highlight w:val="none"/>
              </w:rPr>
            </w:pPr>
            <w:r>
              <w:rPr>
                <w:rFonts w:hint="eastAsia" w:ascii="宋体" w:hAnsi="宋体" w:cs="宋体"/>
                <w:color w:val="auto"/>
                <w:highlight w:val="none"/>
              </w:rPr>
              <w:t>数量</w:t>
            </w:r>
          </w:p>
        </w:tc>
        <w:tc>
          <w:tcPr>
            <w:tcW w:w="421" w:type="pct"/>
            <w:noWrap w:val="0"/>
            <w:vAlign w:val="top"/>
          </w:tcPr>
          <w:p w14:paraId="35C0A91A">
            <w:pPr>
              <w:jc w:val="center"/>
              <w:rPr>
                <w:rFonts w:hint="eastAsia" w:ascii="宋体" w:hAnsi="宋体" w:cs="宋体"/>
                <w:color w:val="auto"/>
                <w:highlight w:val="none"/>
              </w:rPr>
            </w:pPr>
            <w:r>
              <w:rPr>
                <w:rFonts w:hint="eastAsia" w:ascii="宋体" w:hAnsi="宋体" w:cs="宋体"/>
                <w:color w:val="auto"/>
                <w:highlight w:val="none"/>
              </w:rPr>
              <w:t>总价</w:t>
            </w:r>
          </w:p>
        </w:tc>
      </w:tr>
      <w:tr w14:paraId="3E4D2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189F5130">
            <w:pPr>
              <w:jc w:val="center"/>
              <w:rPr>
                <w:rFonts w:hint="eastAsia" w:ascii="宋体" w:hAnsi="宋体" w:cs="宋体"/>
                <w:color w:val="auto"/>
                <w:highlight w:val="none"/>
              </w:rPr>
            </w:pPr>
            <w:r>
              <w:rPr>
                <w:rFonts w:hint="eastAsia" w:ascii="宋体" w:hAnsi="宋体" w:cs="宋体"/>
                <w:color w:val="auto"/>
                <w:highlight w:val="none"/>
              </w:rPr>
              <w:t>1</w:t>
            </w:r>
          </w:p>
        </w:tc>
        <w:tc>
          <w:tcPr>
            <w:tcW w:w="724" w:type="pct"/>
            <w:noWrap w:val="0"/>
            <w:vAlign w:val="top"/>
          </w:tcPr>
          <w:p w14:paraId="7C11AF1D">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计算机</w:t>
            </w:r>
          </w:p>
        </w:tc>
        <w:tc>
          <w:tcPr>
            <w:tcW w:w="420" w:type="pct"/>
            <w:noWrap w:val="0"/>
            <w:vAlign w:val="top"/>
          </w:tcPr>
          <w:p w14:paraId="6559E28D">
            <w:pPr>
              <w:jc w:val="center"/>
              <w:rPr>
                <w:rFonts w:hint="eastAsia" w:ascii="宋体" w:hAnsi="宋体" w:cs="宋体"/>
                <w:color w:val="auto"/>
                <w:highlight w:val="none"/>
              </w:rPr>
            </w:pPr>
          </w:p>
        </w:tc>
        <w:tc>
          <w:tcPr>
            <w:tcW w:w="532" w:type="pct"/>
            <w:noWrap w:val="0"/>
            <w:vAlign w:val="top"/>
          </w:tcPr>
          <w:p w14:paraId="196D6104">
            <w:pPr>
              <w:jc w:val="center"/>
              <w:rPr>
                <w:rFonts w:hint="eastAsia" w:ascii="宋体" w:hAnsi="宋体" w:cs="宋体"/>
                <w:color w:val="auto"/>
                <w:highlight w:val="none"/>
              </w:rPr>
            </w:pPr>
          </w:p>
        </w:tc>
        <w:tc>
          <w:tcPr>
            <w:tcW w:w="300" w:type="pct"/>
            <w:noWrap w:val="0"/>
            <w:vAlign w:val="top"/>
          </w:tcPr>
          <w:p w14:paraId="773F062F">
            <w:pPr>
              <w:jc w:val="center"/>
              <w:rPr>
                <w:rFonts w:hint="eastAsia" w:ascii="宋体" w:hAnsi="宋体" w:cs="宋体"/>
                <w:color w:val="auto"/>
                <w:highlight w:val="none"/>
              </w:rPr>
            </w:pPr>
          </w:p>
        </w:tc>
        <w:tc>
          <w:tcPr>
            <w:tcW w:w="300" w:type="pct"/>
            <w:noWrap w:val="0"/>
            <w:vAlign w:val="top"/>
          </w:tcPr>
          <w:p w14:paraId="24CC0B0C">
            <w:pPr>
              <w:jc w:val="center"/>
              <w:rPr>
                <w:rFonts w:hint="eastAsia" w:ascii="宋体" w:hAnsi="宋体" w:cs="宋体"/>
                <w:color w:val="auto"/>
                <w:highlight w:val="none"/>
              </w:rPr>
            </w:pPr>
          </w:p>
        </w:tc>
        <w:tc>
          <w:tcPr>
            <w:tcW w:w="509" w:type="pct"/>
            <w:noWrap w:val="0"/>
            <w:vAlign w:val="top"/>
          </w:tcPr>
          <w:p w14:paraId="4F3CF7C3">
            <w:pPr>
              <w:jc w:val="center"/>
              <w:rPr>
                <w:rFonts w:hint="eastAsia" w:ascii="宋体" w:hAnsi="宋体" w:cs="宋体"/>
                <w:color w:val="auto"/>
                <w:highlight w:val="none"/>
              </w:rPr>
            </w:pPr>
          </w:p>
        </w:tc>
        <w:tc>
          <w:tcPr>
            <w:tcW w:w="699" w:type="pct"/>
            <w:noWrap w:val="0"/>
            <w:vAlign w:val="top"/>
          </w:tcPr>
          <w:p w14:paraId="09C61F6D">
            <w:pPr>
              <w:jc w:val="center"/>
              <w:rPr>
                <w:rFonts w:hint="eastAsia" w:ascii="宋体" w:hAnsi="宋体" w:cs="宋体"/>
                <w:color w:val="auto"/>
                <w:highlight w:val="none"/>
              </w:rPr>
            </w:pPr>
          </w:p>
        </w:tc>
        <w:tc>
          <w:tcPr>
            <w:tcW w:w="404" w:type="pct"/>
            <w:noWrap w:val="0"/>
            <w:vAlign w:val="top"/>
          </w:tcPr>
          <w:p w14:paraId="46D7FA8E">
            <w:pPr>
              <w:jc w:val="center"/>
              <w:rPr>
                <w:rFonts w:hint="eastAsia" w:ascii="宋体" w:hAnsi="宋体" w:cs="宋体"/>
                <w:color w:val="auto"/>
                <w:highlight w:val="none"/>
              </w:rPr>
            </w:pPr>
          </w:p>
        </w:tc>
        <w:tc>
          <w:tcPr>
            <w:tcW w:w="380" w:type="pct"/>
            <w:noWrap w:val="0"/>
            <w:vAlign w:val="top"/>
          </w:tcPr>
          <w:p w14:paraId="57CE3C8A">
            <w:pPr>
              <w:jc w:val="center"/>
              <w:rPr>
                <w:rFonts w:hint="eastAsia" w:ascii="宋体" w:hAnsi="宋体" w:cs="宋体"/>
                <w:color w:val="auto"/>
                <w:highlight w:val="none"/>
              </w:rPr>
            </w:pPr>
          </w:p>
        </w:tc>
        <w:tc>
          <w:tcPr>
            <w:tcW w:w="421" w:type="pct"/>
            <w:noWrap w:val="0"/>
            <w:vAlign w:val="top"/>
          </w:tcPr>
          <w:p w14:paraId="2125828B">
            <w:pPr>
              <w:jc w:val="center"/>
              <w:rPr>
                <w:rFonts w:hint="eastAsia" w:ascii="宋体" w:hAnsi="宋体" w:cs="宋体"/>
                <w:color w:val="auto"/>
                <w:highlight w:val="none"/>
              </w:rPr>
            </w:pPr>
          </w:p>
        </w:tc>
      </w:tr>
      <w:tr w14:paraId="73EEB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357BFB86">
            <w:pPr>
              <w:jc w:val="center"/>
              <w:rPr>
                <w:rFonts w:hint="eastAsia" w:ascii="宋体" w:hAnsi="宋体" w:cs="宋体"/>
                <w:color w:val="auto"/>
                <w:highlight w:val="none"/>
              </w:rPr>
            </w:pPr>
            <w:r>
              <w:rPr>
                <w:rFonts w:hint="eastAsia" w:ascii="宋体" w:hAnsi="宋体" w:cs="宋体"/>
                <w:color w:val="auto"/>
                <w:highlight w:val="none"/>
              </w:rPr>
              <w:t>2</w:t>
            </w:r>
          </w:p>
        </w:tc>
        <w:tc>
          <w:tcPr>
            <w:tcW w:w="2060" w:type="dxa"/>
            <w:noWrap w:val="0"/>
            <w:vAlign w:val="center"/>
          </w:tcPr>
          <w:p w14:paraId="0A04D4AE">
            <w:pPr>
              <w:keepNext w:val="0"/>
              <w:keepLines w:val="0"/>
              <w:widowControl/>
              <w:suppressLineNumbers w:val="0"/>
              <w:snapToGrid w:val="0"/>
              <w:jc w:val="center"/>
              <w:textAlignment w:val="center"/>
              <w:rPr>
                <w:rFonts w:hint="eastAsia" w:ascii="宋体" w:hAnsi="宋体" w:cs="宋体"/>
                <w:color w:val="auto"/>
                <w:highlight w:val="none"/>
              </w:rPr>
            </w:pPr>
            <w:r>
              <w:rPr>
                <w:rFonts w:hint="eastAsia" w:ascii="宋体" w:hAnsi="宋体" w:eastAsia="宋体" w:cs="宋体"/>
                <w:i w:val="0"/>
                <w:iCs w:val="0"/>
                <w:color w:val="000000"/>
                <w:kern w:val="0"/>
                <w:sz w:val="21"/>
                <w:szCs w:val="21"/>
                <w:u w:val="none"/>
                <w:lang w:val="en-US" w:eastAsia="zh-CN" w:bidi="ar"/>
              </w:rPr>
              <w:t>网络同传还原系统</w:t>
            </w:r>
          </w:p>
        </w:tc>
        <w:tc>
          <w:tcPr>
            <w:tcW w:w="420" w:type="pct"/>
            <w:noWrap w:val="0"/>
            <w:vAlign w:val="top"/>
          </w:tcPr>
          <w:p w14:paraId="3ADBE37B">
            <w:pPr>
              <w:jc w:val="center"/>
              <w:rPr>
                <w:rFonts w:hint="eastAsia" w:ascii="宋体" w:hAnsi="宋体" w:cs="宋体"/>
                <w:color w:val="auto"/>
                <w:highlight w:val="none"/>
              </w:rPr>
            </w:pPr>
          </w:p>
        </w:tc>
        <w:tc>
          <w:tcPr>
            <w:tcW w:w="532" w:type="pct"/>
            <w:noWrap w:val="0"/>
            <w:vAlign w:val="top"/>
          </w:tcPr>
          <w:p w14:paraId="2DA12EEA">
            <w:pPr>
              <w:jc w:val="center"/>
              <w:rPr>
                <w:rFonts w:hint="eastAsia" w:ascii="宋体" w:hAnsi="宋体" w:cs="宋体"/>
                <w:color w:val="auto"/>
                <w:highlight w:val="none"/>
              </w:rPr>
            </w:pPr>
          </w:p>
        </w:tc>
        <w:tc>
          <w:tcPr>
            <w:tcW w:w="300" w:type="pct"/>
            <w:noWrap w:val="0"/>
            <w:vAlign w:val="top"/>
          </w:tcPr>
          <w:p w14:paraId="2BACB87C">
            <w:pPr>
              <w:jc w:val="center"/>
              <w:rPr>
                <w:rFonts w:hint="eastAsia" w:ascii="宋体" w:hAnsi="宋体" w:cs="宋体"/>
                <w:color w:val="auto"/>
                <w:highlight w:val="none"/>
              </w:rPr>
            </w:pPr>
          </w:p>
        </w:tc>
        <w:tc>
          <w:tcPr>
            <w:tcW w:w="300" w:type="pct"/>
            <w:noWrap w:val="0"/>
            <w:vAlign w:val="top"/>
          </w:tcPr>
          <w:p w14:paraId="08DE252F">
            <w:pPr>
              <w:jc w:val="center"/>
              <w:rPr>
                <w:rFonts w:hint="eastAsia" w:ascii="宋体" w:hAnsi="宋体" w:cs="宋体"/>
                <w:color w:val="auto"/>
                <w:highlight w:val="none"/>
              </w:rPr>
            </w:pPr>
          </w:p>
        </w:tc>
        <w:tc>
          <w:tcPr>
            <w:tcW w:w="509" w:type="pct"/>
            <w:noWrap w:val="0"/>
            <w:vAlign w:val="top"/>
          </w:tcPr>
          <w:p w14:paraId="78EB5F6C">
            <w:pPr>
              <w:jc w:val="center"/>
              <w:rPr>
                <w:rFonts w:hint="eastAsia" w:ascii="宋体" w:hAnsi="宋体" w:cs="宋体"/>
                <w:color w:val="auto"/>
                <w:highlight w:val="none"/>
              </w:rPr>
            </w:pPr>
          </w:p>
        </w:tc>
        <w:tc>
          <w:tcPr>
            <w:tcW w:w="699" w:type="pct"/>
            <w:noWrap w:val="0"/>
            <w:vAlign w:val="top"/>
          </w:tcPr>
          <w:p w14:paraId="14D3ED39">
            <w:pPr>
              <w:jc w:val="center"/>
              <w:rPr>
                <w:rFonts w:hint="eastAsia" w:ascii="宋体" w:hAnsi="宋体" w:cs="宋体"/>
                <w:color w:val="auto"/>
                <w:highlight w:val="none"/>
              </w:rPr>
            </w:pPr>
          </w:p>
        </w:tc>
        <w:tc>
          <w:tcPr>
            <w:tcW w:w="404" w:type="pct"/>
            <w:noWrap w:val="0"/>
            <w:vAlign w:val="top"/>
          </w:tcPr>
          <w:p w14:paraId="29528EED">
            <w:pPr>
              <w:jc w:val="center"/>
              <w:rPr>
                <w:rFonts w:hint="eastAsia" w:ascii="宋体" w:hAnsi="宋体" w:cs="宋体"/>
                <w:color w:val="auto"/>
                <w:highlight w:val="none"/>
              </w:rPr>
            </w:pPr>
          </w:p>
        </w:tc>
        <w:tc>
          <w:tcPr>
            <w:tcW w:w="380" w:type="pct"/>
            <w:noWrap w:val="0"/>
            <w:vAlign w:val="top"/>
          </w:tcPr>
          <w:p w14:paraId="4F381CB2">
            <w:pPr>
              <w:jc w:val="center"/>
              <w:rPr>
                <w:rFonts w:hint="eastAsia" w:ascii="宋体" w:hAnsi="宋体" w:cs="宋体"/>
                <w:color w:val="auto"/>
                <w:highlight w:val="none"/>
              </w:rPr>
            </w:pPr>
          </w:p>
        </w:tc>
        <w:tc>
          <w:tcPr>
            <w:tcW w:w="421" w:type="pct"/>
            <w:noWrap w:val="0"/>
            <w:vAlign w:val="top"/>
          </w:tcPr>
          <w:p w14:paraId="4A8F2BCF">
            <w:pPr>
              <w:jc w:val="center"/>
              <w:rPr>
                <w:rFonts w:hint="eastAsia" w:ascii="宋体" w:hAnsi="宋体" w:cs="宋体"/>
                <w:color w:val="auto"/>
                <w:highlight w:val="none"/>
              </w:rPr>
            </w:pPr>
          </w:p>
        </w:tc>
      </w:tr>
      <w:tr w14:paraId="35289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6383206D">
            <w:pPr>
              <w:jc w:val="center"/>
              <w:rPr>
                <w:rFonts w:hint="eastAsia" w:ascii="宋体" w:hAnsi="宋体" w:cs="宋体"/>
                <w:color w:val="auto"/>
                <w:highlight w:val="none"/>
              </w:rPr>
            </w:pPr>
            <w:r>
              <w:rPr>
                <w:rFonts w:hint="eastAsia" w:ascii="宋体" w:hAnsi="宋体" w:cs="宋体"/>
                <w:color w:val="auto"/>
                <w:highlight w:val="none"/>
              </w:rPr>
              <w:t>3</w:t>
            </w:r>
          </w:p>
        </w:tc>
        <w:tc>
          <w:tcPr>
            <w:tcW w:w="2060" w:type="dxa"/>
            <w:noWrap w:val="0"/>
            <w:vAlign w:val="center"/>
          </w:tcPr>
          <w:p w14:paraId="0A052B3E">
            <w:pPr>
              <w:keepNext w:val="0"/>
              <w:keepLines w:val="0"/>
              <w:widowControl/>
              <w:suppressLineNumbers w:val="0"/>
              <w:snapToGrid w:val="0"/>
              <w:jc w:val="center"/>
              <w:textAlignment w:val="center"/>
              <w:rPr>
                <w:rFonts w:hint="eastAsia" w:ascii="宋体" w:hAnsi="宋体" w:cs="宋体"/>
                <w:color w:val="auto"/>
                <w:highlight w:val="none"/>
              </w:rPr>
            </w:pPr>
            <w:r>
              <w:rPr>
                <w:rFonts w:hint="eastAsia" w:ascii="宋体" w:hAnsi="宋体" w:eastAsia="宋体" w:cs="宋体"/>
                <w:i w:val="0"/>
                <w:iCs w:val="0"/>
                <w:color w:val="000000"/>
                <w:kern w:val="0"/>
                <w:sz w:val="21"/>
                <w:szCs w:val="21"/>
                <w:u w:val="none"/>
                <w:lang w:val="en-US" w:eastAsia="zh-CN" w:bidi="ar"/>
              </w:rPr>
              <w:t>综合布线</w:t>
            </w:r>
          </w:p>
        </w:tc>
        <w:tc>
          <w:tcPr>
            <w:tcW w:w="420" w:type="pct"/>
            <w:noWrap w:val="0"/>
            <w:vAlign w:val="top"/>
          </w:tcPr>
          <w:p w14:paraId="3A4F9D8A">
            <w:pPr>
              <w:jc w:val="center"/>
              <w:rPr>
                <w:rFonts w:hint="eastAsia" w:ascii="宋体" w:hAnsi="宋体" w:cs="宋体"/>
                <w:color w:val="auto"/>
                <w:highlight w:val="none"/>
              </w:rPr>
            </w:pPr>
          </w:p>
        </w:tc>
        <w:tc>
          <w:tcPr>
            <w:tcW w:w="532" w:type="pct"/>
            <w:noWrap w:val="0"/>
            <w:vAlign w:val="top"/>
          </w:tcPr>
          <w:p w14:paraId="52B5706A">
            <w:pPr>
              <w:jc w:val="center"/>
              <w:rPr>
                <w:rFonts w:hint="eastAsia" w:ascii="宋体" w:hAnsi="宋体" w:cs="宋体"/>
                <w:color w:val="auto"/>
                <w:highlight w:val="none"/>
              </w:rPr>
            </w:pPr>
          </w:p>
        </w:tc>
        <w:tc>
          <w:tcPr>
            <w:tcW w:w="300" w:type="pct"/>
            <w:noWrap w:val="0"/>
            <w:vAlign w:val="top"/>
          </w:tcPr>
          <w:p w14:paraId="6E45AA89">
            <w:pPr>
              <w:jc w:val="center"/>
              <w:rPr>
                <w:rFonts w:hint="eastAsia" w:ascii="宋体" w:hAnsi="宋体" w:cs="宋体"/>
                <w:color w:val="auto"/>
                <w:highlight w:val="none"/>
              </w:rPr>
            </w:pPr>
          </w:p>
        </w:tc>
        <w:tc>
          <w:tcPr>
            <w:tcW w:w="300" w:type="pct"/>
            <w:noWrap w:val="0"/>
            <w:vAlign w:val="top"/>
          </w:tcPr>
          <w:p w14:paraId="1921577B">
            <w:pPr>
              <w:jc w:val="center"/>
              <w:rPr>
                <w:rFonts w:hint="eastAsia" w:ascii="宋体" w:hAnsi="宋体" w:cs="宋体"/>
                <w:color w:val="auto"/>
                <w:highlight w:val="none"/>
              </w:rPr>
            </w:pPr>
          </w:p>
        </w:tc>
        <w:tc>
          <w:tcPr>
            <w:tcW w:w="509" w:type="pct"/>
            <w:noWrap w:val="0"/>
            <w:vAlign w:val="top"/>
          </w:tcPr>
          <w:p w14:paraId="6990558F">
            <w:pPr>
              <w:jc w:val="center"/>
              <w:rPr>
                <w:rFonts w:hint="eastAsia" w:ascii="宋体" w:hAnsi="宋体" w:cs="宋体"/>
                <w:color w:val="auto"/>
                <w:highlight w:val="none"/>
              </w:rPr>
            </w:pPr>
          </w:p>
        </w:tc>
        <w:tc>
          <w:tcPr>
            <w:tcW w:w="699" w:type="pct"/>
            <w:noWrap w:val="0"/>
            <w:vAlign w:val="top"/>
          </w:tcPr>
          <w:p w14:paraId="1A9BCF97">
            <w:pPr>
              <w:jc w:val="center"/>
              <w:rPr>
                <w:rFonts w:hint="eastAsia" w:ascii="宋体" w:hAnsi="宋体" w:cs="宋体"/>
                <w:color w:val="auto"/>
                <w:highlight w:val="none"/>
              </w:rPr>
            </w:pPr>
          </w:p>
        </w:tc>
        <w:tc>
          <w:tcPr>
            <w:tcW w:w="404" w:type="pct"/>
            <w:noWrap w:val="0"/>
            <w:vAlign w:val="top"/>
          </w:tcPr>
          <w:p w14:paraId="42EF9574">
            <w:pPr>
              <w:jc w:val="center"/>
              <w:rPr>
                <w:rFonts w:hint="eastAsia" w:ascii="宋体" w:hAnsi="宋体" w:cs="宋体"/>
                <w:color w:val="auto"/>
                <w:highlight w:val="none"/>
              </w:rPr>
            </w:pPr>
          </w:p>
        </w:tc>
        <w:tc>
          <w:tcPr>
            <w:tcW w:w="380" w:type="pct"/>
            <w:noWrap w:val="0"/>
            <w:vAlign w:val="top"/>
          </w:tcPr>
          <w:p w14:paraId="36EE5BF0">
            <w:pPr>
              <w:jc w:val="center"/>
              <w:rPr>
                <w:rFonts w:hint="eastAsia" w:ascii="宋体" w:hAnsi="宋体" w:cs="宋体"/>
                <w:color w:val="auto"/>
                <w:highlight w:val="none"/>
              </w:rPr>
            </w:pPr>
          </w:p>
        </w:tc>
        <w:tc>
          <w:tcPr>
            <w:tcW w:w="421" w:type="pct"/>
            <w:noWrap w:val="0"/>
            <w:vAlign w:val="top"/>
          </w:tcPr>
          <w:p w14:paraId="3FE1FE26">
            <w:pPr>
              <w:jc w:val="center"/>
              <w:rPr>
                <w:rFonts w:hint="eastAsia" w:ascii="宋体" w:hAnsi="宋体" w:cs="宋体"/>
                <w:color w:val="auto"/>
                <w:highlight w:val="none"/>
              </w:rPr>
            </w:pPr>
          </w:p>
        </w:tc>
      </w:tr>
      <w:tr w14:paraId="3E0E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2EAA7D1D">
            <w:pPr>
              <w:jc w:val="center"/>
              <w:rPr>
                <w:rFonts w:hint="eastAsia" w:ascii="宋体" w:hAnsi="宋体" w:cs="宋体"/>
                <w:color w:val="auto"/>
                <w:highlight w:val="none"/>
              </w:rPr>
            </w:pPr>
            <w:r>
              <w:rPr>
                <w:rFonts w:hint="eastAsia" w:ascii="宋体" w:hAnsi="宋体" w:cs="宋体"/>
                <w:color w:val="auto"/>
                <w:highlight w:val="none"/>
              </w:rPr>
              <w:t>4</w:t>
            </w:r>
          </w:p>
        </w:tc>
        <w:tc>
          <w:tcPr>
            <w:tcW w:w="2060" w:type="dxa"/>
            <w:noWrap w:val="0"/>
            <w:vAlign w:val="center"/>
          </w:tcPr>
          <w:p w14:paraId="327814FF">
            <w:pPr>
              <w:keepNext w:val="0"/>
              <w:keepLines w:val="0"/>
              <w:widowControl/>
              <w:suppressLineNumbers w:val="0"/>
              <w:snapToGrid w:val="0"/>
              <w:jc w:val="center"/>
              <w:textAlignment w:val="center"/>
              <w:rPr>
                <w:rFonts w:hint="eastAsia" w:ascii="宋体" w:hAnsi="宋体" w:cs="宋体"/>
                <w:color w:val="auto"/>
                <w:highlight w:val="none"/>
              </w:rPr>
            </w:pPr>
            <w:r>
              <w:rPr>
                <w:rFonts w:hint="eastAsia" w:ascii="宋体" w:hAnsi="宋体" w:eastAsia="宋体" w:cs="宋体"/>
                <w:i w:val="0"/>
                <w:iCs w:val="0"/>
                <w:color w:val="000000"/>
                <w:kern w:val="0"/>
                <w:sz w:val="21"/>
                <w:szCs w:val="21"/>
                <w:u w:val="none"/>
                <w:lang w:val="en-US" w:eastAsia="zh-CN" w:bidi="ar"/>
              </w:rPr>
              <w:t>静电地板</w:t>
            </w:r>
          </w:p>
        </w:tc>
        <w:tc>
          <w:tcPr>
            <w:tcW w:w="420" w:type="pct"/>
            <w:noWrap w:val="0"/>
            <w:vAlign w:val="top"/>
          </w:tcPr>
          <w:p w14:paraId="2C76F265">
            <w:pPr>
              <w:jc w:val="center"/>
              <w:rPr>
                <w:rFonts w:hint="eastAsia" w:ascii="宋体" w:hAnsi="宋体" w:cs="宋体"/>
                <w:color w:val="auto"/>
                <w:highlight w:val="none"/>
              </w:rPr>
            </w:pPr>
          </w:p>
        </w:tc>
        <w:tc>
          <w:tcPr>
            <w:tcW w:w="532" w:type="pct"/>
            <w:noWrap w:val="0"/>
            <w:vAlign w:val="top"/>
          </w:tcPr>
          <w:p w14:paraId="62666EF6">
            <w:pPr>
              <w:jc w:val="center"/>
              <w:rPr>
                <w:rFonts w:hint="eastAsia" w:ascii="宋体" w:hAnsi="宋体" w:cs="宋体"/>
                <w:color w:val="auto"/>
                <w:highlight w:val="none"/>
              </w:rPr>
            </w:pPr>
          </w:p>
        </w:tc>
        <w:tc>
          <w:tcPr>
            <w:tcW w:w="300" w:type="pct"/>
            <w:noWrap w:val="0"/>
            <w:vAlign w:val="top"/>
          </w:tcPr>
          <w:p w14:paraId="3B24B964">
            <w:pPr>
              <w:jc w:val="center"/>
              <w:rPr>
                <w:rFonts w:hint="eastAsia" w:ascii="宋体" w:hAnsi="宋体" w:cs="宋体"/>
                <w:color w:val="auto"/>
                <w:highlight w:val="none"/>
              </w:rPr>
            </w:pPr>
          </w:p>
        </w:tc>
        <w:tc>
          <w:tcPr>
            <w:tcW w:w="300" w:type="pct"/>
            <w:noWrap w:val="0"/>
            <w:vAlign w:val="top"/>
          </w:tcPr>
          <w:p w14:paraId="5B43B1B2">
            <w:pPr>
              <w:jc w:val="center"/>
              <w:rPr>
                <w:rFonts w:hint="eastAsia" w:ascii="宋体" w:hAnsi="宋体" w:cs="宋体"/>
                <w:color w:val="auto"/>
                <w:highlight w:val="none"/>
              </w:rPr>
            </w:pPr>
          </w:p>
        </w:tc>
        <w:tc>
          <w:tcPr>
            <w:tcW w:w="509" w:type="pct"/>
            <w:noWrap w:val="0"/>
            <w:vAlign w:val="top"/>
          </w:tcPr>
          <w:p w14:paraId="2E89C301">
            <w:pPr>
              <w:jc w:val="center"/>
              <w:rPr>
                <w:rFonts w:hint="eastAsia" w:ascii="宋体" w:hAnsi="宋体" w:cs="宋体"/>
                <w:color w:val="auto"/>
                <w:highlight w:val="none"/>
              </w:rPr>
            </w:pPr>
          </w:p>
        </w:tc>
        <w:tc>
          <w:tcPr>
            <w:tcW w:w="699" w:type="pct"/>
            <w:noWrap w:val="0"/>
            <w:vAlign w:val="top"/>
          </w:tcPr>
          <w:p w14:paraId="3E1DCFF0">
            <w:pPr>
              <w:jc w:val="center"/>
              <w:rPr>
                <w:rFonts w:hint="eastAsia" w:ascii="宋体" w:hAnsi="宋体" w:cs="宋体"/>
                <w:color w:val="auto"/>
                <w:highlight w:val="none"/>
              </w:rPr>
            </w:pPr>
          </w:p>
        </w:tc>
        <w:tc>
          <w:tcPr>
            <w:tcW w:w="404" w:type="pct"/>
            <w:noWrap w:val="0"/>
            <w:vAlign w:val="top"/>
          </w:tcPr>
          <w:p w14:paraId="6B1B930B">
            <w:pPr>
              <w:jc w:val="center"/>
              <w:rPr>
                <w:rFonts w:hint="eastAsia" w:ascii="宋体" w:hAnsi="宋体" w:cs="宋体"/>
                <w:color w:val="auto"/>
                <w:highlight w:val="none"/>
              </w:rPr>
            </w:pPr>
          </w:p>
        </w:tc>
        <w:tc>
          <w:tcPr>
            <w:tcW w:w="380" w:type="pct"/>
            <w:noWrap w:val="0"/>
            <w:vAlign w:val="top"/>
          </w:tcPr>
          <w:p w14:paraId="011362AD">
            <w:pPr>
              <w:jc w:val="center"/>
              <w:rPr>
                <w:rFonts w:hint="eastAsia" w:ascii="宋体" w:hAnsi="宋体" w:cs="宋体"/>
                <w:color w:val="auto"/>
                <w:highlight w:val="none"/>
              </w:rPr>
            </w:pPr>
          </w:p>
        </w:tc>
        <w:tc>
          <w:tcPr>
            <w:tcW w:w="421" w:type="pct"/>
            <w:noWrap w:val="0"/>
            <w:vAlign w:val="top"/>
          </w:tcPr>
          <w:p w14:paraId="7B8A1935">
            <w:pPr>
              <w:jc w:val="center"/>
              <w:rPr>
                <w:rFonts w:hint="eastAsia" w:ascii="宋体" w:hAnsi="宋体" w:cs="宋体"/>
                <w:color w:val="auto"/>
                <w:highlight w:val="none"/>
              </w:rPr>
            </w:pPr>
          </w:p>
        </w:tc>
      </w:tr>
      <w:tr w14:paraId="69723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14:paraId="16DF58FE">
            <w:pPr>
              <w:jc w:val="center"/>
              <w:rPr>
                <w:rFonts w:ascii="宋体" w:hAnsi="宋体" w:cs="宋体"/>
                <w:color w:val="auto"/>
                <w:highlight w:val="none"/>
              </w:rPr>
            </w:pPr>
            <w:r>
              <w:rPr>
                <w:rFonts w:hint="eastAsia" w:ascii="宋体" w:hAnsi="宋体" w:cs="宋体"/>
                <w:color w:val="auto"/>
                <w:highlight w:val="none"/>
              </w:rPr>
              <w:t>...</w:t>
            </w:r>
          </w:p>
        </w:tc>
        <w:tc>
          <w:tcPr>
            <w:tcW w:w="724" w:type="pct"/>
            <w:noWrap w:val="0"/>
            <w:vAlign w:val="top"/>
          </w:tcPr>
          <w:p w14:paraId="05695BD1">
            <w:pPr>
              <w:jc w:val="center"/>
              <w:rPr>
                <w:rFonts w:hint="eastAsia" w:ascii="宋体" w:hAnsi="宋体" w:cs="宋体"/>
                <w:color w:val="auto"/>
                <w:highlight w:val="none"/>
              </w:rPr>
            </w:pPr>
          </w:p>
        </w:tc>
        <w:tc>
          <w:tcPr>
            <w:tcW w:w="420" w:type="pct"/>
            <w:noWrap w:val="0"/>
            <w:vAlign w:val="top"/>
          </w:tcPr>
          <w:p w14:paraId="41F499EC">
            <w:pPr>
              <w:jc w:val="center"/>
              <w:rPr>
                <w:rFonts w:hint="eastAsia" w:ascii="宋体" w:hAnsi="宋体" w:cs="宋体"/>
                <w:color w:val="auto"/>
                <w:highlight w:val="none"/>
              </w:rPr>
            </w:pPr>
          </w:p>
        </w:tc>
        <w:tc>
          <w:tcPr>
            <w:tcW w:w="532" w:type="pct"/>
            <w:noWrap w:val="0"/>
            <w:vAlign w:val="top"/>
          </w:tcPr>
          <w:p w14:paraId="2103FD20">
            <w:pPr>
              <w:jc w:val="center"/>
              <w:rPr>
                <w:rFonts w:hint="eastAsia" w:ascii="宋体" w:hAnsi="宋体" w:cs="宋体"/>
                <w:color w:val="auto"/>
                <w:highlight w:val="none"/>
              </w:rPr>
            </w:pPr>
          </w:p>
        </w:tc>
        <w:tc>
          <w:tcPr>
            <w:tcW w:w="300" w:type="pct"/>
            <w:noWrap w:val="0"/>
            <w:vAlign w:val="top"/>
          </w:tcPr>
          <w:p w14:paraId="44B5FB8E">
            <w:pPr>
              <w:jc w:val="center"/>
              <w:rPr>
                <w:rFonts w:hint="eastAsia" w:ascii="宋体" w:hAnsi="宋体" w:cs="宋体"/>
                <w:color w:val="auto"/>
                <w:highlight w:val="none"/>
              </w:rPr>
            </w:pPr>
          </w:p>
        </w:tc>
        <w:tc>
          <w:tcPr>
            <w:tcW w:w="300" w:type="pct"/>
            <w:noWrap w:val="0"/>
            <w:vAlign w:val="top"/>
          </w:tcPr>
          <w:p w14:paraId="5AB5A1C5">
            <w:pPr>
              <w:jc w:val="center"/>
              <w:rPr>
                <w:rFonts w:hint="eastAsia" w:ascii="宋体" w:hAnsi="宋体" w:cs="宋体"/>
                <w:color w:val="auto"/>
                <w:highlight w:val="none"/>
              </w:rPr>
            </w:pPr>
          </w:p>
        </w:tc>
        <w:tc>
          <w:tcPr>
            <w:tcW w:w="509" w:type="pct"/>
            <w:noWrap w:val="0"/>
            <w:vAlign w:val="top"/>
          </w:tcPr>
          <w:p w14:paraId="6CF26C76">
            <w:pPr>
              <w:jc w:val="center"/>
              <w:rPr>
                <w:rFonts w:hint="eastAsia" w:ascii="宋体" w:hAnsi="宋体" w:cs="宋体"/>
                <w:color w:val="auto"/>
                <w:highlight w:val="none"/>
              </w:rPr>
            </w:pPr>
          </w:p>
        </w:tc>
        <w:tc>
          <w:tcPr>
            <w:tcW w:w="699" w:type="pct"/>
            <w:noWrap w:val="0"/>
            <w:vAlign w:val="top"/>
          </w:tcPr>
          <w:p w14:paraId="4C839505">
            <w:pPr>
              <w:jc w:val="center"/>
              <w:rPr>
                <w:rFonts w:hint="eastAsia" w:ascii="宋体" w:hAnsi="宋体" w:cs="宋体"/>
                <w:color w:val="auto"/>
                <w:highlight w:val="none"/>
              </w:rPr>
            </w:pPr>
          </w:p>
        </w:tc>
        <w:tc>
          <w:tcPr>
            <w:tcW w:w="404" w:type="pct"/>
            <w:noWrap w:val="0"/>
            <w:vAlign w:val="top"/>
          </w:tcPr>
          <w:p w14:paraId="40D20EA7">
            <w:pPr>
              <w:jc w:val="center"/>
              <w:rPr>
                <w:rFonts w:hint="eastAsia" w:ascii="宋体" w:hAnsi="宋体" w:cs="宋体"/>
                <w:color w:val="auto"/>
                <w:highlight w:val="none"/>
              </w:rPr>
            </w:pPr>
          </w:p>
        </w:tc>
        <w:tc>
          <w:tcPr>
            <w:tcW w:w="380" w:type="pct"/>
            <w:noWrap w:val="0"/>
            <w:vAlign w:val="top"/>
          </w:tcPr>
          <w:p w14:paraId="1D1FE6B2">
            <w:pPr>
              <w:jc w:val="center"/>
              <w:rPr>
                <w:rFonts w:hint="eastAsia" w:ascii="宋体" w:hAnsi="宋体" w:cs="宋体"/>
                <w:color w:val="auto"/>
                <w:highlight w:val="none"/>
              </w:rPr>
            </w:pPr>
          </w:p>
        </w:tc>
        <w:tc>
          <w:tcPr>
            <w:tcW w:w="421" w:type="pct"/>
            <w:noWrap w:val="0"/>
            <w:vAlign w:val="top"/>
          </w:tcPr>
          <w:p w14:paraId="44C9BAE5">
            <w:pPr>
              <w:jc w:val="center"/>
              <w:rPr>
                <w:rFonts w:hint="eastAsia" w:ascii="宋体" w:hAnsi="宋体" w:cs="宋体"/>
                <w:color w:val="auto"/>
                <w:highlight w:val="none"/>
              </w:rPr>
            </w:pPr>
          </w:p>
        </w:tc>
      </w:tr>
    </w:tbl>
    <w:p w14:paraId="18D9FF03">
      <w:pPr>
        <w:jc w:val="center"/>
        <w:rPr>
          <w:rFonts w:hint="eastAsia" w:ascii="宋体" w:hAnsi="宋体" w:cs="宋体"/>
          <w:color w:val="auto"/>
          <w:highlight w:val="none"/>
        </w:rPr>
      </w:pPr>
      <w:r>
        <w:rPr>
          <w:rFonts w:hint="eastAsia" w:ascii="宋体" w:hAnsi="宋体" w:cs="宋体"/>
          <w:color w:val="auto"/>
          <w:highlight w:val="none"/>
        </w:rPr>
        <w:br w:type="textWrapping"/>
      </w:r>
    </w:p>
    <w:p w14:paraId="349398C4">
      <w:pPr>
        <w:jc w:val="center"/>
        <w:rPr>
          <w:rFonts w:hint="eastAsia" w:ascii="宋体" w:hAnsi="宋体" w:cs="宋体"/>
          <w:color w:val="auto"/>
          <w:highlight w:val="none"/>
        </w:rPr>
      </w:pPr>
      <w:bookmarkStart w:id="138" w:name="_GoBack"/>
      <w:bookmarkEnd w:id="138"/>
    </w:p>
    <w:p w14:paraId="3EAECCA4">
      <w:pPr>
        <w:jc w:val="center"/>
        <w:rPr>
          <w:rFonts w:hint="eastAsia" w:ascii="宋体" w:hAnsi="宋体" w:cs="宋体"/>
          <w:color w:val="auto"/>
          <w:highlight w:val="none"/>
        </w:rPr>
      </w:pPr>
    </w:p>
    <w:p w14:paraId="282D9E9B">
      <w:pPr>
        <w:jc w:val="center"/>
        <w:rPr>
          <w:rFonts w:hint="eastAsia" w:ascii="宋体" w:hAnsi="宋体" w:cs="宋体"/>
          <w:color w:val="auto"/>
          <w:highlight w:val="none"/>
        </w:rPr>
      </w:pPr>
    </w:p>
    <w:p w14:paraId="5936595D">
      <w:pPr>
        <w:jc w:val="center"/>
        <w:rPr>
          <w:rFonts w:hint="eastAsia" w:ascii="宋体" w:hAnsi="宋体" w:cs="宋体"/>
          <w:color w:val="auto"/>
          <w:highlight w:val="none"/>
        </w:rPr>
      </w:pPr>
    </w:p>
    <w:p w14:paraId="0C4223E9">
      <w:pPr>
        <w:pStyle w:val="39"/>
        <w:rPr>
          <w:rFonts w:hint="eastAsia" w:ascii="宋体" w:hAnsi="宋体" w:cs="宋体"/>
          <w:color w:val="auto"/>
          <w:highlight w:val="none"/>
        </w:rPr>
      </w:pPr>
    </w:p>
    <w:p w14:paraId="59E2ED94">
      <w:pPr>
        <w:rPr>
          <w:rFonts w:hint="eastAsia" w:ascii="宋体" w:hAnsi="宋体" w:cs="宋体"/>
          <w:color w:val="auto"/>
          <w:highlight w:val="none"/>
        </w:rPr>
      </w:pPr>
    </w:p>
    <w:p w14:paraId="47EF5A5B">
      <w:pPr>
        <w:pStyle w:val="39"/>
        <w:rPr>
          <w:rFonts w:hint="eastAsia" w:ascii="宋体" w:hAnsi="宋体" w:cs="宋体"/>
          <w:color w:val="auto"/>
          <w:highlight w:val="none"/>
        </w:rPr>
      </w:pPr>
    </w:p>
    <w:p w14:paraId="6196491F">
      <w:pPr>
        <w:rPr>
          <w:rFonts w:hint="eastAsia" w:ascii="宋体" w:hAnsi="宋体" w:cs="宋体"/>
          <w:color w:val="auto"/>
          <w:highlight w:val="none"/>
        </w:rPr>
      </w:pPr>
    </w:p>
    <w:p w14:paraId="5AA45FFE">
      <w:pPr>
        <w:pStyle w:val="39"/>
        <w:rPr>
          <w:rFonts w:hint="eastAsia" w:ascii="宋体" w:hAnsi="宋体" w:cs="宋体"/>
          <w:color w:val="auto"/>
          <w:highlight w:val="none"/>
        </w:rPr>
      </w:pPr>
    </w:p>
    <w:p w14:paraId="563030CD">
      <w:pPr>
        <w:rPr>
          <w:rFonts w:hint="eastAsia" w:ascii="宋体" w:hAnsi="宋体" w:cs="宋体"/>
          <w:color w:val="auto"/>
          <w:highlight w:val="none"/>
        </w:rPr>
        <w:sectPr>
          <w:footerReference r:id="rId7" w:type="default"/>
          <w:pgSz w:w="16838" w:h="11906" w:orient="landscape"/>
          <w:pgMar w:top="1365" w:right="1418" w:bottom="1588" w:left="1418" w:header="851" w:footer="907" w:gutter="0"/>
          <w:cols w:space="720" w:num="1"/>
          <w:titlePg/>
          <w:docGrid w:type="lines" w:linePitch="290" w:charSpace="0"/>
        </w:sectPr>
      </w:pPr>
    </w:p>
    <w:p w14:paraId="3C838C0B">
      <w:pPr>
        <w:pStyle w:val="5"/>
        <w:jc w:val="center"/>
        <w:rPr>
          <w:rFonts w:hint="eastAsia" w:ascii="黑体" w:eastAsia="黑体"/>
          <w:b/>
          <w:bCs/>
          <w:color w:val="auto"/>
          <w:kern w:val="0"/>
          <w:sz w:val="24"/>
          <w:szCs w:val="24"/>
          <w:highlight w:val="none"/>
          <w:lang w:eastAsia="zh-CN"/>
        </w:rPr>
      </w:pPr>
      <w:r>
        <w:rPr>
          <w:rFonts w:hint="eastAsia" w:ascii="黑体" w:eastAsia="黑体"/>
          <w:b/>
          <w:bCs/>
          <w:color w:val="auto"/>
          <w:kern w:val="0"/>
          <w:sz w:val="24"/>
          <w:szCs w:val="24"/>
          <w:highlight w:val="none"/>
          <w:lang w:val="en-US" w:eastAsia="zh-CN"/>
        </w:rPr>
        <w:t>八</w:t>
      </w:r>
      <w:r>
        <w:rPr>
          <w:rFonts w:hint="eastAsia" w:ascii="黑体" w:eastAsia="黑体"/>
          <w:b/>
          <w:bCs/>
          <w:color w:val="auto"/>
          <w:kern w:val="0"/>
          <w:sz w:val="24"/>
          <w:szCs w:val="24"/>
          <w:highlight w:val="none"/>
        </w:rPr>
        <w:t>、实质性条款响应</w:t>
      </w:r>
      <w:r>
        <w:rPr>
          <w:rFonts w:hint="eastAsia" w:ascii="黑体" w:eastAsia="黑体"/>
          <w:b/>
          <w:bCs/>
          <w:color w:val="auto"/>
          <w:kern w:val="0"/>
          <w:sz w:val="24"/>
          <w:szCs w:val="24"/>
          <w:highlight w:val="none"/>
          <w:lang w:val="en-US" w:eastAsia="zh-CN"/>
        </w:rPr>
        <w:t>偏离</w:t>
      </w:r>
      <w:r>
        <w:rPr>
          <w:rFonts w:hint="eastAsia" w:ascii="黑体" w:eastAsia="黑体"/>
          <w:b/>
          <w:bCs/>
          <w:color w:val="auto"/>
          <w:kern w:val="0"/>
          <w:sz w:val="24"/>
          <w:szCs w:val="24"/>
          <w:highlight w:val="none"/>
        </w:rPr>
        <w:t>表</w:t>
      </w:r>
      <w:r>
        <w:rPr>
          <w:rFonts w:hint="eastAsia" w:ascii="宋体" w:hAnsi="宋体" w:eastAsia="宋体" w:cs="Times New Roman"/>
          <w:b/>
          <w:bCs/>
          <w:color w:val="auto"/>
          <w:kern w:val="0"/>
          <w:sz w:val="21"/>
          <w:szCs w:val="21"/>
          <w:highlight w:val="none"/>
          <w:lang w:val="en-US" w:eastAsia="zh-CN" w:bidi="ar-SA"/>
        </w:rPr>
        <w:t>（需求清单中打“★”号条款，逐条响应）</w:t>
      </w:r>
    </w:p>
    <w:tbl>
      <w:tblPr>
        <w:tblStyle w:val="4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14:paraId="6973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noWrap w:val="0"/>
            <w:vAlign w:val="center"/>
          </w:tcPr>
          <w:p w14:paraId="465B2E30">
            <w:pPr>
              <w:adjustRightInd w:val="0"/>
              <w:snapToGrid w:val="0"/>
              <w:spacing w:line="360" w:lineRule="auto"/>
              <w:jc w:val="center"/>
              <w:rPr>
                <w:rFonts w:hint="eastAsia"/>
                <w:color w:val="auto"/>
                <w:highlight w:val="none"/>
              </w:rPr>
            </w:pPr>
            <w:r>
              <w:rPr>
                <w:rFonts w:hint="eastAsia"/>
                <w:color w:val="auto"/>
                <w:highlight w:val="none"/>
              </w:rPr>
              <w:t>序号</w:t>
            </w:r>
          </w:p>
        </w:tc>
        <w:tc>
          <w:tcPr>
            <w:tcW w:w="3434" w:type="dxa"/>
            <w:noWrap w:val="0"/>
            <w:vAlign w:val="center"/>
          </w:tcPr>
          <w:p w14:paraId="2DAD3BED">
            <w:pPr>
              <w:adjustRightInd w:val="0"/>
              <w:snapToGrid w:val="0"/>
              <w:spacing w:line="360" w:lineRule="auto"/>
              <w:jc w:val="center"/>
              <w:rPr>
                <w:rFonts w:ascii="宋体" w:hAnsi="宋体"/>
                <w:color w:val="auto"/>
                <w:kern w:val="0"/>
                <w:highlight w:val="none"/>
              </w:rPr>
            </w:pPr>
            <w:r>
              <w:rPr>
                <w:rFonts w:hint="eastAsia" w:ascii="宋体" w:hAnsi="宋体"/>
                <w:color w:val="auto"/>
                <w:kern w:val="0"/>
                <w:highlight w:val="none"/>
              </w:rPr>
              <w:t>实质性条款具体内容</w:t>
            </w:r>
          </w:p>
        </w:tc>
        <w:tc>
          <w:tcPr>
            <w:tcW w:w="1523" w:type="dxa"/>
            <w:noWrap w:val="0"/>
            <w:vAlign w:val="center"/>
          </w:tcPr>
          <w:p w14:paraId="5C4CBDF1">
            <w:pPr>
              <w:adjustRightInd w:val="0"/>
              <w:snapToGrid w:val="0"/>
              <w:spacing w:line="360" w:lineRule="auto"/>
              <w:jc w:val="center"/>
              <w:rPr>
                <w:rFonts w:ascii="宋体" w:hAnsi="宋体"/>
                <w:color w:val="auto"/>
                <w:kern w:val="0"/>
                <w:highlight w:val="none"/>
              </w:rPr>
            </w:pPr>
            <w:r>
              <w:rPr>
                <w:rFonts w:hint="eastAsia" w:ascii="宋体" w:hAnsi="宋体"/>
                <w:color w:val="auto"/>
                <w:kern w:val="0"/>
                <w:highlight w:val="none"/>
              </w:rPr>
              <w:t>要求</w:t>
            </w:r>
          </w:p>
        </w:tc>
        <w:tc>
          <w:tcPr>
            <w:tcW w:w="1247" w:type="dxa"/>
            <w:noWrap w:val="0"/>
            <w:vAlign w:val="center"/>
          </w:tcPr>
          <w:p w14:paraId="42F28043">
            <w:pPr>
              <w:adjustRightInd w:val="0"/>
              <w:snapToGrid w:val="0"/>
              <w:spacing w:line="360" w:lineRule="auto"/>
              <w:jc w:val="center"/>
              <w:rPr>
                <w:rFonts w:ascii="宋体" w:hAnsi="宋体"/>
                <w:color w:val="auto"/>
                <w:kern w:val="0"/>
                <w:highlight w:val="none"/>
              </w:rPr>
            </w:pPr>
            <w:r>
              <w:rPr>
                <w:rFonts w:hint="eastAsia"/>
                <w:color w:val="auto"/>
                <w:highlight w:val="none"/>
              </w:rPr>
              <w:t>投标响应</w:t>
            </w:r>
          </w:p>
        </w:tc>
        <w:tc>
          <w:tcPr>
            <w:tcW w:w="1136" w:type="dxa"/>
            <w:noWrap w:val="0"/>
            <w:vAlign w:val="center"/>
          </w:tcPr>
          <w:p w14:paraId="54FE2B2C">
            <w:pPr>
              <w:adjustRightInd w:val="0"/>
              <w:snapToGrid w:val="0"/>
              <w:spacing w:line="360" w:lineRule="auto"/>
              <w:jc w:val="center"/>
              <w:rPr>
                <w:rFonts w:ascii="宋体" w:hAnsi="宋体"/>
                <w:color w:val="auto"/>
                <w:kern w:val="0"/>
                <w:highlight w:val="none"/>
              </w:rPr>
            </w:pPr>
            <w:r>
              <w:rPr>
                <w:rFonts w:hint="eastAsia"/>
                <w:color w:val="auto"/>
                <w:highlight w:val="none"/>
              </w:rPr>
              <w:t>偏离情况</w:t>
            </w:r>
          </w:p>
        </w:tc>
        <w:tc>
          <w:tcPr>
            <w:tcW w:w="1136" w:type="dxa"/>
            <w:noWrap w:val="0"/>
            <w:vAlign w:val="center"/>
          </w:tcPr>
          <w:p w14:paraId="66AB48C9">
            <w:pPr>
              <w:adjustRightInd w:val="0"/>
              <w:snapToGrid w:val="0"/>
              <w:spacing w:line="360" w:lineRule="auto"/>
              <w:jc w:val="center"/>
              <w:rPr>
                <w:rFonts w:hint="eastAsia" w:ascii="宋体" w:hAnsi="宋体" w:eastAsia="宋体"/>
                <w:color w:val="auto"/>
                <w:kern w:val="0"/>
                <w:highlight w:val="none"/>
                <w:lang w:eastAsia="zh-CN"/>
              </w:rPr>
            </w:pPr>
            <w:r>
              <w:rPr>
                <w:rFonts w:hint="eastAsia"/>
                <w:color w:val="auto"/>
                <w:highlight w:val="none"/>
                <w:lang w:val="en-US" w:eastAsia="zh-CN"/>
              </w:rPr>
              <w:t>备注</w:t>
            </w:r>
          </w:p>
        </w:tc>
      </w:tr>
      <w:tr w14:paraId="15D4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14:paraId="18850E8E">
            <w:pPr>
              <w:adjustRightInd w:val="0"/>
              <w:snapToGrid w:val="0"/>
              <w:spacing w:line="360" w:lineRule="auto"/>
              <w:jc w:val="center"/>
              <w:rPr>
                <w:rFonts w:hint="eastAsia"/>
                <w:color w:val="auto"/>
                <w:highlight w:val="none"/>
              </w:rPr>
            </w:pPr>
            <w:r>
              <w:rPr>
                <w:rFonts w:hint="eastAsia"/>
                <w:color w:val="auto"/>
                <w:highlight w:val="none"/>
              </w:rPr>
              <w:t>1</w:t>
            </w:r>
          </w:p>
        </w:tc>
        <w:tc>
          <w:tcPr>
            <w:tcW w:w="3434" w:type="dxa"/>
            <w:noWrap w:val="0"/>
            <w:vAlign w:val="center"/>
          </w:tcPr>
          <w:p w14:paraId="58F2ABDA">
            <w:pPr>
              <w:adjustRightInd w:val="0"/>
              <w:snapToGrid w:val="0"/>
              <w:spacing w:line="360" w:lineRule="auto"/>
              <w:jc w:val="center"/>
              <w:rPr>
                <w:rFonts w:hAnsi="宋体"/>
                <w:color w:val="auto"/>
                <w:kern w:val="0"/>
                <w:highlight w:val="none"/>
              </w:rPr>
            </w:pPr>
            <w:r>
              <w:rPr>
                <w:rFonts w:hint="eastAsia"/>
                <w:color w:val="auto"/>
                <w:highlight w:val="none"/>
              </w:rPr>
              <w:t>满足本项目标★的条款要求</w:t>
            </w:r>
          </w:p>
        </w:tc>
        <w:tc>
          <w:tcPr>
            <w:tcW w:w="1523" w:type="dxa"/>
            <w:noWrap w:val="0"/>
            <w:vAlign w:val="center"/>
          </w:tcPr>
          <w:p w14:paraId="27310319">
            <w:pPr>
              <w:adjustRightInd w:val="0"/>
              <w:snapToGrid w:val="0"/>
              <w:spacing w:line="360" w:lineRule="auto"/>
              <w:jc w:val="center"/>
              <w:rPr>
                <w:rFonts w:ascii="宋体" w:hAnsi="宋体"/>
                <w:color w:val="auto"/>
                <w:kern w:val="0"/>
                <w:highlight w:val="none"/>
              </w:rPr>
            </w:pPr>
          </w:p>
        </w:tc>
        <w:tc>
          <w:tcPr>
            <w:tcW w:w="1247" w:type="dxa"/>
            <w:noWrap w:val="0"/>
            <w:vAlign w:val="center"/>
          </w:tcPr>
          <w:p w14:paraId="11186A93">
            <w:pPr>
              <w:adjustRightInd w:val="0"/>
              <w:snapToGrid w:val="0"/>
              <w:spacing w:line="360" w:lineRule="auto"/>
              <w:jc w:val="center"/>
              <w:rPr>
                <w:rFonts w:ascii="宋体" w:hAnsi="宋体"/>
                <w:color w:val="auto"/>
                <w:kern w:val="0"/>
                <w:highlight w:val="none"/>
              </w:rPr>
            </w:pPr>
          </w:p>
        </w:tc>
        <w:tc>
          <w:tcPr>
            <w:tcW w:w="1136" w:type="dxa"/>
            <w:noWrap w:val="0"/>
            <w:vAlign w:val="center"/>
          </w:tcPr>
          <w:p w14:paraId="17A4A874">
            <w:pPr>
              <w:adjustRightInd w:val="0"/>
              <w:snapToGrid w:val="0"/>
              <w:spacing w:line="360" w:lineRule="auto"/>
              <w:jc w:val="center"/>
              <w:rPr>
                <w:rFonts w:ascii="宋体" w:hAnsi="宋体"/>
                <w:color w:val="auto"/>
                <w:kern w:val="0"/>
                <w:highlight w:val="none"/>
              </w:rPr>
            </w:pPr>
          </w:p>
        </w:tc>
        <w:tc>
          <w:tcPr>
            <w:tcW w:w="1136" w:type="dxa"/>
            <w:noWrap w:val="0"/>
            <w:vAlign w:val="center"/>
          </w:tcPr>
          <w:p w14:paraId="572C0E58">
            <w:pPr>
              <w:adjustRightInd w:val="0"/>
              <w:snapToGrid w:val="0"/>
              <w:spacing w:line="360" w:lineRule="auto"/>
              <w:jc w:val="center"/>
              <w:rPr>
                <w:rFonts w:ascii="宋体" w:hAnsi="宋体"/>
                <w:color w:val="auto"/>
                <w:kern w:val="0"/>
                <w:highlight w:val="none"/>
              </w:rPr>
            </w:pPr>
          </w:p>
        </w:tc>
      </w:tr>
      <w:tr w14:paraId="35A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14:paraId="14460D86">
            <w:pPr>
              <w:adjustRightInd w:val="0"/>
              <w:snapToGrid w:val="0"/>
              <w:spacing w:line="360" w:lineRule="auto"/>
              <w:jc w:val="center"/>
              <w:rPr>
                <w:rFonts w:hint="eastAsia"/>
                <w:color w:val="auto"/>
                <w:highlight w:val="none"/>
              </w:rPr>
            </w:pPr>
            <w:r>
              <w:rPr>
                <w:rFonts w:hint="eastAsia"/>
                <w:color w:val="auto"/>
                <w:highlight w:val="none"/>
              </w:rPr>
              <w:t>2</w:t>
            </w:r>
          </w:p>
        </w:tc>
        <w:tc>
          <w:tcPr>
            <w:tcW w:w="3434" w:type="dxa"/>
            <w:noWrap w:val="0"/>
            <w:vAlign w:val="center"/>
          </w:tcPr>
          <w:p w14:paraId="284002D6">
            <w:pPr>
              <w:adjustRightInd w:val="0"/>
              <w:snapToGrid w:val="0"/>
              <w:spacing w:line="360" w:lineRule="auto"/>
              <w:jc w:val="center"/>
              <w:rPr>
                <w:color w:val="auto"/>
                <w:highlight w:val="none"/>
              </w:rPr>
            </w:pPr>
            <w:r>
              <w:rPr>
                <w:rFonts w:hint="eastAsia"/>
                <w:color w:val="auto"/>
                <w:highlight w:val="none"/>
              </w:rPr>
              <w:t>...</w:t>
            </w:r>
          </w:p>
        </w:tc>
        <w:tc>
          <w:tcPr>
            <w:tcW w:w="1523" w:type="dxa"/>
            <w:noWrap w:val="0"/>
            <w:vAlign w:val="center"/>
          </w:tcPr>
          <w:p w14:paraId="1BA1C2C4">
            <w:pPr>
              <w:adjustRightInd w:val="0"/>
              <w:snapToGrid w:val="0"/>
              <w:spacing w:line="360" w:lineRule="auto"/>
              <w:jc w:val="center"/>
              <w:rPr>
                <w:rFonts w:ascii="宋体" w:hAnsi="宋体"/>
                <w:color w:val="auto"/>
                <w:kern w:val="0"/>
                <w:highlight w:val="none"/>
              </w:rPr>
            </w:pPr>
          </w:p>
        </w:tc>
        <w:tc>
          <w:tcPr>
            <w:tcW w:w="1247" w:type="dxa"/>
            <w:noWrap w:val="0"/>
            <w:vAlign w:val="center"/>
          </w:tcPr>
          <w:p w14:paraId="4C457599">
            <w:pPr>
              <w:adjustRightInd w:val="0"/>
              <w:snapToGrid w:val="0"/>
              <w:spacing w:line="360" w:lineRule="auto"/>
              <w:jc w:val="center"/>
              <w:rPr>
                <w:rFonts w:ascii="宋体" w:hAnsi="宋体"/>
                <w:color w:val="auto"/>
                <w:kern w:val="0"/>
                <w:highlight w:val="none"/>
              </w:rPr>
            </w:pPr>
          </w:p>
        </w:tc>
        <w:tc>
          <w:tcPr>
            <w:tcW w:w="1136" w:type="dxa"/>
            <w:noWrap w:val="0"/>
            <w:vAlign w:val="center"/>
          </w:tcPr>
          <w:p w14:paraId="42EA5404">
            <w:pPr>
              <w:adjustRightInd w:val="0"/>
              <w:snapToGrid w:val="0"/>
              <w:spacing w:line="360" w:lineRule="auto"/>
              <w:jc w:val="center"/>
              <w:rPr>
                <w:rFonts w:ascii="宋体" w:hAnsi="宋体"/>
                <w:color w:val="auto"/>
                <w:kern w:val="0"/>
                <w:highlight w:val="none"/>
              </w:rPr>
            </w:pPr>
          </w:p>
        </w:tc>
        <w:tc>
          <w:tcPr>
            <w:tcW w:w="1136" w:type="dxa"/>
            <w:noWrap w:val="0"/>
            <w:vAlign w:val="center"/>
          </w:tcPr>
          <w:p w14:paraId="74B4D2FD">
            <w:pPr>
              <w:adjustRightInd w:val="0"/>
              <w:snapToGrid w:val="0"/>
              <w:spacing w:line="360" w:lineRule="auto"/>
              <w:jc w:val="center"/>
              <w:rPr>
                <w:rFonts w:ascii="宋体" w:hAnsi="宋体"/>
                <w:color w:val="auto"/>
                <w:kern w:val="0"/>
                <w:highlight w:val="none"/>
              </w:rPr>
            </w:pPr>
          </w:p>
        </w:tc>
      </w:tr>
      <w:tr w14:paraId="5DCA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14:paraId="4711E6BC">
            <w:pPr>
              <w:adjustRightInd w:val="0"/>
              <w:snapToGrid w:val="0"/>
              <w:spacing w:line="360" w:lineRule="auto"/>
              <w:jc w:val="center"/>
              <w:rPr>
                <w:color w:val="auto"/>
                <w:highlight w:val="none"/>
              </w:rPr>
            </w:pPr>
            <w:r>
              <w:rPr>
                <w:rFonts w:hint="eastAsia"/>
                <w:color w:val="auto"/>
                <w:highlight w:val="none"/>
              </w:rPr>
              <w:t>3</w:t>
            </w:r>
          </w:p>
        </w:tc>
        <w:tc>
          <w:tcPr>
            <w:tcW w:w="3434" w:type="dxa"/>
            <w:noWrap w:val="0"/>
            <w:vAlign w:val="center"/>
          </w:tcPr>
          <w:p w14:paraId="6F55D279">
            <w:pPr>
              <w:adjustRightInd w:val="0"/>
              <w:snapToGrid w:val="0"/>
              <w:spacing w:line="360" w:lineRule="auto"/>
              <w:jc w:val="center"/>
              <w:rPr>
                <w:color w:val="auto"/>
                <w:highlight w:val="none"/>
              </w:rPr>
            </w:pPr>
            <w:r>
              <w:rPr>
                <w:rFonts w:hint="eastAsia"/>
                <w:color w:val="auto"/>
                <w:highlight w:val="none"/>
              </w:rPr>
              <w:t>...</w:t>
            </w:r>
          </w:p>
        </w:tc>
        <w:tc>
          <w:tcPr>
            <w:tcW w:w="1523" w:type="dxa"/>
            <w:noWrap w:val="0"/>
            <w:vAlign w:val="center"/>
          </w:tcPr>
          <w:p w14:paraId="7EF99EA3">
            <w:pPr>
              <w:adjustRightInd w:val="0"/>
              <w:snapToGrid w:val="0"/>
              <w:spacing w:line="360" w:lineRule="auto"/>
              <w:jc w:val="center"/>
              <w:rPr>
                <w:rFonts w:ascii="宋体" w:hAnsi="宋体"/>
                <w:color w:val="auto"/>
                <w:kern w:val="0"/>
                <w:highlight w:val="none"/>
              </w:rPr>
            </w:pPr>
          </w:p>
        </w:tc>
        <w:tc>
          <w:tcPr>
            <w:tcW w:w="1247" w:type="dxa"/>
            <w:noWrap w:val="0"/>
            <w:vAlign w:val="center"/>
          </w:tcPr>
          <w:p w14:paraId="0B8D665B">
            <w:pPr>
              <w:adjustRightInd w:val="0"/>
              <w:snapToGrid w:val="0"/>
              <w:spacing w:line="360" w:lineRule="auto"/>
              <w:jc w:val="center"/>
              <w:rPr>
                <w:rFonts w:ascii="宋体" w:hAnsi="宋体"/>
                <w:color w:val="auto"/>
                <w:kern w:val="0"/>
                <w:highlight w:val="none"/>
              </w:rPr>
            </w:pPr>
          </w:p>
        </w:tc>
        <w:tc>
          <w:tcPr>
            <w:tcW w:w="1136" w:type="dxa"/>
            <w:noWrap w:val="0"/>
            <w:vAlign w:val="center"/>
          </w:tcPr>
          <w:p w14:paraId="1BED9680">
            <w:pPr>
              <w:adjustRightInd w:val="0"/>
              <w:snapToGrid w:val="0"/>
              <w:spacing w:line="360" w:lineRule="auto"/>
              <w:jc w:val="center"/>
              <w:rPr>
                <w:rFonts w:ascii="宋体" w:hAnsi="宋体"/>
                <w:color w:val="auto"/>
                <w:kern w:val="0"/>
                <w:highlight w:val="none"/>
              </w:rPr>
            </w:pPr>
          </w:p>
        </w:tc>
        <w:tc>
          <w:tcPr>
            <w:tcW w:w="1136" w:type="dxa"/>
            <w:noWrap w:val="0"/>
            <w:vAlign w:val="center"/>
          </w:tcPr>
          <w:p w14:paraId="3419318E">
            <w:pPr>
              <w:adjustRightInd w:val="0"/>
              <w:snapToGrid w:val="0"/>
              <w:spacing w:line="360" w:lineRule="auto"/>
              <w:jc w:val="center"/>
              <w:rPr>
                <w:rFonts w:ascii="宋体" w:hAnsi="宋体"/>
                <w:color w:val="auto"/>
                <w:kern w:val="0"/>
                <w:highlight w:val="none"/>
              </w:rPr>
            </w:pPr>
          </w:p>
        </w:tc>
      </w:tr>
    </w:tbl>
    <w:p w14:paraId="10092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kern w:val="0"/>
          <w:sz w:val="21"/>
          <w:szCs w:val="21"/>
          <w:highlight w:val="none"/>
          <w:lang w:val="en-US" w:eastAsia="zh-CN" w:bidi="ar-SA"/>
        </w:rPr>
      </w:pPr>
    </w:p>
    <w:p w14:paraId="11296C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说明：</w:t>
      </w:r>
    </w:p>
    <w:p w14:paraId="3FE8F3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1.上表所列各项均为不可负偏离条款。</w:t>
      </w:r>
    </w:p>
    <w:p w14:paraId="6CB11A9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2.根据采购文件第三章“用户需求书中”打“★”号条款，逐条详细填写投标人自身响应情况，并列明具体响应数值或内容。</w:t>
      </w:r>
    </w:p>
    <w:p w14:paraId="65D1CB7A">
      <w:pPr>
        <w:pStyle w:val="39"/>
        <w:keepNext w:val="0"/>
        <w:keepLines w:val="0"/>
        <w:pageBreakBefore w:val="0"/>
        <w:kinsoku/>
        <w:wordWrap/>
        <w:overflowPunct/>
        <w:topLinePunct w:val="0"/>
        <w:autoSpaceDE/>
        <w:autoSpaceDN/>
        <w:bidi w:val="0"/>
        <w:adjustRightInd/>
        <w:spacing w:line="240" w:lineRule="auto"/>
        <w:textAlignment w:val="auto"/>
        <w:rPr>
          <w:rFonts w:hint="default"/>
          <w:color w:val="auto"/>
          <w:highlight w:val="none"/>
          <w:lang w:val="en-US" w:eastAsia="zh-CN"/>
        </w:rPr>
      </w:pPr>
      <w:r>
        <w:rPr>
          <w:rFonts w:hint="eastAsia" w:ascii="宋体" w:hAnsi="宋体" w:eastAsia="宋体" w:cs="Times New Roman"/>
          <w:color w:val="auto"/>
          <w:kern w:val="0"/>
          <w:highlight w:val="none"/>
          <w:lang w:val="en-US" w:eastAsia="zh-CN"/>
        </w:rPr>
        <w:t>3.要求提供佐证材料的，需在“</w:t>
      </w:r>
      <w:r>
        <w:rPr>
          <w:rFonts w:hint="eastAsia" w:cs="Times New Roman"/>
          <w:color w:val="auto"/>
          <w:kern w:val="0"/>
          <w:highlight w:val="none"/>
          <w:lang w:val="en-US" w:eastAsia="zh-CN"/>
        </w:rPr>
        <w:t>备注</w:t>
      </w:r>
      <w:r>
        <w:rPr>
          <w:rFonts w:hint="eastAsia" w:ascii="宋体" w:hAnsi="宋体" w:eastAsia="宋体" w:cs="Times New Roman"/>
          <w:color w:val="auto"/>
          <w:kern w:val="0"/>
          <w:highlight w:val="none"/>
          <w:lang w:val="en-US" w:eastAsia="zh-CN"/>
        </w:rPr>
        <w:t>”栏中说明佐证材料在投标文件中的具体位置及页码。</w:t>
      </w:r>
    </w:p>
    <w:p w14:paraId="2276515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auto"/>
          <w:kern w:val="0"/>
          <w:sz w:val="21"/>
          <w:szCs w:val="20"/>
          <w:highlight w:val="none"/>
          <w:lang w:val="en-US" w:eastAsia="zh-CN" w:bidi="ar-SA"/>
        </w:rPr>
      </w:pPr>
      <w:r>
        <w:rPr>
          <w:rFonts w:hint="eastAsia" w:ascii="宋体" w:hAnsi="宋体" w:eastAsia="宋体" w:cs="Times New Roman"/>
          <w:color w:val="auto"/>
          <w:kern w:val="0"/>
          <w:sz w:val="21"/>
          <w:szCs w:val="20"/>
          <w:highlight w:val="none"/>
          <w:lang w:val="en-US" w:eastAsia="zh-CN" w:bidi="ar-SA"/>
        </w:rPr>
        <w:t>未按要求提供佐证材料或提供的佐证资料显示不符合参数要求的、模糊不清无法判断或未显示出是否满足参数要求的，均视为负偏离。只注明符合、满足等无具体内容表述的或者照搬照抄招实质性条款具体内容，将视为未实质性满足</w:t>
      </w:r>
      <w:r>
        <w:rPr>
          <w:rFonts w:hint="eastAsia" w:ascii="宋体" w:hAnsi="宋体" w:cs="Times New Roman"/>
          <w:color w:val="auto"/>
          <w:kern w:val="0"/>
          <w:sz w:val="21"/>
          <w:szCs w:val="20"/>
          <w:highlight w:val="none"/>
          <w:lang w:val="en-US" w:eastAsia="zh-CN" w:bidi="ar-SA"/>
        </w:rPr>
        <w:t>招标</w:t>
      </w:r>
      <w:r>
        <w:rPr>
          <w:rFonts w:hint="eastAsia" w:ascii="宋体" w:hAnsi="宋体" w:eastAsia="宋体" w:cs="Times New Roman"/>
          <w:color w:val="auto"/>
          <w:kern w:val="0"/>
          <w:sz w:val="21"/>
          <w:szCs w:val="20"/>
          <w:highlight w:val="none"/>
          <w:lang w:val="en-US" w:eastAsia="zh-CN" w:bidi="ar-SA"/>
        </w:rPr>
        <w:t>文件要求，投标无效。</w:t>
      </w:r>
    </w:p>
    <w:p w14:paraId="029B0C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color w:val="auto"/>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12EB5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color w:val="auto"/>
          <w:highlight w:val="none"/>
        </w:rPr>
        <w:t>4.评审委员会有权根据实质性条款响应情况作出评判。</w:t>
      </w:r>
    </w:p>
    <w:p w14:paraId="62264F0A">
      <w:pPr>
        <w:pStyle w:val="34"/>
        <w:jc w:val="both"/>
        <w:rPr>
          <w:rFonts w:hint="eastAsia" w:ascii="Times New Roman" w:eastAsia="宋体"/>
          <w:color w:val="auto"/>
          <w:szCs w:val="21"/>
          <w:highlight w:val="none"/>
        </w:rPr>
      </w:pPr>
    </w:p>
    <w:p w14:paraId="50ADAB0E">
      <w:pPr>
        <w:pStyle w:val="5"/>
        <w:jc w:val="center"/>
        <w:rPr>
          <w:rFonts w:hint="eastAsia" w:ascii="黑体" w:hAnsi="黑体" w:eastAsia="黑体" w:cs="黑体"/>
          <w:b/>
          <w:bCs/>
          <w:color w:val="auto"/>
          <w:sz w:val="21"/>
          <w:szCs w:val="21"/>
          <w:highlight w:val="none"/>
        </w:rPr>
      </w:pPr>
      <w:r>
        <w:rPr>
          <w:rFonts w:hint="eastAsia" w:ascii="黑体" w:eastAsia="黑体"/>
          <w:b/>
          <w:bCs/>
          <w:color w:val="auto"/>
          <w:kern w:val="0"/>
          <w:sz w:val="24"/>
          <w:szCs w:val="24"/>
          <w:highlight w:val="none"/>
          <w:lang w:val="en-US" w:eastAsia="zh-CN"/>
        </w:rPr>
        <w:t>九</w:t>
      </w:r>
      <w:r>
        <w:rPr>
          <w:rFonts w:hint="eastAsia" w:ascii="黑体" w:eastAsia="黑体"/>
          <w:b/>
          <w:bCs/>
          <w:color w:val="auto"/>
          <w:kern w:val="0"/>
          <w:sz w:val="24"/>
          <w:szCs w:val="24"/>
          <w:highlight w:val="none"/>
        </w:rPr>
        <w:t>、</w:t>
      </w:r>
      <w:r>
        <w:rPr>
          <w:rFonts w:hint="eastAsia" w:ascii="黑体" w:hAnsi="黑体" w:eastAsia="黑体" w:cs="黑体"/>
          <w:b/>
          <w:bCs/>
          <w:color w:val="auto"/>
          <w:sz w:val="24"/>
          <w:szCs w:val="24"/>
          <w:highlight w:val="none"/>
        </w:rPr>
        <w:t>商务条款偏离表</w:t>
      </w:r>
    </w:p>
    <w:tbl>
      <w:tblPr>
        <w:tblStyle w:val="40"/>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8"/>
        <w:gridCol w:w="2108"/>
        <w:gridCol w:w="1532"/>
        <w:gridCol w:w="2539"/>
      </w:tblGrid>
      <w:tr w14:paraId="65F6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14:paraId="4026D2E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9" w:type="pct"/>
            <w:noWrap w:val="0"/>
            <w:vAlign w:val="top"/>
          </w:tcPr>
          <w:p w14:paraId="48AF1B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商务条款</w:t>
            </w:r>
          </w:p>
        </w:tc>
        <w:tc>
          <w:tcPr>
            <w:tcW w:w="1149" w:type="pct"/>
            <w:noWrap w:val="0"/>
            <w:vAlign w:val="top"/>
          </w:tcPr>
          <w:p w14:paraId="5E12DFF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投标商务响应</w:t>
            </w:r>
          </w:p>
        </w:tc>
        <w:tc>
          <w:tcPr>
            <w:tcW w:w="835" w:type="pct"/>
            <w:noWrap w:val="0"/>
            <w:vAlign w:val="top"/>
          </w:tcPr>
          <w:p w14:paraId="20E2AF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84" w:type="pct"/>
            <w:noWrap w:val="0"/>
            <w:vAlign w:val="top"/>
          </w:tcPr>
          <w:p w14:paraId="4A43113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2B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14:paraId="56A89EB3">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48A3F6F4">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2A52F83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35" w:type="pct"/>
            <w:noWrap w:val="0"/>
            <w:vAlign w:val="top"/>
          </w:tcPr>
          <w:p w14:paraId="74796E18">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84" w:type="pct"/>
            <w:noWrap w:val="0"/>
            <w:vAlign w:val="top"/>
          </w:tcPr>
          <w:p w14:paraId="4B36547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45FE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14:paraId="7050F56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04CA416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4D257A4F">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35" w:type="pct"/>
            <w:noWrap w:val="0"/>
            <w:vAlign w:val="top"/>
          </w:tcPr>
          <w:p w14:paraId="511C3F0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84" w:type="pct"/>
            <w:noWrap w:val="0"/>
            <w:vAlign w:val="top"/>
          </w:tcPr>
          <w:p w14:paraId="5D001AE3">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08F4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14:paraId="2DEDE53B">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397CB384">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692003BA">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35" w:type="pct"/>
            <w:noWrap w:val="0"/>
            <w:vAlign w:val="top"/>
          </w:tcPr>
          <w:p w14:paraId="3617E89E">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84" w:type="pct"/>
            <w:noWrap w:val="0"/>
            <w:vAlign w:val="top"/>
          </w:tcPr>
          <w:p w14:paraId="58EFEA1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176E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14:paraId="28A18C6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3C00DB3E">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149" w:type="pct"/>
            <w:noWrap w:val="0"/>
            <w:vAlign w:val="top"/>
          </w:tcPr>
          <w:p w14:paraId="213B6CB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835" w:type="pct"/>
            <w:noWrap w:val="0"/>
            <w:vAlign w:val="top"/>
          </w:tcPr>
          <w:p w14:paraId="4277CFEF">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384" w:type="pct"/>
            <w:noWrap w:val="0"/>
            <w:vAlign w:val="top"/>
          </w:tcPr>
          <w:p w14:paraId="165875B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r>
    </w:tbl>
    <w:p w14:paraId="150D8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14:paraId="23817F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w:t>
      </w:r>
    </w:p>
    <w:p w14:paraId="6D642A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kern w:val="0"/>
          <w:highlight w:val="none"/>
          <w:lang w:val="en-US" w:eastAsia="zh-CN"/>
        </w:rPr>
        <w:t>1.根据采购文件第三章“用户需求书中”商务条款，逐条详细填写投标人自身响应情况。要求提供佐证材料的，需在“原因说明”栏中说明佐证材料在投标文件中的具体位置及页码。</w:t>
      </w:r>
    </w:p>
    <w:p w14:paraId="184CC01E">
      <w:pPr>
        <w:rPr>
          <w:rFonts w:hint="eastAsia"/>
          <w:color w:val="auto"/>
          <w:highlight w:val="none"/>
          <w:lang w:val="en-US" w:eastAsia="zh-CN"/>
        </w:rPr>
      </w:pPr>
    </w:p>
    <w:p w14:paraId="28B4D39D">
      <w:pPr>
        <w:pStyle w:val="5"/>
        <w:numPr>
          <w:ilvl w:val="0"/>
          <w:numId w:val="0"/>
        </w:numPr>
        <w:ind w:firstLine="361" w:firstLineChars="150"/>
        <w:jc w:val="cente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kern w:val="2"/>
          <w:sz w:val="24"/>
          <w:szCs w:val="24"/>
          <w:lang w:val="en-US" w:eastAsia="zh-CN" w:bidi="ar-SA"/>
        </w:rPr>
        <w:t>十、</w:t>
      </w:r>
      <w:r>
        <w:rPr>
          <w:rFonts w:hint="eastAsia" w:ascii="黑体" w:hAnsi="黑体" w:eastAsia="黑体" w:cs="黑体"/>
          <w:b/>
          <w:bCs/>
          <w:color w:val="auto"/>
          <w:sz w:val="24"/>
          <w:szCs w:val="24"/>
          <w:highlight w:val="none"/>
          <w:lang w:val="en-US" w:eastAsia="zh-CN"/>
        </w:rPr>
        <w:t>项目实施方案（格式自定）</w:t>
      </w:r>
    </w:p>
    <w:p w14:paraId="7F5E42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特别提示：</w:t>
      </w:r>
    </w:p>
    <w:p w14:paraId="3DF742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供应商需根据商务技术评审因素，逐项响应！</w:t>
      </w:r>
    </w:p>
    <w:p w14:paraId="57F06340">
      <w:pPr>
        <w:pStyle w:val="39"/>
        <w:rPr>
          <w:rFonts w:hint="eastAsia" w:ascii="黑体" w:hAnsi="宋体" w:eastAsia="黑体"/>
          <w:b/>
          <w:color w:val="auto"/>
          <w:sz w:val="24"/>
          <w:highlight w:val="none"/>
          <w:lang w:val="en-US" w:eastAsia="zh-CN"/>
        </w:rPr>
      </w:pPr>
    </w:p>
    <w:p w14:paraId="49E64D2D">
      <w:pPr>
        <w:rPr>
          <w:rFonts w:ascii="黑体" w:hAnsi="宋体" w:eastAsia="黑体"/>
          <w:bCs/>
          <w:color w:val="auto"/>
          <w:sz w:val="24"/>
          <w:highlight w:val="none"/>
        </w:rPr>
      </w:pPr>
    </w:p>
    <w:bookmarkEnd w:id="54"/>
    <w:bookmarkEnd w:id="55"/>
    <w:p w14:paraId="1C07354E">
      <w:pPr>
        <w:jc w:val="left"/>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b/>
          <w:color w:val="auto"/>
          <w:sz w:val="44"/>
          <w:szCs w:val="44"/>
          <w:highlight w:val="none"/>
        </w:rPr>
        <w:t>投标文件附件</w:t>
      </w:r>
    </w:p>
    <w:p w14:paraId="07BEB279">
      <w:pPr>
        <w:pStyle w:val="5"/>
        <w:jc w:val="center"/>
        <w:rPr>
          <w:b/>
          <w:bCs/>
          <w:color w:val="auto"/>
          <w:sz w:val="24"/>
          <w:highlight w:val="none"/>
        </w:rPr>
      </w:pPr>
      <w:r>
        <w:rPr>
          <w:rFonts w:hint="eastAsia" w:ascii="黑体" w:eastAsia="黑体"/>
          <w:b/>
          <w:bCs/>
          <w:color w:val="auto"/>
          <w:sz w:val="24"/>
          <w:highlight w:val="none"/>
          <w:lang w:val="en-US" w:eastAsia="zh-CN"/>
        </w:rPr>
        <w:t>附件</w:t>
      </w:r>
      <w:r>
        <w:rPr>
          <w:rFonts w:hint="eastAsia" w:ascii="黑体" w:eastAsia="黑体"/>
          <w:b/>
          <w:bCs/>
          <w:color w:val="auto"/>
          <w:sz w:val="24"/>
          <w:highlight w:val="none"/>
        </w:rPr>
        <w:t>一、</w:t>
      </w:r>
      <w:bookmarkStart w:id="62" w:name="_Hlk72092499"/>
      <w:r>
        <w:rPr>
          <w:rFonts w:hint="eastAsia" w:ascii="黑体" w:eastAsia="黑体"/>
          <w:b/>
          <w:bCs/>
          <w:color w:val="auto"/>
          <w:sz w:val="24"/>
          <w:highlight w:val="none"/>
        </w:rPr>
        <w:t>法定代表人（负责人）证明书</w:t>
      </w:r>
      <w:bookmarkEnd w:id="62"/>
    </w:p>
    <w:p w14:paraId="0D7EDD94">
      <w:pPr>
        <w:spacing w:line="360" w:lineRule="auto"/>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同志，身份证号码：</w:t>
      </w:r>
      <w:r>
        <w:rPr>
          <w:rFonts w:hint="eastAsia"/>
          <w:color w:val="auto"/>
          <w:highlight w:val="none"/>
          <w:u w:val="single"/>
        </w:rPr>
        <w:t xml:space="preserve">               </w:t>
      </w:r>
      <w:r>
        <w:rPr>
          <w:rFonts w:hint="eastAsia"/>
          <w:color w:val="auto"/>
          <w:highlight w:val="none"/>
        </w:rPr>
        <w:t>，现任我单位</w:t>
      </w:r>
      <w:r>
        <w:rPr>
          <w:rFonts w:hint="eastAsia"/>
          <w:color w:val="auto"/>
          <w:highlight w:val="none"/>
          <w:u w:val="single"/>
        </w:rPr>
        <w:t xml:space="preserve">         </w:t>
      </w:r>
      <w:r>
        <w:rPr>
          <w:rFonts w:hint="eastAsia"/>
          <w:color w:val="auto"/>
          <w:highlight w:val="none"/>
        </w:rPr>
        <w:t>职务，为法定代表人（负责人），特此证明。</w:t>
      </w:r>
    </w:p>
    <w:tbl>
      <w:tblPr>
        <w:tblStyle w:val="40"/>
        <w:tblpPr w:leftFromText="180" w:rightFromText="180" w:vertAnchor="text" w:horzAnchor="page" w:tblpX="2368" w:tblpY="250"/>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14:paraId="3D18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14:paraId="4868863A">
            <w:pPr>
              <w:rPr>
                <w:rFonts w:hint="eastAsia"/>
                <w:color w:val="auto"/>
                <w:highlight w:val="none"/>
              </w:rPr>
            </w:pPr>
          </w:p>
          <w:p w14:paraId="456DCEDF">
            <w:pPr>
              <w:pStyle w:val="2"/>
              <w:rPr>
                <w:rFonts w:hint="eastAsia"/>
                <w:color w:val="auto"/>
                <w:highlight w:val="none"/>
              </w:rPr>
            </w:pPr>
          </w:p>
          <w:p w14:paraId="7792483D">
            <w:pPr>
              <w:jc w:val="center"/>
              <w:rPr>
                <w:rFonts w:hint="eastAsia"/>
                <w:color w:val="auto"/>
                <w:highlight w:val="none"/>
              </w:rPr>
            </w:pPr>
            <w:r>
              <w:rPr>
                <w:rFonts w:hint="eastAsia" w:ascii="宋体" w:hAnsi="宋体"/>
                <w:color w:val="auto"/>
                <w:highlight w:val="none"/>
              </w:rPr>
              <w:t>★粘贴：</w:t>
            </w:r>
            <w:r>
              <w:rPr>
                <w:rFonts w:hint="eastAsia"/>
                <w:color w:val="auto"/>
                <w:highlight w:val="none"/>
              </w:rPr>
              <w:t>法定代表人（负责人）身份证扫描件（正反两面）；</w:t>
            </w:r>
          </w:p>
          <w:p w14:paraId="520B8341">
            <w:pPr>
              <w:jc w:val="center"/>
              <w:rPr>
                <w:rFonts w:hint="eastAsia" w:ascii="宋体" w:hAnsi="宋体"/>
                <w:color w:val="auto"/>
                <w:highlight w:val="none"/>
              </w:rPr>
            </w:pPr>
            <w:r>
              <w:rPr>
                <w:rFonts w:hint="eastAsia"/>
                <w:color w:val="auto"/>
                <w:highlight w:val="none"/>
              </w:rPr>
              <w:t>非中国国籍管辖范围人员，可提供公安部门认可的身份证明材料扫描件。</w:t>
            </w:r>
          </w:p>
          <w:p w14:paraId="6F9C6219">
            <w:pPr>
              <w:pStyle w:val="3"/>
              <w:widowControl w:val="0"/>
              <w:ind w:firstLine="480"/>
              <w:rPr>
                <w:rFonts w:hint="eastAsia"/>
                <w:color w:val="auto"/>
                <w:highlight w:val="none"/>
              </w:rPr>
            </w:pPr>
          </w:p>
        </w:tc>
      </w:tr>
    </w:tbl>
    <w:p w14:paraId="3F741893">
      <w:pPr>
        <w:pStyle w:val="2"/>
        <w:rPr>
          <w:rFonts w:hint="eastAsia"/>
          <w:color w:val="auto"/>
          <w:szCs w:val="21"/>
          <w:highlight w:val="none"/>
        </w:rPr>
      </w:pPr>
      <w:r>
        <w:rPr>
          <w:rFonts w:hint="eastAsia"/>
          <w:color w:val="auto"/>
          <w:szCs w:val="21"/>
          <w:highlight w:val="none"/>
        </w:rPr>
        <w:t xml:space="preserve">       </w:t>
      </w:r>
    </w:p>
    <w:p w14:paraId="3FECC4B6">
      <w:pPr>
        <w:pStyle w:val="2"/>
        <w:rPr>
          <w:color w:val="auto"/>
          <w:szCs w:val="21"/>
          <w:highlight w:val="none"/>
        </w:rPr>
      </w:pPr>
      <w:r>
        <w:rPr>
          <w:rFonts w:hint="eastAsia"/>
          <w:color w:val="auto"/>
          <w:szCs w:val="21"/>
          <w:highlight w:val="none"/>
        </w:rPr>
        <w:t xml:space="preserve">                                         </w:t>
      </w:r>
    </w:p>
    <w:p w14:paraId="773DE556">
      <w:pPr>
        <w:ind w:firstLine="480"/>
        <w:rPr>
          <w:rFonts w:hint="eastAsia"/>
          <w:color w:val="auto"/>
          <w:highlight w:val="none"/>
        </w:rPr>
      </w:pPr>
    </w:p>
    <w:p w14:paraId="0644C83D">
      <w:pPr>
        <w:ind w:firstLine="480"/>
        <w:rPr>
          <w:rFonts w:hint="eastAsia"/>
          <w:color w:val="auto"/>
          <w:highlight w:val="none"/>
        </w:rPr>
      </w:pPr>
    </w:p>
    <w:p w14:paraId="180798D1">
      <w:pPr>
        <w:ind w:firstLine="480"/>
        <w:rPr>
          <w:rFonts w:hint="eastAsia"/>
          <w:color w:val="auto"/>
          <w:highlight w:val="none"/>
        </w:rPr>
      </w:pPr>
    </w:p>
    <w:p w14:paraId="01C55AB3">
      <w:pPr>
        <w:ind w:firstLine="480"/>
        <w:rPr>
          <w:rFonts w:hint="eastAsia"/>
          <w:color w:val="auto"/>
          <w:highlight w:val="none"/>
        </w:rPr>
      </w:pPr>
    </w:p>
    <w:p w14:paraId="19EDD645">
      <w:pPr>
        <w:ind w:firstLine="480"/>
        <w:rPr>
          <w:rFonts w:hint="eastAsia"/>
          <w:color w:val="auto"/>
          <w:highlight w:val="none"/>
        </w:rPr>
      </w:pPr>
    </w:p>
    <w:p w14:paraId="7C4BB0CA">
      <w:pPr>
        <w:ind w:firstLine="480"/>
        <w:rPr>
          <w:rFonts w:hint="eastAsia"/>
          <w:color w:val="auto"/>
          <w:highlight w:val="none"/>
        </w:rPr>
      </w:pPr>
      <w:r>
        <w:rPr>
          <w:rFonts w:hint="eastAsia"/>
          <w:color w:val="auto"/>
          <w:highlight w:val="none"/>
        </w:rPr>
        <w:t>说明：</w:t>
      </w:r>
    </w:p>
    <w:p w14:paraId="1416B5D5">
      <w:pPr>
        <w:ind w:firstLine="480"/>
        <w:rPr>
          <w:color w:val="auto"/>
          <w:highlight w:val="none"/>
        </w:rPr>
      </w:pPr>
      <w:r>
        <w:rPr>
          <w:rFonts w:hint="eastAsia"/>
          <w:color w:val="auto"/>
          <w:highlight w:val="none"/>
        </w:rPr>
        <w:t>1、法定代表人为投标人（企业事业单位、国家机关、社会团体）的主要行政负责人。</w:t>
      </w:r>
      <w:r>
        <w:rPr>
          <w:color w:val="auto"/>
          <w:highlight w:val="none"/>
        </w:rPr>
        <w:t>对于银行、保险、电信、邮政、铁路等行业以及获得总公司投标授权的分公司，可以提供投标分支机构负责人授权书</w:t>
      </w:r>
    </w:p>
    <w:p w14:paraId="62D4AD59">
      <w:pPr>
        <w:spacing w:line="360" w:lineRule="auto"/>
        <w:ind w:firstLine="420" w:firstLineChars="200"/>
        <w:rPr>
          <w:rFonts w:hint="eastAsia"/>
          <w:color w:val="auto"/>
          <w:highlight w:val="none"/>
        </w:rPr>
      </w:pPr>
      <w:r>
        <w:rPr>
          <w:color w:val="auto"/>
          <w:highlight w:val="none"/>
        </w:rPr>
        <w:t xml:space="preserve"> </w:t>
      </w:r>
      <w:r>
        <w:rPr>
          <w:rFonts w:hint="eastAsia"/>
          <w:color w:val="auto"/>
          <w:highlight w:val="none"/>
        </w:rPr>
        <w:t>2、内容必须填写真实、清楚，涂改无效，不得转让、买卖。</w:t>
      </w:r>
    </w:p>
    <w:p w14:paraId="4D5009E1">
      <w:pPr>
        <w:pStyle w:val="39"/>
        <w:rPr>
          <w:rFonts w:hint="eastAsia"/>
          <w:color w:val="auto"/>
          <w:highlight w:val="none"/>
        </w:rPr>
      </w:pPr>
    </w:p>
    <w:p w14:paraId="1151916B">
      <w:pPr>
        <w:jc w:val="center"/>
        <w:rPr>
          <w:color w:val="auto"/>
          <w:highlight w:val="none"/>
        </w:rPr>
      </w:pPr>
      <w:r>
        <w:rPr>
          <w:rFonts w:hint="eastAsia"/>
          <w:color w:val="auto"/>
          <w:highlight w:val="none"/>
          <w:lang w:val="en-US" w:eastAsia="zh-CN"/>
        </w:rPr>
        <w:t xml:space="preserve">                                                 </w:t>
      </w:r>
      <w:r>
        <w:rPr>
          <w:color w:val="auto"/>
          <w:highlight w:val="none"/>
        </w:rPr>
        <w:t>投标人</w:t>
      </w:r>
      <w:r>
        <w:rPr>
          <w:rFonts w:hint="eastAsia"/>
          <w:color w:val="auto"/>
          <w:highlight w:val="none"/>
        </w:rPr>
        <w:t>（</w:t>
      </w:r>
      <w:r>
        <w:rPr>
          <w:color w:val="auto"/>
          <w:highlight w:val="none"/>
        </w:rPr>
        <w:t>签章</w:t>
      </w:r>
      <w:r>
        <w:rPr>
          <w:rFonts w:hint="eastAsia"/>
          <w:color w:val="auto"/>
          <w:highlight w:val="none"/>
        </w:rPr>
        <w:t>）</w:t>
      </w:r>
      <w:r>
        <w:rPr>
          <w:color w:val="auto"/>
          <w:highlight w:val="none"/>
        </w:rPr>
        <w:t>：_________________</w:t>
      </w:r>
    </w:p>
    <w:p w14:paraId="3CBE8D45">
      <w:pPr>
        <w:jc w:val="center"/>
        <w:rPr>
          <w:rFonts w:hint="eastAsia"/>
          <w:color w:val="auto"/>
          <w:highlight w:val="none"/>
        </w:rPr>
      </w:pPr>
      <w:r>
        <w:rPr>
          <w:rFonts w:hint="eastAsia"/>
          <w:color w:val="auto"/>
          <w:highlight w:val="none"/>
        </w:rPr>
        <w:t xml:space="preserve">                                                 </w:t>
      </w: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color w:val="auto"/>
          <w:sz w:val="24"/>
          <w:highlight w:val="none"/>
        </w:rPr>
        <w:t xml:space="preserve"> </w:t>
      </w:r>
    </w:p>
    <w:p w14:paraId="68371D46">
      <w:pPr>
        <w:rPr>
          <w:rFonts w:hint="default" w:eastAsia="宋体"/>
          <w:color w:val="auto"/>
          <w:highlight w:val="none"/>
          <w:lang w:val="en-US" w:eastAsia="zh-CN"/>
        </w:rPr>
      </w:pPr>
    </w:p>
    <w:p w14:paraId="6079627A">
      <w:pPr>
        <w:pStyle w:val="5"/>
        <w:spacing w:before="120" w:after="120"/>
        <w:ind w:firstLine="2289" w:firstLineChars="950"/>
        <w:jc w:val="both"/>
        <w:rPr>
          <w:rFonts w:hint="eastAsia" w:ascii="黑体" w:eastAsia="黑体"/>
          <w:b/>
          <w:bCs/>
          <w:color w:val="auto"/>
          <w:sz w:val="24"/>
          <w:highlight w:val="none"/>
          <w:lang w:val="en-US" w:eastAsia="zh-CN"/>
        </w:rPr>
      </w:pPr>
    </w:p>
    <w:p w14:paraId="618DA657">
      <w:pPr>
        <w:pStyle w:val="5"/>
        <w:spacing w:before="120" w:after="120"/>
        <w:ind w:firstLine="2289" w:firstLineChars="950"/>
        <w:jc w:val="both"/>
        <w:rPr>
          <w:rFonts w:hint="eastAsia" w:ascii="黑体" w:eastAsia="黑体"/>
          <w:b/>
          <w:bCs/>
          <w:color w:val="auto"/>
          <w:sz w:val="24"/>
          <w:highlight w:val="none"/>
          <w:lang w:val="en-US" w:eastAsia="zh-CN"/>
        </w:rPr>
      </w:pPr>
    </w:p>
    <w:p w14:paraId="3F89A39E">
      <w:pPr>
        <w:pStyle w:val="5"/>
        <w:spacing w:before="120" w:after="120"/>
        <w:ind w:firstLine="2289" w:firstLineChars="950"/>
        <w:jc w:val="both"/>
        <w:rPr>
          <w:rFonts w:ascii="黑体" w:eastAsia="黑体"/>
          <w:b/>
          <w:bCs/>
          <w:color w:val="auto"/>
          <w:sz w:val="24"/>
          <w:highlight w:val="none"/>
        </w:rPr>
      </w:pPr>
      <w:r>
        <w:rPr>
          <w:rFonts w:hint="eastAsia" w:ascii="黑体" w:eastAsia="黑体"/>
          <w:b/>
          <w:bCs/>
          <w:color w:val="auto"/>
          <w:sz w:val="24"/>
          <w:highlight w:val="none"/>
          <w:lang w:val="en-US" w:eastAsia="zh-CN"/>
        </w:rPr>
        <w:t>附件</w:t>
      </w:r>
      <w:r>
        <w:rPr>
          <w:rFonts w:hint="eastAsia" w:ascii="黑体" w:eastAsia="黑体"/>
          <w:b/>
          <w:bCs/>
          <w:color w:val="auto"/>
          <w:sz w:val="24"/>
          <w:highlight w:val="none"/>
        </w:rPr>
        <w:t>二、投标文件签署授权委托书</w:t>
      </w:r>
    </w:p>
    <w:p w14:paraId="5B6082BC">
      <w:pPr>
        <w:spacing w:line="360" w:lineRule="auto"/>
        <w:ind w:firstLine="420" w:firstLineChars="200"/>
        <w:rPr>
          <w:rFonts w:hint="eastAsia"/>
          <w:color w:val="auto"/>
          <w:highlight w:val="none"/>
        </w:rPr>
      </w:pPr>
      <w:r>
        <w:rPr>
          <w:rFonts w:hint="eastAsia"/>
          <w:color w:val="auto"/>
          <w:highlight w:val="none"/>
        </w:rPr>
        <w:t>本授权委托书声明：我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（投标人名称）的法定代表人（负责人），现授权委托</w:t>
      </w:r>
      <w:r>
        <w:rPr>
          <w:rFonts w:hint="eastAsia"/>
          <w:color w:val="auto"/>
          <w:highlight w:val="none"/>
          <w:u w:val="single"/>
        </w:rPr>
        <w:t xml:space="preserve">            </w:t>
      </w:r>
      <w:r>
        <w:rPr>
          <w:rFonts w:hint="eastAsia"/>
          <w:color w:val="auto"/>
          <w:highlight w:val="none"/>
        </w:rPr>
        <w:t>（姓名）为我单位签署本项目已递交的投标文件的法定代表人（负责人）的授权委托代理人，并以我单位的名义签署响应书和响应文件，与贵单位协商、澄清、解释，质疑，签订合同书并执行一切与此有关的事项。代理人全权代表我所签署的本项目已递交的投标文件内容我均承认。</w:t>
      </w:r>
    </w:p>
    <w:p w14:paraId="69472794">
      <w:pPr>
        <w:pStyle w:val="9"/>
        <w:spacing w:line="360" w:lineRule="auto"/>
        <w:rPr>
          <w:rFonts w:hint="eastAsia"/>
          <w:color w:val="auto"/>
          <w:highlight w:val="none"/>
        </w:rPr>
      </w:pPr>
      <w:r>
        <w:rPr>
          <w:rFonts w:hint="eastAsia"/>
          <w:color w:val="auto"/>
          <w:highlight w:val="none"/>
        </w:rPr>
        <w:t>代理人无转委托权，特此委托。</w:t>
      </w:r>
    </w:p>
    <w:p w14:paraId="16A7630B">
      <w:pPr>
        <w:rPr>
          <w:color w:val="auto"/>
          <w:highlight w:val="none"/>
        </w:rPr>
      </w:pPr>
    </w:p>
    <w:tbl>
      <w:tblPr>
        <w:tblStyle w:val="40"/>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14:paraId="0D08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14:paraId="396AF335">
            <w:pPr>
              <w:rPr>
                <w:rFonts w:hint="eastAsia"/>
                <w:color w:val="auto"/>
                <w:highlight w:val="none"/>
              </w:rPr>
            </w:pPr>
          </w:p>
          <w:p w14:paraId="1FEF8B9D">
            <w:pPr>
              <w:pStyle w:val="2"/>
              <w:rPr>
                <w:rFonts w:hint="eastAsia"/>
                <w:color w:val="auto"/>
                <w:highlight w:val="none"/>
              </w:rPr>
            </w:pPr>
          </w:p>
          <w:p w14:paraId="4A897AEB">
            <w:pPr>
              <w:ind w:firstLine="1470" w:firstLineChars="700"/>
              <w:rPr>
                <w:rFonts w:hint="eastAsia" w:ascii="宋体" w:hAnsi="宋体"/>
                <w:bCs/>
                <w:color w:val="auto"/>
                <w:highlight w:val="none"/>
              </w:rPr>
            </w:pPr>
            <w:r>
              <w:rPr>
                <w:rFonts w:hint="eastAsia" w:ascii="宋体" w:hAnsi="宋体"/>
                <w:color w:val="auto"/>
                <w:highlight w:val="none"/>
              </w:rPr>
              <w:t>★粘贴：</w:t>
            </w:r>
            <w:r>
              <w:rPr>
                <w:rFonts w:hint="eastAsia"/>
                <w:bCs/>
                <w:color w:val="auto"/>
                <w:highlight w:val="none"/>
              </w:rPr>
              <w:t>代理人身份证扫描件（正反两面）</w:t>
            </w:r>
          </w:p>
          <w:p w14:paraId="37A3A855">
            <w:pPr>
              <w:pStyle w:val="3"/>
              <w:widowControl w:val="0"/>
              <w:ind w:firstLine="480"/>
              <w:rPr>
                <w:rFonts w:hint="eastAsia"/>
                <w:color w:val="auto"/>
                <w:highlight w:val="none"/>
              </w:rPr>
            </w:pPr>
          </w:p>
        </w:tc>
      </w:tr>
    </w:tbl>
    <w:p w14:paraId="20E6B46D">
      <w:pPr>
        <w:pStyle w:val="9"/>
        <w:spacing w:line="360" w:lineRule="auto"/>
        <w:rPr>
          <w:color w:val="auto"/>
          <w:highlight w:val="none"/>
        </w:rPr>
      </w:pPr>
    </w:p>
    <w:p w14:paraId="77929891">
      <w:pPr>
        <w:spacing w:line="360" w:lineRule="auto"/>
        <w:ind w:left="540" w:leftChars="257"/>
        <w:rPr>
          <w:rFonts w:hint="eastAsia"/>
          <w:color w:val="auto"/>
          <w:highlight w:val="none"/>
        </w:rPr>
      </w:pPr>
    </w:p>
    <w:p w14:paraId="2F4DCF76">
      <w:pPr>
        <w:spacing w:line="360" w:lineRule="auto"/>
        <w:ind w:left="540" w:leftChars="257"/>
        <w:rPr>
          <w:rFonts w:hint="eastAsia"/>
          <w:color w:val="auto"/>
          <w:highlight w:val="none"/>
        </w:rPr>
      </w:pPr>
    </w:p>
    <w:p w14:paraId="23751D68">
      <w:pPr>
        <w:spacing w:line="360" w:lineRule="auto"/>
        <w:ind w:left="540" w:leftChars="257"/>
        <w:rPr>
          <w:rFonts w:hint="eastAsia"/>
          <w:color w:val="auto"/>
          <w:highlight w:val="none"/>
        </w:rPr>
      </w:pPr>
    </w:p>
    <w:p w14:paraId="05F72B66">
      <w:pPr>
        <w:spacing w:line="360" w:lineRule="auto"/>
        <w:ind w:left="540" w:leftChars="257"/>
        <w:rPr>
          <w:rFonts w:hint="eastAsia"/>
          <w:color w:val="auto"/>
          <w:highlight w:val="none"/>
        </w:rPr>
      </w:pPr>
    </w:p>
    <w:p w14:paraId="550389FD">
      <w:pPr>
        <w:spacing w:line="360" w:lineRule="auto"/>
        <w:ind w:left="540" w:leftChars="257"/>
        <w:rPr>
          <w:rFonts w:hint="eastAsia"/>
          <w:color w:val="auto"/>
          <w:highlight w:val="none"/>
        </w:rPr>
      </w:pPr>
    </w:p>
    <w:p w14:paraId="4402F799">
      <w:pPr>
        <w:spacing w:line="360" w:lineRule="auto"/>
        <w:ind w:left="540" w:leftChars="257"/>
        <w:rPr>
          <w:rFonts w:hint="eastAsia"/>
          <w:color w:val="auto"/>
          <w:highlight w:val="none"/>
        </w:rPr>
      </w:pPr>
    </w:p>
    <w:p w14:paraId="59C05E68">
      <w:pPr>
        <w:spacing w:line="360" w:lineRule="auto"/>
        <w:ind w:left="540" w:leftChars="257"/>
        <w:rPr>
          <w:rFonts w:hint="eastAsia"/>
          <w:color w:val="auto"/>
          <w:highlight w:val="none"/>
        </w:rPr>
      </w:pPr>
    </w:p>
    <w:p w14:paraId="64C2D55A">
      <w:pPr>
        <w:spacing w:line="360" w:lineRule="auto"/>
        <w:ind w:left="540" w:leftChars="257"/>
        <w:rPr>
          <w:color w:val="auto"/>
          <w:highlight w:val="none"/>
          <w:u w:val="single"/>
        </w:rPr>
      </w:pPr>
      <w:r>
        <w:rPr>
          <w:rFonts w:hint="eastAsia"/>
          <w:color w:val="auto"/>
          <w:highlight w:val="none"/>
        </w:rPr>
        <w:t>代理人：</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068A2395">
      <w:pPr>
        <w:spacing w:line="360" w:lineRule="auto"/>
        <w:ind w:left="540" w:leftChars="257"/>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手机：</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7FDA98B8">
      <w:pPr>
        <w:spacing w:line="360" w:lineRule="auto"/>
        <w:ind w:left="540" w:leftChars="257"/>
        <w:rPr>
          <w:color w:val="auto"/>
          <w:highlight w:val="none"/>
          <w:u w:val="single"/>
        </w:rPr>
      </w:pPr>
      <w:r>
        <w:rPr>
          <w:rFonts w:hint="eastAsia"/>
          <w:color w:val="auto"/>
          <w:highlight w:val="none"/>
        </w:rPr>
        <w:t>身份证号码：</w:t>
      </w:r>
      <w:r>
        <w:rPr>
          <w:rFonts w:hint="eastAsia"/>
          <w:color w:val="auto"/>
          <w:highlight w:val="none"/>
          <w:u w:val="single"/>
        </w:rPr>
        <w:t xml:space="preserve">                      </w:t>
      </w:r>
      <w:r>
        <w:rPr>
          <w:rFonts w:hint="eastAsia"/>
          <w:color w:val="auto"/>
          <w:highlight w:val="none"/>
        </w:rPr>
        <w:t>职务：</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273CD44D">
      <w:pPr>
        <w:spacing w:line="360" w:lineRule="auto"/>
        <w:ind w:left="540" w:leftChars="257"/>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4A2B3C2D">
      <w:pPr>
        <w:jc w:val="center"/>
        <w:rPr>
          <w:rFonts w:hint="eastAsia"/>
          <w:color w:val="auto"/>
          <w:highlight w:val="none"/>
        </w:rPr>
      </w:pPr>
      <w:r>
        <w:rPr>
          <w:rFonts w:hint="eastAsia" w:eastAsia="楷体_GB2312"/>
          <w:color w:val="auto"/>
          <w:highlight w:val="none"/>
        </w:rPr>
        <w:t xml:space="preserve"> </w:t>
      </w:r>
      <w:r>
        <w:rPr>
          <w:rFonts w:hint="eastAsia"/>
          <w:color w:val="auto"/>
          <w:highlight w:val="none"/>
        </w:rPr>
        <w:t xml:space="preserve">                                           </w:t>
      </w:r>
    </w:p>
    <w:p w14:paraId="0633932D">
      <w:pPr>
        <w:jc w:val="center"/>
        <w:rPr>
          <w:rFonts w:hint="eastAsia"/>
          <w:color w:val="auto"/>
          <w:highlight w:val="none"/>
        </w:rPr>
      </w:pPr>
      <w:r>
        <w:rPr>
          <w:rFonts w:hint="eastAsia"/>
          <w:color w:val="auto"/>
          <w:highlight w:val="none"/>
        </w:rPr>
        <w:t xml:space="preserve">                                                    </w:t>
      </w:r>
    </w:p>
    <w:p w14:paraId="2D627093">
      <w:pPr>
        <w:jc w:val="center"/>
        <w:rPr>
          <w:color w:val="auto"/>
          <w:highlight w:val="none"/>
        </w:rPr>
      </w:pPr>
      <w:r>
        <w:rPr>
          <w:rFonts w:hint="eastAsia"/>
          <w:color w:val="auto"/>
          <w:highlight w:val="none"/>
        </w:rPr>
        <w:t xml:space="preserve">                                                </w:t>
      </w:r>
      <w:r>
        <w:rPr>
          <w:color w:val="auto"/>
          <w:highlight w:val="none"/>
        </w:rPr>
        <w:t>投标人</w:t>
      </w:r>
      <w:r>
        <w:rPr>
          <w:rFonts w:hint="eastAsia"/>
          <w:color w:val="auto"/>
          <w:highlight w:val="none"/>
        </w:rPr>
        <w:t>（</w:t>
      </w:r>
      <w:r>
        <w:rPr>
          <w:color w:val="auto"/>
          <w:highlight w:val="none"/>
        </w:rPr>
        <w:t>签章</w:t>
      </w:r>
      <w:r>
        <w:rPr>
          <w:rFonts w:hint="eastAsia"/>
          <w:color w:val="auto"/>
          <w:highlight w:val="none"/>
        </w:rPr>
        <w:t>）</w:t>
      </w:r>
      <w:r>
        <w:rPr>
          <w:color w:val="auto"/>
          <w:highlight w:val="none"/>
        </w:rPr>
        <w:t>：_________________</w:t>
      </w:r>
    </w:p>
    <w:p w14:paraId="172784F3">
      <w:pPr>
        <w:jc w:val="center"/>
        <w:rPr>
          <w:rFonts w:hint="eastAsia"/>
          <w:color w:val="auto"/>
          <w:highlight w:val="none"/>
        </w:rPr>
      </w:pPr>
      <w:r>
        <w:rPr>
          <w:rFonts w:hint="eastAsia"/>
          <w:color w:val="auto"/>
          <w:highlight w:val="none"/>
        </w:rPr>
        <w:t xml:space="preserve">                                                 </w:t>
      </w: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color w:val="auto"/>
          <w:sz w:val="24"/>
          <w:highlight w:val="none"/>
        </w:rPr>
        <w:t xml:space="preserve"> </w:t>
      </w:r>
    </w:p>
    <w:p w14:paraId="4E694BF4">
      <w:pPr>
        <w:spacing w:line="360" w:lineRule="auto"/>
        <w:ind w:firstLine="422" w:firstLineChars="200"/>
        <w:rPr>
          <w:b/>
          <w:color w:val="auto"/>
          <w:highlight w:val="none"/>
        </w:rPr>
      </w:pPr>
    </w:p>
    <w:p w14:paraId="35C8679E">
      <w:pPr>
        <w:pStyle w:val="2"/>
        <w:kinsoku w:val="0"/>
        <w:overflowPunct w:val="0"/>
        <w:spacing w:before="34" w:line="357" w:lineRule="auto"/>
        <w:ind w:right="126" w:firstLine="48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附件</w:t>
      </w:r>
      <w:r>
        <w:rPr>
          <w:rFonts w:hint="eastAsia" w:ascii="黑体" w:hAnsi="黑体" w:eastAsia="黑体" w:cs="黑体"/>
          <w:b/>
          <w:bCs/>
          <w:color w:val="auto"/>
          <w:sz w:val="24"/>
          <w:szCs w:val="24"/>
          <w:highlight w:val="none"/>
        </w:rPr>
        <w:t>三、投标保证金缴纳凭证</w:t>
      </w:r>
    </w:p>
    <w:p w14:paraId="5889D782">
      <w:pPr>
        <w:pStyle w:val="2"/>
        <w:kinsoku w:val="0"/>
        <w:overflowPunct w:val="0"/>
        <w:rPr>
          <w:rFonts w:hint="eastAsia" w:ascii="宋体" w:hAnsi="宋体" w:eastAsia="宋体"/>
          <w:b/>
          <w:bCs/>
          <w:color w:val="auto"/>
          <w:sz w:val="21"/>
          <w:szCs w:val="21"/>
          <w:highlight w:val="none"/>
        </w:rPr>
      </w:pPr>
    </w:p>
    <w:p w14:paraId="41659835">
      <w:pPr>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 xml:space="preserve">  巴州政务服务和公共资源交易中心</w:t>
      </w:r>
    </w:p>
    <w:p w14:paraId="39855F29">
      <w:pPr>
        <w:ind w:firstLine="420" w:firstLineChars="200"/>
        <w:rPr>
          <w:rFonts w:hint="eastAsia" w:ascii="宋体" w:hAnsi="宋体"/>
          <w:color w:val="auto"/>
          <w:highlight w:val="none"/>
        </w:rPr>
      </w:pPr>
      <w:r>
        <w:rPr>
          <w:rFonts w:hint="eastAsia" w:ascii="宋体" w:hAnsi="宋体"/>
          <w:color w:val="auto"/>
          <w:highlight w:val="none"/>
        </w:rPr>
        <w:t>我方于</w:t>
      </w:r>
      <w:r>
        <w:rPr>
          <w:rFonts w:hint="eastAsia" w:ascii="宋体" w:hAnsi="宋体"/>
          <w:color w:val="auto"/>
          <w:highlight w:val="none"/>
        </w:rPr>
        <w:tab/>
      </w:r>
      <w:r>
        <w:rPr>
          <w:rFonts w:hint="eastAsia" w:ascii="宋体" w:hAnsi="宋体"/>
          <w:color w:val="auto"/>
          <w:highlight w:val="none"/>
        </w:rPr>
        <w:t xml:space="preserve">   年</w:t>
      </w:r>
      <w:r>
        <w:rPr>
          <w:rFonts w:hint="eastAsia" w:ascii="宋体" w:hAnsi="宋体"/>
          <w:color w:val="auto"/>
          <w:highlight w:val="none"/>
        </w:rPr>
        <w:tab/>
      </w:r>
      <w:r>
        <w:rPr>
          <w:rFonts w:hint="eastAsia" w:ascii="宋体" w:hAnsi="宋体"/>
          <w:color w:val="auto"/>
          <w:highlight w:val="none"/>
        </w:rPr>
        <w:t>月</w:t>
      </w:r>
      <w:r>
        <w:rPr>
          <w:rFonts w:hint="eastAsia" w:ascii="宋体" w:hAnsi="宋体"/>
          <w:color w:val="auto"/>
          <w:highlight w:val="none"/>
        </w:rPr>
        <w:tab/>
      </w:r>
      <w:r>
        <w:rPr>
          <w:rFonts w:hint="eastAsia" w:ascii="宋体" w:hAnsi="宋体"/>
          <w:color w:val="auto"/>
          <w:highlight w:val="none"/>
        </w:rPr>
        <w:t xml:space="preserve"> 日参加</w:t>
      </w:r>
      <w:r>
        <w:rPr>
          <w:rFonts w:hint="eastAsia" w:ascii="宋体" w:hAnsi="宋体"/>
          <w:color w:val="auto"/>
          <w:highlight w:val="none"/>
        </w:rPr>
        <w:tab/>
      </w:r>
      <w:r>
        <w:rPr>
          <w:rFonts w:hint="eastAsia" w:ascii="宋体" w:hAnsi="宋体"/>
          <w:color w:val="auto"/>
          <w:highlight w:val="none"/>
        </w:rPr>
        <w:t>（项目名称）   的投标，现保证：我方在规定的投标有效期内撤销或修改投标文件的，或者在收到中标通知书后无正当理由拒签合同或拒交规定履约担保的，投标保证金不予退还。</w:t>
      </w:r>
    </w:p>
    <w:p w14:paraId="58FA6B15">
      <w:pPr>
        <w:ind w:firstLine="420" w:firstLineChars="200"/>
        <w:rPr>
          <w:rFonts w:hint="eastAsia" w:ascii="宋体" w:hAnsi="宋体"/>
          <w:color w:val="auto"/>
          <w:highlight w:val="none"/>
        </w:rPr>
      </w:pPr>
    </w:p>
    <w:p w14:paraId="1C181C2E">
      <w:pPr>
        <w:jc w:val="center"/>
        <w:rPr>
          <w:rFonts w:hint="eastAsia"/>
          <w:color w:val="auto"/>
          <w:highlight w:val="none"/>
        </w:rPr>
      </w:pPr>
      <w:r>
        <w:rPr>
          <w:rFonts w:hint="eastAsia"/>
          <w:color w:val="auto"/>
          <w:highlight w:val="none"/>
        </w:rPr>
        <w:t xml:space="preserve">                                              </w:t>
      </w:r>
    </w:p>
    <w:tbl>
      <w:tblPr>
        <w:tblStyle w:val="40"/>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14:paraId="7F2D2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14:paraId="52590C33">
            <w:pPr>
              <w:rPr>
                <w:rFonts w:hint="eastAsia"/>
                <w:color w:val="auto"/>
                <w:highlight w:val="none"/>
              </w:rPr>
            </w:pPr>
          </w:p>
          <w:p w14:paraId="241AC7D5">
            <w:pPr>
              <w:pStyle w:val="2"/>
              <w:rPr>
                <w:rFonts w:hint="eastAsia"/>
                <w:color w:val="auto"/>
                <w:highlight w:val="none"/>
              </w:rPr>
            </w:pPr>
          </w:p>
          <w:p w14:paraId="2E6218BC">
            <w:pPr>
              <w:ind w:firstLine="1470" w:firstLineChars="700"/>
              <w:rPr>
                <w:rFonts w:hint="eastAsia" w:ascii="宋体" w:hAnsi="宋体"/>
                <w:color w:val="auto"/>
                <w:highlight w:val="none"/>
              </w:rPr>
            </w:pPr>
            <w:r>
              <w:rPr>
                <w:rFonts w:hint="eastAsia" w:ascii="宋体" w:hAnsi="宋体"/>
                <w:color w:val="auto"/>
                <w:highlight w:val="none"/>
              </w:rPr>
              <w:t>★粘贴：投标保证金缴费回单复印件加盖公章</w:t>
            </w:r>
          </w:p>
          <w:p w14:paraId="60D29093">
            <w:pPr>
              <w:pStyle w:val="3"/>
              <w:widowControl w:val="0"/>
              <w:ind w:firstLine="480"/>
              <w:rPr>
                <w:rFonts w:hint="eastAsia"/>
                <w:color w:val="auto"/>
                <w:highlight w:val="none"/>
              </w:rPr>
            </w:pPr>
          </w:p>
        </w:tc>
      </w:tr>
    </w:tbl>
    <w:p w14:paraId="00270223">
      <w:pPr>
        <w:ind w:firstLine="420" w:firstLineChars="200"/>
        <w:rPr>
          <w:rFonts w:hint="eastAsia" w:ascii="宋体" w:hAnsi="宋体"/>
          <w:color w:val="auto"/>
          <w:highlight w:val="none"/>
        </w:rPr>
      </w:pPr>
    </w:p>
    <w:p w14:paraId="756652EB">
      <w:pPr>
        <w:ind w:firstLine="420" w:firstLineChars="200"/>
        <w:rPr>
          <w:rFonts w:hint="eastAsia" w:ascii="宋体" w:hAnsi="宋体"/>
          <w:color w:val="auto"/>
          <w:highlight w:val="none"/>
        </w:rPr>
      </w:pPr>
    </w:p>
    <w:p w14:paraId="4D0222EF">
      <w:pPr>
        <w:ind w:firstLine="420" w:firstLineChars="200"/>
        <w:rPr>
          <w:rFonts w:hint="eastAsia" w:ascii="宋体" w:hAnsi="宋体"/>
          <w:color w:val="auto"/>
          <w:highlight w:val="none"/>
        </w:rPr>
      </w:pPr>
    </w:p>
    <w:p w14:paraId="3051888D">
      <w:pPr>
        <w:ind w:firstLine="420" w:firstLineChars="200"/>
        <w:rPr>
          <w:rFonts w:hint="eastAsia" w:ascii="宋体" w:hAnsi="宋体"/>
          <w:color w:val="auto"/>
          <w:highlight w:val="none"/>
        </w:rPr>
      </w:pPr>
    </w:p>
    <w:p w14:paraId="7362E641">
      <w:pPr>
        <w:ind w:firstLine="420" w:firstLineChars="200"/>
        <w:rPr>
          <w:rFonts w:hint="eastAsia" w:ascii="宋体" w:hAnsi="宋体"/>
          <w:color w:val="auto"/>
          <w:highlight w:val="none"/>
        </w:rPr>
      </w:pPr>
    </w:p>
    <w:p w14:paraId="6BE0B8AD">
      <w:pPr>
        <w:ind w:firstLine="420" w:firstLineChars="200"/>
        <w:rPr>
          <w:rFonts w:hint="eastAsia" w:ascii="宋体" w:hAnsi="宋体"/>
          <w:color w:val="auto"/>
          <w:highlight w:val="none"/>
        </w:rPr>
      </w:pPr>
    </w:p>
    <w:p w14:paraId="29A1EAE3">
      <w:pPr>
        <w:ind w:firstLine="420" w:firstLineChars="200"/>
        <w:rPr>
          <w:rFonts w:hint="eastAsia" w:ascii="宋体" w:hAnsi="宋体"/>
          <w:color w:val="auto"/>
          <w:highlight w:val="none"/>
        </w:rPr>
      </w:pPr>
    </w:p>
    <w:p w14:paraId="3812F2B5">
      <w:pPr>
        <w:ind w:firstLine="420" w:firstLineChars="200"/>
        <w:rPr>
          <w:rFonts w:hint="eastAsia" w:ascii="宋体" w:hAnsi="宋体"/>
          <w:color w:val="auto"/>
          <w:highlight w:val="none"/>
        </w:rPr>
      </w:pPr>
    </w:p>
    <w:p w14:paraId="6ED674B3">
      <w:pPr>
        <w:ind w:firstLine="420" w:firstLineChars="200"/>
        <w:rPr>
          <w:rFonts w:hint="eastAsia" w:ascii="宋体" w:hAnsi="宋体"/>
          <w:color w:val="auto"/>
          <w:highlight w:val="none"/>
        </w:rPr>
      </w:pPr>
    </w:p>
    <w:p w14:paraId="3B1DAF8B">
      <w:pPr>
        <w:jc w:val="center"/>
        <w:rPr>
          <w:color w:val="auto"/>
          <w:highlight w:val="none"/>
        </w:rPr>
      </w:pPr>
      <w:r>
        <w:rPr>
          <w:rFonts w:hint="eastAsia"/>
          <w:color w:val="auto"/>
          <w:highlight w:val="none"/>
        </w:rPr>
        <w:t xml:space="preserve">                                              </w:t>
      </w:r>
      <w:r>
        <w:rPr>
          <w:color w:val="auto"/>
          <w:highlight w:val="none"/>
        </w:rPr>
        <w:t>投标人</w:t>
      </w:r>
      <w:r>
        <w:rPr>
          <w:rFonts w:hint="eastAsia"/>
          <w:color w:val="auto"/>
          <w:highlight w:val="none"/>
        </w:rPr>
        <w:t>（</w:t>
      </w:r>
      <w:r>
        <w:rPr>
          <w:color w:val="auto"/>
          <w:highlight w:val="none"/>
        </w:rPr>
        <w:t>签章</w:t>
      </w:r>
      <w:r>
        <w:rPr>
          <w:rFonts w:hint="eastAsia"/>
          <w:color w:val="auto"/>
          <w:highlight w:val="none"/>
        </w:rPr>
        <w:t>）：</w:t>
      </w:r>
      <w:r>
        <w:rPr>
          <w:rFonts w:hint="eastAsia"/>
          <w:color w:val="auto"/>
          <w:highlight w:val="none"/>
          <w:u w:val="single"/>
        </w:rPr>
        <w:t xml:space="preserve">         </w:t>
      </w:r>
      <w:r>
        <w:rPr>
          <w:rFonts w:hint="eastAsia"/>
          <w:color w:val="auto"/>
          <w:highlight w:val="none"/>
        </w:rPr>
        <w:tab/>
      </w:r>
      <w:r>
        <w:rPr>
          <w:rFonts w:hint="eastAsia"/>
          <w:color w:val="auto"/>
          <w:highlight w:val="none"/>
        </w:rPr>
        <w:t xml:space="preserve">  </w:t>
      </w:r>
    </w:p>
    <w:p w14:paraId="3D5F6C22">
      <w:pPr>
        <w:jc w:val="center"/>
        <w:rPr>
          <w:rFonts w:hint="eastAsia" w:ascii="宋体" w:hAnsi="宋体" w:eastAsia="宋体"/>
          <w:b/>
          <w:bCs/>
          <w:color w:val="auto"/>
          <w:sz w:val="21"/>
          <w:szCs w:val="21"/>
          <w:highlight w:val="none"/>
          <w:lang w:val="en-GB"/>
        </w:rPr>
      </w:pPr>
      <w:r>
        <w:rPr>
          <w:rFonts w:hint="eastAsia"/>
          <w:color w:val="auto"/>
          <w:highlight w:val="none"/>
        </w:rPr>
        <w:t xml:space="preserve">                                                 </w:t>
      </w: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color w:val="auto"/>
          <w:sz w:val="24"/>
          <w:highlight w:val="none"/>
        </w:rPr>
        <w:t xml:space="preserve"> </w:t>
      </w:r>
    </w:p>
    <w:p w14:paraId="29820147">
      <w:pPr>
        <w:pStyle w:val="2"/>
        <w:kinsoku w:val="0"/>
        <w:overflowPunct w:val="0"/>
        <w:spacing w:before="34" w:line="357" w:lineRule="auto"/>
        <w:ind w:right="126" w:firstLine="3639" w:firstLineChars="1726"/>
        <w:rPr>
          <w:rFonts w:hint="eastAsia" w:ascii="宋体" w:hAnsi="宋体" w:eastAsia="宋体"/>
          <w:b/>
          <w:bCs/>
          <w:color w:val="auto"/>
          <w:sz w:val="21"/>
          <w:szCs w:val="21"/>
          <w:highlight w:val="none"/>
          <w:lang w:val="en-GB"/>
        </w:rPr>
      </w:pPr>
    </w:p>
    <w:p w14:paraId="3A4D58B1">
      <w:pPr>
        <w:pStyle w:val="2"/>
        <w:kinsoku w:val="0"/>
        <w:overflowPunct w:val="0"/>
        <w:spacing w:before="34" w:line="357" w:lineRule="auto"/>
        <w:ind w:right="126" w:firstLine="1928" w:firstLineChars="800"/>
        <w:jc w:val="left"/>
        <w:rPr>
          <w:rFonts w:hint="eastAsia" w:ascii="黑体" w:hAnsi="黑体" w:eastAsia="黑体" w:cs="黑体"/>
          <w:b/>
          <w:bCs/>
          <w:color w:val="auto"/>
          <w:sz w:val="24"/>
          <w:szCs w:val="24"/>
          <w:highlight w:val="none"/>
          <w:lang w:val="en-US" w:eastAsia="zh-CN"/>
        </w:rPr>
      </w:pPr>
    </w:p>
    <w:p w14:paraId="32989820">
      <w:pPr>
        <w:pStyle w:val="2"/>
        <w:kinsoku w:val="0"/>
        <w:overflowPunct w:val="0"/>
        <w:spacing w:before="34" w:line="357" w:lineRule="auto"/>
        <w:ind w:right="126" w:firstLine="2168" w:firstLineChars="900"/>
        <w:jc w:val="left"/>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val="en-US" w:eastAsia="zh-CN"/>
        </w:rPr>
        <w:t>附件</w:t>
      </w:r>
      <w:r>
        <w:rPr>
          <w:rFonts w:hint="eastAsia" w:ascii="黑体" w:hAnsi="黑体" w:eastAsia="黑体" w:cs="黑体"/>
          <w:b/>
          <w:bCs/>
          <w:color w:val="auto"/>
          <w:sz w:val="24"/>
          <w:szCs w:val="24"/>
          <w:highlight w:val="none"/>
        </w:rPr>
        <w:t>四、</w:t>
      </w:r>
      <w:r>
        <w:rPr>
          <w:rFonts w:hint="eastAsia" w:ascii="黑体" w:hAnsi="黑体" w:eastAsia="黑体" w:cs="黑体"/>
          <w:b/>
          <w:bCs/>
          <w:color w:val="auto"/>
          <w:sz w:val="24"/>
          <w:szCs w:val="24"/>
          <w:highlight w:val="none"/>
          <w:lang w:val="en-GB"/>
        </w:rPr>
        <w:t>联合体协议书</w:t>
      </w:r>
      <w:r>
        <w:rPr>
          <w:rFonts w:hint="eastAsia" w:ascii="黑体" w:hAnsi="黑体" w:eastAsia="黑体" w:cs="黑体"/>
          <w:b/>
          <w:bCs/>
          <w:color w:val="auto"/>
          <w:sz w:val="24"/>
          <w:szCs w:val="24"/>
          <w:highlight w:val="none"/>
          <w:lang w:val="en-GB" w:eastAsia="zh-CN"/>
        </w:rPr>
        <w:t>（</w:t>
      </w:r>
      <w:r>
        <w:rPr>
          <w:rFonts w:hint="eastAsia" w:ascii="黑体" w:hAnsi="黑体" w:eastAsia="黑体" w:cs="黑体"/>
          <w:b/>
          <w:bCs/>
          <w:color w:val="auto"/>
          <w:sz w:val="24"/>
          <w:szCs w:val="24"/>
          <w:highlight w:val="none"/>
          <w:lang w:val="en-US" w:eastAsia="zh-CN"/>
        </w:rPr>
        <w:t>非联合体无须填写</w:t>
      </w:r>
      <w:r>
        <w:rPr>
          <w:rFonts w:hint="eastAsia" w:ascii="黑体" w:hAnsi="黑体" w:eastAsia="黑体" w:cs="黑体"/>
          <w:b/>
          <w:bCs/>
          <w:color w:val="auto"/>
          <w:sz w:val="24"/>
          <w:szCs w:val="24"/>
          <w:highlight w:val="none"/>
          <w:lang w:val="en-GB" w:eastAsia="zh-CN"/>
        </w:rPr>
        <w:t>）</w:t>
      </w:r>
    </w:p>
    <w:p w14:paraId="57BE24C0">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牵头人名称：</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5736C1DF">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法定代表人：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4D9E271A">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法定住所：</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163A8C08">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成员二名称：</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4056D35D">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法定代表人：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3FCBB9E1">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法定住所： </w:t>
      </w:r>
      <w:r>
        <w:rPr>
          <w:rFonts w:hint="eastAsia" w:ascii="宋体" w:hAnsi="宋体" w:cs="宋体"/>
          <w:color w:val="auto"/>
          <w:kern w:val="0"/>
          <w:highlight w:val="non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lang w:val="en-GB"/>
        </w:rPr>
        <w:t xml:space="preserve">                                                           </w:t>
      </w:r>
    </w:p>
    <w:p w14:paraId="344BB933">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14:paraId="003F8036">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1．        （某成员单位名称）为              （联合体名称）牵头人。</w:t>
      </w:r>
    </w:p>
    <w:p w14:paraId="4D287518">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14:paraId="6668CE01">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14:paraId="49046C8E">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4．联合体各成员单位内部的职责分工如下：                   。按照本条上述分工，联合体成员单位各自所承担的合同工作量比例如下：               。</w:t>
      </w:r>
    </w:p>
    <w:p w14:paraId="5532464A">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5．投标工作和联合体在中标后项目实施过程中的有关费用按各自承担的工作量分摊。</w:t>
      </w:r>
    </w:p>
    <w:p w14:paraId="6720F407">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6．联合体中标后，本联合体协议是合同的附件，对联合体各成员单位有合同约束力。</w:t>
      </w:r>
    </w:p>
    <w:p w14:paraId="4ED7C109">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7．本协议书自签署之日起生效，联合体未中标或者中标时合同履行完毕后自动失效。</w:t>
      </w:r>
    </w:p>
    <w:p w14:paraId="3C69F148">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8．本协议书一式            份，联合体成员和</w:t>
      </w:r>
      <w:r>
        <w:rPr>
          <w:rFonts w:hint="eastAsia" w:ascii="宋体" w:hAnsi="宋体" w:cs="宋体"/>
          <w:color w:val="auto"/>
          <w:kern w:val="0"/>
          <w:highlight w:val="none"/>
          <w:lang w:val="en-US" w:eastAsia="zh-CN"/>
        </w:rPr>
        <w:t>采购</w:t>
      </w:r>
      <w:r>
        <w:rPr>
          <w:rFonts w:hint="eastAsia" w:ascii="宋体" w:hAnsi="宋体" w:cs="宋体"/>
          <w:color w:val="auto"/>
          <w:kern w:val="0"/>
          <w:highlight w:val="none"/>
          <w:lang w:val="en-GB"/>
        </w:rPr>
        <w:t>人各执一份。</w:t>
      </w:r>
    </w:p>
    <w:p w14:paraId="41CFE281">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牵头人名称：                                  （盖单位章）</w:t>
      </w:r>
    </w:p>
    <w:p w14:paraId="792C4ED6">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法定代表人或其委托代理人：                    （签字或盖章）</w:t>
      </w:r>
    </w:p>
    <w:p w14:paraId="0813FF21">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成员二名称：                                  （盖单位章）</w:t>
      </w:r>
    </w:p>
    <w:p w14:paraId="09C309A2">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法定代表人或其委托代理人：                        （签字或盖章）</w:t>
      </w:r>
    </w:p>
    <w:p w14:paraId="256DBCBB">
      <w:pPr>
        <w:spacing w:line="360" w:lineRule="auto"/>
        <w:jc w:val="right"/>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             年        月        日           </w:t>
      </w:r>
    </w:p>
    <w:p w14:paraId="35D332D9">
      <w:pPr>
        <w:spacing w:line="360" w:lineRule="auto"/>
        <w:rPr>
          <w:rFonts w:hint="eastAsia" w:ascii="宋体" w:hAnsi="宋体" w:cs="宋体"/>
          <w:color w:val="auto"/>
          <w:kern w:val="0"/>
          <w:highlight w:val="none"/>
          <w:lang w:val="en-GB"/>
        </w:rPr>
      </w:pPr>
      <w:r>
        <w:rPr>
          <w:rFonts w:hint="eastAsia" w:ascii="宋体" w:hAnsi="宋体" w:cs="宋体"/>
          <w:color w:val="auto"/>
          <w:kern w:val="0"/>
          <w:highlight w:val="none"/>
          <w:lang w:val="en-GB"/>
        </w:rPr>
        <w:t>备注：本协议书由委托代理人签字的，应附法定代表人签字的授权委托书。</w:t>
      </w:r>
    </w:p>
    <w:p w14:paraId="119A5291">
      <w:pPr>
        <w:pStyle w:val="2"/>
        <w:rPr>
          <w:rFonts w:hint="eastAsia" w:ascii="宋体" w:hAnsi="宋体" w:eastAsia="宋体" w:cs="宋体"/>
          <w:color w:val="auto"/>
          <w:kern w:val="0"/>
          <w:sz w:val="21"/>
          <w:szCs w:val="21"/>
          <w:highlight w:val="none"/>
          <w:lang w:val="en-GB"/>
        </w:rPr>
      </w:pPr>
    </w:p>
    <w:p w14:paraId="446C1F8E">
      <w:pPr>
        <w:spacing w:line="360" w:lineRule="auto"/>
        <w:rPr>
          <w:rFonts w:hint="eastAsia" w:ascii="宋体" w:hAnsi="宋体" w:cs="宋体"/>
          <w:b/>
          <w:bCs/>
          <w:color w:val="auto"/>
          <w:kern w:val="0"/>
          <w:highlight w:val="none"/>
          <w:lang w:val="en-GB"/>
        </w:rPr>
      </w:pPr>
    </w:p>
    <w:p w14:paraId="1B4B71BD">
      <w:pPr>
        <w:spacing w:line="360" w:lineRule="auto"/>
        <w:ind w:firstLine="2168" w:firstLineChars="900"/>
        <w:rPr>
          <w:rFonts w:hint="eastAsia" w:ascii="黑体" w:hAnsi="黑体" w:eastAsia="黑体" w:cs="黑体"/>
          <w:b/>
          <w:bCs/>
          <w:color w:val="auto"/>
          <w:kern w:val="0"/>
          <w:sz w:val="24"/>
          <w:szCs w:val="24"/>
          <w:highlight w:val="none"/>
          <w:lang w:val="en-US" w:eastAsia="zh-CN"/>
        </w:rPr>
      </w:pPr>
    </w:p>
    <w:p w14:paraId="7367F1E5">
      <w:pPr>
        <w:spacing w:line="360" w:lineRule="auto"/>
        <w:ind w:firstLine="2168" w:firstLineChars="900"/>
        <w:rPr>
          <w:rFonts w:hint="eastAsia" w:ascii="黑体" w:hAnsi="黑体" w:eastAsia="黑体" w:cs="黑体"/>
          <w:b/>
          <w:bCs/>
          <w:color w:val="auto"/>
          <w:kern w:val="0"/>
          <w:sz w:val="24"/>
          <w:szCs w:val="24"/>
          <w:highlight w:val="none"/>
          <w:lang w:val="en-GB" w:eastAsia="zh-CN"/>
        </w:rPr>
      </w:pPr>
      <w:r>
        <w:rPr>
          <w:rFonts w:hint="eastAsia" w:ascii="黑体" w:hAnsi="黑体" w:eastAsia="黑体" w:cs="黑体"/>
          <w:b/>
          <w:bCs/>
          <w:color w:val="auto"/>
          <w:kern w:val="0"/>
          <w:sz w:val="24"/>
          <w:szCs w:val="24"/>
          <w:highlight w:val="none"/>
          <w:lang w:val="en-US" w:eastAsia="zh-CN"/>
        </w:rPr>
        <w:t>附件</w:t>
      </w:r>
      <w:r>
        <w:rPr>
          <w:rFonts w:hint="eastAsia" w:ascii="黑体" w:hAnsi="黑体" w:eastAsia="黑体" w:cs="黑体"/>
          <w:b/>
          <w:bCs/>
          <w:color w:val="auto"/>
          <w:kern w:val="0"/>
          <w:sz w:val="24"/>
          <w:szCs w:val="24"/>
          <w:highlight w:val="none"/>
        </w:rPr>
        <w:t>五、</w:t>
      </w:r>
      <w:r>
        <w:rPr>
          <w:rFonts w:hint="eastAsia" w:ascii="黑体" w:hAnsi="黑体" w:eastAsia="黑体" w:cs="黑体"/>
          <w:b/>
          <w:bCs/>
          <w:color w:val="auto"/>
          <w:kern w:val="0"/>
          <w:sz w:val="24"/>
          <w:szCs w:val="24"/>
          <w:highlight w:val="none"/>
          <w:lang w:val="en-GB"/>
        </w:rPr>
        <w:t>分包意向协议</w:t>
      </w:r>
      <w:r>
        <w:rPr>
          <w:rFonts w:hint="eastAsia" w:ascii="黑体" w:hAnsi="黑体" w:eastAsia="黑体" w:cs="黑体"/>
          <w:b/>
          <w:bCs/>
          <w:color w:val="auto"/>
          <w:kern w:val="0"/>
          <w:sz w:val="24"/>
          <w:szCs w:val="24"/>
          <w:highlight w:val="none"/>
        </w:rPr>
        <w:t>格式一</w:t>
      </w:r>
      <w:r>
        <w:rPr>
          <w:rFonts w:hint="eastAsia" w:ascii="黑体" w:hAnsi="黑体" w:eastAsia="黑体" w:cs="黑体"/>
          <w:b/>
          <w:bCs/>
          <w:color w:val="auto"/>
          <w:kern w:val="0"/>
          <w:sz w:val="24"/>
          <w:szCs w:val="24"/>
          <w:highlight w:val="none"/>
          <w:lang w:eastAsia="zh-CN"/>
        </w:rPr>
        <w:t>（</w:t>
      </w:r>
      <w:r>
        <w:rPr>
          <w:rFonts w:hint="eastAsia" w:ascii="黑体" w:hAnsi="黑体" w:eastAsia="黑体" w:cs="黑体"/>
          <w:b/>
          <w:bCs/>
          <w:color w:val="auto"/>
          <w:kern w:val="0"/>
          <w:sz w:val="24"/>
          <w:szCs w:val="24"/>
          <w:highlight w:val="none"/>
          <w:lang w:val="en-US" w:eastAsia="zh-CN"/>
        </w:rPr>
        <w:t>无分包无须填写</w:t>
      </w:r>
      <w:r>
        <w:rPr>
          <w:rFonts w:hint="eastAsia" w:ascii="黑体" w:hAnsi="黑体" w:eastAsia="黑体" w:cs="黑体"/>
          <w:b/>
          <w:bCs/>
          <w:color w:val="auto"/>
          <w:kern w:val="0"/>
          <w:sz w:val="24"/>
          <w:szCs w:val="24"/>
          <w:highlight w:val="none"/>
          <w:lang w:eastAsia="zh-CN"/>
        </w:rPr>
        <w:t>）</w:t>
      </w:r>
    </w:p>
    <w:p w14:paraId="35E5D607">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甲方（投标人）：________ </w:t>
      </w:r>
    </w:p>
    <w:p w14:paraId="3CB885E1">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乙方（拟分包单位）：________ </w:t>
      </w:r>
    </w:p>
    <w:p w14:paraId="25AC2994">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甲方承诺，一旦在_________（采购项目名称）（项目编号/包号为：_______）</w:t>
      </w:r>
      <w:r>
        <w:rPr>
          <w:rFonts w:hint="eastAsia" w:ascii="宋体" w:hAnsi="宋体" w:cs="宋体"/>
          <w:color w:val="auto"/>
          <w:kern w:val="0"/>
          <w:highlight w:val="none"/>
          <w:lang w:val="en-US" w:eastAsia="zh-CN"/>
        </w:rPr>
        <w:t>招标</w:t>
      </w:r>
      <w:r>
        <w:rPr>
          <w:rFonts w:hint="eastAsia" w:ascii="宋体" w:hAnsi="宋体" w:cs="宋体"/>
          <w:color w:val="auto"/>
          <w:kern w:val="0"/>
          <w:highlight w:val="none"/>
          <w:lang w:val="en-GB"/>
        </w:rPr>
        <w:t xml:space="preserve">采购项目中获得采购合同，将按照下述约定将合同项下部分内容分包给乙方： </w:t>
      </w:r>
    </w:p>
    <w:p w14:paraId="2A0A6578">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分包内容：_____。 </w:t>
      </w:r>
    </w:p>
    <w:p w14:paraId="7B1F4BD7">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分包金额：_____，该金额占该采购包预算总金额的比例为___%。 </w:t>
      </w:r>
    </w:p>
    <w:p w14:paraId="6CF7F6F6">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乙方承诺将在上述情况下与甲方签订分包合同。 本协议自各方盖章之日起生效，如甲方未在该项目（采购包）中标，本协议自动终止。 </w:t>
      </w:r>
    </w:p>
    <w:p w14:paraId="2DD7ED55">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甲方（盖章）：_________ </w:t>
      </w:r>
      <w:r>
        <w:rPr>
          <w:rFonts w:hint="eastAsia" w:ascii="宋体" w:hAnsi="宋体" w:cs="宋体"/>
          <w:color w:val="auto"/>
          <w:kern w:val="0"/>
          <w:highlight w:val="none"/>
        </w:rPr>
        <w:t xml:space="preserve">                  </w:t>
      </w:r>
      <w:r>
        <w:rPr>
          <w:rFonts w:hint="eastAsia" w:ascii="宋体" w:hAnsi="宋体" w:cs="宋体"/>
          <w:color w:val="auto"/>
          <w:kern w:val="0"/>
          <w:highlight w:val="none"/>
          <w:lang w:val="en-GB"/>
        </w:rPr>
        <w:t>乙方（盖章）：_________</w:t>
      </w:r>
    </w:p>
    <w:p w14:paraId="400F91E4">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日期：_____年______月______日 </w:t>
      </w:r>
    </w:p>
    <w:p w14:paraId="4447EFD4">
      <w:pPr>
        <w:spacing w:line="360" w:lineRule="auto"/>
        <w:ind w:firstLine="420" w:firstLineChars="200"/>
        <w:rPr>
          <w:rFonts w:hint="eastAsia" w:ascii="宋体" w:hAnsi="宋体" w:cs="宋体"/>
          <w:color w:val="auto"/>
          <w:kern w:val="0"/>
          <w:highlight w:val="none"/>
          <w:lang w:val="en-GB"/>
        </w:rPr>
      </w:pPr>
    </w:p>
    <w:p w14:paraId="5DF8C02D">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说明：</w:t>
      </w:r>
    </w:p>
    <w:p w14:paraId="34B260ED">
      <w:pPr>
        <w:spacing w:line="360" w:lineRule="auto"/>
        <w:ind w:firstLine="420" w:firstLineChars="200"/>
        <w:rPr>
          <w:rFonts w:hint="eastAsia"/>
          <w:color w:val="auto"/>
          <w:highlight w:val="none"/>
          <w:lang w:val="en-GB"/>
        </w:rPr>
      </w:pPr>
      <w:r>
        <w:rPr>
          <w:rFonts w:hint="eastAsia" w:ascii="宋体" w:hAnsi="宋体" w:cs="宋体"/>
          <w:color w:val="auto"/>
          <w:kern w:val="0"/>
          <w:highlight w:val="none"/>
        </w:rPr>
        <w:t>1.此</w:t>
      </w:r>
      <w:r>
        <w:rPr>
          <w:rFonts w:hint="eastAsia" w:ascii="宋体" w:hAnsi="宋体" w:cs="宋体"/>
          <w:color w:val="auto"/>
          <w:kern w:val="0"/>
          <w:highlight w:val="none"/>
          <w:lang w:val="en-GB"/>
        </w:rPr>
        <w:t>表</w:t>
      </w:r>
      <w:r>
        <w:rPr>
          <w:rFonts w:hint="eastAsia" w:ascii="宋体" w:hAnsi="宋体" w:cs="宋体"/>
          <w:color w:val="auto"/>
          <w:kern w:val="0"/>
          <w:highlight w:val="none"/>
        </w:rPr>
        <w:t>为</w:t>
      </w:r>
      <w:r>
        <w:rPr>
          <w:rFonts w:hint="eastAsia" w:ascii="宋体" w:hAnsi="宋体" w:cs="宋体"/>
          <w:color w:val="auto"/>
          <w:kern w:val="0"/>
          <w:highlight w:val="none"/>
          <w:lang w:val="en-GB"/>
        </w:rPr>
        <w:t>投标人</w:t>
      </w:r>
      <w:r>
        <w:rPr>
          <w:rFonts w:hint="eastAsia" w:ascii="宋体" w:hAnsi="宋体" w:cs="宋体"/>
          <w:color w:val="auto"/>
          <w:kern w:val="0"/>
          <w:highlight w:val="none"/>
        </w:rPr>
        <w:t>非因“</w:t>
      </w:r>
      <w:r>
        <w:rPr>
          <w:rFonts w:hint="eastAsia" w:ascii="宋体" w:hAnsi="宋体" w:cs="宋体"/>
          <w:color w:val="auto"/>
          <w:kern w:val="0"/>
          <w:highlight w:val="none"/>
          <w:lang w:val="en-GB"/>
        </w:rPr>
        <w:t>落实</w:t>
      </w:r>
      <w:r>
        <w:rPr>
          <w:rFonts w:hint="eastAsia" w:ascii="宋体" w:hAnsi="宋体" w:cs="宋体"/>
          <w:color w:val="auto"/>
          <w:kern w:val="0"/>
          <w:highlight w:val="none"/>
        </w:rPr>
        <w:t>中小企业预留份额”</w:t>
      </w:r>
      <w:r>
        <w:rPr>
          <w:rFonts w:hint="eastAsia" w:ascii="宋体" w:hAnsi="宋体" w:cs="宋体"/>
          <w:color w:val="auto"/>
          <w:kern w:val="0"/>
          <w:highlight w:val="none"/>
          <w:lang w:val="en-GB"/>
        </w:rPr>
        <w:t>分包时填写；</w:t>
      </w:r>
    </w:p>
    <w:p w14:paraId="1E9867EA">
      <w:pPr>
        <w:spacing w:line="360" w:lineRule="auto"/>
        <w:ind w:firstLine="420" w:firstLineChars="200"/>
        <w:rPr>
          <w:rFonts w:hint="eastAsia"/>
          <w:color w:val="auto"/>
          <w:highlight w:val="none"/>
        </w:rPr>
      </w:pPr>
      <w:r>
        <w:rPr>
          <w:rFonts w:hint="eastAsia" w:ascii="宋体" w:hAnsi="宋体" w:cs="宋体"/>
          <w:color w:val="auto"/>
          <w:kern w:val="0"/>
          <w:highlight w:val="none"/>
        </w:rPr>
        <w:t>2.拟分包单位必须满足“</w:t>
      </w:r>
      <w:r>
        <w:rPr>
          <w:rFonts w:hint="eastAsia" w:ascii="宋体" w:hAnsi="宋体" w:cs="宋体"/>
          <w:color w:val="auto"/>
          <w:kern w:val="0"/>
          <w:highlight w:val="none"/>
          <w:lang w:val="en-GB"/>
        </w:rPr>
        <w:t>通用条款的补充内容</w:t>
      </w:r>
      <w:r>
        <w:rPr>
          <w:rFonts w:hint="eastAsia" w:ascii="宋体" w:hAnsi="宋体" w:cs="宋体"/>
          <w:color w:val="auto"/>
          <w:kern w:val="0"/>
          <w:highlight w:val="none"/>
        </w:rPr>
        <w:t>”中关于分包的资质要求，并提供相应</w:t>
      </w:r>
      <w:r>
        <w:rPr>
          <w:rFonts w:hint="eastAsia" w:ascii="宋体" w:hAnsi="宋体" w:cs="宋体"/>
          <w:color w:val="auto"/>
          <w:kern w:val="0"/>
          <w:highlight w:val="none"/>
          <w:lang w:val="en-GB"/>
        </w:rPr>
        <w:t>资质证书复印件，否则投标</w:t>
      </w:r>
      <w:r>
        <w:rPr>
          <w:rFonts w:hint="eastAsia" w:ascii="宋体" w:hAnsi="宋体" w:cs="宋体"/>
          <w:color w:val="auto"/>
          <w:kern w:val="0"/>
          <w:highlight w:val="none"/>
        </w:rPr>
        <w:t>无效；</w:t>
      </w:r>
    </w:p>
    <w:p w14:paraId="400A6753">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rPr>
        <w:t>3.</w:t>
      </w:r>
      <w:r>
        <w:rPr>
          <w:rFonts w:hint="eastAsia" w:ascii="宋体" w:hAnsi="宋体" w:cs="宋体"/>
          <w:color w:val="auto"/>
          <w:kern w:val="0"/>
          <w:highlight w:val="none"/>
          <w:lang w:val="en-GB"/>
        </w:rPr>
        <w:t>投标人须与所有拟分包单位分别签订《分包意向协议》，并在投标文件中提交协议复印件，否则投标无效。</w:t>
      </w:r>
    </w:p>
    <w:p w14:paraId="3110EB6B">
      <w:pPr>
        <w:spacing w:line="360" w:lineRule="auto"/>
        <w:rPr>
          <w:rFonts w:hint="eastAsia" w:ascii="宋体" w:hAnsi="宋体" w:cs="宋体"/>
          <w:color w:val="auto"/>
          <w:kern w:val="0"/>
          <w:highlight w:val="none"/>
        </w:rPr>
      </w:pPr>
    </w:p>
    <w:p w14:paraId="7A7FC70E">
      <w:pPr>
        <w:spacing w:line="360" w:lineRule="auto"/>
        <w:ind w:firstLine="2168" w:firstLineChars="900"/>
        <w:rPr>
          <w:rFonts w:hint="eastAsia" w:ascii="黑体" w:hAnsi="黑体" w:eastAsia="黑体" w:cs="黑体"/>
          <w:b/>
          <w:bCs/>
          <w:color w:val="auto"/>
          <w:sz w:val="24"/>
          <w:szCs w:val="24"/>
          <w:highlight w:val="none"/>
          <w:lang w:val="en-GB"/>
        </w:rPr>
      </w:pPr>
      <w:r>
        <w:rPr>
          <w:rFonts w:hint="eastAsia" w:ascii="黑体" w:hAnsi="黑体" w:eastAsia="黑体" w:cs="黑体"/>
          <w:b/>
          <w:bCs/>
          <w:color w:val="auto"/>
          <w:kern w:val="0"/>
          <w:sz w:val="24"/>
          <w:szCs w:val="24"/>
          <w:highlight w:val="none"/>
          <w:lang w:val="en-US" w:eastAsia="zh-CN"/>
        </w:rPr>
        <w:t>附件五、</w:t>
      </w:r>
      <w:r>
        <w:rPr>
          <w:rFonts w:hint="eastAsia" w:ascii="黑体" w:hAnsi="黑体" w:eastAsia="黑体" w:cs="黑体"/>
          <w:b/>
          <w:bCs/>
          <w:color w:val="auto"/>
          <w:kern w:val="0"/>
          <w:sz w:val="24"/>
          <w:szCs w:val="24"/>
          <w:highlight w:val="none"/>
          <w:lang w:val="en-GB"/>
        </w:rPr>
        <w:t>拟分包意向协议</w:t>
      </w:r>
      <w:r>
        <w:rPr>
          <w:rFonts w:hint="eastAsia" w:ascii="黑体" w:hAnsi="黑体" w:eastAsia="黑体" w:cs="黑体"/>
          <w:b/>
          <w:bCs/>
          <w:color w:val="auto"/>
          <w:kern w:val="0"/>
          <w:sz w:val="24"/>
          <w:szCs w:val="24"/>
          <w:highlight w:val="none"/>
        </w:rPr>
        <w:t>格式二</w:t>
      </w:r>
      <w:r>
        <w:rPr>
          <w:rFonts w:hint="eastAsia" w:ascii="黑体" w:hAnsi="黑体" w:eastAsia="黑体" w:cs="黑体"/>
          <w:b/>
          <w:bCs/>
          <w:color w:val="auto"/>
          <w:kern w:val="0"/>
          <w:sz w:val="24"/>
          <w:szCs w:val="24"/>
          <w:highlight w:val="none"/>
          <w:lang w:eastAsia="zh-CN"/>
        </w:rPr>
        <w:t>（</w:t>
      </w:r>
      <w:r>
        <w:rPr>
          <w:rFonts w:hint="eastAsia" w:ascii="黑体" w:hAnsi="黑体" w:eastAsia="黑体" w:cs="黑体"/>
          <w:b/>
          <w:bCs/>
          <w:color w:val="auto"/>
          <w:kern w:val="0"/>
          <w:sz w:val="24"/>
          <w:szCs w:val="24"/>
          <w:highlight w:val="none"/>
          <w:lang w:val="en-US" w:eastAsia="zh-CN"/>
        </w:rPr>
        <w:t>无分包无须填写</w:t>
      </w:r>
      <w:r>
        <w:rPr>
          <w:rFonts w:hint="eastAsia" w:ascii="黑体" w:hAnsi="黑体" w:eastAsia="黑体" w:cs="黑体"/>
          <w:b/>
          <w:bCs/>
          <w:color w:val="auto"/>
          <w:kern w:val="0"/>
          <w:sz w:val="24"/>
          <w:szCs w:val="24"/>
          <w:highlight w:val="none"/>
          <w:lang w:eastAsia="zh-CN"/>
        </w:rPr>
        <w:t>）</w:t>
      </w:r>
    </w:p>
    <w:p w14:paraId="658DDFB4">
      <w:pPr>
        <w:spacing w:line="360" w:lineRule="auto"/>
        <w:rPr>
          <w:rFonts w:hint="eastAsia" w:ascii="宋体" w:hAnsi="宋体" w:cs="宋体"/>
          <w:color w:val="auto"/>
          <w:kern w:val="0"/>
          <w:highlight w:val="none"/>
          <w:u w:val="single"/>
        </w:rPr>
      </w:pPr>
      <w:r>
        <w:rPr>
          <w:rFonts w:hint="eastAsia" w:ascii="宋体" w:hAnsi="宋体" w:cs="宋体"/>
          <w:color w:val="auto"/>
          <w:kern w:val="0"/>
          <w:highlight w:val="none"/>
          <w:lang w:val="en-GB"/>
        </w:rPr>
        <w:t>致：</w:t>
      </w:r>
      <w:r>
        <w:rPr>
          <w:rFonts w:hint="eastAsia" w:ascii="宋体" w:hAnsi="宋体" w:cs="宋体"/>
          <w:color w:val="auto"/>
          <w:kern w:val="0"/>
          <w:highlight w:val="none"/>
          <w:u w:val="single"/>
        </w:rPr>
        <w:t>巴州政务服务和公共资源交易中心</w:t>
      </w:r>
    </w:p>
    <w:p w14:paraId="2C7FFC40">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我单位参加贵单位组织采购的项目编号为_______的_________项目（填写采购项目名称）的投标。拟签订分包合同的单位情况如下表所示：</w:t>
      </w:r>
    </w:p>
    <w:tbl>
      <w:tblPr>
        <w:tblStyle w:val="40"/>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31"/>
        <w:gridCol w:w="1410"/>
        <w:gridCol w:w="1469"/>
        <w:gridCol w:w="1664"/>
        <w:gridCol w:w="1218"/>
        <w:gridCol w:w="1504"/>
      </w:tblGrid>
      <w:tr w14:paraId="5ADF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6" w:type="dxa"/>
            <w:noWrap w:val="0"/>
            <w:vAlign w:val="center"/>
          </w:tcPr>
          <w:p w14:paraId="1DDADD3C">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序号</w:t>
            </w:r>
          </w:p>
        </w:tc>
        <w:tc>
          <w:tcPr>
            <w:tcW w:w="1231" w:type="dxa"/>
            <w:noWrap w:val="0"/>
            <w:vAlign w:val="center"/>
          </w:tcPr>
          <w:p w14:paraId="5415CE3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拟分包单位名称</w:t>
            </w:r>
          </w:p>
        </w:tc>
        <w:tc>
          <w:tcPr>
            <w:tcW w:w="1410" w:type="dxa"/>
            <w:noWrap w:val="0"/>
            <w:vAlign w:val="center"/>
          </w:tcPr>
          <w:p w14:paraId="06F8E14D">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rPr>
              <w:t>拟分包单位</w:t>
            </w:r>
            <w:r>
              <w:rPr>
                <w:rFonts w:hint="eastAsia" w:ascii="宋体" w:hAnsi="宋体" w:cs="宋体"/>
                <w:color w:val="auto"/>
                <w:kern w:val="0"/>
                <w:highlight w:val="none"/>
                <w:lang w:val="en-GB"/>
              </w:rPr>
              <w:t xml:space="preserve">类型 </w:t>
            </w:r>
          </w:p>
        </w:tc>
        <w:tc>
          <w:tcPr>
            <w:tcW w:w="1469" w:type="dxa"/>
            <w:noWrap w:val="0"/>
            <w:vAlign w:val="center"/>
          </w:tcPr>
          <w:p w14:paraId="60A6CAEA">
            <w:pPr>
              <w:spacing w:line="360" w:lineRule="auto"/>
              <w:ind w:firstLine="210" w:firstLineChars="100"/>
              <w:rPr>
                <w:rFonts w:hint="eastAsia" w:ascii="宋体" w:hAnsi="宋体" w:cs="宋体"/>
                <w:color w:val="auto"/>
                <w:kern w:val="0"/>
                <w:highlight w:val="none"/>
              </w:rPr>
            </w:pPr>
            <w:r>
              <w:rPr>
                <w:rFonts w:hint="eastAsia" w:ascii="宋体" w:hAnsi="宋体" w:cs="宋体"/>
                <w:color w:val="auto"/>
                <w:kern w:val="0"/>
                <w:highlight w:val="none"/>
                <w:lang w:val="en-GB"/>
              </w:rPr>
              <w:t>资质</w:t>
            </w:r>
            <w:r>
              <w:rPr>
                <w:rFonts w:hint="eastAsia" w:ascii="宋体" w:hAnsi="宋体" w:cs="宋体"/>
                <w:color w:val="auto"/>
                <w:kern w:val="0"/>
                <w:highlight w:val="none"/>
              </w:rPr>
              <w:t>证书</w:t>
            </w:r>
          </w:p>
        </w:tc>
        <w:tc>
          <w:tcPr>
            <w:tcW w:w="1664" w:type="dxa"/>
            <w:noWrap w:val="0"/>
            <w:vAlign w:val="center"/>
          </w:tcPr>
          <w:p w14:paraId="7E38585C">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拟</w:t>
            </w:r>
            <w:r>
              <w:rPr>
                <w:rFonts w:hint="eastAsia" w:ascii="宋体" w:hAnsi="宋体" w:cs="宋体"/>
                <w:color w:val="auto"/>
                <w:kern w:val="0"/>
                <w:highlight w:val="none"/>
              </w:rPr>
              <w:t>分</w:t>
            </w:r>
            <w:r>
              <w:rPr>
                <w:rFonts w:hint="eastAsia" w:ascii="宋体" w:hAnsi="宋体" w:cs="宋体"/>
                <w:color w:val="auto"/>
                <w:kern w:val="0"/>
                <w:highlight w:val="none"/>
                <w:lang w:val="en-GB"/>
              </w:rPr>
              <w:t>包合同内容</w:t>
            </w:r>
          </w:p>
        </w:tc>
        <w:tc>
          <w:tcPr>
            <w:tcW w:w="1218" w:type="dxa"/>
            <w:noWrap w:val="0"/>
            <w:vAlign w:val="center"/>
          </w:tcPr>
          <w:p w14:paraId="632A3D55">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拟分包合金额（元）</w:t>
            </w:r>
          </w:p>
        </w:tc>
        <w:tc>
          <w:tcPr>
            <w:tcW w:w="1504" w:type="dxa"/>
            <w:noWrap w:val="0"/>
            <w:vAlign w:val="center"/>
          </w:tcPr>
          <w:p w14:paraId="2842199D">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占该采购包预算金额的比例（%）</w:t>
            </w:r>
          </w:p>
        </w:tc>
      </w:tr>
      <w:tr w14:paraId="1281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0"/>
            <w:vAlign w:val="center"/>
          </w:tcPr>
          <w:p w14:paraId="4A2C5F96">
            <w:pPr>
              <w:spacing w:line="360" w:lineRule="auto"/>
              <w:ind w:firstLine="420" w:firstLineChars="200"/>
              <w:jc w:val="center"/>
              <w:rPr>
                <w:rFonts w:hint="eastAsia" w:ascii="宋体" w:hAnsi="宋体" w:cs="宋体"/>
                <w:color w:val="auto"/>
                <w:highlight w:val="none"/>
              </w:rPr>
            </w:pPr>
          </w:p>
          <w:p w14:paraId="28B68B2F">
            <w:pPr>
              <w:jc w:val="center"/>
              <w:rPr>
                <w:rFonts w:hint="eastAsia" w:ascii="宋体" w:hAnsi="宋体" w:cs="宋体"/>
                <w:color w:val="auto"/>
                <w:highlight w:val="none"/>
              </w:rPr>
            </w:pPr>
            <w:r>
              <w:rPr>
                <w:rFonts w:hint="eastAsia" w:ascii="宋体" w:hAnsi="宋体" w:cs="宋体"/>
                <w:color w:val="auto"/>
                <w:highlight w:val="none"/>
              </w:rPr>
              <w:t>1</w:t>
            </w:r>
          </w:p>
        </w:tc>
        <w:tc>
          <w:tcPr>
            <w:tcW w:w="1231" w:type="dxa"/>
            <w:noWrap w:val="0"/>
            <w:vAlign w:val="center"/>
          </w:tcPr>
          <w:p w14:paraId="39A58336">
            <w:pPr>
              <w:spacing w:line="360" w:lineRule="auto"/>
              <w:ind w:firstLine="420" w:firstLineChars="200"/>
              <w:jc w:val="center"/>
              <w:rPr>
                <w:rFonts w:hint="eastAsia" w:ascii="宋体" w:hAnsi="宋体" w:cs="宋体"/>
                <w:color w:val="auto"/>
                <w:kern w:val="0"/>
                <w:highlight w:val="none"/>
                <w:lang w:val="en-GB"/>
              </w:rPr>
            </w:pPr>
          </w:p>
        </w:tc>
        <w:tc>
          <w:tcPr>
            <w:tcW w:w="1410" w:type="dxa"/>
            <w:noWrap w:val="0"/>
            <w:vAlign w:val="center"/>
          </w:tcPr>
          <w:p w14:paraId="69217B35">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w:t>
            </w:r>
            <w:r>
              <w:rPr>
                <w:rFonts w:hint="eastAsia" w:ascii="宋体" w:hAnsi="宋体" w:cs="宋体"/>
                <w:color w:val="auto"/>
                <w:kern w:val="0"/>
                <w:highlight w:val="none"/>
              </w:rPr>
              <w:t>小微</w:t>
            </w:r>
            <w:r>
              <w:rPr>
                <w:rFonts w:hint="eastAsia" w:ascii="宋体" w:hAnsi="宋体" w:cs="宋体"/>
                <w:color w:val="auto"/>
                <w:kern w:val="0"/>
                <w:highlight w:val="none"/>
                <w:lang w:val="en-GB"/>
              </w:rPr>
              <w:t>企业 □</w:t>
            </w:r>
            <w:r>
              <w:rPr>
                <w:rFonts w:hint="eastAsia" w:ascii="宋体" w:hAnsi="宋体" w:cs="宋体"/>
                <w:color w:val="auto"/>
                <w:kern w:val="0"/>
                <w:highlight w:val="none"/>
              </w:rPr>
              <w:t>其他类型</w:t>
            </w:r>
          </w:p>
        </w:tc>
        <w:tc>
          <w:tcPr>
            <w:tcW w:w="1469" w:type="dxa"/>
            <w:noWrap w:val="0"/>
            <w:vAlign w:val="center"/>
          </w:tcPr>
          <w:p w14:paraId="3DD23118">
            <w:pPr>
              <w:spacing w:line="360" w:lineRule="auto"/>
              <w:ind w:firstLine="420" w:firstLineChars="200"/>
              <w:jc w:val="center"/>
              <w:rPr>
                <w:rFonts w:hint="eastAsia" w:ascii="宋体" w:hAnsi="宋体" w:cs="宋体"/>
                <w:color w:val="auto"/>
                <w:kern w:val="0"/>
                <w:highlight w:val="none"/>
                <w:lang w:val="en-GB"/>
              </w:rPr>
            </w:pPr>
          </w:p>
        </w:tc>
        <w:tc>
          <w:tcPr>
            <w:tcW w:w="1664" w:type="dxa"/>
            <w:noWrap w:val="0"/>
            <w:vAlign w:val="center"/>
          </w:tcPr>
          <w:p w14:paraId="1169F2F4">
            <w:pPr>
              <w:spacing w:line="360" w:lineRule="auto"/>
              <w:ind w:firstLine="420" w:firstLineChars="200"/>
              <w:jc w:val="center"/>
              <w:rPr>
                <w:rFonts w:hint="eastAsia" w:ascii="宋体" w:hAnsi="宋体" w:cs="宋体"/>
                <w:color w:val="auto"/>
                <w:kern w:val="0"/>
                <w:highlight w:val="none"/>
                <w:lang w:val="en-GB"/>
              </w:rPr>
            </w:pPr>
          </w:p>
        </w:tc>
        <w:tc>
          <w:tcPr>
            <w:tcW w:w="1218" w:type="dxa"/>
            <w:noWrap w:val="0"/>
            <w:vAlign w:val="center"/>
          </w:tcPr>
          <w:p w14:paraId="6D5337A3">
            <w:pPr>
              <w:spacing w:line="360" w:lineRule="auto"/>
              <w:ind w:firstLine="420" w:firstLineChars="200"/>
              <w:jc w:val="center"/>
              <w:rPr>
                <w:rFonts w:hint="eastAsia" w:ascii="宋体" w:hAnsi="宋体" w:cs="宋体"/>
                <w:color w:val="auto"/>
                <w:kern w:val="0"/>
                <w:highlight w:val="none"/>
                <w:lang w:val="en-GB"/>
              </w:rPr>
            </w:pPr>
          </w:p>
        </w:tc>
        <w:tc>
          <w:tcPr>
            <w:tcW w:w="1504" w:type="dxa"/>
            <w:noWrap w:val="0"/>
            <w:vAlign w:val="center"/>
          </w:tcPr>
          <w:p w14:paraId="6E208144">
            <w:pPr>
              <w:spacing w:line="360" w:lineRule="auto"/>
              <w:ind w:firstLine="420" w:firstLineChars="200"/>
              <w:jc w:val="center"/>
              <w:rPr>
                <w:rFonts w:hint="eastAsia" w:ascii="宋体" w:hAnsi="宋体" w:cs="宋体"/>
                <w:color w:val="auto"/>
                <w:kern w:val="0"/>
                <w:highlight w:val="none"/>
                <w:lang w:val="en-GB"/>
              </w:rPr>
            </w:pPr>
          </w:p>
        </w:tc>
      </w:tr>
      <w:tr w14:paraId="6006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0"/>
            <w:vAlign w:val="center"/>
          </w:tcPr>
          <w:p w14:paraId="5ACC8D2C">
            <w:pPr>
              <w:spacing w:line="360" w:lineRule="auto"/>
              <w:jc w:val="center"/>
              <w:rPr>
                <w:rFonts w:hint="eastAsia" w:ascii="宋体" w:hAnsi="宋体" w:cs="宋体"/>
                <w:color w:val="auto"/>
                <w:kern w:val="0"/>
                <w:highlight w:val="none"/>
              </w:rPr>
            </w:pPr>
          </w:p>
          <w:p w14:paraId="54671840">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2</w:t>
            </w:r>
          </w:p>
        </w:tc>
        <w:tc>
          <w:tcPr>
            <w:tcW w:w="1231" w:type="dxa"/>
            <w:noWrap w:val="0"/>
            <w:vAlign w:val="center"/>
          </w:tcPr>
          <w:p w14:paraId="28B79422">
            <w:pPr>
              <w:spacing w:line="360" w:lineRule="auto"/>
              <w:ind w:firstLine="420" w:firstLineChars="200"/>
              <w:jc w:val="center"/>
              <w:rPr>
                <w:rFonts w:hint="eastAsia" w:ascii="宋体" w:hAnsi="宋体" w:cs="宋体"/>
                <w:color w:val="auto"/>
                <w:kern w:val="0"/>
                <w:highlight w:val="none"/>
                <w:lang w:val="en-GB"/>
              </w:rPr>
            </w:pPr>
          </w:p>
        </w:tc>
        <w:tc>
          <w:tcPr>
            <w:tcW w:w="1410" w:type="dxa"/>
            <w:noWrap w:val="0"/>
            <w:vAlign w:val="center"/>
          </w:tcPr>
          <w:p w14:paraId="1FD7BC89">
            <w:pPr>
              <w:spacing w:line="360" w:lineRule="auto"/>
              <w:jc w:val="center"/>
              <w:rPr>
                <w:rFonts w:hint="eastAsia" w:ascii="宋体" w:hAnsi="宋体" w:cs="宋体"/>
                <w:color w:val="auto"/>
                <w:kern w:val="0"/>
                <w:highlight w:val="none"/>
                <w:lang w:val="en-GB"/>
              </w:rPr>
            </w:pPr>
            <w:r>
              <w:rPr>
                <w:rFonts w:hint="eastAsia" w:ascii="宋体" w:hAnsi="宋体" w:cs="宋体"/>
                <w:color w:val="auto"/>
                <w:kern w:val="0"/>
                <w:highlight w:val="none"/>
                <w:lang w:val="en-GB"/>
              </w:rPr>
              <w:t>□</w:t>
            </w:r>
            <w:r>
              <w:rPr>
                <w:rFonts w:hint="eastAsia" w:ascii="宋体" w:hAnsi="宋体" w:cs="宋体"/>
                <w:color w:val="auto"/>
                <w:kern w:val="0"/>
                <w:highlight w:val="none"/>
              </w:rPr>
              <w:t>小微</w:t>
            </w:r>
            <w:r>
              <w:rPr>
                <w:rFonts w:hint="eastAsia" w:ascii="宋体" w:hAnsi="宋体" w:cs="宋体"/>
                <w:color w:val="auto"/>
                <w:kern w:val="0"/>
                <w:highlight w:val="none"/>
                <w:lang w:val="en-GB"/>
              </w:rPr>
              <w:t>企业 □</w:t>
            </w:r>
            <w:r>
              <w:rPr>
                <w:rFonts w:hint="eastAsia" w:ascii="宋体" w:hAnsi="宋体" w:cs="宋体"/>
                <w:color w:val="auto"/>
                <w:kern w:val="0"/>
                <w:highlight w:val="none"/>
              </w:rPr>
              <w:t>其他类型</w:t>
            </w:r>
          </w:p>
        </w:tc>
        <w:tc>
          <w:tcPr>
            <w:tcW w:w="1469" w:type="dxa"/>
            <w:noWrap w:val="0"/>
            <w:vAlign w:val="center"/>
          </w:tcPr>
          <w:p w14:paraId="67AB5CCB">
            <w:pPr>
              <w:spacing w:line="360" w:lineRule="auto"/>
              <w:ind w:firstLine="420" w:firstLineChars="200"/>
              <w:jc w:val="center"/>
              <w:rPr>
                <w:rFonts w:hint="eastAsia" w:ascii="宋体" w:hAnsi="宋体" w:cs="宋体"/>
                <w:color w:val="auto"/>
                <w:kern w:val="0"/>
                <w:highlight w:val="none"/>
                <w:lang w:val="en-GB"/>
              </w:rPr>
            </w:pPr>
          </w:p>
        </w:tc>
        <w:tc>
          <w:tcPr>
            <w:tcW w:w="1664" w:type="dxa"/>
            <w:noWrap w:val="0"/>
            <w:vAlign w:val="center"/>
          </w:tcPr>
          <w:p w14:paraId="79C72CDC">
            <w:pPr>
              <w:spacing w:line="360" w:lineRule="auto"/>
              <w:ind w:firstLine="420" w:firstLineChars="200"/>
              <w:jc w:val="center"/>
              <w:rPr>
                <w:rFonts w:hint="eastAsia" w:ascii="宋体" w:hAnsi="宋体" w:cs="宋体"/>
                <w:color w:val="auto"/>
                <w:kern w:val="0"/>
                <w:highlight w:val="none"/>
                <w:lang w:val="en-GB"/>
              </w:rPr>
            </w:pPr>
          </w:p>
        </w:tc>
        <w:tc>
          <w:tcPr>
            <w:tcW w:w="1218" w:type="dxa"/>
            <w:noWrap w:val="0"/>
            <w:vAlign w:val="center"/>
          </w:tcPr>
          <w:p w14:paraId="5A67DB82">
            <w:pPr>
              <w:spacing w:line="360" w:lineRule="auto"/>
              <w:ind w:firstLine="420" w:firstLineChars="200"/>
              <w:jc w:val="center"/>
              <w:rPr>
                <w:rFonts w:hint="eastAsia" w:ascii="宋体" w:hAnsi="宋体" w:cs="宋体"/>
                <w:color w:val="auto"/>
                <w:kern w:val="0"/>
                <w:highlight w:val="none"/>
                <w:lang w:val="en-GB"/>
              </w:rPr>
            </w:pPr>
          </w:p>
        </w:tc>
        <w:tc>
          <w:tcPr>
            <w:tcW w:w="1504" w:type="dxa"/>
            <w:noWrap w:val="0"/>
            <w:vAlign w:val="center"/>
          </w:tcPr>
          <w:p w14:paraId="1FC9AB12">
            <w:pPr>
              <w:spacing w:line="360" w:lineRule="auto"/>
              <w:ind w:firstLine="420" w:firstLineChars="200"/>
              <w:jc w:val="center"/>
              <w:rPr>
                <w:rFonts w:hint="eastAsia" w:ascii="宋体" w:hAnsi="宋体" w:cs="宋体"/>
                <w:color w:val="auto"/>
                <w:kern w:val="0"/>
                <w:highlight w:val="none"/>
                <w:lang w:val="en-GB"/>
              </w:rPr>
            </w:pPr>
          </w:p>
        </w:tc>
      </w:tr>
      <w:tr w14:paraId="79E5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0" w:type="dxa"/>
            <w:gridSpan w:val="5"/>
            <w:noWrap w:val="0"/>
            <w:vAlign w:val="center"/>
          </w:tcPr>
          <w:p w14:paraId="6023CB0E">
            <w:pPr>
              <w:spacing w:line="360" w:lineRule="auto"/>
              <w:ind w:firstLine="420" w:firstLineChars="200"/>
              <w:jc w:val="center"/>
              <w:rPr>
                <w:rFonts w:hint="eastAsia" w:ascii="宋体" w:hAnsi="宋体" w:cs="宋体"/>
                <w:color w:val="auto"/>
                <w:kern w:val="0"/>
                <w:highlight w:val="none"/>
              </w:rPr>
            </w:pPr>
            <w:r>
              <w:rPr>
                <w:rFonts w:hint="eastAsia" w:ascii="宋体" w:hAnsi="宋体" w:cs="宋体"/>
                <w:color w:val="auto"/>
                <w:kern w:val="0"/>
                <w:highlight w:val="none"/>
              </w:rPr>
              <w:t xml:space="preserve">                                         合计：</w:t>
            </w:r>
          </w:p>
        </w:tc>
        <w:tc>
          <w:tcPr>
            <w:tcW w:w="1218" w:type="dxa"/>
            <w:noWrap w:val="0"/>
            <w:vAlign w:val="center"/>
          </w:tcPr>
          <w:p w14:paraId="6BC772ED">
            <w:pPr>
              <w:spacing w:line="360" w:lineRule="auto"/>
              <w:ind w:firstLine="420" w:firstLineChars="200"/>
              <w:jc w:val="center"/>
              <w:rPr>
                <w:rFonts w:hint="eastAsia" w:ascii="宋体" w:hAnsi="宋体" w:cs="宋体"/>
                <w:color w:val="auto"/>
                <w:kern w:val="0"/>
                <w:highlight w:val="none"/>
                <w:lang w:val="en-GB"/>
              </w:rPr>
            </w:pPr>
          </w:p>
        </w:tc>
        <w:tc>
          <w:tcPr>
            <w:tcW w:w="1504" w:type="dxa"/>
            <w:noWrap w:val="0"/>
            <w:vAlign w:val="center"/>
          </w:tcPr>
          <w:p w14:paraId="3743D46D">
            <w:pPr>
              <w:spacing w:line="360" w:lineRule="auto"/>
              <w:ind w:firstLine="420" w:firstLineChars="200"/>
              <w:jc w:val="center"/>
              <w:rPr>
                <w:rFonts w:hint="eastAsia" w:ascii="宋体" w:hAnsi="宋体" w:cs="宋体"/>
                <w:color w:val="auto"/>
                <w:kern w:val="0"/>
                <w:highlight w:val="none"/>
                <w:lang w:val="en-GB"/>
              </w:rPr>
            </w:pPr>
          </w:p>
        </w:tc>
      </w:tr>
    </w:tbl>
    <w:p w14:paraId="67C0AE2E">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我单位承诺一旦在该项目中获得采购合同将按下表所列情况进行分包，同时承诺分包承担主体不再次分包。</w:t>
      </w:r>
    </w:p>
    <w:p w14:paraId="4B09471D">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lang w:val="en-GB"/>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en-GB"/>
        </w:rPr>
        <w:t xml:space="preserve"> </w:t>
      </w:r>
      <w:r>
        <w:rPr>
          <w:rFonts w:hint="eastAsia" w:ascii="宋体" w:hAnsi="宋体" w:cs="宋体"/>
          <w:color w:val="auto"/>
          <w:kern w:val="0"/>
          <w:highlight w:val="none"/>
        </w:rPr>
        <w:t xml:space="preserve">        </w:t>
      </w:r>
    </w:p>
    <w:p w14:paraId="2D383B86">
      <w:pPr>
        <w:spacing w:line="360" w:lineRule="auto"/>
        <w:ind w:firstLine="5250" w:firstLineChars="2500"/>
        <w:rPr>
          <w:rFonts w:hint="eastAsia" w:ascii="宋体" w:hAnsi="宋体" w:cs="宋体"/>
          <w:color w:val="auto"/>
          <w:kern w:val="0"/>
          <w:highlight w:val="none"/>
          <w:lang w:val="en-GB"/>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en-GB"/>
        </w:rPr>
        <w:t xml:space="preserve">投标人名称（加盖公章）：______ </w:t>
      </w:r>
    </w:p>
    <w:p w14:paraId="2FCFAC40">
      <w:pPr>
        <w:spacing w:line="360" w:lineRule="auto"/>
        <w:ind w:firstLine="5460" w:firstLineChars="26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日期：____年____月____日 </w:t>
      </w:r>
    </w:p>
    <w:p w14:paraId="4D1068A6">
      <w:pPr>
        <w:spacing w:line="360" w:lineRule="auto"/>
        <w:ind w:firstLine="420" w:firstLineChars="200"/>
        <w:rPr>
          <w:rFonts w:hint="eastAsia" w:ascii="宋体" w:hAnsi="宋体" w:cs="宋体"/>
          <w:color w:val="auto"/>
          <w:kern w:val="0"/>
          <w:highlight w:val="none"/>
          <w:lang w:val="en-GB"/>
        </w:rPr>
      </w:pPr>
      <w:r>
        <w:rPr>
          <w:rFonts w:hint="eastAsia" w:ascii="宋体" w:hAnsi="宋体" w:cs="宋体"/>
          <w:color w:val="auto"/>
          <w:kern w:val="0"/>
          <w:highlight w:val="none"/>
          <w:lang w:val="en-GB"/>
        </w:rPr>
        <w:t xml:space="preserve">说明： </w:t>
      </w:r>
    </w:p>
    <w:p w14:paraId="17696A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lang w:val="en-GB"/>
        </w:rPr>
        <w:t>（</w:t>
      </w:r>
      <w:r>
        <w:rPr>
          <w:rFonts w:hint="eastAsia" w:ascii="宋体" w:hAnsi="宋体" w:cs="宋体"/>
          <w:color w:val="auto"/>
          <w:kern w:val="0"/>
          <w:highlight w:val="none"/>
        </w:rPr>
        <w:t>1</w:t>
      </w:r>
      <w:r>
        <w:rPr>
          <w:rFonts w:hint="eastAsia" w:ascii="宋体" w:hAnsi="宋体" w:cs="宋体"/>
          <w:color w:val="auto"/>
          <w:kern w:val="0"/>
          <w:highlight w:val="none"/>
          <w:lang w:val="en-GB"/>
        </w:rPr>
        <w:t>）</w:t>
      </w:r>
      <w:r>
        <w:rPr>
          <w:rFonts w:hint="eastAsia" w:ascii="宋体" w:hAnsi="宋体" w:cs="宋体"/>
          <w:color w:val="auto"/>
          <w:kern w:val="0"/>
          <w:highlight w:val="none"/>
        </w:rPr>
        <w:t>此表为投标人在</w:t>
      </w:r>
      <w:r>
        <w:rPr>
          <w:rFonts w:hint="eastAsia" w:ascii="宋体" w:hAnsi="宋体" w:cs="宋体"/>
          <w:color w:val="auto"/>
          <w:kern w:val="0"/>
          <w:highlight w:val="none"/>
          <w:lang w:val="en-GB"/>
        </w:rPr>
        <w:t>“落实</w:t>
      </w:r>
      <w:r>
        <w:rPr>
          <w:rFonts w:hint="eastAsia" w:ascii="宋体" w:hAnsi="宋体" w:cs="宋体"/>
          <w:color w:val="auto"/>
          <w:kern w:val="0"/>
          <w:highlight w:val="none"/>
        </w:rPr>
        <w:t>中小企业预留份额</w:t>
      </w:r>
      <w:r>
        <w:rPr>
          <w:rFonts w:hint="eastAsia" w:ascii="宋体" w:hAnsi="宋体" w:cs="宋体"/>
          <w:color w:val="auto"/>
          <w:kern w:val="0"/>
          <w:highlight w:val="none"/>
          <w:lang w:val="en-GB"/>
        </w:rPr>
        <w:t>”</w:t>
      </w:r>
      <w:r>
        <w:rPr>
          <w:rFonts w:hint="eastAsia" w:ascii="宋体" w:hAnsi="宋体" w:cs="宋体"/>
          <w:color w:val="auto"/>
          <w:kern w:val="0"/>
          <w:highlight w:val="none"/>
        </w:rPr>
        <w:t>而向中小企业分包时填写。</w:t>
      </w:r>
    </w:p>
    <w:p w14:paraId="6272BC9E">
      <w:pPr>
        <w:ind w:firstLine="420" w:firstLineChars="200"/>
        <w:rPr>
          <w:rFonts w:ascii="宋体" w:hAnsi="宋体" w:cs="宋体"/>
          <w:color w:val="auto"/>
          <w:kern w:val="0"/>
          <w:highlight w:val="none"/>
        </w:rPr>
      </w:pPr>
      <w:r>
        <w:rPr>
          <w:rFonts w:hint="eastAsia" w:ascii="宋体" w:hAnsi="宋体" w:cs="宋体"/>
          <w:color w:val="auto"/>
          <w:kern w:val="0"/>
          <w:highlight w:val="none"/>
        </w:rPr>
        <w:t>（2）拟分包单位必须满足“</w:t>
      </w:r>
      <w:r>
        <w:rPr>
          <w:rFonts w:hint="eastAsia" w:ascii="宋体" w:hAnsi="宋体" w:cs="宋体"/>
          <w:color w:val="auto"/>
          <w:kern w:val="0"/>
          <w:highlight w:val="none"/>
          <w:lang w:val="en-GB"/>
        </w:rPr>
        <w:t>通用条款的补充内容</w:t>
      </w:r>
      <w:r>
        <w:rPr>
          <w:rFonts w:hint="eastAsia" w:ascii="宋体" w:hAnsi="宋体" w:cs="宋体"/>
          <w:color w:val="auto"/>
          <w:kern w:val="0"/>
          <w:highlight w:val="none"/>
        </w:rPr>
        <w:t>”中关于分包的资质要求，并提供相应</w:t>
      </w:r>
      <w:r>
        <w:rPr>
          <w:rFonts w:hint="eastAsia" w:ascii="宋体" w:hAnsi="宋体" w:cs="宋体"/>
          <w:color w:val="auto"/>
          <w:kern w:val="0"/>
          <w:highlight w:val="none"/>
          <w:lang w:val="en-GB"/>
        </w:rPr>
        <w:t xml:space="preserve">资质证书复印件，否则投标无效。 </w:t>
      </w:r>
    </w:p>
    <w:p w14:paraId="59972F5A">
      <w:pPr>
        <w:pStyle w:val="34"/>
        <w:jc w:val="both"/>
        <w:rPr>
          <w:rFonts w:hint="eastAsia" w:ascii="Times New Roman" w:eastAsia="宋体"/>
          <w:color w:val="auto"/>
          <w:szCs w:val="21"/>
          <w:highlight w:val="none"/>
        </w:rPr>
      </w:pPr>
    </w:p>
    <w:p w14:paraId="60AF1329">
      <w:pPr>
        <w:spacing w:after="145" w:afterLines="50" w:line="360" w:lineRule="auto"/>
        <w:rPr>
          <w:rFonts w:hint="eastAsia" w:ascii="黑体" w:hAnsi="黑体" w:eastAsia="黑体" w:cs="黑体"/>
          <w:b/>
          <w:bCs/>
          <w:color w:val="auto"/>
          <w:kern w:val="0"/>
          <w:sz w:val="24"/>
          <w:szCs w:val="24"/>
          <w:highlight w:val="none"/>
          <w:lang w:val="en-US" w:eastAsia="zh-CN"/>
        </w:rPr>
      </w:pPr>
    </w:p>
    <w:p w14:paraId="2B3F98E4">
      <w:pPr>
        <w:spacing w:after="145" w:afterLines="50" w:line="360" w:lineRule="auto"/>
        <w:ind w:firstLine="482" w:firstLineChars="200"/>
        <w:rPr>
          <w:rFonts w:hint="eastAsia" w:ascii="黑体" w:hAnsi="黑体" w:eastAsia="黑体" w:cs="黑体"/>
          <w:b/>
          <w:bCs/>
          <w:color w:val="auto"/>
          <w:sz w:val="24"/>
          <w:szCs w:val="24"/>
          <w:highlight w:val="none"/>
          <w:lang w:val="en-GB"/>
        </w:rPr>
      </w:pPr>
      <w:r>
        <w:rPr>
          <w:rFonts w:hint="eastAsia" w:ascii="黑体" w:hAnsi="黑体" w:eastAsia="黑体" w:cs="黑体"/>
          <w:b/>
          <w:bCs/>
          <w:color w:val="auto"/>
          <w:kern w:val="0"/>
          <w:sz w:val="24"/>
          <w:szCs w:val="24"/>
          <w:highlight w:val="none"/>
          <w:lang w:val="en-US" w:eastAsia="zh-CN"/>
        </w:rPr>
        <w:t>附件六、</w:t>
      </w:r>
      <w:r>
        <w:rPr>
          <w:rFonts w:hint="eastAsia" w:ascii="黑体" w:hAnsi="宋体" w:eastAsia="黑体"/>
          <w:b/>
          <w:bCs/>
          <w:color w:val="auto"/>
          <w:kern w:val="0"/>
          <w:sz w:val="24"/>
          <w:szCs w:val="32"/>
          <w:highlight w:val="none"/>
        </w:rPr>
        <w:t>中小企业声明函、残疾人福利性单位声明函及监狱企业声明函</w:t>
      </w:r>
    </w:p>
    <w:p w14:paraId="6B65F65F">
      <w:pPr>
        <w:outlineLvl w:val="3"/>
        <w:rPr>
          <w:rFonts w:ascii="黑体" w:hAnsi="宋体" w:eastAsia="黑体"/>
          <w:bCs/>
          <w:color w:val="auto"/>
          <w:kern w:val="0"/>
          <w:highlight w:val="none"/>
        </w:rPr>
      </w:pPr>
      <w:r>
        <w:rPr>
          <w:rFonts w:hint="eastAsia" w:ascii="黑体" w:hAnsi="宋体" w:eastAsia="黑体"/>
          <w:bCs/>
          <w:color w:val="auto"/>
          <w:kern w:val="0"/>
          <w:highlight w:val="none"/>
        </w:rPr>
        <w:t>填写指引：</w:t>
      </w:r>
    </w:p>
    <w:p w14:paraId="744F1FEE">
      <w:pPr>
        <w:ind w:firstLine="420" w:firstLineChars="200"/>
        <w:outlineLvl w:val="3"/>
        <w:rPr>
          <w:rFonts w:ascii="黑体" w:hAnsi="黑体" w:eastAsia="黑体"/>
          <w:color w:val="auto"/>
          <w:highlight w:val="none"/>
        </w:rPr>
      </w:pPr>
      <w:r>
        <w:rPr>
          <w:rFonts w:hint="eastAsia" w:ascii="黑体" w:hAnsi="宋体" w:eastAsia="黑体"/>
          <w:bCs/>
          <w:color w:val="auto"/>
          <w:kern w:val="0"/>
          <w:highlight w:val="none"/>
        </w:rPr>
        <w:t>1、该部分内容由投标人根据自身实际情况填写，不符合要求的投标人可以不填写或直接删除相应的声明函。</w:t>
      </w:r>
      <w:r>
        <w:rPr>
          <w:rFonts w:hint="eastAsia" w:ascii="黑体" w:hAnsi="黑体" w:eastAsia="黑体"/>
          <w:color w:val="auto"/>
          <w:highlight w:val="none"/>
        </w:rPr>
        <w:t>投标人提供的声明函不属实的，属于提供虚假资料谋取中标，依照《中华人民共和国政府采购法》等国家有关规定追究相应责任。</w:t>
      </w:r>
    </w:p>
    <w:p w14:paraId="01F3A309">
      <w:pPr>
        <w:ind w:firstLine="420" w:firstLineChars="200"/>
        <w:outlineLvl w:val="3"/>
        <w:rPr>
          <w:rFonts w:ascii="黑体" w:hAnsi="黑体" w:eastAsia="黑体"/>
          <w:color w:val="auto"/>
          <w:highlight w:val="none"/>
        </w:rPr>
      </w:pPr>
      <w:r>
        <w:rPr>
          <w:rFonts w:hint="eastAsia" w:ascii="黑体" w:hAnsi="黑体" w:eastAsia="黑体"/>
          <w:color w:val="auto"/>
          <w:highlight w:val="none"/>
        </w:rPr>
        <w:t>2、该部分内容填写需要参考的相关文件：(</w:t>
      </w:r>
      <w:r>
        <w:rPr>
          <w:rFonts w:ascii="黑体" w:hAnsi="黑体" w:eastAsia="黑体"/>
          <w:color w:val="auto"/>
          <w:highlight w:val="none"/>
        </w:rPr>
        <w:t>1</w:t>
      </w:r>
      <w:r>
        <w:rPr>
          <w:rFonts w:hint="eastAsia" w:ascii="黑体" w:hAnsi="黑体" w:eastAsia="黑体"/>
          <w:color w:val="auto"/>
          <w:highlight w:val="none"/>
        </w:rPr>
        <w:t>)财政部《政府采购促进中小企业发展管理办法》（财库〔2020〕46号）；(</w:t>
      </w:r>
      <w:r>
        <w:rPr>
          <w:rFonts w:ascii="黑体" w:hAnsi="黑体" w:eastAsia="黑体"/>
          <w:color w:val="auto"/>
          <w:highlight w:val="none"/>
        </w:rPr>
        <w:t>2</w:t>
      </w:r>
      <w:r>
        <w:rPr>
          <w:rFonts w:hint="eastAsia" w:ascii="黑体" w:hAnsi="黑体" w:eastAsia="黑体"/>
          <w:color w:val="auto"/>
          <w:highlight w:val="none"/>
        </w:rPr>
        <w:t>)</w:t>
      </w:r>
      <w:bookmarkStart w:id="63" w:name="_Hlk71925120"/>
      <w:r>
        <w:rPr>
          <w:rFonts w:hint="eastAsia" w:ascii="黑体" w:hAnsi="黑体" w:eastAsia="黑体"/>
          <w:color w:val="auto"/>
          <w:highlight w:val="none"/>
        </w:rPr>
        <w:t>《工业和信息化部、国家统计局、国家发展和改革委员会、财政部关于印发中小企业划型标准规定的通知》（工信部联企业〔2011〕300 号</w:t>
      </w:r>
      <w:bookmarkEnd w:id="63"/>
      <w:r>
        <w:rPr>
          <w:rFonts w:hint="eastAsia" w:ascii="黑体" w:hAnsi="黑体" w:eastAsia="黑体"/>
          <w:color w:val="auto"/>
          <w:highlight w:val="none"/>
        </w:rPr>
        <w:t>，以下简称3</w:t>
      </w:r>
      <w:r>
        <w:rPr>
          <w:rFonts w:ascii="黑体" w:hAnsi="黑体" w:eastAsia="黑体"/>
          <w:color w:val="auto"/>
          <w:highlight w:val="none"/>
        </w:rPr>
        <w:t>00</w:t>
      </w:r>
      <w:r>
        <w:rPr>
          <w:rFonts w:hint="eastAsia" w:ascii="黑体" w:hAnsi="黑体" w:eastAsia="黑体"/>
          <w:color w:val="auto"/>
          <w:highlight w:val="none"/>
        </w:rPr>
        <w:t>号文）。</w:t>
      </w:r>
    </w:p>
    <w:p w14:paraId="21DA09DB">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3、请依照提供的格式和内容填写声明函，不要随意变更格式；声明函需要加盖公章；</w:t>
      </w:r>
      <w:r>
        <w:rPr>
          <w:rFonts w:hint="eastAsia" w:ascii="黑体" w:hAnsi="黑体" w:eastAsia="黑体"/>
          <w:color w:val="auto"/>
          <w:highlight w:val="none"/>
        </w:rPr>
        <w:t>满足多项优惠政策的投标人，不重复享受多项价格扣除政策。</w:t>
      </w:r>
    </w:p>
    <w:p w14:paraId="741E8EAC">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4、声明函具体填写要求：</w:t>
      </w:r>
    </w:p>
    <w:p w14:paraId="2149F10F">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（1）声明是中小企业须填写《中小企业声明函》的以下内容：</w:t>
      </w:r>
    </w:p>
    <w:p w14:paraId="039BC63D">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第一处，在“单位名称”下划线处如实填写采购人名称（巴州政务服务和公共资源交易中心不是本项目的采购人，而是组织实施机构）；</w:t>
      </w:r>
    </w:p>
    <w:p w14:paraId="44EFC400">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第二处，在“项目名称”下划线处如实填写采购项目名称；</w:t>
      </w:r>
    </w:p>
    <w:p w14:paraId="43E7A3B2">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第三处，在“标的名称”下划线处填写所采购服务（标的）的具体名称（以</w:t>
      </w:r>
      <w:bookmarkStart w:id="64" w:name="_Hlk72259001"/>
      <w:r>
        <w:rPr>
          <w:rFonts w:hint="eastAsia" w:ascii="黑体" w:hAnsi="宋体" w:eastAsia="黑体"/>
          <w:bCs/>
          <w:color w:val="auto"/>
          <w:kern w:val="0"/>
          <w:highlight w:val="none"/>
          <w:lang w:val="en-US" w:eastAsia="zh-CN"/>
        </w:rPr>
        <w:t>招标</w:t>
      </w:r>
      <w:r>
        <w:rPr>
          <w:rFonts w:hint="eastAsia" w:ascii="黑体" w:hAnsi="宋体" w:eastAsia="黑体"/>
          <w:bCs/>
          <w:color w:val="auto"/>
          <w:kern w:val="0"/>
          <w:highlight w:val="none"/>
        </w:rPr>
        <w:t>文件第一册第三章</w:t>
      </w:r>
      <w:bookmarkEnd w:id="64"/>
      <w:r>
        <w:rPr>
          <w:rFonts w:hint="eastAsia" w:ascii="黑体" w:hAnsi="宋体" w:eastAsia="黑体"/>
          <w:bCs/>
          <w:color w:val="auto"/>
          <w:kern w:val="0"/>
          <w:highlight w:val="none"/>
        </w:rPr>
        <w:t>用户需求书“货物/服务需求明细”的“服务需求名称”一栏为准）；如果涉及多个服务需求（标的）由同一企业承接，“标的名称”下划线处可以如实填写多个服务需求（标的）；</w:t>
      </w:r>
    </w:p>
    <w:p w14:paraId="1C062F47">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第四处，在“</w:t>
      </w:r>
      <w:r>
        <w:rPr>
          <w:rFonts w:hint="eastAsia" w:ascii="黑体" w:hAnsi="宋体" w:eastAsia="黑体"/>
          <w:bCs/>
          <w:color w:val="auto"/>
          <w:kern w:val="0"/>
          <w:highlight w:val="none"/>
          <w:lang w:val="en-US" w:eastAsia="zh-CN"/>
        </w:rPr>
        <w:t>招标</w:t>
      </w:r>
      <w:r>
        <w:rPr>
          <w:rFonts w:hint="eastAsia" w:ascii="黑体" w:hAnsi="宋体" w:eastAsia="黑体"/>
          <w:bCs/>
          <w:color w:val="auto"/>
          <w:kern w:val="0"/>
          <w:highlight w:val="none"/>
        </w:rPr>
        <w:t>文件中明确的所属行业”下划线处填写采购标的对应的中小企业划分标准所属行业（所属行业可在</w:t>
      </w:r>
      <w:r>
        <w:rPr>
          <w:rFonts w:hint="eastAsia" w:ascii="黑体" w:hAnsi="宋体" w:eastAsia="黑体"/>
          <w:bCs/>
          <w:color w:val="auto"/>
          <w:kern w:val="0"/>
          <w:highlight w:val="none"/>
          <w:lang w:val="en-US" w:eastAsia="zh-CN"/>
        </w:rPr>
        <w:t>招标</w:t>
      </w:r>
      <w:r>
        <w:rPr>
          <w:rFonts w:hint="eastAsia" w:ascii="黑体" w:hAnsi="宋体" w:eastAsia="黑体"/>
          <w:bCs/>
          <w:color w:val="auto"/>
          <w:kern w:val="0"/>
          <w:highlight w:val="none"/>
        </w:rPr>
        <w:t>文件第一册第二章“对通用条款的补充内容及其他关键信息”章节查看）；</w:t>
      </w:r>
    </w:p>
    <w:p w14:paraId="4B4D405C">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8CC0D69">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（2）声明是残疾人福利性单位须填写《残疾人福利性单位声明函》的相关内容（填写位置的字体已加粗），具体参照以上《中小企业声明函》填写要求执行。</w:t>
      </w:r>
    </w:p>
    <w:p w14:paraId="5105393D">
      <w:pPr>
        <w:ind w:firstLine="420" w:firstLineChars="200"/>
        <w:outlineLvl w:val="3"/>
        <w:rPr>
          <w:rFonts w:ascii="黑体" w:hAnsi="宋体" w:eastAsia="黑体"/>
          <w:bCs/>
          <w:color w:val="auto"/>
          <w:kern w:val="0"/>
          <w:highlight w:val="none"/>
        </w:rPr>
      </w:pPr>
      <w:r>
        <w:rPr>
          <w:rFonts w:hint="eastAsia" w:ascii="黑体" w:hAnsi="宋体" w:eastAsia="黑体"/>
          <w:bCs/>
          <w:color w:val="auto"/>
          <w:kern w:val="0"/>
          <w:highlight w:val="none"/>
        </w:rPr>
        <w:t>（3）声明是监狱企业须填写《监狱企业声明函》的相关内容（填写位置的字体已加粗），具体参照以上《中小企业声明函》填写要求执行。</w:t>
      </w:r>
    </w:p>
    <w:p w14:paraId="0905E32A">
      <w:pPr>
        <w:ind w:firstLine="420" w:firstLineChars="200"/>
        <w:rPr>
          <w:color w:val="auto"/>
          <w:highlight w:val="none"/>
        </w:rPr>
      </w:pPr>
      <w:r>
        <w:rPr>
          <w:rFonts w:hint="eastAsia" w:ascii="黑体" w:hAnsi="宋体" w:eastAsia="黑体"/>
          <w:bCs/>
          <w:color w:val="auto"/>
          <w:kern w:val="0"/>
          <w:highlight w:val="none"/>
        </w:rPr>
        <w:t>5、声明函的有效性最终由评审委员会判定；如评审委员会判定声明函无效，相关供应商不享受</w:t>
      </w:r>
      <w:r>
        <w:rPr>
          <w:rFonts w:hint="eastAsia" w:ascii="黑体" w:hAnsi="黑体" w:eastAsia="黑体"/>
          <w:color w:val="auto"/>
          <w:highlight w:val="none"/>
        </w:rPr>
        <w:t>价格扣除</w:t>
      </w:r>
      <w:r>
        <w:rPr>
          <w:rFonts w:hint="eastAsia" w:ascii="黑体" w:hAnsi="宋体" w:eastAsia="黑体"/>
          <w:bCs/>
          <w:color w:val="auto"/>
          <w:kern w:val="0"/>
          <w:highlight w:val="none"/>
        </w:rPr>
        <w:t>（但不作投标无效处理）。</w:t>
      </w:r>
    </w:p>
    <w:p w14:paraId="7308333A">
      <w:pPr>
        <w:ind w:firstLine="420" w:firstLineChars="200"/>
        <w:rPr>
          <w:color w:val="auto"/>
          <w:highlight w:val="none"/>
        </w:rPr>
      </w:pPr>
    </w:p>
    <w:p w14:paraId="5DCB6882">
      <w:pPr>
        <w:jc w:val="center"/>
        <w:outlineLvl w:val="3"/>
        <w:rPr>
          <w:rFonts w:hint="eastAsia"/>
          <w:b/>
          <w:color w:val="auto"/>
          <w:sz w:val="24"/>
          <w:highlight w:val="none"/>
        </w:rPr>
      </w:pPr>
    </w:p>
    <w:p w14:paraId="5E4E2327">
      <w:pPr>
        <w:widowControl/>
        <w:numPr>
          <w:ilvl w:val="0"/>
          <w:numId w:val="0"/>
        </w:numPr>
        <w:spacing w:line="400" w:lineRule="exact"/>
        <w:jc w:val="center"/>
        <w:rPr>
          <w:rFonts w:hint="eastAsia" w:ascii="宋体" w:hAnsi="宋体" w:cs="宋体"/>
          <w:b/>
          <w:color w:val="auto"/>
          <w:sz w:val="24"/>
          <w:highlight w:val="none"/>
        </w:rPr>
      </w:pPr>
      <w:r>
        <w:rPr>
          <w:rFonts w:hint="eastAsia"/>
          <w:b/>
          <w:color w:val="auto"/>
          <w:sz w:val="24"/>
          <w:highlight w:val="none"/>
        </w:rPr>
        <w:t>1、</w:t>
      </w:r>
      <w:r>
        <w:rPr>
          <w:rFonts w:hint="eastAsia" w:ascii="宋体" w:hAnsi="宋体" w:cs="宋体"/>
          <w:b/>
          <w:color w:val="auto"/>
          <w:sz w:val="24"/>
          <w:highlight w:val="none"/>
        </w:rPr>
        <w:t>中小企业声明函（货物）</w:t>
      </w:r>
    </w:p>
    <w:p w14:paraId="7FA1C837">
      <w:pPr>
        <w:ind w:firstLine="420" w:firstLineChars="200"/>
        <w:outlineLvl w:val="3"/>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b/>
          <w:bCs/>
          <w:color w:val="auto"/>
          <w:highlight w:val="none"/>
          <w:u w:val="single"/>
        </w:rPr>
        <w:t>（采购人名称）</w:t>
      </w:r>
      <w:r>
        <w:rPr>
          <w:rFonts w:hint="eastAsia" w:ascii="宋体" w:hAnsi="宋体" w:cs="宋体"/>
          <w:color w:val="auto"/>
          <w:highlight w:val="none"/>
        </w:rPr>
        <w:t>的</w:t>
      </w:r>
      <w:r>
        <w:rPr>
          <w:rFonts w:hint="eastAsia" w:ascii="宋体" w:hAnsi="宋体" w:cs="宋体"/>
          <w:b/>
          <w:bCs/>
          <w:color w:val="auto"/>
          <w:highlight w:val="none"/>
          <w:u w:val="single"/>
        </w:rPr>
        <w:t>（项目名称）</w:t>
      </w:r>
      <w:r>
        <w:rPr>
          <w:rFonts w:hint="eastAsia" w:ascii="宋体" w:hAnsi="宋体" w:cs="宋体"/>
          <w:color w:val="auto"/>
          <w:highlight w:val="none"/>
        </w:rPr>
        <w:t>采购活动，提供的货物全部由符合政策要求的中小企业制造。相关企业（含联合体中的中小企业、签订分包意向协议的中小企业）的具体情况如下：</w:t>
      </w:r>
    </w:p>
    <w:p w14:paraId="1250A2A6">
      <w:pPr>
        <w:ind w:firstLine="420" w:firstLineChars="200"/>
        <w:outlineLvl w:val="3"/>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b/>
          <w:bCs/>
          <w:color w:val="auto"/>
          <w:highlight w:val="none"/>
          <w:u w:val="single"/>
        </w:rPr>
        <w:t xml:space="preserve"> （标的名称）</w:t>
      </w:r>
      <w:r>
        <w:rPr>
          <w:rFonts w:hint="eastAsia" w:ascii="宋体" w:hAnsi="宋体" w:cs="宋体"/>
          <w:color w:val="auto"/>
          <w:highlight w:val="none"/>
        </w:rPr>
        <w:t xml:space="preserve"> ，属于</w:t>
      </w:r>
      <w:r>
        <w:rPr>
          <w:rFonts w:hint="eastAsia" w:ascii="宋体" w:hAnsi="宋体" w:cs="宋体"/>
          <w:b/>
          <w:bCs/>
          <w:color w:val="auto"/>
          <w:highlight w:val="none"/>
          <w:u w:val="single"/>
        </w:rPr>
        <w:t>（</w:t>
      </w:r>
      <w:r>
        <w:rPr>
          <w:rFonts w:hint="eastAsia" w:ascii="宋体" w:hAnsi="宋体" w:cs="宋体"/>
          <w:b/>
          <w:bCs/>
          <w:color w:val="auto"/>
          <w:highlight w:val="none"/>
          <w:u w:val="single"/>
          <w:lang w:val="en-US" w:eastAsia="zh-CN"/>
        </w:rPr>
        <w:t>招标</w:t>
      </w:r>
      <w:r>
        <w:rPr>
          <w:rFonts w:hint="eastAsia" w:ascii="宋体" w:hAnsi="宋体" w:cs="宋体"/>
          <w:b/>
          <w:bCs/>
          <w:color w:val="auto"/>
          <w:highlight w:val="none"/>
          <w:u w:val="single"/>
        </w:rPr>
        <w:t xml:space="preserve">文件中明确的所属行业） </w:t>
      </w:r>
      <w:r>
        <w:rPr>
          <w:rFonts w:hint="eastAsia" w:ascii="宋体" w:hAnsi="宋体" w:cs="宋体"/>
          <w:color w:val="auto"/>
          <w:highlight w:val="none"/>
        </w:rPr>
        <w:t>行业；制造商为</w:t>
      </w:r>
      <w:r>
        <w:rPr>
          <w:rFonts w:hint="eastAsia" w:ascii="宋体" w:hAnsi="宋体" w:cs="宋体"/>
          <w:b/>
          <w:bCs/>
          <w:color w:val="auto"/>
          <w:highlight w:val="none"/>
          <w:u w:val="single"/>
        </w:rPr>
        <w:t>（企业名称）</w:t>
      </w:r>
      <w:r>
        <w:rPr>
          <w:rFonts w:hint="eastAsia" w:ascii="宋体" w:hAnsi="宋体" w:cs="宋体"/>
          <w:color w:val="auto"/>
          <w:highlight w:val="none"/>
        </w:rPr>
        <w:t>，从业人员</w:t>
      </w:r>
      <w:r>
        <w:rPr>
          <w:rFonts w:hint="eastAsia" w:ascii="宋体" w:hAnsi="宋体" w:cs="宋体"/>
          <w:b/>
          <w:bCs/>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b/>
          <w:bCs/>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b/>
          <w:bCs/>
          <w:color w:val="auto"/>
          <w:highlight w:val="none"/>
          <w:u w:val="single"/>
        </w:rPr>
        <w:t xml:space="preserve">  </w:t>
      </w:r>
      <w:r>
        <w:rPr>
          <w:rFonts w:hint="eastAsia" w:ascii="宋体" w:hAnsi="宋体" w:cs="宋体"/>
          <w:color w:val="auto"/>
          <w:highlight w:val="none"/>
        </w:rPr>
        <w:t>万元 ，属于</w:t>
      </w:r>
      <w:r>
        <w:rPr>
          <w:rFonts w:hint="eastAsia" w:ascii="宋体" w:hAnsi="宋体" w:cs="宋体"/>
          <w:b/>
          <w:bCs/>
          <w:color w:val="auto"/>
          <w:highlight w:val="none"/>
          <w:u w:val="single"/>
        </w:rPr>
        <w:t>（中型企业、小型企业、微型企业）</w:t>
      </w:r>
      <w:r>
        <w:rPr>
          <w:rFonts w:hint="eastAsia" w:ascii="宋体" w:hAnsi="宋体" w:cs="宋体"/>
          <w:color w:val="auto"/>
          <w:highlight w:val="none"/>
        </w:rPr>
        <w:t xml:space="preserve">； </w:t>
      </w:r>
    </w:p>
    <w:p w14:paraId="16C79FB9">
      <w:pPr>
        <w:ind w:firstLine="420" w:firstLineChars="200"/>
        <w:outlineLvl w:val="3"/>
        <w:rPr>
          <w:rFonts w:hint="eastAsia" w:ascii="宋体" w:hAnsi="宋体" w:cs="宋体"/>
          <w:color w:val="auto"/>
          <w:highlight w:val="none"/>
          <w:u w:val="single"/>
        </w:rPr>
      </w:pPr>
      <w:r>
        <w:rPr>
          <w:rFonts w:hint="eastAsia" w:ascii="宋体" w:hAnsi="宋体" w:cs="宋体"/>
          <w:color w:val="auto"/>
          <w:highlight w:val="none"/>
        </w:rPr>
        <w:t>2.</w:t>
      </w:r>
      <w:r>
        <w:rPr>
          <w:rFonts w:hint="eastAsia" w:ascii="宋体" w:hAnsi="宋体" w:cs="宋体"/>
          <w:b/>
          <w:bCs/>
          <w:color w:val="auto"/>
          <w:highlight w:val="none"/>
          <w:u w:val="single"/>
        </w:rPr>
        <w:t xml:space="preserve"> （标的名称）</w:t>
      </w:r>
      <w:r>
        <w:rPr>
          <w:rFonts w:hint="eastAsia" w:ascii="宋体" w:hAnsi="宋体" w:cs="宋体"/>
          <w:color w:val="auto"/>
          <w:highlight w:val="none"/>
        </w:rPr>
        <w:t xml:space="preserve"> ，属于</w:t>
      </w:r>
      <w:r>
        <w:rPr>
          <w:rFonts w:hint="eastAsia" w:ascii="宋体" w:hAnsi="宋体" w:cs="宋体"/>
          <w:b/>
          <w:bCs/>
          <w:color w:val="auto"/>
          <w:highlight w:val="none"/>
          <w:u w:val="single"/>
        </w:rPr>
        <w:t>（</w:t>
      </w:r>
      <w:r>
        <w:rPr>
          <w:rFonts w:hint="eastAsia" w:ascii="宋体" w:hAnsi="宋体" w:cs="宋体"/>
          <w:b/>
          <w:bCs/>
          <w:color w:val="auto"/>
          <w:highlight w:val="none"/>
          <w:u w:val="single"/>
          <w:lang w:val="en-US" w:eastAsia="zh-CN"/>
        </w:rPr>
        <w:t>招标</w:t>
      </w:r>
      <w:r>
        <w:rPr>
          <w:rFonts w:hint="eastAsia" w:ascii="宋体" w:hAnsi="宋体" w:cs="宋体"/>
          <w:b/>
          <w:bCs/>
          <w:color w:val="auto"/>
          <w:highlight w:val="none"/>
          <w:u w:val="single"/>
        </w:rPr>
        <w:t xml:space="preserve">文件中明确的所属行业） </w:t>
      </w:r>
      <w:r>
        <w:rPr>
          <w:rFonts w:hint="eastAsia" w:ascii="宋体" w:hAnsi="宋体" w:cs="宋体"/>
          <w:color w:val="auto"/>
          <w:highlight w:val="none"/>
        </w:rPr>
        <w:t>行业；制造商为</w:t>
      </w:r>
      <w:r>
        <w:rPr>
          <w:rFonts w:hint="eastAsia" w:ascii="宋体" w:hAnsi="宋体" w:cs="宋体"/>
          <w:b/>
          <w:bCs/>
          <w:color w:val="auto"/>
          <w:highlight w:val="none"/>
          <w:u w:val="single"/>
        </w:rPr>
        <w:t>（企业名称）</w:t>
      </w:r>
      <w:r>
        <w:rPr>
          <w:rFonts w:hint="eastAsia" w:ascii="宋体" w:hAnsi="宋体" w:cs="宋体"/>
          <w:color w:val="auto"/>
          <w:highlight w:val="none"/>
        </w:rPr>
        <w:t>，从业人员</w:t>
      </w:r>
      <w:r>
        <w:rPr>
          <w:rFonts w:hint="eastAsia" w:ascii="宋体" w:hAnsi="宋体" w:cs="宋体"/>
          <w:b/>
          <w:bCs/>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b/>
          <w:bCs/>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b/>
          <w:bCs/>
          <w:color w:val="auto"/>
          <w:highlight w:val="none"/>
          <w:u w:val="single"/>
        </w:rPr>
        <w:t xml:space="preserve">  </w:t>
      </w:r>
      <w:r>
        <w:rPr>
          <w:rFonts w:hint="eastAsia" w:ascii="宋体" w:hAnsi="宋体" w:cs="宋体"/>
          <w:color w:val="auto"/>
          <w:highlight w:val="none"/>
        </w:rPr>
        <w:t>万元 ，属于</w:t>
      </w:r>
      <w:r>
        <w:rPr>
          <w:rFonts w:hint="eastAsia" w:ascii="宋体" w:hAnsi="宋体" w:cs="宋体"/>
          <w:b/>
          <w:bCs/>
          <w:color w:val="auto"/>
          <w:highlight w:val="none"/>
          <w:u w:val="single"/>
        </w:rPr>
        <w:t>（中型企业、小型企业、微型企业）</w:t>
      </w:r>
      <w:r>
        <w:rPr>
          <w:rFonts w:hint="eastAsia" w:ascii="宋体" w:hAnsi="宋体" w:cs="宋体"/>
          <w:color w:val="auto"/>
          <w:highlight w:val="none"/>
        </w:rPr>
        <w:t>；</w:t>
      </w:r>
    </w:p>
    <w:p w14:paraId="6E325616">
      <w:pPr>
        <w:ind w:firstLine="420" w:firstLineChars="200"/>
        <w:outlineLvl w:val="3"/>
        <w:rPr>
          <w:rFonts w:hint="eastAsia" w:ascii="宋体" w:hAnsi="宋体" w:cs="宋体"/>
          <w:color w:val="auto"/>
          <w:highlight w:val="none"/>
        </w:rPr>
      </w:pPr>
      <w:r>
        <w:rPr>
          <w:rFonts w:hint="eastAsia" w:ascii="宋体" w:hAnsi="宋体" w:cs="宋体"/>
          <w:color w:val="auto"/>
          <w:highlight w:val="none"/>
        </w:rPr>
        <w:t xml:space="preserve">…… </w:t>
      </w:r>
    </w:p>
    <w:p w14:paraId="7CA5B0C6">
      <w:pPr>
        <w:ind w:firstLine="420" w:firstLineChars="200"/>
        <w:outlineLvl w:val="3"/>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04A8D827">
      <w:pPr>
        <w:ind w:firstLine="420" w:firstLineChars="200"/>
        <w:outlineLvl w:val="3"/>
        <w:rPr>
          <w:rFonts w:hint="eastAsia" w:ascii="宋体" w:hAnsi="宋体" w:cs="宋体"/>
          <w:color w:val="auto"/>
          <w:highlight w:val="none"/>
        </w:rPr>
      </w:pPr>
    </w:p>
    <w:p w14:paraId="10BEE390">
      <w:pPr>
        <w:ind w:firstLine="420" w:firstLineChars="200"/>
        <w:outlineLvl w:val="3"/>
        <w:rPr>
          <w:rFonts w:hint="eastAsia" w:ascii="宋体" w:hAnsi="宋体" w:cs="宋体"/>
          <w:color w:val="auto"/>
          <w:highlight w:val="none"/>
        </w:rPr>
      </w:pPr>
      <w:r>
        <w:rPr>
          <w:rFonts w:hint="eastAsia" w:ascii="宋体" w:hAnsi="宋体" w:cs="宋体"/>
          <w:color w:val="auto"/>
          <w:highlight w:val="none"/>
        </w:rPr>
        <w:t>本企业人已知悉《政府采购促进中小企业发展管理办法》（财库〔2020〕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0447465F">
      <w:pPr>
        <w:pStyle w:val="2"/>
        <w:rPr>
          <w:rFonts w:hint="eastAsia" w:ascii="宋体" w:hAnsi="宋体" w:eastAsia="宋体" w:cs="宋体"/>
          <w:color w:val="auto"/>
          <w:sz w:val="21"/>
          <w:szCs w:val="21"/>
          <w:highlight w:val="none"/>
        </w:rPr>
      </w:pPr>
    </w:p>
    <w:p w14:paraId="57B85453">
      <w:pPr>
        <w:ind w:firstLine="5670" w:firstLineChars="2700"/>
        <w:outlineLvl w:val="3"/>
        <w:rPr>
          <w:rFonts w:hint="eastAsia" w:ascii="宋体" w:hAnsi="宋体" w:cs="宋体"/>
          <w:color w:val="auto"/>
          <w:highlight w:val="none"/>
        </w:rPr>
      </w:pPr>
      <w:r>
        <w:rPr>
          <w:rFonts w:hint="eastAsia" w:ascii="宋体" w:hAnsi="宋体" w:cs="宋体"/>
          <w:color w:val="auto"/>
          <w:highlight w:val="none"/>
        </w:rPr>
        <w:t>企业名称（盖章）：</w:t>
      </w:r>
    </w:p>
    <w:p w14:paraId="4B154653">
      <w:pPr>
        <w:ind w:firstLine="6300" w:firstLineChars="3000"/>
        <w:outlineLvl w:val="3"/>
        <w:rPr>
          <w:rFonts w:hint="eastAsia" w:ascii="宋体" w:hAnsi="宋体" w:cs="宋体"/>
          <w:color w:val="auto"/>
          <w:highlight w:val="none"/>
        </w:rPr>
      </w:pPr>
      <w:r>
        <w:rPr>
          <w:rFonts w:hint="eastAsia" w:ascii="宋体" w:hAnsi="宋体" w:cs="宋体"/>
          <w:color w:val="auto"/>
          <w:highlight w:val="none"/>
        </w:rPr>
        <w:t>日期：</w:t>
      </w:r>
    </w:p>
    <w:p w14:paraId="13BEEAD7">
      <w:pPr>
        <w:pStyle w:val="17"/>
        <w:rPr>
          <w:rFonts w:hint="eastAsia"/>
          <w:color w:val="auto"/>
          <w:highlight w:val="none"/>
        </w:rPr>
      </w:pPr>
    </w:p>
    <w:p w14:paraId="3FB9AD0C">
      <w:pPr>
        <w:rPr>
          <w:rFonts w:hint="eastAsia"/>
          <w:color w:val="auto"/>
          <w:highlight w:val="none"/>
        </w:rPr>
      </w:pPr>
    </w:p>
    <w:p w14:paraId="6EF479C3">
      <w:pPr>
        <w:widowControl/>
        <w:spacing w:line="400" w:lineRule="exact"/>
        <w:rPr>
          <w:rFonts w:hint="eastAsia" w:ascii="宋体" w:hAnsi="宋体"/>
          <w:b/>
          <w:bCs/>
          <w:color w:val="auto"/>
          <w:sz w:val="18"/>
          <w:highlight w:val="none"/>
        </w:rPr>
      </w:pPr>
      <w:r>
        <w:rPr>
          <w:rFonts w:hint="eastAsia" w:ascii="宋体" w:hAnsi="宋体"/>
          <w:b/>
          <w:bCs/>
          <w:color w:val="auto"/>
          <w:sz w:val="18"/>
          <w:highlight w:val="none"/>
        </w:rPr>
        <w:t>备注：1、从业人员、营业收入、资产总额填报上一年度数据，无上一年度数据的新成立企业可不填报。</w:t>
      </w:r>
    </w:p>
    <w:p w14:paraId="39AD62F8">
      <w:pPr>
        <w:widowControl/>
        <w:numPr>
          <w:ilvl w:val="0"/>
          <w:numId w:val="8"/>
        </w:numPr>
        <w:spacing w:line="400" w:lineRule="exact"/>
        <w:ind w:firstLine="542" w:firstLineChars="300"/>
        <w:rPr>
          <w:color w:val="auto"/>
          <w:highlight w:val="none"/>
        </w:rPr>
      </w:pPr>
      <w:r>
        <w:rPr>
          <w:rFonts w:hint="eastAsia" w:ascii="宋体" w:hAnsi="宋体"/>
          <w:b/>
          <w:bCs/>
          <w:color w:val="auto"/>
          <w:sz w:val="18"/>
          <w:szCs w:val="22"/>
          <w:highlight w:val="none"/>
        </w:rPr>
        <w:t>投标人为中小企业时需提供本声明函，并完整填写从业人员、营业收入、资产总额等内容，否则评审时不能享受相应的价格扣除。</w:t>
      </w:r>
    </w:p>
    <w:p w14:paraId="7FC29688">
      <w:pPr>
        <w:ind w:firstLine="420" w:firstLineChars="200"/>
        <w:rPr>
          <w:color w:val="auto"/>
          <w:highlight w:val="none"/>
        </w:rPr>
      </w:pPr>
    </w:p>
    <w:p w14:paraId="0D2B73B3">
      <w:pPr>
        <w:pStyle w:val="39"/>
        <w:rPr>
          <w:color w:val="auto"/>
          <w:highlight w:val="none"/>
        </w:rPr>
      </w:pPr>
    </w:p>
    <w:p w14:paraId="4D26D0BA">
      <w:pPr>
        <w:jc w:val="center"/>
        <w:outlineLvl w:val="3"/>
        <w:rPr>
          <w:rFonts w:hint="eastAsia"/>
          <w:b/>
          <w:color w:val="auto"/>
          <w:sz w:val="24"/>
          <w:highlight w:val="none"/>
        </w:rPr>
      </w:pPr>
    </w:p>
    <w:p w14:paraId="47CAB5BF">
      <w:pPr>
        <w:rPr>
          <w:rFonts w:hint="eastAsia" w:ascii="黑体" w:hAnsi="宋体" w:eastAsia="黑体"/>
          <w:b/>
          <w:color w:val="auto"/>
          <w:sz w:val="24"/>
          <w:highlight w:val="none"/>
        </w:rPr>
      </w:pPr>
    </w:p>
    <w:p w14:paraId="7E4EAEC5">
      <w:pPr>
        <w:pStyle w:val="2"/>
        <w:rPr>
          <w:rFonts w:hint="eastAsia" w:ascii="黑体" w:hAnsi="宋体" w:eastAsia="黑体"/>
          <w:b/>
          <w:color w:val="auto"/>
          <w:sz w:val="24"/>
          <w:highlight w:val="none"/>
        </w:rPr>
      </w:pPr>
    </w:p>
    <w:p w14:paraId="1F03F467">
      <w:pPr>
        <w:pStyle w:val="3"/>
        <w:rPr>
          <w:rFonts w:hint="eastAsia" w:ascii="黑体" w:hAnsi="宋体" w:eastAsia="黑体"/>
          <w:b/>
          <w:color w:val="auto"/>
          <w:sz w:val="24"/>
          <w:highlight w:val="none"/>
        </w:rPr>
      </w:pPr>
    </w:p>
    <w:p w14:paraId="7CCFB2F6">
      <w:pPr>
        <w:rPr>
          <w:rFonts w:hint="eastAsia" w:ascii="黑体" w:hAnsi="宋体" w:eastAsia="黑体"/>
          <w:b/>
          <w:color w:val="auto"/>
          <w:sz w:val="24"/>
          <w:highlight w:val="none"/>
        </w:rPr>
      </w:pPr>
    </w:p>
    <w:p w14:paraId="31AC6B3C">
      <w:pPr>
        <w:pStyle w:val="2"/>
        <w:rPr>
          <w:rFonts w:hint="eastAsia"/>
        </w:rPr>
      </w:pPr>
    </w:p>
    <w:p w14:paraId="15C7711B">
      <w:pPr>
        <w:pStyle w:val="39"/>
        <w:rPr>
          <w:rFonts w:hint="eastAsia"/>
          <w:color w:val="auto"/>
          <w:highlight w:val="none"/>
        </w:rPr>
      </w:pPr>
    </w:p>
    <w:p w14:paraId="2DA770FB">
      <w:pPr>
        <w:widowControl/>
        <w:tabs>
          <w:tab w:val="left" w:pos="720"/>
        </w:tabs>
        <w:spacing w:line="360" w:lineRule="auto"/>
        <w:ind w:firstLine="5542" w:firstLineChars="2300"/>
        <w:jc w:val="both"/>
        <w:rPr>
          <w:rFonts w:hint="eastAsia" w:ascii="黑体" w:hAnsi="宋体" w:eastAsia="黑体"/>
          <w:b/>
          <w:color w:val="auto"/>
          <w:sz w:val="24"/>
          <w:highlight w:val="none"/>
          <w:lang w:val="en-US" w:eastAsia="zh-CN"/>
        </w:rPr>
      </w:pPr>
    </w:p>
    <w:p w14:paraId="3BF3BC9B">
      <w:pPr>
        <w:widowControl/>
        <w:tabs>
          <w:tab w:val="left" w:pos="720"/>
        </w:tabs>
        <w:spacing w:line="360" w:lineRule="auto"/>
        <w:ind w:firstLine="5542" w:firstLineChars="2300"/>
        <w:jc w:val="both"/>
        <w:rPr>
          <w:rFonts w:hint="eastAsia" w:ascii="黑体" w:hAnsi="宋体" w:eastAsia="黑体"/>
          <w:b/>
          <w:color w:val="auto"/>
          <w:sz w:val="24"/>
          <w:highlight w:val="none"/>
          <w:lang w:val="en-US" w:eastAsia="zh-CN"/>
        </w:rPr>
        <w:sectPr>
          <w:pgSz w:w="11906" w:h="16838"/>
          <w:pgMar w:top="1418" w:right="1588" w:bottom="1418" w:left="1365" w:header="851" w:footer="907" w:gutter="0"/>
          <w:cols w:space="720" w:num="1"/>
          <w:titlePg/>
          <w:docGrid w:type="lines" w:linePitch="290" w:charSpace="0"/>
        </w:sectPr>
      </w:pPr>
    </w:p>
    <w:p w14:paraId="1FDDC33A">
      <w:pPr>
        <w:pStyle w:val="2"/>
        <w:rPr>
          <w:rFonts w:hint="eastAsia"/>
          <w:lang w:val="en-US" w:eastAsia="zh-CN"/>
        </w:rPr>
      </w:pPr>
    </w:p>
    <w:p w14:paraId="4E5A1B7D">
      <w:pPr>
        <w:widowControl/>
        <w:tabs>
          <w:tab w:val="left" w:pos="720"/>
        </w:tabs>
        <w:spacing w:line="360" w:lineRule="auto"/>
        <w:ind w:firstLine="5542" w:firstLineChars="2300"/>
        <w:jc w:val="both"/>
        <w:rPr>
          <w:rFonts w:ascii="黑体" w:hAnsi="宋体" w:eastAsia="黑体"/>
          <w:b/>
          <w:color w:val="auto"/>
          <w:sz w:val="24"/>
          <w:highlight w:val="none"/>
        </w:rPr>
      </w:pPr>
      <w:r>
        <w:rPr>
          <w:rFonts w:hint="eastAsia" w:ascii="黑体" w:hAnsi="宋体" w:eastAsia="黑体"/>
          <w:b/>
          <w:color w:val="auto"/>
          <w:sz w:val="24"/>
          <w:highlight w:val="none"/>
          <w:lang w:val="en-US" w:eastAsia="zh-CN"/>
        </w:rPr>
        <w:t>附件七</w:t>
      </w:r>
      <w:r>
        <w:rPr>
          <w:rFonts w:hint="eastAsia" w:ascii="黑体" w:hAnsi="宋体" w:eastAsia="黑体"/>
          <w:b/>
          <w:color w:val="auto"/>
          <w:sz w:val="24"/>
          <w:highlight w:val="none"/>
        </w:rPr>
        <w:t>、供应商</w:t>
      </w:r>
      <w:r>
        <w:rPr>
          <w:rFonts w:hint="eastAsia" w:ascii="黑体" w:hAnsi="宋体" w:eastAsia="黑体"/>
          <w:b/>
          <w:color w:val="auto"/>
          <w:sz w:val="24"/>
          <w:highlight w:val="none"/>
          <w:lang w:val="en-US" w:eastAsia="zh-CN"/>
        </w:rPr>
        <w:t>产品</w:t>
      </w:r>
      <w:r>
        <w:rPr>
          <w:rFonts w:hint="eastAsia" w:ascii="黑体" w:hAnsi="宋体" w:eastAsia="黑体"/>
          <w:b/>
          <w:color w:val="auto"/>
          <w:sz w:val="24"/>
          <w:highlight w:val="none"/>
        </w:rPr>
        <w:t>认证情况</w:t>
      </w:r>
    </w:p>
    <w:p w14:paraId="412A5836">
      <w:pPr>
        <w:pStyle w:val="2"/>
        <w:ind w:firstLine="420" w:firstLineChars="200"/>
        <w:rPr>
          <w:rFonts w:hint="eastAsia" w:ascii="宋体" w:hAnsi="宋体" w:eastAsia="宋体" w:cs="宋体"/>
          <w:color w:val="auto"/>
          <w:sz w:val="21"/>
          <w:szCs w:val="21"/>
          <w:highlight w:val="none"/>
        </w:rPr>
      </w:pPr>
    </w:p>
    <w:p w14:paraId="31B80926">
      <w:pPr>
        <w:pStyle w:val="2"/>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特别提示：</w:t>
      </w:r>
    </w:p>
    <w:p w14:paraId="425D47C8">
      <w:pPr>
        <w:pStyle w:val="2"/>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供应商提供的产品，如涉及：中国国家强制性产品认证证书（CCC）、国家强制节能产品、环保产品评审因素的 ，须提供在中国政府采购网(http://www.ccgp.gov.cn)的查询截图，并按下述格式进行填写！</w:t>
      </w:r>
    </w:p>
    <w:p w14:paraId="48C3265C">
      <w:pPr>
        <w:pStyle w:val="39"/>
        <w:ind w:left="0" w:leftChars="0" w:firstLine="0" w:firstLineChars="0"/>
        <w:jc w:val="center"/>
        <w:rPr>
          <w:rFonts w:hint="eastAsia" w:ascii="黑体" w:hAnsi="Times New Roman" w:eastAsia="黑体" w:cs="Times New Roman"/>
          <w:b/>
          <w:bCs w:val="0"/>
          <w:color w:val="auto"/>
          <w:kern w:val="2"/>
          <w:sz w:val="24"/>
          <w:szCs w:val="24"/>
          <w:highlight w:val="none"/>
          <w:lang w:val="en-US" w:eastAsia="zh-CN" w:bidi="ar-SA"/>
        </w:rPr>
      </w:pPr>
    </w:p>
    <w:p w14:paraId="17C71B3E">
      <w:pPr>
        <w:rPr>
          <w:rFonts w:hint="eastAsia"/>
          <w:lang w:val="en-US" w:eastAsia="zh-CN"/>
        </w:rPr>
      </w:pPr>
    </w:p>
    <w:p w14:paraId="262F5FC5">
      <w:pPr>
        <w:pStyle w:val="39"/>
        <w:keepNext w:val="0"/>
        <w:keepLines w:val="0"/>
        <w:pageBreakBefore w:val="0"/>
        <w:widowControl w:val="0"/>
        <w:kinsoku/>
        <w:wordWrap/>
        <w:overflowPunct w:val="0"/>
        <w:topLinePunct w:val="0"/>
        <w:autoSpaceDE w:val="0"/>
        <w:autoSpaceDN w:val="0"/>
        <w:bidi w:val="0"/>
        <w:adjustRightInd w:val="0"/>
        <w:snapToGrid w:val="0"/>
        <w:ind w:firstLine="3534" w:firstLineChars="1100"/>
        <w:jc w:val="both"/>
        <w:rPr>
          <w:rFonts w:hint="eastAsia" w:ascii="方正黑体_GBK" w:hAnsi="方正黑体_GBK" w:eastAsia="方正黑体_GBK" w:cs="方正黑体_GBK"/>
          <w:b/>
          <w:bCs/>
          <w:color w:val="FF0000"/>
          <w:sz w:val="32"/>
          <w:szCs w:val="32"/>
          <w:lang w:val="en-US" w:eastAsia="zh-CN"/>
        </w:rPr>
      </w:pPr>
      <w:r>
        <w:rPr>
          <w:rFonts w:hint="eastAsia" w:ascii="方正黑体_GBK" w:hAnsi="方正黑体_GBK" w:eastAsia="方正黑体_GBK" w:cs="方正黑体_GBK"/>
          <w:b/>
          <w:bCs/>
          <w:color w:val="FF0000"/>
          <w:sz w:val="32"/>
          <w:szCs w:val="32"/>
          <w:lang w:val="en-US" w:eastAsia="zh-CN"/>
        </w:rPr>
        <w:t>★</w:t>
      </w:r>
      <w:r>
        <w:rPr>
          <w:rFonts w:hint="eastAsia" w:ascii="方正黑体_GBK" w:hAnsi="方正黑体_GBK" w:eastAsia="方正黑体_GBK" w:cs="方正黑体_GBK"/>
          <w:b/>
          <w:bCs/>
          <w:sz w:val="32"/>
          <w:szCs w:val="32"/>
          <w:lang w:val="en-US" w:eastAsia="zh-CN"/>
        </w:rPr>
        <w:t>中国国家强制性产品认证证书（CCC）</w:t>
      </w:r>
      <w:r>
        <w:rPr>
          <w:rFonts w:hint="eastAsia" w:ascii="方正黑体_GBK" w:hAnsi="方正黑体_GBK" w:eastAsia="方正黑体_GBK" w:cs="方正黑体_GBK"/>
          <w:b/>
          <w:bCs/>
          <w:color w:val="FF0000"/>
          <w:sz w:val="32"/>
          <w:szCs w:val="32"/>
          <w:lang w:val="en-US" w:eastAsia="zh-CN"/>
        </w:rPr>
        <w:t>必填项</w:t>
      </w:r>
    </w:p>
    <w:p w14:paraId="04FA9C26">
      <w:pPr>
        <w:pStyle w:val="6"/>
        <w:keepNext w:val="0"/>
        <w:keepLines w:val="0"/>
        <w:pageBreakBefore w:val="0"/>
        <w:widowControl w:val="0"/>
        <w:kinsoku/>
        <w:wordWrap/>
        <w:overflowPunct w:val="0"/>
        <w:topLinePunct w:val="0"/>
        <w:autoSpaceDE w:val="0"/>
        <w:autoSpaceDN w:val="0"/>
        <w:bidi w:val="0"/>
        <w:adjustRightInd w:val="0"/>
        <w:snapToGrid w:val="0"/>
        <w:ind w:firstLine="525" w:firstLineChars="250"/>
        <w:jc w:val="both"/>
        <w:rPr>
          <w:rFonts w:hint="eastAsia" w:ascii="方正黑体_GBK" w:hAnsi="方正黑体_GBK" w:eastAsia="方正黑体_GBK" w:cs="方正黑体_GBK"/>
          <w:b w:val="0"/>
          <w:bCs/>
          <w:color w:val="0070C0"/>
          <w:sz w:val="21"/>
          <w:szCs w:val="21"/>
          <w:lang w:val="en-US" w:eastAsia="zh-CN"/>
        </w:rPr>
      </w:pPr>
      <w:r>
        <w:rPr>
          <w:rFonts w:hint="eastAsia" w:ascii="方正黑体_GBK" w:hAnsi="方正黑体_GBK" w:eastAsia="方正黑体_GBK" w:cs="方正黑体_GBK"/>
          <w:b w:val="0"/>
          <w:bCs/>
          <w:color w:val="0070C0"/>
          <w:sz w:val="21"/>
          <w:szCs w:val="21"/>
          <w:lang w:val="en-US" w:eastAsia="zh-CN"/>
        </w:rPr>
        <w:t>填表说明：</w:t>
      </w:r>
    </w:p>
    <w:p w14:paraId="505A7B45">
      <w:pPr>
        <w:pStyle w:val="6"/>
        <w:keepNext w:val="0"/>
        <w:keepLines w:val="0"/>
        <w:pageBreakBefore w:val="0"/>
        <w:widowControl w:val="0"/>
        <w:kinsoku/>
        <w:wordWrap/>
        <w:overflowPunct w:val="0"/>
        <w:topLinePunct w:val="0"/>
        <w:autoSpaceDE w:val="0"/>
        <w:autoSpaceDN w:val="0"/>
        <w:bidi w:val="0"/>
        <w:adjustRightInd w:val="0"/>
        <w:snapToGrid w:val="0"/>
        <w:ind w:firstLine="945" w:firstLineChars="450"/>
        <w:jc w:val="both"/>
        <w:rPr>
          <w:rFonts w:hint="eastAsia" w:ascii="方正黑体_GBK" w:hAnsi="方正黑体_GBK" w:eastAsia="方正黑体_GBK" w:cs="方正黑体_GBK"/>
          <w:b w:val="0"/>
          <w:bCs/>
          <w:color w:val="0070C0"/>
          <w:sz w:val="21"/>
          <w:szCs w:val="21"/>
          <w:lang w:val="en-US" w:eastAsia="zh-CN"/>
        </w:rPr>
      </w:pPr>
      <w:r>
        <w:rPr>
          <w:rFonts w:hint="eastAsia" w:ascii="方正黑体_GBK" w:hAnsi="方正黑体_GBK" w:eastAsia="方正黑体_GBK" w:cs="方正黑体_GBK"/>
          <w:b w:val="0"/>
          <w:bCs/>
          <w:color w:val="0070C0"/>
          <w:sz w:val="21"/>
          <w:szCs w:val="21"/>
          <w:lang w:val="en-US" w:eastAsia="zh-CN"/>
        </w:rPr>
        <w:t>采购清单中所列产品属于国家强制性产品认证的（如下表），供应商根据所投品牌及规格型号，需填写CCC认证证书相关信息如下：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980"/>
        <w:gridCol w:w="2280"/>
        <w:gridCol w:w="2055"/>
        <w:gridCol w:w="2595"/>
        <w:gridCol w:w="1590"/>
        <w:gridCol w:w="1733"/>
      </w:tblGrid>
      <w:tr w14:paraId="5F3B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14:paraId="0C403F27">
            <w:pPr>
              <w:keepNext w:val="0"/>
              <w:keepLines w:val="0"/>
              <w:pageBreakBefore w:val="0"/>
              <w:widowControl w:val="0"/>
              <w:kinsoku/>
              <w:wordWrap/>
              <w:overflowPunct w:val="0"/>
              <w:topLinePunct w:val="0"/>
              <w:autoSpaceDE w:val="0"/>
              <w:autoSpaceDN w:val="0"/>
              <w:bidi w:val="0"/>
              <w:adjustRightInd w:val="0"/>
              <w:snapToGrid w:val="0"/>
              <w:jc w:val="center"/>
              <w:rPr>
                <w:rFonts w:hint="default"/>
                <w:b/>
                <w:bCs/>
                <w:vertAlign w:val="baseline"/>
                <w:lang w:val="en-US" w:eastAsia="zh-CN"/>
              </w:rPr>
            </w:pPr>
            <w:r>
              <w:rPr>
                <w:rFonts w:hint="eastAsia"/>
                <w:b/>
                <w:bCs/>
                <w:vertAlign w:val="baseline"/>
                <w:lang w:val="en-US" w:eastAsia="zh-CN"/>
              </w:rPr>
              <w:t>序号</w:t>
            </w:r>
          </w:p>
        </w:tc>
        <w:tc>
          <w:tcPr>
            <w:tcW w:w="1980" w:type="dxa"/>
            <w:noWrap w:val="0"/>
            <w:vAlign w:val="top"/>
          </w:tcPr>
          <w:p w14:paraId="32413228">
            <w:pPr>
              <w:keepNext w:val="0"/>
              <w:keepLines w:val="0"/>
              <w:pageBreakBefore w:val="0"/>
              <w:widowControl w:val="0"/>
              <w:kinsoku/>
              <w:wordWrap/>
              <w:overflowPunct w:val="0"/>
              <w:topLinePunct w:val="0"/>
              <w:autoSpaceDE w:val="0"/>
              <w:autoSpaceDN w:val="0"/>
              <w:bidi w:val="0"/>
              <w:adjustRightInd w:val="0"/>
              <w:snapToGrid w:val="0"/>
              <w:ind w:firstLine="211" w:firstLineChars="100"/>
              <w:jc w:val="both"/>
              <w:rPr>
                <w:rFonts w:hint="default" w:ascii="Times New Roman" w:hAnsi="Times New Roman" w:eastAsia="宋体" w:cs="Times New Roman"/>
                <w:b/>
                <w:bCs/>
                <w:kern w:val="2"/>
                <w:sz w:val="21"/>
                <w:szCs w:val="21"/>
                <w:vertAlign w:val="baseline"/>
                <w:lang w:val="en-US" w:eastAsia="zh-CN" w:bidi="ar-SA"/>
              </w:rPr>
            </w:pPr>
            <w:r>
              <w:rPr>
                <w:rFonts w:hint="eastAsia"/>
                <w:b/>
                <w:bCs/>
                <w:vertAlign w:val="baseline"/>
                <w:lang w:val="en-US" w:eastAsia="zh-CN"/>
              </w:rPr>
              <w:t>认证产品（CCC）</w:t>
            </w:r>
          </w:p>
        </w:tc>
        <w:tc>
          <w:tcPr>
            <w:tcW w:w="2280" w:type="dxa"/>
            <w:noWrap w:val="0"/>
            <w:vAlign w:val="top"/>
          </w:tcPr>
          <w:p w14:paraId="1843CB56">
            <w:pPr>
              <w:keepNext w:val="0"/>
              <w:keepLines w:val="0"/>
              <w:pageBreakBefore w:val="0"/>
              <w:widowControl w:val="0"/>
              <w:kinsoku/>
              <w:wordWrap/>
              <w:overflowPunct w:val="0"/>
              <w:topLinePunct w:val="0"/>
              <w:autoSpaceDE w:val="0"/>
              <w:autoSpaceDN w:val="0"/>
              <w:bidi w:val="0"/>
              <w:adjustRightInd w:val="0"/>
              <w:snapToGrid w:val="0"/>
              <w:ind w:firstLine="632" w:firstLineChars="300"/>
              <w:jc w:val="both"/>
              <w:rPr>
                <w:rFonts w:hint="default"/>
                <w:b/>
                <w:bCs/>
                <w:vertAlign w:val="baseline"/>
                <w:lang w:val="en-US" w:eastAsia="zh-CN"/>
              </w:rPr>
            </w:pPr>
            <w:r>
              <w:rPr>
                <w:rFonts w:hint="eastAsia"/>
                <w:b/>
                <w:bCs/>
                <w:vertAlign w:val="baseline"/>
                <w:lang w:val="en-US" w:eastAsia="zh-CN"/>
              </w:rPr>
              <w:t>证书编号</w:t>
            </w:r>
          </w:p>
        </w:tc>
        <w:tc>
          <w:tcPr>
            <w:tcW w:w="2055" w:type="dxa"/>
            <w:noWrap w:val="0"/>
            <w:vAlign w:val="top"/>
          </w:tcPr>
          <w:p w14:paraId="3FD0A988">
            <w:pPr>
              <w:keepNext w:val="0"/>
              <w:keepLines w:val="0"/>
              <w:pageBreakBefore w:val="0"/>
              <w:widowControl w:val="0"/>
              <w:kinsoku/>
              <w:wordWrap/>
              <w:overflowPunct w:val="0"/>
              <w:topLinePunct w:val="0"/>
              <w:autoSpaceDE w:val="0"/>
              <w:autoSpaceDN w:val="0"/>
              <w:bidi w:val="0"/>
              <w:adjustRightInd w:val="0"/>
              <w:snapToGrid w:val="0"/>
              <w:ind w:firstLine="211" w:firstLineChars="100"/>
              <w:jc w:val="both"/>
              <w:rPr>
                <w:rFonts w:hint="default"/>
                <w:b/>
                <w:bCs/>
                <w:vertAlign w:val="baseline"/>
                <w:lang w:val="en-US" w:eastAsia="zh-CN"/>
              </w:rPr>
            </w:pPr>
            <w:r>
              <w:rPr>
                <w:rFonts w:hint="eastAsia"/>
                <w:b/>
                <w:bCs/>
                <w:vertAlign w:val="baseline"/>
                <w:lang w:val="en-US" w:eastAsia="zh-CN"/>
              </w:rPr>
              <w:t>认证委托人名称</w:t>
            </w:r>
          </w:p>
        </w:tc>
        <w:tc>
          <w:tcPr>
            <w:tcW w:w="2595" w:type="dxa"/>
            <w:noWrap w:val="0"/>
            <w:vAlign w:val="top"/>
          </w:tcPr>
          <w:p w14:paraId="50E89135">
            <w:pPr>
              <w:keepNext w:val="0"/>
              <w:keepLines w:val="0"/>
              <w:pageBreakBefore w:val="0"/>
              <w:widowControl w:val="0"/>
              <w:kinsoku/>
              <w:wordWrap/>
              <w:overflowPunct w:val="0"/>
              <w:topLinePunct w:val="0"/>
              <w:autoSpaceDE w:val="0"/>
              <w:autoSpaceDN w:val="0"/>
              <w:bidi w:val="0"/>
              <w:adjustRightInd w:val="0"/>
              <w:snapToGrid w:val="0"/>
              <w:ind w:left="630" w:hanging="632" w:hangingChars="300"/>
              <w:jc w:val="center"/>
              <w:rPr>
                <w:rFonts w:hint="default"/>
                <w:b/>
                <w:bCs/>
                <w:vertAlign w:val="baseline"/>
                <w:lang w:val="en-US" w:eastAsia="zh-CN"/>
              </w:rPr>
            </w:pPr>
            <w:r>
              <w:rPr>
                <w:rFonts w:hint="eastAsia"/>
                <w:b/>
                <w:bCs/>
                <w:vertAlign w:val="baseline"/>
                <w:lang w:val="en-US" w:eastAsia="zh-CN"/>
              </w:rPr>
              <w:t>生产（制造商）名称</w:t>
            </w:r>
          </w:p>
        </w:tc>
        <w:tc>
          <w:tcPr>
            <w:tcW w:w="1590" w:type="dxa"/>
            <w:noWrap w:val="0"/>
            <w:vAlign w:val="top"/>
          </w:tcPr>
          <w:p w14:paraId="677CEE72">
            <w:pPr>
              <w:keepNext w:val="0"/>
              <w:keepLines w:val="0"/>
              <w:pageBreakBefore w:val="0"/>
              <w:widowControl w:val="0"/>
              <w:kinsoku/>
              <w:wordWrap/>
              <w:overflowPunct w:val="0"/>
              <w:topLinePunct w:val="0"/>
              <w:autoSpaceDE w:val="0"/>
              <w:autoSpaceDN w:val="0"/>
              <w:bidi w:val="0"/>
              <w:adjustRightInd w:val="0"/>
              <w:snapToGrid w:val="0"/>
              <w:ind w:firstLine="211" w:firstLineChars="100"/>
              <w:jc w:val="both"/>
              <w:rPr>
                <w:rFonts w:hint="default"/>
                <w:b/>
                <w:bCs/>
                <w:vertAlign w:val="baseline"/>
                <w:lang w:val="en-US" w:eastAsia="zh-CN"/>
              </w:rPr>
            </w:pPr>
            <w:r>
              <w:rPr>
                <w:rFonts w:hint="eastAsia"/>
                <w:b/>
                <w:bCs/>
                <w:vertAlign w:val="baseline"/>
                <w:lang w:val="en-US" w:eastAsia="zh-CN"/>
              </w:rPr>
              <w:t>规格型号</w:t>
            </w:r>
          </w:p>
        </w:tc>
        <w:tc>
          <w:tcPr>
            <w:tcW w:w="1733" w:type="dxa"/>
            <w:noWrap w:val="0"/>
            <w:vAlign w:val="top"/>
          </w:tcPr>
          <w:p w14:paraId="268EA423">
            <w:pPr>
              <w:keepNext w:val="0"/>
              <w:keepLines w:val="0"/>
              <w:pageBreakBefore w:val="0"/>
              <w:widowControl w:val="0"/>
              <w:kinsoku/>
              <w:wordWrap/>
              <w:overflowPunct w:val="0"/>
              <w:topLinePunct w:val="0"/>
              <w:autoSpaceDE w:val="0"/>
              <w:autoSpaceDN w:val="0"/>
              <w:bidi w:val="0"/>
              <w:adjustRightInd w:val="0"/>
              <w:snapToGrid w:val="0"/>
              <w:ind w:firstLine="422" w:firstLineChars="200"/>
              <w:jc w:val="both"/>
              <w:rPr>
                <w:rFonts w:hint="default"/>
                <w:b/>
                <w:bCs/>
                <w:vertAlign w:val="baseline"/>
                <w:lang w:val="en-US" w:eastAsia="zh-CN"/>
              </w:rPr>
            </w:pPr>
            <w:r>
              <w:rPr>
                <w:rFonts w:hint="eastAsia"/>
                <w:b/>
                <w:bCs/>
                <w:vertAlign w:val="baseline"/>
                <w:lang w:val="en-US" w:eastAsia="zh-CN"/>
              </w:rPr>
              <w:t>认证机构</w:t>
            </w:r>
          </w:p>
        </w:tc>
      </w:tr>
      <w:tr w14:paraId="6B8B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4BBF7F76">
            <w:pPr>
              <w:keepNext w:val="0"/>
              <w:keepLines w:val="0"/>
              <w:pageBreakBefore w:val="0"/>
              <w:widowControl w:val="0"/>
              <w:kinsoku/>
              <w:wordWrap/>
              <w:overflowPunct w:val="0"/>
              <w:topLinePunct w:val="0"/>
              <w:autoSpaceDE w:val="0"/>
              <w:autoSpaceDN w:val="0"/>
              <w:bidi w:val="0"/>
              <w:adjustRightInd w:val="0"/>
              <w:snapToGrid w:val="0"/>
              <w:jc w:val="center"/>
              <w:rPr>
                <w:rFonts w:hint="default"/>
                <w:b/>
                <w:bCs/>
                <w:vertAlign w:val="baseline"/>
                <w:lang w:val="en-US" w:eastAsia="zh-CN"/>
              </w:rPr>
            </w:pPr>
            <w:r>
              <w:rPr>
                <w:rFonts w:hint="eastAsia"/>
                <w:b/>
                <w:bCs/>
                <w:vertAlign w:val="baseline"/>
                <w:lang w:val="en-US" w:eastAsia="zh-CN"/>
              </w:rPr>
              <w:t>1</w:t>
            </w:r>
          </w:p>
        </w:tc>
        <w:tc>
          <w:tcPr>
            <w:tcW w:w="1980" w:type="dxa"/>
            <w:noWrap w:val="0"/>
            <w:vAlign w:val="top"/>
          </w:tcPr>
          <w:p w14:paraId="07F63BB4">
            <w:pPr>
              <w:keepNext w:val="0"/>
              <w:keepLines w:val="0"/>
              <w:pageBreakBefore w:val="0"/>
              <w:widowControl w:val="0"/>
              <w:kinsoku/>
              <w:wordWrap/>
              <w:overflowPunct w:val="0"/>
              <w:topLinePunct w:val="0"/>
              <w:autoSpaceDE w:val="0"/>
              <w:autoSpaceDN w:val="0"/>
              <w:bidi w:val="0"/>
              <w:adjustRightInd w:val="0"/>
              <w:snapToGrid w:val="0"/>
              <w:jc w:val="center"/>
              <w:rPr>
                <w:rFonts w:hint="default"/>
                <w:b/>
                <w:bCs/>
                <w:color w:val="auto"/>
                <w:vertAlign w:val="baseline"/>
                <w:lang w:val="en-US" w:eastAsia="zh-CN"/>
              </w:rPr>
            </w:pPr>
            <w:r>
              <w:rPr>
                <w:rFonts w:hint="eastAsia"/>
                <w:b/>
                <w:bCs/>
                <w:color w:val="auto"/>
                <w:vertAlign w:val="baseline"/>
                <w:lang w:val="en-US" w:eastAsia="zh-CN"/>
              </w:rPr>
              <w:t>计算机</w:t>
            </w:r>
          </w:p>
        </w:tc>
        <w:tc>
          <w:tcPr>
            <w:tcW w:w="2280" w:type="dxa"/>
            <w:noWrap w:val="0"/>
            <w:vAlign w:val="top"/>
          </w:tcPr>
          <w:p w14:paraId="237A7750">
            <w:pPr>
              <w:keepNext w:val="0"/>
              <w:keepLines w:val="0"/>
              <w:pageBreakBefore w:val="0"/>
              <w:widowControl w:val="0"/>
              <w:kinsoku/>
              <w:wordWrap/>
              <w:overflowPunct w:val="0"/>
              <w:topLinePunct w:val="0"/>
              <w:autoSpaceDE w:val="0"/>
              <w:autoSpaceDN w:val="0"/>
              <w:bidi w:val="0"/>
              <w:adjustRightInd w:val="0"/>
              <w:snapToGrid w:val="0"/>
              <w:jc w:val="center"/>
              <w:rPr>
                <w:rFonts w:hint="eastAsia"/>
                <w:b/>
                <w:bCs/>
                <w:vertAlign w:val="baseline"/>
                <w:lang w:val="en-US" w:eastAsia="zh-CN"/>
              </w:rPr>
            </w:pPr>
          </w:p>
        </w:tc>
        <w:tc>
          <w:tcPr>
            <w:tcW w:w="2055" w:type="dxa"/>
            <w:noWrap w:val="0"/>
            <w:vAlign w:val="top"/>
          </w:tcPr>
          <w:p w14:paraId="799D3809">
            <w:pPr>
              <w:keepNext w:val="0"/>
              <w:keepLines w:val="0"/>
              <w:pageBreakBefore w:val="0"/>
              <w:widowControl w:val="0"/>
              <w:kinsoku/>
              <w:wordWrap/>
              <w:overflowPunct w:val="0"/>
              <w:topLinePunct w:val="0"/>
              <w:autoSpaceDE w:val="0"/>
              <w:autoSpaceDN w:val="0"/>
              <w:bidi w:val="0"/>
              <w:adjustRightInd w:val="0"/>
              <w:snapToGrid w:val="0"/>
              <w:jc w:val="center"/>
              <w:rPr>
                <w:rFonts w:hint="eastAsia"/>
                <w:b/>
                <w:bCs/>
                <w:vertAlign w:val="baseline"/>
                <w:lang w:val="en-US" w:eastAsia="zh-CN"/>
              </w:rPr>
            </w:pPr>
          </w:p>
        </w:tc>
        <w:tc>
          <w:tcPr>
            <w:tcW w:w="2595" w:type="dxa"/>
            <w:noWrap w:val="0"/>
            <w:vAlign w:val="top"/>
          </w:tcPr>
          <w:p w14:paraId="56FDC749">
            <w:pPr>
              <w:keepNext w:val="0"/>
              <w:keepLines w:val="0"/>
              <w:pageBreakBefore w:val="0"/>
              <w:widowControl w:val="0"/>
              <w:kinsoku/>
              <w:wordWrap/>
              <w:overflowPunct w:val="0"/>
              <w:topLinePunct w:val="0"/>
              <w:autoSpaceDE w:val="0"/>
              <w:autoSpaceDN w:val="0"/>
              <w:bidi w:val="0"/>
              <w:adjustRightInd w:val="0"/>
              <w:snapToGrid w:val="0"/>
              <w:jc w:val="center"/>
              <w:rPr>
                <w:rFonts w:hint="eastAsia"/>
                <w:b/>
                <w:bCs/>
                <w:vertAlign w:val="baseline"/>
                <w:lang w:val="en-US" w:eastAsia="zh-CN"/>
              </w:rPr>
            </w:pPr>
          </w:p>
        </w:tc>
        <w:tc>
          <w:tcPr>
            <w:tcW w:w="1590" w:type="dxa"/>
            <w:noWrap w:val="0"/>
            <w:vAlign w:val="top"/>
          </w:tcPr>
          <w:p w14:paraId="198BC0CF">
            <w:pPr>
              <w:keepNext w:val="0"/>
              <w:keepLines w:val="0"/>
              <w:pageBreakBefore w:val="0"/>
              <w:widowControl w:val="0"/>
              <w:kinsoku/>
              <w:wordWrap/>
              <w:overflowPunct w:val="0"/>
              <w:topLinePunct w:val="0"/>
              <w:autoSpaceDE w:val="0"/>
              <w:autoSpaceDN w:val="0"/>
              <w:bidi w:val="0"/>
              <w:adjustRightInd w:val="0"/>
              <w:snapToGrid w:val="0"/>
              <w:jc w:val="center"/>
              <w:rPr>
                <w:rFonts w:hint="eastAsia"/>
                <w:b/>
                <w:bCs/>
                <w:vertAlign w:val="baseline"/>
                <w:lang w:val="en-US" w:eastAsia="zh-CN"/>
              </w:rPr>
            </w:pPr>
          </w:p>
        </w:tc>
        <w:tc>
          <w:tcPr>
            <w:tcW w:w="1733" w:type="dxa"/>
            <w:noWrap w:val="0"/>
            <w:vAlign w:val="top"/>
          </w:tcPr>
          <w:p w14:paraId="36C17DC2">
            <w:pPr>
              <w:keepNext w:val="0"/>
              <w:keepLines w:val="0"/>
              <w:pageBreakBefore w:val="0"/>
              <w:widowControl w:val="0"/>
              <w:kinsoku/>
              <w:wordWrap/>
              <w:overflowPunct w:val="0"/>
              <w:topLinePunct w:val="0"/>
              <w:autoSpaceDE w:val="0"/>
              <w:autoSpaceDN w:val="0"/>
              <w:bidi w:val="0"/>
              <w:adjustRightInd w:val="0"/>
              <w:snapToGrid w:val="0"/>
              <w:jc w:val="center"/>
              <w:rPr>
                <w:rFonts w:hint="eastAsia"/>
                <w:b/>
                <w:bCs/>
                <w:vertAlign w:val="baseline"/>
                <w:lang w:val="en-US" w:eastAsia="zh-CN"/>
              </w:rPr>
            </w:pPr>
          </w:p>
        </w:tc>
      </w:tr>
      <w:tr w14:paraId="1A16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15BDFE63">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980" w:type="dxa"/>
            <w:noWrap w:val="0"/>
            <w:vAlign w:val="top"/>
          </w:tcPr>
          <w:p w14:paraId="7AE705D8">
            <w:pPr>
              <w:keepNext w:val="0"/>
              <w:keepLines w:val="0"/>
              <w:pageBreakBefore w:val="0"/>
              <w:widowControl w:val="0"/>
              <w:kinsoku/>
              <w:wordWrap/>
              <w:overflowPunct w:val="0"/>
              <w:topLinePunct w:val="0"/>
              <w:autoSpaceDE w:val="0"/>
              <w:autoSpaceDN w:val="0"/>
              <w:bidi w:val="0"/>
              <w:adjustRightInd w:val="0"/>
              <w:snapToGrid w:val="0"/>
              <w:jc w:val="center"/>
              <w:rPr>
                <w:rFonts w:hint="default" w:ascii="Times New Roman" w:hAnsi="Times New Roman" w:eastAsia="宋体" w:cs="Times New Roman"/>
                <w:color w:val="auto"/>
                <w:kern w:val="2"/>
                <w:sz w:val="21"/>
                <w:szCs w:val="21"/>
                <w:vertAlign w:val="baseline"/>
                <w:lang w:val="en-US" w:eastAsia="zh-CN" w:bidi="ar-SA"/>
              </w:rPr>
            </w:pPr>
          </w:p>
        </w:tc>
        <w:tc>
          <w:tcPr>
            <w:tcW w:w="2280" w:type="dxa"/>
            <w:noWrap w:val="0"/>
            <w:vAlign w:val="top"/>
          </w:tcPr>
          <w:p w14:paraId="6311FAA6">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055" w:type="dxa"/>
            <w:noWrap w:val="0"/>
            <w:vAlign w:val="top"/>
          </w:tcPr>
          <w:p w14:paraId="2DA4ABDD">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595" w:type="dxa"/>
            <w:noWrap w:val="0"/>
            <w:vAlign w:val="top"/>
          </w:tcPr>
          <w:p w14:paraId="78E05100">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590" w:type="dxa"/>
            <w:noWrap w:val="0"/>
            <w:vAlign w:val="top"/>
          </w:tcPr>
          <w:p w14:paraId="369D5970">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733" w:type="dxa"/>
            <w:noWrap w:val="0"/>
            <w:vAlign w:val="top"/>
          </w:tcPr>
          <w:p w14:paraId="4E3D7FFD">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r>
      <w:tr w14:paraId="2618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3239F90A">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980" w:type="dxa"/>
            <w:noWrap w:val="0"/>
            <w:vAlign w:val="top"/>
          </w:tcPr>
          <w:p w14:paraId="45B2DBDE">
            <w:pPr>
              <w:keepNext w:val="0"/>
              <w:keepLines w:val="0"/>
              <w:pageBreakBefore w:val="0"/>
              <w:widowControl w:val="0"/>
              <w:kinsoku/>
              <w:wordWrap/>
              <w:overflowPunct w:val="0"/>
              <w:topLinePunct w:val="0"/>
              <w:autoSpaceDE w:val="0"/>
              <w:autoSpaceDN w:val="0"/>
              <w:bidi w:val="0"/>
              <w:adjustRightInd w:val="0"/>
              <w:snapToGrid w:val="0"/>
              <w:jc w:val="center"/>
              <w:rPr>
                <w:rFonts w:hint="eastAsia"/>
                <w:color w:val="auto"/>
                <w:sz w:val="21"/>
                <w:szCs w:val="21"/>
                <w:vertAlign w:val="baseline"/>
                <w:lang w:val="en-US" w:eastAsia="zh-CN"/>
              </w:rPr>
            </w:pPr>
          </w:p>
        </w:tc>
        <w:tc>
          <w:tcPr>
            <w:tcW w:w="2280" w:type="dxa"/>
            <w:noWrap w:val="0"/>
            <w:vAlign w:val="top"/>
          </w:tcPr>
          <w:p w14:paraId="1B32242B">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055" w:type="dxa"/>
            <w:noWrap w:val="0"/>
            <w:vAlign w:val="top"/>
          </w:tcPr>
          <w:p w14:paraId="41ED4160">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595" w:type="dxa"/>
            <w:noWrap w:val="0"/>
            <w:vAlign w:val="top"/>
          </w:tcPr>
          <w:p w14:paraId="1E12916A">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590" w:type="dxa"/>
            <w:noWrap w:val="0"/>
            <w:vAlign w:val="top"/>
          </w:tcPr>
          <w:p w14:paraId="56E9EB3D">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733" w:type="dxa"/>
            <w:noWrap w:val="0"/>
            <w:vAlign w:val="top"/>
          </w:tcPr>
          <w:p w14:paraId="0191D46E">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r>
    </w:tbl>
    <w:p w14:paraId="420788B1">
      <w:pPr>
        <w:keepNext w:val="0"/>
        <w:keepLines w:val="0"/>
        <w:pageBreakBefore w:val="0"/>
        <w:widowControl w:val="0"/>
        <w:kinsoku/>
        <w:wordWrap/>
        <w:overflowPunct w:val="0"/>
        <w:topLinePunct w:val="0"/>
        <w:autoSpaceDE w:val="0"/>
        <w:autoSpaceDN w:val="0"/>
        <w:bidi w:val="0"/>
        <w:adjustRightInd w:val="0"/>
        <w:snapToGrid w:val="0"/>
        <w:rPr>
          <w:rFonts w:hint="default"/>
          <w:lang w:val="en-US"/>
        </w:rPr>
      </w:pPr>
    </w:p>
    <w:p w14:paraId="06343CED">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p>
    <w:p w14:paraId="2D05EA75">
      <w:pPr>
        <w:rPr>
          <w:rFonts w:hint="eastAsia" w:ascii="宋体" w:hAnsi="宋体" w:eastAsia="宋体" w:cs="Times New Roman"/>
          <w:color w:val="auto"/>
          <w:kern w:val="0"/>
          <w:sz w:val="21"/>
          <w:szCs w:val="21"/>
          <w:highlight w:val="none"/>
          <w:lang w:val="en-US" w:eastAsia="zh-CN" w:bidi="ar-SA"/>
        </w:rPr>
      </w:pPr>
      <w:r>
        <w:rPr>
          <w:rFonts w:hint="eastAsia"/>
          <w:lang w:val="en-US" w:eastAsia="zh-CN"/>
        </w:rPr>
        <w:t xml:space="preserve">     </w:t>
      </w:r>
      <w:r>
        <w:rPr>
          <w:rFonts w:hint="eastAsia" w:ascii="宋体" w:hAnsi="宋体" w:eastAsia="宋体" w:cs="宋体"/>
          <w:b w:val="0"/>
          <w:bCs/>
          <w:color w:val="0070C0"/>
          <w:kern w:val="2"/>
          <w:sz w:val="21"/>
          <w:szCs w:val="21"/>
          <w:lang w:val="en-US" w:eastAsia="zh-CN" w:bidi="ar-SA"/>
        </w:rPr>
        <w:t>注：</w:t>
      </w:r>
      <w:r>
        <w:rPr>
          <w:rFonts w:hint="eastAsia" w:ascii="宋体" w:hAnsi="宋体" w:eastAsia="宋体" w:cs="Times New Roman"/>
          <w:color w:val="auto"/>
          <w:kern w:val="0"/>
          <w:sz w:val="21"/>
          <w:szCs w:val="21"/>
          <w:highlight w:val="none"/>
          <w:lang w:val="en-US" w:eastAsia="zh-CN" w:bidi="ar-SA"/>
        </w:rPr>
        <w:t>填报的节能产品必须与投标文件正文表格（七、分项报价表）中所投品牌及型号相一致！</w:t>
      </w:r>
    </w:p>
    <w:p w14:paraId="23FAAB97">
      <w:pPr>
        <w:keepNext w:val="0"/>
        <w:keepLines w:val="0"/>
        <w:pageBreakBefore w:val="0"/>
        <w:widowControl w:val="0"/>
        <w:kinsoku/>
        <w:wordWrap/>
        <w:overflowPunct w:val="0"/>
        <w:topLinePunct w:val="0"/>
        <w:autoSpaceDE w:val="0"/>
        <w:autoSpaceDN w:val="0"/>
        <w:bidi w:val="0"/>
        <w:adjustRightInd w:val="0"/>
        <w:snapToGrid w:val="0"/>
        <w:rPr>
          <w:rFonts w:hint="eastAsia" w:ascii="方正黑体_GBK" w:hAnsi="方正黑体_GBK" w:eastAsia="方正黑体_GBK" w:cs="方正黑体_GBK"/>
          <w:b w:val="0"/>
          <w:bCs/>
          <w:color w:val="0070C0"/>
          <w:kern w:val="2"/>
          <w:sz w:val="21"/>
          <w:szCs w:val="21"/>
          <w:lang w:val="en-US" w:eastAsia="zh-CN" w:bidi="ar-SA"/>
        </w:rPr>
      </w:pPr>
    </w:p>
    <w:p w14:paraId="6C567827">
      <w:pPr>
        <w:pStyle w:val="39"/>
        <w:keepNext w:val="0"/>
        <w:keepLines w:val="0"/>
        <w:pageBreakBefore w:val="0"/>
        <w:widowControl w:val="0"/>
        <w:kinsoku/>
        <w:wordWrap/>
        <w:overflowPunct w:val="0"/>
        <w:topLinePunct w:val="0"/>
        <w:autoSpaceDE w:val="0"/>
        <w:autoSpaceDN w:val="0"/>
        <w:bidi w:val="0"/>
        <w:adjustRightInd w:val="0"/>
        <w:snapToGrid w:val="0"/>
        <w:rPr>
          <w:rFonts w:hint="eastAsia" w:ascii="方正黑体_GBK" w:hAnsi="方正黑体_GBK" w:eastAsia="方正黑体_GBK" w:cs="方正黑体_GBK"/>
          <w:b w:val="0"/>
          <w:bCs/>
          <w:color w:val="0070C0"/>
          <w:kern w:val="2"/>
          <w:sz w:val="21"/>
          <w:szCs w:val="21"/>
          <w:lang w:val="en-US" w:eastAsia="zh-CN" w:bidi="ar-SA"/>
        </w:rPr>
      </w:pPr>
    </w:p>
    <w:p w14:paraId="541EFA34">
      <w:pPr>
        <w:pStyle w:val="39"/>
        <w:keepNext w:val="0"/>
        <w:keepLines w:val="0"/>
        <w:pageBreakBefore w:val="0"/>
        <w:widowControl w:val="0"/>
        <w:kinsoku/>
        <w:wordWrap/>
        <w:overflowPunct w:val="0"/>
        <w:topLinePunct w:val="0"/>
        <w:autoSpaceDE w:val="0"/>
        <w:autoSpaceDN w:val="0"/>
        <w:bidi w:val="0"/>
        <w:adjustRightInd w:val="0"/>
        <w:snapToGrid w:val="0"/>
        <w:ind w:firstLine="3855" w:firstLineChars="1200"/>
        <w:jc w:val="both"/>
        <w:rPr>
          <w:rFonts w:hint="eastAsia" w:ascii="方正黑体_GBK" w:hAnsi="方正黑体_GBK" w:eastAsia="方正黑体_GBK" w:cs="方正黑体_GBK"/>
          <w:b/>
          <w:bCs/>
          <w:color w:val="FF0000"/>
          <w:sz w:val="32"/>
          <w:szCs w:val="32"/>
          <w:lang w:val="en-US" w:eastAsia="zh-CN"/>
        </w:rPr>
      </w:pPr>
    </w:p>
    <w:p w14:paraId="70A978A5">
      <w:pPr>
        <w:pStyle w:val="39"/>
        <w:keepNext w:val="0"/>
        <w:keepLines w:val="0"/>
        <w:pageBreakBefore w:val="0"/>
        <w:widowControl w:val="0"/>
        <w:kinsoku/>
        <w:wordWrap/>
        <w:overflowPunct w:val="0"/>
        <w:topLinePunct w:val="0"/>
        <w:autoSpaceDE w:val="0"/>
        <w:autoSpaceDN w:val="0"/>
        <w:bidi w:val="0"/>
        <w:adjustRightInd w:val="0"/>
        <w:snapToGrid w:val="0"/>
        <w:ind w:firstLine="3855" w:firstLineChars="1200"/>
        <w:jc w:val="both"/>
        <w:rPr>
          <w:rFonts w:hint="eastAsia" w:ascii="方正黑体_GBK" w:hAnsi="方正黑体_GBK" w:eastAsia="方正黑体_GBK" w:cs="方正黑体_GBK"/>
          <w:b/>
          <w:bCs/>
          <w:color w:val="FF0000"/>
          <w:sz w:val="32"/>
          <w:szCs w:val="32"/>
          <w:lang w:val="en-US" w:eastAsia="zh-CN"/>
        </w:rPr>
      </w:pPr>
    </w:p>
    <w:p w14:paraId="118EAA4C">
      <w:pPr>
        <w:rPr>
          <w:rFonts w:hint="eastAsia"/>
          <w:lang w:val="en-US" w:eastAsia="zh-CN"/>
        </w:rPr>
      </w:pPr>
    </w:p>
    <w:p w14:paraId="4AC95E87">
      <w:pPr>
        <w:pStyle w:val="39"/>
        <w:keepNext w:val="0"/>
        <w:keepLines w:val="0"/>
        <w:pageBreakBefore w:val="0"/>
        <w:widowControl w:val="0"/>
        <w:kinsoku/>
        <w:wordWrap/>
        <w:overflowPunct w:val="0"/>
        <w:topLinePunct w:val="0"/>
        <w:autoSpaceDE w:val="0"/>
        <w:autoSpaceDN w:val="0"/>
        <w:bidi w:val="0"/>
        <w:adjustRightInd w:val="0"/>
        <w:snapToGrid w:val="0"/>
        <w:ind w:firstLine="3855" w:firstLineChars="1200"/>
        <w:jc w:val="both"/>
        <w:rPr>
          <w:rFonts w:hint="eastAsia" w:ascii="方正黑体_GBK" w:hAnsi="方正黑体_GBK" w:eastAsia="方正黑体_GBK" w:cs="方正黑体_GBK"/>
          <w:b/>
          <w:bCs/>
          <w:color w:val="FF0000"/>
          <w:sz w:val="32"/>
          <w:szCs w:val="32"/>
          <w:lang w:val="en-US" w:eastAsia="zh-CN"/>
        </w:rPr>
      </w:pPr>
      <w:r>
        <w:rPr>
          <w:rFonts w:hint="eastAsia" w:ascii="方正黑体_GBK" w:hAnsi="方正黑体_GBK" w:eastAsia="方正黑体_GBK" w:cs="方正黑体_GBK"/>
          <w:b/>
          <w:bCs/>
          <w:color w:val="FF0000"/>
          <w:sz w:val="32"/>
          <w:szCs w:val="32"/>
          <w:lang w:val="en-US" w:eastAsia="zh-CN"/>
        </w:rPr>
        <w:t>★</w:t>
      </w:r>
      <w:r>
        <w:rPr>
          <w:rFonts w:hint="eastAsia" w:ascii="方正黑体_GBK" w:hAnsi="方正黑体_GBK" w:eastAsia="方正黑体_GBK" w:cs="方正黑体_GBK"/>
          <w:b/>
          <w:bCs/>
          <w:sz w:val="32"/>
          <w:szCs w:val="32"/>
          <w:lang w:val="en-US" w:eastAsia="zh-CN"/>
        </w:rPr>
        <w:t>政府强制采购节能产品认证证书</w:t>
      </w:r>
      <w:r>
        <w:rPr>
          <w:rFonts w:hint="eastAsia" w:ascii="方正黑体_GBK" w:hAnsi="方正黑体_GBK" w:eastAsia="方正黑体_GBK" w:cs="方正黑体_GBK"/>
          <w:b/>
          <w:bCs/>
          <w:color w:val="FF0000"/>
          <w:sz w:val="32"/>
          <w:szCs w:val="32"/>
          <w:lang w:val="en-US" w:eastAsia="zh-CN"/>
        </w:rPr>
        <w:t>必填项</w:t>
      </w:r>
    </w:p>
    <w:p w14:paraId="3572AE39">
      <w:pPr>
        <w:pStyle w:val="6"/>
        <w:keepNext w:val="0"/>
        <w:keepLines w:val="0"/>
        <w:pageBreakBefore w:val="0"/>
        <w:widowControl w:val="0"/>
        <w:kinsoku/>
        <w:wordWrap/>
        <w:overflowPunct w:val="0"/>
        <w:topLinePunct w:val="0"/>
        <w:autoSpaceDE w:val="0"/>
        <w:autoSpaceDN w:val="0"/>
        <w:bidi w:val="0"/>
        <w:adjustRightInd w:val="0"/>
        <w:snapToGrid w:val="0"/>
        <w:ind w:firstLine="525" w:firstLineChars="250"/>
        <w:jc w:val="both"/>
        <w:rPr>
          <w:rFonts w:hint="eastAsia" w:ascii="方正黑体_GBK" w:hAnsi="方正黑体_GBK" w:eastAsia="方正黑体_GBK" w:cs="方正黑体_GBK"/>
          <w:b w:val="0"/>
          <w:bCs/>
          <w:color w:val="0070C0"/>
          <w:sz w:val="21"/>
          <w:szCs w:val="21"/>
          <w:lang w:val="en-US" w:eastAsia="zh-CN"/>
        </w:rPr>
      </w:pPr>
      <w:r>
        <w:rPr>
          <w:rFonts w:hint="eastAsia" w:ascii="方正黑体_GBK" w:hAnsi="方正黑体_GBK" w:eastAsia="方正黑体_GBK" w:cs="方正黑体_GBK"/>
          <w:b w:val="0"/>
          <w:bCs/>
          <w:color w:val="0070C0"/>
          <w:sz w:val="21"/>
          <w:szCs w:val="21"/>
          <w:lang w:val="en-US" w:eastAsia="zh-CN"/>
        </w:rPr>
        <w:t>填表说明：</w:t>
      </w:r>
    </w:p>
    <w:p w14:paraId="2030E3CF">
      <w:pPr>
        <w:pStyle w:val="6"/>
        <w:keepNext w:val="0"/>
        <w:keepLines w:val="0"/>
        <w:pageBreakBefore w:val="0"/>
        <w:widowControl w:val="0"/>
        <w:kinsoku/>
        <w:wordWrap/>
        <w:overflowPunct w:val="0"/>
        <w:topLinePunct w:val="0"/>
        <w:autoSpaceDE w:val="0"/>
        <w:autoSpaceDN w:val="0"/>
        <w:bidi w:val="0"/>
        <w:adjustRightInd w:val="0"/>
        <w:snapToGrid w:val="0"/>
        <w:ind w:firstLine="945" w:firstLineChars="450"/>
        <w:jc w:val="both"/>
        <w:rPr>
          <w:rFonts w:hint="default" w:ascii="黑体" w:hAnsi="黑体" w:eastAsia="黑体" w:cs="黑体"/>
          <w:b w:val="0"/>
          <w:bCs/>
          <w:color w:val="0070C0"/>
          <w:sz w:val="24"/>
          <w:szCs w:val="24"/>
          <w:lang w:val="en-US"/>
        </w:rPr>
      </w:pPr>
      <w:r>
        <w:rPr>
          <w:rFonts w:hint="eastAsia" w:ascii="宋体" w:hAnsi="宋体" w:eastAsia="宋体" w:cs="宋体"/>
          <w:b w:val="0"/>
          <w:bCs/>
          <w:color w:val="0070C0"/>
          <w:sz w:val="21"/>
          <w:szCs w:val="21"/>
          <w:lang w:val="en-US" w:eastAsia="zh-CN"/>
        </w:rPr>
        <w:t>采购清单中所列产品属于政府强制性产品</w:t>
      </w:r>
      <w:r>
        <w:rPr>
          <w:rFonts w:hint="eastAsia" w:ascii="方正黑体_GBK" w:hAnsi="方正黑体_GBK" w:eastAsia="方正黑体_GBK" w:cs="方正黑体_GBK"/>
          <w:b w:val="0"/>
          <w:bCs/>
          <w:color w:val="0070C0"/>
          <w:sz w:val="21"/>
          <w:szCs w:val="21"/>
          <w:lang w:val="en-US" w:eastAsia="zh-CN"/>
        </w:rPr>
        <w:t>认证的（如下表），供应商根据所投品牌及规格型号，需填写节能产品认证证书相关信息如下：</w:t>
      </w:r>
    </w:p>
    <w:p w14:paraId="0B24D5E9">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980"/>
        <w:gridCol w:w="2280"/>
        <w:gridCol w:w="2055"/>
        <w:gridCol w:w="2595"/>
        <w:gridCol w:w="1590"/>
        <w:gridCol w:w="1733"/>
      </w:tblGrid>
      <w:tr w14:paraId="083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7544B6FF">
            <w:pPr>
              <w:keepNext w:val="0"/>
              <w:keepLines w:val="0"/>
              <w:pageBreakBefore w:val="0"/>
              <w:widowControl w:val="0"/>
              <w:kinsoku/>
              <w:wordWrap/>
              <w:overflowPunct w:val="0"/>
              <w:topLinePunct w:val="0"/>
              <w:autoSpaceDE w:val="0"/>
              <w:autoSpaceDN w:val="0"/>
              <w:bidi w:val="0"/>
              <w:adjustRightInd w:val="0"/>
              <w:snapToGrid w:val="0"/>
              <w:jc w:val="center"/>
              <w:rPr>
                <w:rFonts w:hint="default"/>
                <w:b/>
                <w:bCs/>
                <w:vertAlign w:val="baseline"/>
                <w:lang w:val="en-US" w:eastAsia="zh-CN"/>
              </w:rPr>
            </w:pPr>
            <w:r>
              <w:rPr>
                <w:rFonts w:hint="eastAsia"/>
                <w:b/>
                <w:bCs/>
                <w:vertAlign w:val="baseline"/>
                <w:lang w:val="en-US" w:eastAsia="zh-CN"/>
              </w:rPr>
              <w:t>序号</w:t>
            </w:r>
          </w:p>
        </w:tc>
        <w:tc>
          <w:tcPr>
            <w:tcW w:w="1980" w:type="dxa"/>
            <w:noWrap w:val="0"/>
            <w:vAlign w:val="top"/>
          </w:tcPr>
          <w:p w14:paraId="19B53589">
            <w:pPr>
              <w:keepNext w:val="0"/>
              <w:keepLines w:val="0"/>
              <w:pageBreakBefore w:val="0"/>
              <w:widowControl w:val="0"/>
              <w:kinsoku/>
              <w:wordWrap/>
              <w:overflowPunct w:val="0"/>
              <w:topLinePunct w:val="0"/>
              <w:autoSpaceDE w:val="0"/>
              <w:autoSpaceDN w:val="0"/>
              <w:bidi w:val="0"/>
              <w:adjustRightInd w:val="0"/>
              <w:snapToGrid w:val="0"/>
              <w:ind w:firstLine="422" w:firstLineChars="200"/>
              <w:jc w:val="both"/>
              <w:rPr>
                <w:rFonts w:hint="default" w:ascii="Times New Roman" w:hAnsi="Times New Roman" w:eastAsia="宋体" w:cs="Times New Roman"/>
                <w:b/>
                <w:bCs/>
                <w:kern w:val="2"/>
                <w:sz w:val="21"/>
                <w:szCs w:val="21"/>
                <w:vertAlign w:val="baseline"/>
                <w:lang w:val="en-US" w:eastAsia="zh-CN" w:bidi="ar-SA"/>
              </w:rPr>
            </w:pPr>
            <w:r>
              <w:rPr>
                <w:rFonts w:hint="eastAsia"/>
                <w:b/>
                <w:bCs/>
                <w:vertAlign w:val="baseline"/>
                <w:lang w:val="en-US" w:eastAsia="zh-CN"/>
              </w:rPr>
              <w:t>节能产品</w:t>
            </w:r>
          </w:p>
        </w:tc>
        <w:tc>
          <w:tcPr>
            <w:tcW w:w="2280" w:type="dxa"/>
            <w:noWrap w:val="0"/>
            <w:vAlign w:val="top"/>
          </w:tcPr>
          <w:p w14:paraId="44646CFF">
            <w:pPr>
              <w:keepNext w:val="0"/>
              <w:keepLines w:val="0"/>
              <w:pageBreakBefore w:val="0"/>
              <w:widowControl w:val="0"/>
              <w:kinsoku/>
              <w:wordWrap/>
              <w:overflowPunct w:val="0"/>
              <w:topLinePunct w:val="0"/>
              <w:autoSpaceDE w:val="0"/>
              <w:autoSpaceDN w:val="0"/>
              <w:bidi w:val="0"/>
              <w:adjustRightInd w:val="0"/>
              <w:snapToGrid w:val="0"/>
              <w:ind w:firstLine="632" w:firstLineChars="300"/>
              <w:jc w:val="both"/>
              <w:rPr>
                <w:rFonts w:hint="default"/>
                <w:b/>
                <w:bCs/>
                <w:vertAlign w:val="baseline"/>
                <w:lang w:val="en-US" w:eastAsia="zh-CN"/>
              </w:rPr>
            </w:pPr>
            <w:r>
              <w:rPr>
                <w:rFonts w:hint="eastAsia"/>
                <w:b/>
                <w:bCs/>
                <w:vertAlign w:val="baseline"/>
                <w:lang w:val="en-US" w:eastAsia="zh-CN"/>
              </w:rPr>
              <w:t>证书编号</w:t>
            </w:r>
          </w:p>
        </w:tc>
        <w:tc>
          <w:tcPr>
            <w:tcW w:w="2055" w:type="dxa"/>
            <w:noWrap w:val="0"/>
            <w:vAlign w:val="top"/>
          </w:tcPr>
          <w:p w14:paraId="5D50747E">
            <w:pPr>
              <w:keepNext w:val="0"/>
              <w:keepLines w:val="0"/>
              <w:pageBreakBefore w:val="0"/>
              <w:widowControl w:val="0"/>
              <w:kinsoku/>
              <w:wordWrap/>
              <w:overflowPunct w:val="0"/>
              <w:topLinePunct w:val="0"/>
              <w:autoSpaceDE w:val="0"/>
              <w:autoSpaceDN w:val="0"/>
              <w:bidi w:val="0"/>
              <w:adjustRightInd w:val="0"/>
              <w:snapToGrid w:val="0"/>
              <w:ind w:firstLine="211" w:firstLineChars="100"/>
              <w:jc w:val="both"/>
              <w:rPr>
                <w:rFonts w:hint="default"/>
                <w:b/>
                <w:bCs/>
                <w:vertAlign w:val="baseline"/>
                <w:lang w:val="en-US" w:eastAsia="zh-CN"/>
              </w:rPr>
            </w:pPr>
            <w:r>
              <w:rPr>
                <w:rFonts w:hint="eastAsia"/>
                <w:b/>
                <w:bCs/>
                <w:vertAlign w:val="baseline"/>
                <w:lang w:val="en-US" w:eastAsia="zh-CN"/>
              </w:rPr>
              <w:t>认证委托人名称</w:t>
            </w:r>
          </w:p>
        </w:tc>
        <w:tc>
          <w:tcPr>
            <w:tcW w:w="2595" w:type="dxa"/>
            <w:noWrap w:val="0"/>
            <w:vAlign w:val="top"/>
          </w:tcPr>
          <w:p w14:paraId="41724A75">
            <w:pPr>
              <w:keepNext w:val="0"/>
              <w:keepLines w:val="0"/>
              <w:pageBreakBefore w:val="0"/>
              <w:widowControl w:val="0"/>
              <w:kinsoku/>
              <w:wordWrap/>
              <w:overflowPunct w:val="0"/>
              <w:topLinePunct w:val="0"/>
              <w:autoSpaceDE w:val="0"/>
              <w:autoSpaceDN w:val="0"/>
              <w:bidi w:val="0"/>
              <w:adjustRightInd w:val="0"/>
              <w:snapToGrid w:val="0"/>
              <w:ind w:left="630" w:hanging="632" w:hangingChars="300"/>
              <w:jc w:val="center"/>
              <w:rPr>
                <w:rFonts w:hint="default"/>
                <w:b/>
                <w:bCs/>
                <w:vertAlign w:val="baseline"/>
                <w:lang w:val="en-US" w:eastAsia="zh-CN"/>
              </w:rPr>
            </w:pPr>
            <w:r>
              <w:rPr>
                <w:rFonts w:hint="eastAsia"/>
                <w:b/>
                <w:bCs/>
                <w:vertAlign w:val="baseline"/>
                <w:lang w:val="en-US" w:eastAsia="zh-CN"/>
              </w:rPr>
              <w:t>生产（制造商）名称</w:t>
            </w:r>
          </w:p>
        </w:tc>
        <w:tc>
          <w:tcPr>
            <w:tcW w:w="1590" w:type="dxa"/>
            <w:noWrap w:val="0"/>
            <w:vAlign w:val="top"/>
          </w:tcPr>
          <w:p w14:paraId="35A800A0">
            <w:pPr>
              <w:keepNext w:val="0"/>
              <w:keepLines w:val="0"/>
              <w:pageBreakBefore w:val="0"/>
              <w:widowControl w:val="0"/>
              <w:kinsoku/>
              <w:wordWrap/>
              <w:overflowPunct w:val="0"/>
              <w:topLinePunct w:val="0"/>
              <w:autoSpaceDE w:val="0"/>
              <w:autoSpaceDN w:val="0"/>
              <w:bidi w:val="0"/>
              <w:adjustRightInd w:val="0"/>
              <w:snapToGrid w:val="0"/>
              <w:ind w:firstLine="211" w:firstLineChars="100"/>
              <w:jc w:val="both"/>
              <w:rPr>
                <w:rFonts w:hint="default"/>
                <w:b/>
                <w:bCs/>
                <w:vertAlign w:val="baseline"/>
                <w:lang w:val="en-US" w:eastAsia="zh-CN"/>
              </w:rPr>
            </w:pPr>
            <w:r>
              <w:rPr>
                <w:rFonts w:hint="eastAsia"/>
                <w:b/>
                <w:bCs/>
                <w:vertAlign w:val="baseline"/>
                <w:lang w:val="en-US" w:eastAsia="zh-CN"/>
              </w:rPr>
              <w:t>规格型号</w:t>
            </w:r>
          </w:p>
        </w:tc>
        <w:tc>
          <w:tcPr>
            <w:tcW w:w="1733" w:type="dxa"/>
            <w:noWrap w:val="0"/>
            <w:vAlign w:val="top"/>
          </w:tcPr>
          <w:p w14:paraId="13BDD8BA">
            <w:pPr>
              <w:keepNext w:val="0"/>
              <w:keepLines w:val="0"/>
              <w:pageBreakBefore w:val="0"/>
              <w:widowControl w:val="0"/>
              <w:kinsoku/>
              <w:wordWrap/>
              <w:overflowPunct w:val="0"/>
              <w:topLinePunct w:val="0"/>
              <w:autoSpaceDE w:val="0"/>
              <w:autoSpaceDN w:val="0"/>
              <w:bidi w:val="0"/>
              <w:adjustRightInd w:val="0"/>
              <w:snapToGrid w:val="0"/>
              <w:ind w:firstLine="422" w:firstLineChars="200"/>
              <w:jc w:val="both"/>
              <w:rPr>
                <w:rFonts w:hint="default"/>
                <w:b/>
                <w:bCs/>
                <w:vertAlign w:val="baseline"/>
                <w:lang w:val="en-US" w:eastAsia="zh-CN"/>
              </w:rPr>
            </w:pPr>
            <w:r>
              <w:rPr>
                <w:rFonts w:hint="eastAsia"/>
                <w:b/>
                <w:bCs/>
                <w:vertAlign w:val="baseline"/>
                <w:lang w:val="en-US" w:eastAsia="zh-CN"/>
              </w:rPr>
              <w:t>认证机构</w:t>
            </w:r>
          </w:p>
        </w:tc>
      </w:tr>
      <w:tr w14:paraId="455E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38F6179C">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r>
              <w:rPr>
                <w:rFonts w:hint="eastAsia"/>
                <w:vertAlign w:val="baseline"/>
                <w:lang w:val="en-US" w:eastAsia="zh-CN"/>
              </w:rPr>
              <w:t>1</w:t>
            </w:r>
          </w:p>
        </w:tc>
        <w:tc>
          <w:tcPr>
            <w:tcW w:w="1980" w:type="dxa"/>
            <w:noWrap w:val="0"/>
            <w:vAlign w:val="top"/>
          </w:tcPr>
          <w:p w14:paraId="6D6A45FA">
            <w:pPr>
              <w:keepNext w:val="0"/>
              <w:keepLines w:val="0"/>
              <w:pageBreakBefore w:val="0"/>
              <w:widowControl w:val="0"/>
              <w:kinsoku/>
              <w:wordWrap/>
              <w:overflowPunct w:val="0"/>
              <w:topLinePunct w:val="0"/>
              <w:autoSpaceDE w:val="0"/>
              <w:autoSpaceDN w:val="0"/>
              <w:bidi w:val="0"/>
              <w:adjustRightInd w:val="0"/>
              <w:snapToGrid w:val="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计算机</w:t>
            </w:r>
          </w:p>
        </w:tc>
        <w:tc>
          <w:tcPr>
            <w:tcW w:w="2280" w:type="dxa"/>
            <w:noWrap w:val="0"/>
            <w:vAlign w:val="top"/>
          </w:tcPr>
          <w:p w14:paraId="353C6DC6">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055" w:type="dxa"/>
            <w:noWrap w:val="0"/>
            <w:vAlign w:val="top"/>
          </w:tcPr>
          <w:p w14:paraId="31748272">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595" w:type="dxa"/>
            <w:noWrap w:val="0"/>
            <w:vAlign w:val="top"/>
          </w:tcPr>
          <w:p w14:paraId="144FF54C">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590" w:type="dxa"/>
            <w:noWrap w:val="0"/>
            <w:vAlign w:val="top"/>
          </w:tcPr>
          <w:p w14:paraId="5DA6E7E0">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733" w:type="dxa"/>
            <w:noWrap w:val="0"/>
            <w:vAlign w:val="top"/>
          </w:tcPr>
          <w:p w14:paraId="5F19BD4A">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r>
      <w:tr w14:paraId="5297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vAlign w:val="top"/>
          </w:tcPr>
          <w:p w14:paraId="029FA6FD">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980" w:type="dxa"/>
            <w:noWrap w:val="0"/>
            <w:vAlign w:val="top"/>
          </w:tcPr>
          <w:p w14:paraId="35738A89">
            <w:pPr>
              <w:keepNext w:val="0"/>
              <w:keepLines w:val="0"/>
              <w:pageBreakBefore w:val="0"/>
              <w:widowControl w:val="0"/>
              <w:kinsoku/>
              <w:wordWrap/>
              <w:overflowPunct w:val="0"/>
              <w:topLinePunct w:val="0"/>
              <w:autoSpaceDE w:val="0"/>
              <w:autoSpaceDN w:val="0"/>
              <w:bidi w:val="0"/>
              <w:adjustRightInd w:val="0"/>
              <w:snapToGrid w:val="0"/>
              <w:jc w:val="center"/>
              <w:rPr>
                <w:rFonts w:hint="default"/>
                <w:kern w:val="2"/>
                <w:sz w:val="21"/>
                <w:szCs w:val="21"/>
                <w:vertAlign w:val="baseline"/>
                <w:lang w:val="en-US" w:eastAsia="zh-CN" w:bidi="ar-SA"/>
              </w:rPr>
            </w:pPr>
          </w:p>
        </w:tc>
        <w:tc>
          <w:tcPr>
            <w:tcW w:w="2280" w:type="dxa"/>
            <w:noWrap w:val="0"/>
            <w:vAlign w:val="top"/>
          </w:tcPr>
          <w:p w14:paraId="375E39D2">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055" w:type="dxa"/>
            <w:noWrap w:val="0"/>
            <w:vAlign w:val="top"/>
          </w:tcPr>
          <w:p w14:paraId="0E3FEFFE">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2595" w:type="dxa"/>
            <w:noWrap w:val="0"/>
            <w:vAlign w:val="top"/>
          </w:tcPr>
          <w:p w14:paraId="58315A8D">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590" w:type="dxa"/>
            <w:noWrap w:val="0"/>
            <w:vAlign w:val="top"/>
          </w:tcPr>
          <w:p w14:paraId="2090D726">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c>
          <w:tcPr>
            <w:tcW w:w="1733" w:type="dxa"/>
            <w:noWrap w:val="0"/>
            <w:vAlign w:val="top"/>
          </w:tcPr>
          <w:p w14:paraId="1FCA8E1C">
            <w:pPr>
              <w:keepNext w:val="0"/>
              <w:keepLines w:val="0"/>
              <w:pageBreakBefore w:val="0"/>
              <w:widowControl w:val="0"/>
              <w:kinsoku/>
              <w:wordWrap/>
              <w:overflowPunct w:val="0"/>
              <w:topLinePunct w:val="0"/>
              <w:autoSpaceDE w:val="0"/>
              <w:autoSpaceDN w:val="0"/>
              <w:bidi w:val="0"/>
              <w:adjustRightInd w:val="0"/>
              <w:snapToGrid w:val="0"/>
              <w:jc w:val="center"/>
              <w:rPr>
                <w:rFonts w:hint="default"/>
                <w:vertAlign w:val="baseline"/>
                <w:lang w:val="en-US" w:eastAsia="zh-CN"/>
              </w:rPr>
            </w:pPr>
          </w:p>
        </w:tc>
      </w:tr>
    </w:tbl>
    <w:p w14:paraId="4FB66305">
      <w:pPr>
        <w:rPr>
          <w:rFonts w:hint="eastAsia" w:ascii="宋体" w:hAnsi="宋体" w:eastAsia="宋体" w:cs="Times New Roman"/>
          <w:color w:val="auto"/>
          <w:kern w:val="0"/>
          <w:sz w:val="21"/>
          <w:szCs w:val="21"/>
          <w:highlight w:val="none"/>
          <w:lang w:val="en-US" w:eastAsia="zh-CN" w:bidi="ar-SA"/>
        </w:rPr>
      </w:pPr>
      <w:r>
        <w:rPr>
          <w:rFonts w:hint="eastAsia"/>
          <w:lang w:val="en-US" w:eastAsia="zh-CN"/>
        </w:rPr>
        <w:t xml:space="preserve">     </w:t>
      </w:r>
      <w:r>
        <w:rPr>
          <w:rFonts w:hint="eastAsia" w:ascii="方正黑体_GBK" w:hAnsi="方正黑体_GBK" w:eastAsia="方正黑体_GBK" w:cs="方正黑体_GBK"/>
          <w:b w:val="0"/>
          <w:bCs/>
          <w:color w:val="0070C0"/>
          <w:kern w:val="2"/>
          <w:sz w:val="21"/>
          <w:szCs w:val="21"/>
          <w:lang w:val="en-US" w:eastAsia="zh-CN" w:bidi="ar-SA"/>
        </w:rPr>
        <w:t>注：</w:t>
      </w:r>
      <w:r>
        <w:rPr>
          <w:rFonts w:hint="eastAsia" w:ascii="宋体" w:hAnsi="宋体" w:eastAsia="宋体" w:cs="Times New Roman"/>
          <w:color w:val="auto"/>
          <w:kern w:val="0"/>
          <w:sz w:val="21"/>
          <w:szCs w:val="21"/>
          <w:highlight w:val="none"/>
          <w:lang w:val="en-US" w:eastAsia="zh-CN" w:bidi="ar-SA"/>
        </w:rPr>
        <w:t>填报的节能产品必须与投标文件正文表格（七、分项报价表）中所投品牌及型号相一致！</w:t>
      </w:r>
    </w:p>
    <w:p w14:paraId="4A65AAD8">
      <w:pPr>
        <w:keepNext w:val="0"/>
        <w:keepLines w:val="0"/>
        <w:pageBreakBefore w:val="0"/>
        <w:widowControl w:val="0"/>
        <w:kinsoku/>
        <w:wordWrap/>
        <w:overflowPunct w:val="0"/>
        <w:topLinePunct w:val="0"/>
        <w:autoSpaceDE w:val="0"/>
        <w:autoSpaceDN w:val="0"/>
        <w:bidi w:val="0"/>
        <w:adjustRightInd w:val="0"/>
        <w:snapToGrid w:val="0"/>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23302CC2">
      <w:pPr>
        <w:widowControl/>
        <w:tabs>
          <w:tab w:val="left" w:pos="720"/>
        </w:tabs>
        <w:spacing w:line="360" w:lineRule="auto"/>
        <w:jc w:val="center"/>
        <w:rPr>
          <w:rFonts w:ascii="黑体" w:hAnsi="宋体" w:eastAsia="黑体"/>
          <w:b/>
          <w:color w:val="auto"/>
          <w:sz w:val="24"/>
          <w:szCs w:val="20"/>
          <w:highlight w:val="none"/>
        </w:rPr>
      </w:pPr>
      <w:r>
        <w:rPr>
          <w:rFonts w:hint="eastAsia" w:ascii="黑体" w:hAnsi="宋体" w:eastAsia="黑体"/>
          <w:b/>
          <w:color w:val="auto"/>
          <w:sz w:val="24"/>
          <w:highlight w:val="none"/>
          <w:lang w:val="en-US" w:eastAsia="zh-CN"/>
        </w:rPr>
        <w:t>附件八</w:t>
      </w:r>
      <w:r>
        <w:rPr>
          <w:rFonts w:hint="eastAsia" w:ascii="黑体" w:hAnsi="宋体" w:eastAsia="黑体"/>
          <w:b/>
          <w:color w:val="auto"/>
          <w:sz w:val="24"/>
          <w:highlight w:val="none"/>
        </w:rPr>
        <w:t>、供应商同类项目业绩情况</w:t>
      </w:r>
    </w:p>
    <w:tbl>
      <w:tblPr>
        <w:tblStyle w:val="40"/>
        <w:tblpPr w:leftFromText="180" w:rightFromText="180" w:vertAnchor="text" w:horzAnchor="page" w:tblpX="1636" w:tblpY="227"/>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15"/>
        <w:gridCol w:w="1340"/>
        <w:gridCol w:w="1485"/>
        <w:gridCol w:w="1290"/>
        <w:gridCol w:w="2547"/>
      </w:tblGrid>
      <w:tr w14:paraId="5459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0" w:type="dxa"/>
            <w:noWrap w:val="0"/>
            <w:vAlign w:val="center"/>
          </w:tcPr>
          <w:p w14:paraId="084F070A">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序号</w:t>
            </w:r>
          </w:p>
        </w:tc>
        <w:tc>
          <w:tcPr>
            <w:tcW w:w="1615" w:type="dxa"/>
            <w:noWrap w:val="0"/>
            <w:vAlign w:val="center"/>
          </w:tcPr>
          <w:p w14:paraId="6D97B945">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项目名称</w:t>
            </w:r>
          </w:p>
        </w:tc>
        <w:tc>
          <w:tcPr>
            <w:tcW w:w="1340" w:type="dxa"/>
            <w:noWrap w:val="0"/>
            <w:vAlign w:val="center"/>
          </w:tcPr>
          <w:p w14:paraId="613B37E3">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合同金额（万元）</w:t>
            </w:r>
          </w:p>
        </w:tc>
        <w:tc>
          <w:tcPr>
            <w:tcW w:w="1485" w:type="dxa"/>
            <w:noWrap w:val="0"/>
            <w:vAlign w:val="center"/>
          </w:tcPr>
          <w:p w14:paraId="1207E584">
            <w:pPr>
              <w:jc w:val="center"/>
              <w:rPr>
                <w:rFonts w:hint="eastAsia" w:ascii="宋体" w:hAnsi="宋体" w:cs="宋体"/>
                <w:color w:val="auto"/>
                <w:spacing w:val="-1"/>
                <w:kern w:val="0"/>
                <w:highlight w:val="none"/>
              </w:rPr>
            </w:pPr>
            <w:r>
              <w:rPr>
                <w:rFonts w:hint="eastAsia" w:ascii="宋体" w:hAnsi="宋体" w:cs="宋体"/>
                <w:color w:val="auto"/>
                <w:highlight w:val="none"/>
              </w:rPr>
              <w:t>签订合同时间</w:t>
            </w:r>
          </w:p>
        </w:tc>
        <w:tc>
          <w:tcPr>
            <w:tcW w:w="1290" w:type="dxa"/>
            <w:noWrap w:val="0"/>
            <w:vAlign w:val="center"/>
          </w:tcPr>
          <w:p w14:paraId="2DE488EB">
            <w:pPr>
              <w:jc w:val="center"/>
              <w:rPr>
                <w:rFonts w:hint="eastAsia" w:ascii="宋体" w:hAnsi="宋体" w:cs="宋体"/>
                <w:color w:val="auto"/>
                <w:spacing w:val="-1"/>
                <w:kern w:val="0"/>
                <w:highlight w:val="none"/>
              </w:rPr>
            </w:pPr>
            <w:r>
              <w:rPr>
                <w:rFonts w:hint="eastAsia" w:ascii="宋体" w:hAnsi="宋体" w:cs="宋体"/>
                <w:color w:val="auto"/>
                <w:highlight w:val="none"/>
              </w:rPr>
              <w:t>竣工验收报告时间</w:t>
            </w:r>
          </w:p>
        </w:tc>
        <w:tc>
          <w:tcPr>
            <w:tcW w:w="2547" w:type="dxa"/>
            <w:noWrap w:val="0"/>
            <w:vAlign w:val="center"/>
          </w:tcPr>
          <w:p w14:paraId="0311B5AD">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采购人联系人及电话</w:t>
            </w:r>
          </w:p>
        </w:tc>
      </w:tr>
      <w:tr w14:paraId="2477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14:paraId="1BF02AC4">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1</w:t>
            </w:r>
          </w:p>
        </w:tc>
        <w:tc>
          <w:tcPr>
            <w:tcW w:w="1615" w:type="dxa"/>
            <w:noWrap w:val="0"/>
            <w:vAlign w:val="center"/>
          </w:tcPr>
          <w:p w14:paraId="2814F593">
            <w:pPr>
              <w:jc w:val="center"/>
              <w:rPr>
                <w:rFonts w:hint="eastAsia" w:ascii="宋体" w:hAnsi="宋体" w:cs="宋体"/>
                <w:color w:val="auto"/>
                <w:spacing w:val="-1"/>
                <w:kern w:val="0"/>
                <w:highlight w:val="none"/>
              </w:rPr>
            </w:pPr>
          </w:p>
        </w:tc>
        <w:tc>
          <w:tcPr>
            <w:tcW w:w="1340" w:type="dxa"/>
            <w:noWrap w:val="0"/>
            <w:vAlign w:val="center"/>
          </w:tcPr>
          <w:p w14:paraId="7360CC40">
            <w:pPr>
              <w:jc w:val="center"/>
              <w:rPr>
                <w:rFonts w:hint="eastAsia" w:ascii="宋体" w:hAnsi="宋体" w:cs="宋体"/>
                <w:color w:val="auto"/>
                <w:spacing w:val="-1"/>
                <w:kern w:val="0"/>
                <w:highlight w:val="none"/>
              </w:rPr>
            </w:pPr>
          </w:p>
        </w:tc>
        <w:tc>
          <w:tcPr>
            <w:tcW w:w="1485" w:type="dxa"/>
            <w:noWrap w:val="0"/>
            <w:vAlign w:val="center"/>
          </w:tcPr>
          <w:p w14:paraId="11432659">
            <w:pPr>
              <w:jc w:val="center"/>
              <w:rPr>
                <w:rFonts w:hint="eastAsia" w:ascii="宋体" w:hAnsi="宋体" w:cs="宋体"/>
                <w:color w:val="auto"/>
                <w:spacing w:val="-1"/>
                <w:kern w:val="0"/>
                <w:highlight w:val="none"/>
              </w:rPr>
            </w:pPr>
          </w:p>
        </w:tc>
        <w:tc>
          <w:tcPr>
            <w:tcW w:w="1290" w:type="dxa"/>
            <w:noWrap w:val="0"/>
            <w:vAlign w:val="center"/>
          </w:tcPr>
          <w:p w14:paraId="03423608">
            <w:pPr>
              <w:jc w:val="center"/>
              <w:rPr>
                <w:rFonts w:hint="eastAsia" w:ascii="宋体" w:hAnsi="宋体" w:cs="宋体"/>
                <w:color w:val="auto"/>
                <w:spacing w:val="-1"/>
                <w:kern w:val="0"/>
                <w:highlight w:val="none"/>
              </w:rPr>
            </w:pPr>
          </w:p>
        </w:tc>
        <w:tc>
          <w:tcPr>
            <w:tcW w:w="2547" w:type="dxa"/>
            <w:noWrap w:val="0"/>
            <w:vAlign w:val="center"/>
          </w:tcPr>
          <w:p w14:paraId="0E71B9D2">
            <w:pPr>
              <w:jc w:val="center"/>
              <w:rPr>
                <w:rFonts w:hint="eastAsia" w:ascii="宋体" w:hAnsi="宋体" w:cs="宋体"/>
                <w:color w:val="auto"/>
                <w:spacing w:val="-1"/>
                <w:kern w:val="0"/>
                <w:highlight w:val="none"/>
              </w:rPr>
            </w:pPr>
          </w:p>
        </w:tc>
      </w:tr>
      <w:tr w14:paraId="7CB4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14:paraId="78AE8B9B">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2</w:t>
            </w:r>
          </w:p>
        </w:tc>
        <w:tc>
          <w:tcPr>
            <w:tcW w:w="1615" w:type="dxa"/>
            <w:noWrap w:val="0"/>
            <w:vAlign w:val="center"/>
          </w:tcPr>
          <w:p w14:paraId="45142595">
            <w:pPr>
              <w:jc w:val="center"/>
              <w:rPr>
                <w:rFonts w:hint="eastAsia" w:ascii="宋体" w:hAnsi="宋体" w:cs="宋体"/>
                <w:color w:val="auto"/>
                <w:spacing w:val="-1"/>
                <w:kern w:val="0"/>
                <w:highlight w:val="none"/>
              </w:rPr>
            </w:pPr>
          </w:p>
        </w:tc>
        <w:tc>
          <w:tcPr>
            <w:tcW w:w="1340" w:type="dxa"/>
            <w:noWrap w:val="0"/>
            <w:vAlign w:val="center"/>
          </w:tcPr>
          <w:p w14:paraId="648738F3">
            <w:pPr>
              <w:jc w:val="center"/>
              <w:rPr>
                <w:rFonts w:hint="eastAsia" w:ascii="宋体" w:hAnsi="宋体" w:cs="宋体"/>
                <w:color w:val="auto"/>
                <w:spacing w:val="-1"/>
                <w:kern w:val="0"/>
                <w:highlight w:val="none"/>
              </w:rPr>
            </w:pPr>
          </w:p>
        </w:tc>
        <w:tc>
          <w:tcPr>
            <w:tcW w:w="1485" w:type="dxa"/>
            <w:noWrap w:val="0"/>
            <w:vAlign w:val="center"/>
          </w:tcPr>
          <w:p w14:paraId="0ABED107">
            <w:pPr>
              <w:jc w:val="center"/>
              <w:rPr>
                <w:rFonts w:hint="eastAsia" w:ascii="宋体" w:hAnsi="宋体" w:cs="宋体"/>
                <w:color w:val="auto"/>
                <w:spacing w:val="-1"/>
                <w:kern w:val="0"/>
                <w:highlight w:val="none"/>
              </w:rPr>
            </w:pPr>
          </w:p>
        </w:tc>
        <w:tc>
          <w:tcPr>
            <w:tcW w:w="1290" w:type="dxa"/>
            <w:noWrap w:val="0"/>
            <w:vAlign w:val="center"/>
          </w:tcPr>
          <w:p w14:paraId="65431985">
            <w:pPr>
              <w:jc w:val="center"/>
              <w:rPr>
                <w:rFonts w:hint="eastAsia" w:ascii="宋体" w:hAnsi="宋体" w:cs="宋体"/>
                <w:color w:val="auto"/>
                <w:spacing w:val="-1"/>
                <w:kern w:val="0"/>
                <w:highlight w:val="none"/>
              </w:rPr>
            </w:pPr>
          </w:p>
        </w:tc>
        <w:tc>
          <w:tcPr>
            <w:tcW w:w="2547" w:type="dxa"/>
            <w:noWrap w:val="0"/>
            <w:vAlign w:val="center"/>
          </w:tcPr>
          <w:p w14:paraId="44E62B77">
            <w:pPr>
              <w:jc w:val="center"/>
              <w:rPr>
                <w:rFonts w:hint="eastAsia" w:ascii="宋体" w:hAnsi="宋体" w:cs="宋体"/>
                <w:color w:val="auto"/>
                <w:spacing w:val="-1"/>
                <w:kern w:val="0"/>
                <w:highlight w:val="none"/>
              </w:rPr>
            </w:pPr>
          </w:p>
        </w:tc>
      </w:tr>
      <w:tr w14:paraId="24E7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14:paraId="1F307892">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3</w:t>
            </w:r>
          </w:p>
        </w:tc>
        <w:tc>
          <w:tcPr>
            <w:tcW w:w="1615" w:type="dxa"/>
            <w:noWrap w:val="0"/>
            <w:vAlign w:val="center"/>
          </w:tcPr>
          <w:p w14:paraId="780F51E0">
            <w:pPr>
              <w:jc w:val="center"/>
              <w:rPr>
                <w:rFonts w:hint="eastAsia" w:ascii="宋体" w:hAnsi="宋体" w:cs="宋体"/>
                <w:color w:val="auto"/>
                <w:spacing w:val="-1"/>
                <w:kern w:val="0"/>
                <w:highlight w:val="none"/>
              </w:rPr>
            </w:pPr>
          </w:p>
        </w:tc>
        <w:tc>
          <w:tcPr>
            <w:tcW w:w="1340" w:type="dxa"/>
            <w:noWrap w:val="0"/>
            <w:vAlign w:val="center"/>
          </w:tcPr>
          <w:p w14:paraId="757A8C0B">
            <w:pPr>
              <w:jc w:val="center"/>
              <w:rPr>
                <w:rFonts w:hint="eastAsia" w:ascii="宋体" w:hAnsi="宋体" w:cs="宋体"/>
                <w:color w:val="auto"/>
                <w:spacing w:val="-1"/>
                <w:kern w:val="0"/>
                <w:highlight w:val="none"/>
              </w:rPr>
            </w:pPr>
          </w:p>
        </w:tc>
        <w:tc>
          <w:tcPr>
            <w:tcW w:w="1485" w:type="dxa"/>
            <w:noWrap w:val="0"/>
            <w:vAlign w:val="center"/>
          </w:tcPr>
          <w:p w14:paraId="5373F8A9">
            <w:pPr>
              <w:jc w:val="center"/>
              <w:rPr>
                <w:rFonts w:hint="eastAsia" w:ascii="宋体" w:hAnsi="宋体" w:cs="宋体"/>
                <w:color w:val="auto"/>
                <w:spacing w:val="-1"/>
                <w:kern w:val="0"/>
                <w:highlight w:val="none"/>
              </w:rPr>
            </w:pPr>
          </w:p>
        </w:tc>
        <w:tc>
          <w:tcPr>
            <w:tcW w:w="1290" w:type="dxa"/>
            <w:noWrap w:val="0"/>
            <w:vAlign w:val="center"/>
          </w:tcPr>
          <w:p w14:paraId="67DB0813">
            <w:pPr>
              <w:jc w:val="center"/>
              <w:rPr>
                <w:rFonts w:hint="eastAsia" w:ascii="宋体" w:hAnsi="宋体" w:cs="宋体"/>
                <w:color w:val="auto"/>
                <w:spacing w:val="-1"/>
                <w:kern w:val="0"/>
                <w:highlight w:val="none"/>
              </w:rPr>
            </w:pPr>
          </w:p>
        </w:tc>
        <w:tc>
          <w:tcPr>
            <w:tcW w:w="2547" w:type="dxa"/>
            <w:noWrap w:val="0"/>
            <w:vAlign w:val="center"/>
          </w:tcPr>
          <w:p w14:paraId="0895159C">
            <w:pPr>
              <w:jc w:val="center"/>
              <w:rPr>
                <w:rFonts w:hint="eastAsia" w:ascii="宋体" w:hAnsi="宋体" w:cs="宋体"/>
                <w:color w:val="auto"/>
                <w:spacing w:val="-1"/>
                <w:kern w:val="0"/>
                <w:highlight w:val="none"/>
              </w:rPr>
            </w:pPr>
          </w:p>
        </w:tc>
      </w:tr>
      <w:tr w14:paraId="551D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0" w:type="dxa"/>
            <w:noWrap w:val="0"/>
            <w:vAlign w:val="center"/>
          </w:tcPr>
          <w:p w14:paraId="23A89B2A">
            <w:pPr>
              <w:jc w:val="center"/>
              <w:rPr>
                <w:rFonts w:hint="eastAsia" w:ascii="宋体" w:hAnsi="宋体" w:cs="宋体"/>
                <w:color w:val="auto"/>
                <w:spacing w:val="-1"/>
                <w:kern w:val="0"/>
                <w:highlight w:val="none"/>
              </w:rPr>
            </w:pPr>
            <w:r>
              <w:rPr>
                <w:rFonts w:hint="eastAsia" w:ascii="宋体" w:hAnsi="宋体" w:cs="宋体"/>
                <w:color w:val="auto"/>
                <w:spacing w:val="-1"/>
                <w:kern w:val="0"/>
                <w:highlight w:val="none"/>
              </w:rPr>
              <w:t>…</w:t>
            </w:r>
          </w:p>
        </w:tc>
        <w:tc>
          <w:tcPr>
            <w:tcW w:w="1615" w:type="dxa"/>
            <w:noWrap w:val="0"/>
            <w:vAlign w:val="center"/>
          </w:tcPr>
          <w:p w14:paraId="46A83881">
            <w:pPr>
              <w:jc w:val="center"/>
              <w:rPr>
                <w:rFonts w:hint="eastAsia" w:ascii="宋体" w:hAnsi="宋体" w:cs="宋体"/>
                <w:color w:val="auto"/>
                <w:spacing w:val="-1"/>
                <w:kern w:val="0"/>
                <w:highlight w:val="none"/>
              </w:rPr>
            </w:pPr>
          </w:p>
        </w:tc>
        <w:tc>
          <w:tcPr>
            <w:tcW w:w="1340" w:type="dxa"/>
            <w:noWrap w:val="0"/>
            <w:vAlign w:val="center"/>
          </w:tcPr>
          <w:p w14:paraId="6A171656">
            <w:pPr>
              <w:jc w:val="center"/>
              <w:rPr>
                <w:rFonts w:hint="eastAsia" w:ascii="宋体" w:hAnsi="宋体" w:cs="宋体"/>
                <w:color w:val="auto"/>
                <w:spacing w:val="-1"/>
                <w:kern w:val="0"/>
                <w:highlight w:val="none"/>
              </w:rPr>
            </w:pPr>
          </w:p>
        </w:tc>
        <w:tc>
          <w:tcPr>
            <w:tcW w:w="1485" w:type="dxa"/>
            <w:noWrap w:val="0"/>
            <w:vAlign w:val="center"/>
          </w:tcPr>
          <w:p w14:paraId="28D28130">
            <w:pPr>
              <w:jc w:val="center"/>
              <w:rPr>
                <w:rFonts w:hint="eastAsia" w:ascii="宋体" w:hAnsi="宋体" w:cs="宋体"/>
                <w:color w:val="auto"/>
                <w:spacing w:val="-1"/>
                <w:kern w:val="0"/>
                <w:highlight w:val="none"/>
              </w:rPr>
            </w:pPr>
          </w:p>
        </w:tc>
        <w:tc>
          <w:tcPr>
            <w:tcW w:w="1290" w:type="dxa"/>
            <w:noWrap w:val="0"/>
            <w:vAlign w:val="center"/>
          </w:tcPr>
          <w:p w14:paraId="62C5BE55">
            <w:pPr>
              <w:jc w:val="center"/>
              <w:rPr>
                <w:rFonts w:hint="eastAsia" w:ascii="宋体" w:hAnsi="宋体" w:cs="宋体"/>
                <w:color w:val="auto"/>
                <w:spacing w:val="-1"/>
                <w:kern w:val="0"/>
                <w:highlight w:val="none"/>
              </w:rPr>
            </w:pPr>
          </w:p>
        </w:tc>
        <w:tc>
          <w:tcPr>
            <w:tcW w:w="2547" w:type="dxa"/>
            <w:noWrap w:val="0"/>
            <w:vAlign w:val="center"/>
          </w:tcPr>
          <w:p w14:paraId="0B560B60">
            <w:pPr>
              <w:jc w:val="center"/>
              <w:rPr>
                <w:rFonts w:hint="eastAsia" w:ascii="宋体" w:hAnsi="宋体" w:cs="宋体"/>
                <w:color w:val="auto"/>
                <w:spacing w:val="-1"/>
                <w:kern w:val="0"/>
                <w:highlight w:val="none"/>
              </w:rPr>
            </w:pPr>
          </w:p>
        </w:tc>
      </w:tr>
    </w:tbl>
    <w:p w14:paraId="17B99A32">
      <w:pPr>
        <w:widowControl/>
        <w:snapToGrid w:val="0"/>
        <w:jc w:val="left"/>
        <w:rPr>
          <w:rFonts w:hint="eastAsia" w:ascii="宋体" w:hAnsi="宋体"/>
          <w:color w:val="auto"/>
          <w:kern w:val="0"/>
          <w:highlight w:val="none"/>
        </w:rPr>
      </w:pPr>
    </w:p>
    <w:p w14:paraId="32E59A7E">
      <w:pPr>
        <w:widowControl/>
        <w:snapToGrid w:val="0"/>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特别提示：投标人须按本</w:t>
      </w:r>
      <w:r>
        <w:rPr>
          <w:rFonts w:hint="eastAsia" w:ascii="宋体" w:hAnsi="宋体"/>
          <w:color w:val="auto"/>
          <w:kern w:val="0"/>
          <w:highlight w:val="none"/>
          <w:lang w:val="en-US" w:eastAsia="zh-CN"/>
        </w:rPr>
        <w:t>招标</w:t>
      </w:r>
      <w:r>
        <w:rPr>
          <w:rFonts w:hint="eastAsia" w:ascii="宋体" w:hAnsi="宋体"/>
          <w:color w:val="auto"/>
          <w:kern w:val="0"/>
          <w:highlight w:val="none"/>
        </w:rPr>
        <w:t>文件中“供应商同类项目业绩情况”这一评审因素要求，提供相关证明资料。</w:t>
      </w:r>
    </w:p>
    <w:p w14:paraId="7C475C27">
      <w:pPr>
        <w:pStyle w:val="2"/>
        <w:kinsoku w:val="0"/>
        <w:overflowPunct w:val="0"/>
        <w:spacing w:before="10"/>
        <w:rPr>
          <w:rFonts w:hint="eastAsia" w:ascii="宋体" w:hAnsi="宋体" w:eastAsia="宋体" w:cs="宋体"/>
          <w:color w:val="auto"/>
          <w:sz w:val="29"/>
          <w:szCs w:val="29"/>
          <w:highlight w:val="none"/>
        </w:rPr>
      </w:pPr>
    </w:p>
    <w:p w14:paraId="34336B03">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rPr>
      </w:pPr>
      <w:r>
        <w:rPr>
          <w:rFonts w:hint="eastAsia"/>
          <w:color w:val="auto"/>
          <w:highlight w:val="none"/>
        </w:rPr>
        <w:t xml:space="preserve">                                                  </w:t>
      </w:r>
      <w:r>
        <w:rPr>
          <w:color w:val="auto"/>
          <w:highlight w:val="none"/>
        </w:rPr>
        <w:t>投标人</w:t>
      </w:r>
      <w:r>
        <w:rPr>
          <w:rFonts w:hint="eastAsia"/>
          <w:color w:val="auto"/>
          <w:highlight w:val="none"/>
        </w:rPr>
        <w:t>（</w:t>
      </w:r>
      <w:r>
        <w:rPr>
          <w:color w:val="auto"/>
          <w:highlight w:val="none"/>
        </w:rPr>
        <w:t>签章</w:t>
      </w:r>
      <w:r>
        <w:rPr>
          <w:rFonts w:hint="eastAsia"/>
          <w:color w:val="auto"/>
          <w:highlight w:val="none"/>
        </w:rPr>
        <w:t>）</w:t>
      </w:r>
      <w:r>
        <w:rPr>
          <w:color w:val="auto"/>
          <w:highlight w:val="none"/>
        </w:rPr>
        <w:t>：______________</w:t>
      </w:r>
    </w:p>
    <w:p w14:paraId="0F29A5B9">
      <w:pPr>
        <w:pStyle w:val="39"/>
        <w:keepNext w:val="0"/>
        <w:keepLines w:val="0"/>
        <w:pageBreakBefore w:val="0"/>
        <w:kinsoku/>
        <w:wordWrap/>
        <w:overflowPunct/>
        <w:topLinePunct w:val="0"/>
        <w:autoSpaceDE/>
        <w:autoSpaceDN/>
        <w:bidi w:val="0"/>
        <w:adjustRightInd/>
        <w:snapToGrid/>
        <w:spacing w:line="240" w:lineRule="auto"/>
        <w:textAlignment w:val="auto"/>
        <w:rPr>
          <w:color w:val="auto"/>
          <w:highlight w:val="none"/>
        </w:rPr>
      </w:pPr>
    </w:p>
    <w:p w14:paraId="3659957B">
      <w:pPr>
        <w:keepNext w:val="0"/>
        <w:keepLines w:val="0"/>
        <w:pageBreakBefore w:val="0"/>
        <w:kinsoku/>
        <w:wordWrap/>
        <w:overflowPunct/>
        <w:topLinePunct w:val="0"/>
        <w:autoSpaceDE/>
        <w:autoSpaceDN/>
        <w:bidi w:val="0"/>
        <w:adjustRightInd/>
        <w:snapToGrid/>
        <w:spacing w:line="240" w:lineRule="auto"/>
        <w:ind w:firstLine="5670" w:firstLineChars="2700"/>
        <w:jc w:val="both"/>
        <w:textAlignment w:val="auto"/>
        <w:rPr>
          <w:rFonts w:hint="default"/>
          <w:color w:val="auto"/>
          <w:highlight w:val="none"/>
          <w:u w:val="none"/>
          <w:lang w:val="en-US" w:eastAsia="zh-CN"/>
        </w:rPr>
        <w:sectPr>
          <w:footerReference r:id="rId8" w:type="default"/>
          <w:pgSz w:w="11906" w:h="16838"/>
          <w:pgMar w:top="1418" w:right="1588" w:bottom="1418" w:left="1365" w:header="851" w:footer="907" w:gutter="0"/>
          <w:cols w:space="720" w:num="1"/>
          <w:titlePg/>
          <w:docGrid w:type="lines" w:linePitch="290" w:charSpace="0"/>
        </w:sect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日</w:t>
      </w:r>
    </w:p>
    <w:p w14:paraId="40741864">
      <w:pPr>
        <w:pStyle w:val="39"/>
        <w:rPr>
          <w:rFonts w:hint="eastAsia"/>
          <w:color w:val="auto"/>
          <w:highlight w:val="none"/>
        </w:rPr>
      </w:pPr>
    </w:p>
    <w:p w14:paraId="3A14BF53">
      <w:pPr>
        <w:pStyle w:val="9"/>
        <w:spacing w:before="72" w:beforeLines="25" w:after="72" w:afterLines="25"/>
        <w:ind w:firstLine="2409" w:firstLineChars="1000"/>
        <w:rPr>
          <w:rFonts w:hint="eastAsia" w:ascii="黑体" w:hAnsi="宋体" w:eastAsia="黑体"/>
          <w:b/>
          <w:bCs/>
          <w:color w:val="auto"/>
          <w:sz w:val="24"/>
          <w:highlight w:val="none"/>
        </w:rPr>
      </w:pPr>
      <w:r>
        <w:rPr>
          <w:rFonts w:hint="eastAsia" w:ascii="黑体" w:hAnsi="宋体" w:eastAsia="黑体"/>
          <w:b/>
          <w:bCs/>
          <w:color w:val="auto"/>
          <w:sz w:val="24"/>
          <w:highlight w:val="none"/>
          <w:lang w:val="en-US" w:eastAsia="zh-CN"/>
        </w:rPr>
        <w:t>附件九</w:t>
      </w:r>
      <w:r>
        <w:rPr>
          <w:rFonts w:hint="eastAsia" w:ascii="黑体" w:hAnsi="宋体" w:eastAsia="黑体"/>
          <w:b/>
          <w:bCs/>
          <w:color w:val="auto"/>
          <w:sz w:val="24"/>
          <w:highlight w:val="none"/>
        </w:rPr>
        <w:t>、拟安排的项目负责人情况</w:t>
      </w:r>
    </w:p>
    <w:p w14:paraId="0659E2E4">
      <w:pPr>
        <w:rPr>
          <w:rFonts w:hint="eastAsia"/>
          <w:color w:val="auto"/>
          <w:highlight w:val="none"/>
        </w:rPr>
      </w:pPr>
    </w:p>
    <w:tbl>
      <w:tblPr>
        <w:tblStyle w:val="40"/>
        <w:tblW w:w="0" w:type="auto"/>
        <w:jc w:val="center"/>
        <w:tblLayout w:type="fixed"/>
        <w:tblCellMar>
          <w:top w:w="0" w:type="dxa"/>
          <w:left w:w="108" w:type="dxa"/>
          <w:bottom w:w="0" w:type="dxa"/>
          <w:right w:w="108" w:type="dxa"/>
        </w:tblCellMar>
      </w:tblPr>
      <w:tblGrid>
        <w:gridCol w:w="1228"/>
        <w:gridCol w:w="862"/>
        <w:gridCol w:w="1331"/>
        <w:gridCol w:w="959"/>
        <w:gridCol w:w="787"/>
        <w:gridCol w:w="1638"/>
        <w:gridCol w:w="2144"/>
      </w:tblGrid>
      <w:tr w14:paraId="0B335E9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1CF7BCED">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193" w:type="dxa"/>
            <w:gridSpan w:val="2"/>
            <w:tcBorders>
              <w:top w:val="single" w:color="auto" w:sz="6" w:space="0"/>
              <w:left w:val="single" w:color="auto" w:sz="6" w:space="0"/>
              <w:bottom w:val="single" w:color="auto" w:sz="6" w:space="0"/>
              <w:right w:val="single" w:color="auto" w:sz="6" w:space="0"/>
            </w:tcBorders>
            <w:noWrap w:val="0"/>
            <w:vAlign w:val="top"/>
          </w:tcPr>
          <w:p w14:paraId="1633E5FE">
            <w:pPr>
              <w:spacing w:line="440" w:lineRule="exact"/>
              <w:rPr>
                <w:rFonts w:hint="eastAsia" w:ascii="宋体" w:hAnsi="宋体" w:cs="宋体"/>
                <w:color w:val="auto"/>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4D775E36">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年龄</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5FAE71E">
            <w:pPr>
              <w:spacing w:line="440" w:lineRule="exact"/>
              <w:jc w:val="center"/>
              <w:rPr>
                <w:rFonts w:hint="eastAsia" w:ascii="宋体" w:hAnsi="宋体" w:cs="宋体"/>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top"/>
          </w:tcPr>
          <w:p w14:paraId="3F25AC08">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身份证号码</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203C86AA">
            <w:pPr>
              <w:spacing w:line="440" w:lineRule="exact"/>
              <w:jc w:val="center"/>
              <w:rPr>
                <w:rFonts w:hint="eastAsia" w:ascii="宋体" w:hAnsi="宋体" w:cs="宋体"/>
                <w:color w:val="auto"/>
                <w:highlight w:val="none"/>
              </w:rPr>
            </w:pPr>
          </w:p>
        </w:tc>
      </w:tr>
      <w:tr w14:paraId="4E03AE3F">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77881CC0">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毕业学校</w:t>
            </w:r>
          </w:p>
        </w:tc>
        <w:tc>
          <w:tcPr>
            <w:tcW w:w="3939" w:type="dxa"/>
            <w:gridSpan w:val="4"/>
            <w:tcBorders>
              <w:top w:val="single" w:color="auto" w:sz="6" w:space="0"/>
              <w:left w:val="single" w:color="auto" w:sz="6" w:space="0"/>
              <w:bottom w:val="single" w:color="auto" w:sz="6" w:space="0"/>
              <w:right w:val="single" w:color="auto" w:sz="6" w:space="0"/>
            </w:tcBorders>
            <w:noWrap w:val="0"/>
            <w:vAlign w:val="top"/>
          </w:tcPr>
          <w:p w14:paraId="10202088">
            <w:pPr>
              <w:spacing w:line="440" w:lineRule="exact"/>
              <w:jc w:val="center"/>
              <w:rPr>
                <w:rFonts w:hint="eastAsia" w:ascii="宋体" w:hAnsi="宋体" w:cs="宋体"/>
                <w:b/>
                <w:bCs/>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top"/>
          </w:tcPr>
          <w:p w14:paraId="5D6A49B5">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专     业</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68276E13">
            <w:pPr>
              <w:spacing w:line="440" w:lineRule="exact"/>
              <w:jc w:val="center"/>
              <w:rPr>
                <w:rFonts w:hint="eastAsia" w:ascii="宋体" w:hAnsi="宋体" w:cs="宋体"/>
                <w:color w:val="auto"/>
                <w:highlight w:val="none"/>
              </w:rPr>
            </w:pPr>
          </w:p>
        </w:tc>
      </w:tr>
      <w:tr w14:paraId="5E59B9A1">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40992268">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学位</w:t>
            </w:r>
          </w:p>
        </w:tc>
        <w:tc>
          <w:tcPr>
            <w:tcW w:w="2193" w:type="dxa"/>
            <w:gridSpan w:val="2"/>
            <w:tcBorders>
              <w:top w:val="single" w:color="auto" w:sz="6" w:space="0"/>
              <w:left w:val="single" w:color="auto" w:sz="6" w:space="0"/>
              <w:bottom w:val="single" w:color="auto" w:sz="6" w:space="0"/>
              <w:right w:val="single" w:color="auto" w:sz="6" w:space="0"/>
            </w:tcBorders>
            <w:noWrap w:val="0"/>
            <w:vAlign w:val="top"/>
          </w:tcPr>
          <w:p w14:paraId="1420FD12">
            <w:pPr>
              <w:spacing w:line="440" w:lineRule="exact"/>
              <w:rPr>
                <w:rFonts w:hint="eastAsia" w:ascii="宋体" w:hAnsi="宋体" w:cs="宋体"/>
                <w:color w:val="auto"/>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431CA396">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职称</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7B6441A">
            <w:pPr>
              <w:spacing w:line="440" w:lineRule="exact"/>
              <w:jc w:val="center"/>
              <w:rPr>
                <w:rFonts w:hint="eastAsia" w:ascii="宋体" w:hAnsi="宋体" w:cs="宋体"/>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top"/>
          </w:tcPr>
          <w:p w14:paraId="085BD24B">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职     务</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4057E138">
            <w:pPr>
              <w:spacing w:line="440" w:lineRule="exact"/>
              <w:jc w:val="center"/>
              <w:rPr>
                <w:rFonts w:hint="eastAsia" w:ascii="宋体" w:hAnsi="宋体" w:cs="宋体"/>
                <w:color w:val="auto"/>
                <w:highlight w:val="none"/>
              </w:rPr>
            </w:pPr>
          </w:p>
        </w:tc>
      </w:tr>
      <w:tr w14:paraId="3DD18336">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159143D6">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noWrap w:val="0"/>
            <w:vAlign w:val="top"/>
          </w:tcPr>
          <w:p w14:paraId="2D32C78D">
            <w:pPr>
              <w:spacing w:line="440" w:lineRule="exact"/>
              <w:jc w:val="center"/>
              <w:rPr>
                <w:rFonts w:hint="eastAsia" w:ascii="宋体" w:hAnsi="宋体" w:cs="宋体"/>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9FF7440">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服务时间</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7A804B19">
            <w:pPr>
              <w:spacing w:line="440" w:lineRule="exact"/>
              <w:jc w:val="center"/>
              <w:rPr>
                <w:rFonts w:hint="eastAsia" w:ascii="宋体" w:hAnsi="宋体" w:cs="宋体"/>
                <w:color w:val="auto"/>
                <w:highlight w:val="none"/>
              </w:rPr>
            </w:pPr>
          </w:p>
        </w:tc>
      </w:tr>
      <w:tr w14:paraId="35EE1863">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noWrap w:val="0"/>
            <w:vAlign w:val="top"/>
          </w:tcPr>
          <w:p w14:paraId="767D3AFB">
            <w:pPr>
              <w:spacing w:line="440" w:lineRule="exact"/>
              <w:rPr>
                <w:rFonts w:hint="eastAsia" w:ascii="宋体" w:hAnsi="宋体" w:cs="宋体"/>
                <w:b/>
                <w:bCs/>
                <w:color w:val="auto"/>
                <w:highlight w:val="none"/>
              </w:rPr>
            </w:pPr>
            <w:r>
              <w:rPr>
                <w:rFonts w:hint="eastAsia" w:ascii="宋体" w:hAnsi="宋体" w:cs="宋体"/>
                <w:b/>
                <w:bCs/>
                <w:color w:val="auto"/>
                <w:highlight w:val="none"/>
              </w:rPr>
              <w:t>注册证书及注册号</w:t>
            </w:r>
          </w:p>
        </w:tc>
        <w:tc>
          <w:tcPr>
            <w:tcW w:w="862" w:type="dxa"/>
            <w:tcBorders>
              <w:top w:val="single" w:color="auto" w:sz="6" w:space="0"/>
              <w:left w:val="single" w:color="auto" w:sz="6" w:space="0"/>
              <w:bottom w:val="single" w:color="auto" w:sz="6" w:space="0"/>
              <w:right w:val="single" w:color="auto" w:sz="6" w:space="0"/>
            </w:tcBorders>
            <w:noWrap w:val="0"/>
            <w:vAlign w:val="top"/>
          </w:tcPr>
          <w:p w14:paraId="6D4CEAFD">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14:paraId="103F8DA3">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证书名</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AD9A6D0">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证书号</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2A7F5A14">
            <w:pPr>
              <w:spacing w:line="440" w:lineRule="exact"/>
              <w:jc w:val="center"/>
              <w:rPr>
                <w:rFonts w:hint="eastAsia" w:ascii="宋体" w:hAnsi="宋体" w:cs="宋体"/>
                <w:color w:val="auto"/>
                <w:highlight w:val="none"/>
              </w:rPr>
            </w:pPr>
          </w:p>
        </w:tc>
      </w:tr>
      <w:tr w14:paraId="6DB82B09">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val="0"/>
            <w:vAlign w:val="top"/>
          </w:tcPr>
          <w:p w14:paraId="53741BB3">
            <w:pPr>
              <w:spacing w:line="440" w:lineRule="exact"/>
              <w:jc w:val="center"/>
              <w:rPr>
                <w:rFonts w:hint="eastAsia" w:ascii="宋体" w:hAnsi="宋体" w:cs="宋体"/>
                <w:b/>
                <w:bCs/>
                <w:color w:val="auto"/>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14:paraId="480D29FF">
            <w:pPr>
              <w:spacing w:line="44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14:paraId="40FE487A">
            <w:pPr>
              <w:spacing w:line="440" w:lineRule="exact"/>
              <w:jc w:val="center"/>
              <w:rPr>
                <w:rFonts w:hint="eastAsia" w:ascii="宋体" w:hAnsi="宋体" w:cs="宋体"/>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2877699">
            <w:pPr>
              <w:spacing w:line="440" w:lineRule="exact"/>
              <w:jc w:val="center"/>
              <w:rPr>
                <w:rFonts w:hint="eastAsia" w:ascii="宋体" w:hAnsi="宋体" w:cs="宋体"/>
                <w:color w:val="auto"/>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14:paraId="1D909FFA">
            <w:pPr>
              <w:spacing w:line="440" w:lineRule="exact"/>
              <w:jc w:val="center"/>
              <w:rPr>
                <w:rFonts w:hint="eastAsia" w:ascii="宋体" w:hAnsi="宋体" w:cs="宋体"/>
                <w:color w:val="auto"/>
                <w:highlight w:val="none"/>
              </w:rPr>
            </w:pPr>
          </w:p>
        </w:tc>
      </w:tr>
      <w:tr w14:paraId="4CE665A2">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val="0"/>
            <w:vAlign w:val="top"/>
          </w:tcPr>
          <w:p w14:paraId="1CD22895">
            <w:pPr>
              <w:spacing w:line="440" w:lineRule="exact"/>
              <w:jc w:val="center"/>
              <w:rPr>
                <w:rFonts w:hint="eastAsia" w:ascii="宋体" w:hAnsi="宋体" w:cs="宋体"/>
                <w:b/>
                <w:bCs/>
                <w:color w:val="auto"/>
                <w:highlight w:val="none"/>
              </w:rPr>
            </w:pPr>
          </w:p>
        </w:tc>
        <w:tc>
          <w:tcPr>
            <w:tcW w:w="862" w:type="dxa"/>
            <w:tcBorders>
              <w:top w:val="single" w:color="auto" w:sz="6" w:space="0"/>
              <w:left w:val="single" w:color="auto" w:sz="6" w:space="0"/>
              <w:bottom w:val="single" w:color="auto" w:sz="6" w:space="0"/>
              <w:right w:val="single" w:color="auto" w:sz="6" w:space="0"/>
            </w:tcBorders>
            <w:noWrap w:val="0"/>
            <w:vAlign w:val="top"/>
          </w:tcPr>
          <w:p w14:paraId="3957474E">
            <w:pPr>
              <w:spacing w:line="44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14:paraId="357163F8">
            <w:pPr>
              <w:spacing w:line="440" w:lineRule="exact"/>
              <w:jc w:val="center"/>
              <w:rPr>
                <w:rFonts w:hint="eastAsia" w:ascii="宋体" w:hAnsi="宋体" w:cs="宋体"/>
                <w:color w:val="auto"/>
                <w:highlight w:val="none"/>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FB86752">
            <w:pPr>
              <w:spacing w:line="440" w:lineRule="exact"/>
              <w:jc w:val="center"/>
              <w:rPr>
                <w:rFonts w:hint="eastAsia" w:ascii="宋体" w:hAnsi="宋体" w:cs="宋体"/>
                <w:color w:val="auto"/>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14:paraId="07A77CE2">
            <w:pPr>
              <w:spacing w:line="440" w:lineRule="exact"/>
              <w:jc w:val="center"/>
              <w:rPr>
                <w:rFonts w:hint="eastAsia" w:ascii="宋体" w:hAnsi="宋体" w:cs="宋体"/>
                <w:color w:val="auto"/>
                <w:highlight w:val="none"/>
              </w:rPr>
            </w:pPr>
          </w:p>
        </w:tc>
      </w:tr>
      <w:tr w14:paraId="0EE2742F">
        <w:tblPrEx>
          <w:tblCellMar>
            <w:top w:w="0" w:type="dxa"/>
            <w:left w:w="108" w:type="dxa"/>
            <w:bottom w:w="0" w:type="dxa"/>
            <w:right w:w="108" w:type="dxa"/>
          </w:tblCellMar>
        </w:tblPrEx>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center"/>
          </w:tcPr>
          <w:p w14:paraId="67DB3783">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主要经历</w:t>
            </w:r>
          </w:p>
        </w:tc>
        <w:tc>
          <w:tcPr>
            <w:tcW w:w="7721" w:type="dxa"/>
            <w:gridSpan w:val="6"/>
            <w:tcBorders>
              <w:top w:val="single" w:color="auto" w:sz="6" w:space="0"/>
              <w:left w:val="single" w:color="auto" w:sz="6" w:space="0"/>
              <w:bottom w:val="single" w:color="auto" w:sz="6" w:space="0"/>
              <w:right w:val="single" w:color="auto" w:sz="6" w:space="0"/>
            </w:tcBorders>
            <w:noWrap w:val="0"/>
            <w:vAlign w:val="center"/>
          </w:tcPr>
          <w:p w14:paraId="147F2377">
            <w:pPr>
              <w:spacing w:line="440" w:lineRule="exact"/>
              <w:jc w:val="center"/>
              <w:rPr>
                <w:rFonts w:hint="eastAsia" w:ascii="宋体" w:hAnsi="宋体" w:cs="宋体"/>
                <w:color w:val="auto"/>
                <w:highlight w:val="none"/>
              </w:rPr>
            </w:pPr>
          </w:p>
        </w:tc>
      </w:tr>
      <w:tr w14:paraId="3383AA51">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6E70F002">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日期</w:t>
            </w: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14:paraId="3BB145F2">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14:paraId="02095C4A">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担任何职务</w:t>
            </w:r>
          </w:p>
        </w:tc>
        <w:tc>
          <w:tcPr>
            <w:tcW w:w="2144" w:type="dxa"/>
            <w:tcBorders>
              <w:top w:val="single" w:color="auto" w:sz="6" w:space="0"/>
              <w:left w:val="single" w:color="auto" w:sz="6" w:space="0"/>
              <w:bottom w:val="single" w:color="auto" w:sz="6" w:space="0"/>
              <w:right w:val="single" w:color="auto" w:sz="6" w:space="0"/>
            </w:tcBorders>
            <w:noWrap w:val="0"/>
            <w:vAlign w:val="top"/>
          </w:tcPr>
          <w:p w14:paraId="3E5132A2">
            <w:pPr>
              <w:spacing w:line="440" w:lineRule="exact"/>
              <w:jc w:val="center"/>
              <w:rPr>
                <w:rFonts w:hint="eastAsia" w:ascii="宋体" w:hAnsi="宋体" w:cs="宋体"/>
                <w:b/>
                <w:bCs/>
                <w:color w:val="auto"/>
                <w:highlight w:val="none"/>
              </w:rPr>
            </w:pPr>
            <w:r>
              <w:rPr>
                <w:rFonts w:hint="eastAsia" w:ascii="宋体" w:hAnsi="宋体" w:cs="宋体"/>
                <w:b/>
                <w:bCs/>
                <w:color w:val="auto"/>
                <w:highlight w:val="none"/>
              </w:rPr>
              <w:t>备注</w:t>
            </w:r>
          </w:p>
        </w:tc>
      </w:tr>
      <w:tr w14:paraId="6188916B">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545C29A3">
            <w:pPr>
              <w:spacing w:line="440" w:lineRule="exact"/>
              <w:jc w:val="center"/>
              <w:rPr>
                <w:rFonts w:hint="eastAsia" w:ascii="宋体" w:hAnsi="宋体" w:cs="宋体"/>
                <w:color w:val="auto"/>
                <w:highlight w:val="none"/>
              </w:rPr>
            </w:pP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14:paraId="03C784CD">
            <w:pPr>
              <w:spacing w:line="440" w:lineRule="exact"/>
              <w:jc w:val="center"/>
              <w:rPr>
                <w:rFonts w:hint="eastAsia" w:ascii="宋体" w:hAnsi="宋体" w:cs="宋体"/>
                <w:color w:val="auto"/>
                <w:highlight w:val="none"/>
              </w:rPr>
            </w:pP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14:paraId="5A996541">
            <w:pPr>
              <w:spacing w:line="440" w:lineRule="exact"/>
              <w:jc w:val="center"/>
              <w:rPr>
                <w:rFonts w:hint="eastAsia" w:ascii="宋体" w:hAnsi="宋体" w:cs="宋体"/>
                <w:color w:val="auto"/>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14:paraId="784C35CF">
            <w:pPr>
              <w:spacing w:line="440" w:lineRule="exact"/>
              <w:jc w:val="center"/>
              <w:rPr>
                <w:rFonts w:hint="eastAsia" w:ascii="宋体" w:hAnsi="宋体" w:cs="宋体"/>
                <w:color w:val="auto"/>
                <w:highlight w:val="none"/>
              </w:rPr>
            </w:pPr>
          </w:p>
        </w:tc>
      </w:tr>
      <w:tr w14:paraId="0D54312A">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14:paraId="14D7A3C3">
            <w:pPr>
              <w:spacing w:line="440" w:lineRule="exact"/>
              <w:jc w:val="center"/>
              <w:rPr>
                <w:rFonts w:hint="eastAsia" w:ascii="宋体" w:hAnsi="宋体" w:cs="宋体"/>
                <w:color w:val="auto"/>
                <w:highlight w:val="none"/>
              </w:rPr>
            </w:pP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14:paraId="43F0528D">
            <w:pPr>
              <w:spacing w:line="440" w:lineRule="exact"/>
              <w:jc w:val="center"/>
              <w:rPr>
                <w:rFonts w:hint="eastAsia" w:ascii="宋体" w:hAnsi="宋体" w:cs="宋体"/>
                <w:color w:val="auto"/>
                <w:highlight w:val="none"/>
              </w:rPr>
            </w:pP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14:paraId="202751AD">
            <w:pPr>
              <w:spacing w:line="440" w:lineRule="exact"/>
              <w:jc w:val="center"/>
              <w:rPr>
                <w:rFonts w:hint="eastAsia" w:ascii="宋体" w:hAnsi="宋体" w:cs="宋体"/>
                <w:color w:val="auto"/>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14:paraId="7E4A3D67">
            <w:pPr>
              <w:spacing w:line="440" w:lineRule="exact"/>
              <w:jc w:val="center"/>
              <w:rPr>
                <w:rFonts w:hint="eastAsia" w:ascii="宋体" w:hAnsi="宋体" w:cs="宋体"/>
                <w:color w:val="auto"/>
                <w:highlight w:val="none"/>
              </w:rPr>
            </w:pPr>
          </w:p>
        </w:tc>
      </w:tr>
    </w:tbl>
    <w:p w14:paraId="5D0A0458">
      <w:pPr>
        <w:autoSpaceDE w:val="0"/>
        <w:autoSpaceDN w:val="0"/>
        <w:adjustRightInd w:val="0"/>
        <w:snapToGrid w:val="0"/>
        <w:spacing w:line="240" w:lineRule="atLeast"/>
        <w:rPr>
          <w:rFonts w:hint="eastAsia" w:ascii="宋体" w:hAnsi="宋体" w:cs="宋体"/>
          <w:b/>
          <w:color w:val="auto"/>
          <w:spacing w:val="10"/>
          <w:highlight w:val="none"/>
        </w:rPr>
      </w:pPr>
    </w:p>
    <w:p w14:paraId="4623E069">
      <w:pPr>
        <w:pStyle w:val="9"/>
        <w:spacing w:before="72" w:beforeLines="25" w:after="72" w:afterLines="25"/>
        <w:ind w:firstLine="0"/>
        <w:rPr>
          <w:rFonts w:hint="eastAsia" w:ascii="宋体" w:hAnsi="宋体" w:cs="宋体"/>
          <w:color w:val="auto"/>
          <w:highlight w:val="none"/>
        </w:rPr>
      </w:pPr>
      <w:r>
        <w:rPr>
          <w:rFonts w:hint="eastAsia" w:ascii="宋体" w:hAnsi="宋体" w:cs="宋体"/>
          <w:color w:val="auto"/>
          <w:highlight w:val="none"/>
        </w:rPr>
        <w:t>特别提示：</w:t>
      </w:r>
    </w:p>
    <w:p w14:paraId="1DBF70C5">
      <w:pPr>
        <w:pStyle w:val="9"/>
        <w:spacing w:before="72" w:beforeLines="25" w:after="72" w:afterLines="25"/>
        <w:ind w:firstLineChars="200"/>
        <w:rPr>
          <w:rFonts w:hint="eastAsia" w:ascii="宋体" w:hAnsi="宋体" w:cs="宋体"/>
          <w:b/>
          <w:bCs/>
          <w:color w:val="auto"/>
          <w:highlight w:val="none"/>
        </w:rPr>
      </w:pPr>
      <w:r>
        <w:rPr>
          <w:rFonts w:hint="eastAsia" w:ascii="宋体" w:hAnsi="宋体" w:cs="宋体"/>
          <w:color w:val="auto"/>
          <w:highlight w:val="none"/>
        </w:rPr>
        <w:t>投标人须按本</w:t>
      </w:r>
      <w:r>
        <w:rPr>
          <w:rFonts w:hint="eastAsia" w:ascii="宋体" w:hAnsi="宋体"/>
          <w:color w:val="auto"/>
          <w:kern w:val="0"/>
          <w:highlight w:val="none"/>
          <w:lang w:val="en-US" w:eastAsia="zh-CN"/>
        </w:rPr>
        <w:t>招标</w:t>
      </w:r>
      <w:r>
        <w:rPr>
          <w:rFonts w:hint="eastAsia" w:ascii="宋体" w:hAnsi="宋体" w:cs="宋体"/>
          <w:color w:val="auto"/>
          <w:highlight w:val="none"/>
        </w:rPr>
        <w:t>文件评标信息中“拟安排的项目负责人情况（仅限一人）”这一评审因素要求，提供相关证明资料如：</w:t>
      </w:r>
      <w:r>
        <w:rPr>
          <w:rFonts w:hint="eastAsia" w:ascii="宋体" w:hAnsi="宋体" w:cs="宋体"/>
          <w:b/>
          <w:color w:val="auto"/>
          <w:spacing w:val="10"/>
          <w:highlight w:val="none"/>
        </w:rPr>
        <w:t>身份证复印件、职称证书复印件、</w:t>
      </w:r>
      <w:r>
        <w:rPr>
          <w:rFonts w:hint="eastAsia" w:ascii="宋体" w:hAnsi="宋体" w:cs="宋体"/>
          <w:b/>
          <w:bCs/>
          <w:color w:val="auto"/>
          <w:highlight w:val="none"/>
        </w:rPr>
        <w:t>国家规定或行业相关上岗、执业资格证书复印件、本单位社保缴纳证明、</w:t>
      </w:r>
      <w:r>
        <w:rPr>
          <w:rFonts w:hint="eastAsia" w:ascii="宋体" w:hAnsi="宋体" w:cs="宋体"/>
          <w:b/>
          <w:color w:val="auto"/>
          <w:spacing w:val="10"/>
          <w:highlight w:val="none"/>
        </w:rPr>
        <w:t>相关业绩证明材料复印件等</w:t>
      </w:r>
      <w:r>
        <w:rPr>
          <w:rFonts w:hint="eastAsia" w:ascii="宋体" w:hAnsi="宋体" w:cs="宋体"/>
          <w:b/>
          <w:bCs/>
          <w:color w:val="auto"/>
          <w:highlight w:val="none"/>
        </w:rPr>
        <w:t>。</w:t>
      </w:r>
    </w:p>
    <w:p w14:paraId="1E96713C">
      <w:pPr>
        <w:pStyle w:val="2"/>
        <w:rPr>
          <w:rFonts w:hint="eastAsia"/>
          <w:color w:val="auto"/>
          <w:highlight w:val="none"/>
        </w:rPr>
      </w:pPr>
    </w:p>
    <w:p w14:paraId="468D2EB8">
      <w:pPr>
        <w:autoSpaceDE w:val="0"/>
        <w:autoSpaceDN w:val="0"/>
        <w:adjustRightInd w:val="0"/>
        <w:snapToGrid w:val="0"/>
        <w:spacing w:line="240" w:lineRule="atLeast"/>
        <w:rPr>
          <w:rFonts w:hint="eastAsia" w:ascii="宋体" w:hAnsi="宋体" w:cs="宋体"/>
          <w:color w:val="auto"/>
          <w:highlight w:val="none"/>
        </w:rPr>
      </w:pPr>
      <w:r>
        <w:rPr>
          <w:rFonts w:hint="eastAsia" w:ascii="宋体" w:hAnsi="宋体" w:cs="宋体"/>
          <w:color w:val="auto"/>
          <w:highlight w:val="none"/>
        </w:rPr>
        <w:t>特别要求：</w:t>
      </w:r>
    </w:p>
    <w:p w14:paraId="4BCC401E">
      <w:pPr>
        <w:autoSpaceDE w:val="0"/>
        <w:autoSpaceDN w:val="0"/>
        <w:adjustRightInd w:val="0"/>
        <w:snapToGrid w:val="0"/>
        <w:spacing w:line="240" w:lineRule="atLeast"/>
        <w:ind w:firstLine="420" w:firstLineChars="200"/>
        <w:rPr>
          <w:rFonts w:hint="eastAsia" w:ascii="宋体" w:hAnsi="宋体" w:cs="宋体"/>
          <w:color w:val="auto"/>
          <w:sz w:val="24"/>
          <w:highlight w:val="none"/>
        </w:rPr>
      </w:pPr>
      <w:r>
        <w:rPr>
          <w:rFonts w:hint="eastAsia" w:ascii="宋体" w:hAnsi="宋体" w:cs="宋体"/>
          <w:color w:val="auto"/>
          <w:kern w:val="1"/>
          <w:highlight w:val="none"/>
        </w:rPr>
        <w:t>拟投入本项目的工作人员须满足本项目的工作要求，在合同履行过程中，中标人须根据本项目的实际需求或</w:t>
      </w:r>
      <w:r>
        <w:rPr>
          <w:rFonts w:hint="eastAsia" w:ascii="宋体" w:hAnsi="宋体" w:cs="宋体"/>
          <w:color w:val="auto"/>
          <w:kern w:val="1"/>
          <w:highlight w:val="none"/>
          <w:lang w:val="en-US" w:eastAsia="zh-CN"/>
        </w:rPr>
        <w:t>采购</w:t>
      </w:r>
      <w:r>
        <w:rPr>
          <w:rFonts w:hint="eastAsia" w:ascii="宋体" w:hAnsi="宋体" w:cs="宋体"/>
          <w:color w:val="auto"/>
          <w:kern w:val="1"/>
          <w:highlight w:val="none"/>
        </w:rPr>
        <w:t>人的进度要求，对人员进行合理的增加，费用均包含在投标报价中。</w:t>
      </w:r>
    </w:p>
    <w:p w14:paraId="1FCAB64D">
      <w:pPr>
        <w:pStyle w:val="9"/>
        <w:spacing w:before="72" w:beforeLines="25" w:after="72" w:afterLines="25"/>
        <w:ind w:firstLine="0"/>
        <w:rPr>
          <w:rFonts w:hint="eastAsia" w:ascii="黑体" w:hAnsi="宋体" w:eastAsia="黑体"/>
          <w:color w:val="auto"/>
          <w:sz w:val="24"/>
          <w:highlight w:val="none"/>
        </w:rPr>
      </w:pPr>
    </w:p>
    <w:p w14:paraId="2AE2E33B">
      <w:pPr>
        <w:rPr>
          <w:rFonts w:hint="eastAsia" w:ascii="黑体" w:hAnsi="宋体" w:eastAsia="黑体"/>
          <w:color w:val="auto"/>
          <w:sz w:val="24"/>
          <w:highlight w:val="none"/>
        </w:rPr>
      </w:pPr>
    </w:p>
    <w:p w14:paraId="65A20FFF">
      <w:pPr>
        <w:pStyle w:val="39"/>
        <w:rPr>
          <w:rFonts w:hint="eastAsia" w:ascii="黑体" w:hAnsi="宋体" w:eastAsia="黑体"/>
          <w:color w:val="auto"/>
          <w:sz w:val="24"/>
          <w:highlight w:val="none"/>
        </w:rPr>
      </w:pPr>
    </w:p>
    <w:p w14:paraId="2F893935">
      <w:pPr>
        <w:rPr>
          <w:rFonts w:hint="eastAsia" w:ascii="黑体" w:hAnsi="宋体" w:eastAsia="黑体"/>
          <w:color w:val="auto"/>
          <w:sz w:val="24"/>
          <w:highlight w:val="none"/>
        </w:rPr>
      </w:pPr>
    </w:p>
    <w:p w14:paraId="410677D2">
      <w:pPr>
        <w:pStyle w:val="39"/>
        <w:rPr>
          <w:rFonts w:hint="eastAsia" w:ascii="黑体" w:hAnsi="宋体" w:eastAsia="黑体"/>
          <w:color w:val="auto"/>
          <w:sz w:val="24"/>
          <w:highlight w:val="none"/>
        </w:rPr>
      </w:pPr>
    </w:p>
    <w:p w14:paraId="7EDB8B22">
      <w:pPr>
        <w:rPr>
          <w:rFonts w:hint="eastAsia" w:ascii="黑体" w:hAnsi="宋体" w:eastAsia="黑体"/>
          <w:color w:val="auto"/>
          <w:sz w:val="24"/>
          <w:highlight w:val="none"/>
        </w:rPr>
      </w:pPr>
    </w:p>
    <w:p w14:paraId="0E9BE92C">
      <w:pPr>
        <w:pStyle w:val="39"/>
        <w:rPr>
          <w:rFonts w:hint="eastAsia" w:ascii="黑体" w:hAnsi="宋体" w:eastAsia="黑体"/>
          <w:color w:val="auto"/>
          <w:sz w:val="24"/>
          <w:highlight w:val="none"/>
        </w:rPr>
      </w:pPr>
    </w:p>
    <w:p w14:paraId="2C17E404">
      <w:pPr>
        <w:rPr>
          <w:rFonts w:hint="eastAsia" w:ascii="黑体" w:hAnsi="宋体" w:eastAsia="黑体"/>
          <w:color w:val="auto"/>
          <w:sz w:val="24"/>
          <w:highlight w:val="none"/>
        </w:rPr>
      </w:pPr>
    </w:p>
    <w:p w14:paraId="39BDBC6D">
      <w:pPr>
        <w:pStyle w:val="39"/>
        <w:rPr>
          <w:rFonts w:hint="eastAsia" w:ascii="黑体" w:hAnsi="宋体" w:eastAsia="黑体"/>
          <w:color w:val="auto"/>
          <w:sz w:val="24"/>
          <w:highlight w:val="none"/>
        </w:rPr>
      </w:pPr>
    </w:p>
    <w:p w14:paraId="055F0E3D">
      <w:pPr>
        <w:rPr>
          <w:rFonts w:hint="eastAsia"/>
          <w:color w:val="auto"/>
          <w:highlight w:val="none"/>
        </w:rPr>
      </w:pPr>
    </w:p>
    <w:p w14:paraId="050737CF">
      <w:pPr>
        <w:rPr>
          <w:rFonts w:hint="eastAsia"/>
          <w:color w:val="auto"/>
          <w:highlight w:val="none"/>
        </w:rPr>
      </w:pPr>
    </w:p>
    <w:p w14:paraId="23FF1140">
      <w:pPr>
        <w:pStyle w:val="9"/>
        <w:spacing w:before="72" w:beforeLines="25" w:after="72" w:afterLines="25"/>
        <w:ind w:left="0" w:leftChars="0" w:firstLine="0" w:firstLineChars="0"/>
        <w:rPr>
          <w:rFonts w:hint="eastAsia" w:ascii="黑体" w:hAnsi="宋体" w:eastAsia="黑体"/>
          <w:b/>
          <w:bCs/>
          <w:color w:val="auto"/>
          <w:sz w:val="24"/>
          <w:highlight w:val="none"/>
        </w:rPr>
      </w:pPr>
      <w:r>
        <w:rPr>
          <w:rFonts w:hint="eastAsia" w:ascii="黑体" w:hAnsi="宋体" w:eastAsia="黑体"/>
          <w:b/>
          <w:bCs/>
          <w:color w:val="auto"/>
          <w:sz w:val="24"/>
          <w:highlight w:val="none"/>
          <w:lang w:val="en-US" w:eastAsia="zh-CN"/>
        </w:rPr>
        <w:t>附件</w:t>
      </w:r>
      <w:r>
        <w:rPr>
          <w:rFonts w:hint="eastAsia" w:ascii="黑体" w:hAnsi="宋体" w:eastAsia="黑体"/>
          <w:b/>
          <w:bCs/>
          <w:color w:val="auto"/>
          <w:sz w:val="24"/>
          <w:highlight w:val="none"/>
        </w:rPr>
        <w:t>十、拟安排的项目主要团队成员（主要技术人员）情况（项目负责人除外）</w:t>
      </w:r>
    </w:p>
    <w:p w14:paraId="7C7ABB79">
      <w:pPr>
        <w:rPr>
          <w:color w:val="auto"/>
          <w:highlight w:val="none"/>
        </w:rPr>
      </w:pP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02"/>
        <w:gridCol w:w="946"/>
        <w:gridCol w:w="1075"/>
        <w:gridCol w:w="1162"/>
        <w:gridCol w:w="1113"/>
        <w:gridCol w:w="1249"/>
        <w:gridCol w:w="1489"/>
      </w:tblGrid>
      <w:tr w14:paraId="6E9B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82" w:type="pct"/>
            <w:noWrap w:val="0"/>
            <w:vAlign w:val="center"/>
          </w:tcPr>
          <w:p w14:paraId="5E662A7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8" w:type="pct"/>
            <w:noWrap w:val="0"/>
            <w:vAlign w:val="center"/>
          </w:tcPr>
          <w:p w14:paraId="6D11CE6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555" w:type="pct"/>
            <w:noWrap w:val="0"/>
            <w:vAlign w:val="center"/>
          </w:tcPr>
          <w:p w14:paraId="276037F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31" w:type="pct"/>
            <w:noWrap w:val="0"/>
            <w:vAlign w:val="center"/>
          </w:tcPr>
          <w:p w14:paraId="565A08C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82" w:type="pct"/>
            <w:noWrap w:val="0"/>
            <w:vAlign w:val="center"/>
          </w:tcPr>
          <w:p w14:paraId="49C5B4A4">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目前从事的</w:t>
            </w:r>
            <w:r>
              <w:rPr>
                <w:rFonts w:hint="eastAsia" w:ascii="宋体" w:hAnsi="宋体" w:eastAsia="宋体" w:cs="宋体"/>
                <w:color w:val="auto"/>
                <w:sz w:val="21"/>
                <w:szCs w:val="21"/>
                <w:highlight w:val="none"/>
              </w:rPr>
              <w:t>岗位</w:t>
            </w:r>
          </w:p>
        </w:tc>
        <w:tc>
          <w:tcPr>
            <w:tcW w:w="653" w:type="pct"/>
            <w:noWrap w:val="0"/>
            <w:vAlign w:val="center"/>
          </w:tcPr>
          <w:p w14:paraId="664778B0">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从业资格证书</w:t>
            </w:r>
          </w:p>
        </w:tc>
        <w:tc>
          <w:tcPr>
            <w:tcW w:w="733" w:type="pct"/>
            <w:noWrap w:val="0"/>
            <w:vAlign w:val="center"/>
          </w:tcPr>
          <w:p w14:paraId="78DF503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从事该岗位的时间</w:t>
            </w:r>
          </w:p>
        </w:tc>
        <w:tc>
          <w:tcPr>
            <w:tcW w:w="873" w:type="pct"/>
            <w:noWrap w:val="0"/>
            <w:vAlign w:val="center"/>
          </w:tcPr>
          <w:p w14:paraId="138CDDE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业绩案列</w:t>
            </w:r>
          </w:p>
        </w:tc>
      </w:tr>
      <w:tr w14:paraId="0DF9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14:paraId="0394875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8" w:type="pct"/>
            <w:noWrap w:val="0"/>
            <w:vAlign w:val="top"/>
          </w:tcPr>
          <w:p w14:paraId="0BD713C5">
            <w:pPr>
              <w:spacing w:line="440" w:lineRule="exact"/>
              <w:jc w:val="center"/>
              <w:rPr>
                <w:rFonts w:hint="eastAsia" w:ascii="宋体" w:hAnsi="宋体" w:eastAsia="宋体" w:cs="宋体"/>
                <w:color w:val="auto"/>
                <w:sz w:val="21"/>
                <w:szCs w:val="21"/>
                <w:highlight w:val="none"/>
              </w:rPr>
            </w:pPr>
          </w:p>
        </w:tc>
        <w:tc>
          <w:tcPr>
            <w:tcW w:w="555" w:type="pct"/>
            <w:noWrap w:val="0"/>
            <w:vAlign w:val="top"/>
          </w:tcPr>
          <w:p w14:paraId="5274871C">
            <w:pPr>
              <w:spacing w:line="440" w:lineRule="exact"/>
              <w:jc w:val="center"/>
              <w:rPr>
                <w:rFonts w:hint="eastAsia" w:ascii="宋体" w:hAnsi="宋体" w:eastAsia="宋体" w:cs="宋体"/>
                <w:color w:val="auto"/>
                <w:sz w:val="21"/>
                <w:szCs w:val="21"/>
                <w:highlight w:val="none"/>
              </w:rPr>
            </w:pPr>
          </w:p>
        </w:tc>
        <w:tc>
          <w:tcPr>
            <w:tcW w:w="631" w:type="pct"/>
            <w:noWrap w:val="0"/>
            <w:vAlign w:val="top"/>
          </w:tcPr>
          <w:p w14:paraId="26EFAF37">
            <w:pPr>
              <w:spacing w:line="440" w:lineRule="exact"/>
              <w:jc w:val="center"/>
              <w:rPr>
                <w:rFonts w:hint="eastAsia" w:ascii="宋体" w:hAnsi="宋体" w:eastAsia="宋体" w:cs="宋体"/>
                <w:color w:val="auto"/>
                <w:sz w:val="21"/>
                <w:szCs w:val="21"/>
                <w:highlight w:val="none"/>
              </w:rPr>
            </w:pPr>
          </w:p>
        </w:tc>
        <w:tc>
          <w:tcPr>
            <w:tcW w:w="682" w:type="pct"/>
            <w:noWrap w:val="0"/>
            <w:vAlign w:val="top"/>
          </w:tcPr>
          <w:p w14:paraId="2A77843B">
            <w:pPr>
              <w:spacing w:line="440" w:lineRule="exact"/>
              <w:jc w:val="center"/>
              <w:rPr>
                <w:rFonts w:hint="eastAsia" w:ascii="宋体" w:hAnsi="宋体" w:eastAsia="宋体" w:cs="宋体"/>
                <w:color w:val="auto"/>
                <w:sz w:val="21"/>
                <w:szCs w:val="21"/>
                <w:highlight w:val="none"/>
              </w:rPr>
            </w:pPr>
          </w:p>
        </w:tc>
        <w:tc>
          <w:tcPr>
            <w:tcW w:w="653" w:type="pct"/>
            <w:noWrap w:val="0"/>
            <w:vAlign w:val="top"/>
          </w:tcPr>
          <w:p w14:paraId="5198D015">
            <w:pPr>
              <w:spacing w:line="440" w:lineRule="exact"/>
              <w:jc w:val="center"/>
              <w:rPr>
                <w:rFonts w:hint="eastAsia" w:ascii="宋体" w:hAnsi="宋体" w:eastAsia="宋体" w:cs="宋体"/>
                <w:color w:val="auto"/>
                <w:sz w:val="21"/>
                <w:szCs w:val="21"/>
                <w:highlight w:val="none"/>
              </w:rPr>
            </w:pPr>
          </w:p>
        </w:tc>
        <w:tc>
          <w:tcPr>
            <w:tcW w:w="733" w:type="pct"/>
            <w:noWrap w:val="0"/>
            <w:vAlign w:val="top"/>
          </w:tcPr>
          <w:p w14:paraId="73080AFF">
            <w:pPr>
              <w:spacing w:line="440" w:lineRule="exact"/>
              <w:jc w:val="center"/>
              <w:rPr>
                <w:rFonts w:hint="eastAsia" w:ascii="宋体" w:hAnsi="宋体" w:eastAsia="宋体" w:cs="宋体"/>
                <w:color w:val="auto"/>
                <w:sz w:val="21"/>
                <w:szCs w:val="21"/>
                <w:highlight w:val="none"/>
              </w:rPr>
            </w:pPr>
          </w:p>
        </w:tc>
        <w:tc>
          <w:tcPr>
            <w:tcW w:w="873" w:type="pct"/>
            <w:noWrap w:val="0"/>
            <w:vAlign w:val="top"/>
          </w:tcPr>
          <w:p w14:paraId="15352D8B">
            <w:pPr>
              <w:spacing w:line="440" w:lineRule="exact"/>
              <w:jc w:val="center"/>
              <w:rPr>
                <w:rFonts w:hint="eastAsia" w:ascii="宋体" w:hAnsi="宋体" w:eastAsia="宋体" w:cs="宋体"/>
                <w:color w:val="auto"/>
                <w:sz w:val="21"/>
                <w:szCs w:val="21"/>
                <w:highlight w:val="none"/>
              </w:rPr>
            </w:pPr>
          </w:p>
        </w:tc>
      </w:tr>
      <w:tr w14:paraId="7DBC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2" w:type="pct"/>
            <w:noWrap w:val="0"/>
            <w:vAlign w:val="top"/>
          </w:tcPr>
          <w:p w14:paraId="47DF727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8" w:type="pct"/>
            <w:noWrap w:val="0"/>
            <w:vAlign w:val="top"/>
          </w:tcPr>
          <w:p w14:paraId="64906EDD">
            <w:pPr>
              <w:spacing w:line="440" w:lineRule="exact"/>
              <w:jc w:val="center"/>
              <w:rPr>
                <w:rFonts w:hint="eastAsia" w:ascii="宋体" w:hAnsi="宋体" w:eastAsia="宋体" w:cs="宋体"/>
                <w:color w:val="auto"/>
                <w:sz w:val="21"/>
                <w:szCs w:val="21"/>
                <w:highlight w:val="none"/>
              </w:rPr>
            </w:pPr>
          </w:p>
        </w:tc>
        <w:tc>
          <w:tcPr>
            <w:tcW w:w="555" w:type="pct"/>
            <w:noWrap w:val="0"/>
            <w:vAlign w:val="top"/>
          </w:tcPr>
          <w:p w14:paraId="06C0BBF7">
            <w:pPr>
              <w:spacing w:line="440" w:lineRule="exact"/>
              <w:jc w:val="center"/>
              <w:rPr>
                <w:rFonts w:hint="eastAsia" w:ascii="宋体" w:hAnsi="宋体" w:eastAsia="宋体" w:cs="宋体"/>
                <w:color w:val="auto"/>
                <w:sz w:val="21"/>
                <w:szCs w:val="21"/>
                <w:highlight w:val="none"/>
              </w:rPr>
            </w:pPr>
          </w:p>
        </w:tc>
        <w:tc>
          <w:tcPr>
            <w:tcW w:w="631" w:type="pct"/>
            <w:noWrap w:val="0"/>
            <w:vAlign w:val="top"/>
          </w:tcPr>
          <w:p w14:paraId="48C870E8">
            <w:pPr>
              <w:spacing w:line="440" w:lineRule="exact"/>
              <w:jc w:val="center"/>
              <w:rPr>
                <w:rFonts w:hint="eastAsia" w:ascii="宋体" w:hAnsi="宋体" w:eastAsia="宋体" w:cs="宋体"/>
                <w:color w:val="auto"/>
                <w:sz w:val="21"/>
                <w:szCs w:val="21"/>
                <w:highlight w:val="none"/>
              </w:rPr>
            </w:pPr>
          </w:p>
        </w:tc>
        <w:tc>
          <w:tcPr>
            <w:tcW w:w="682" w:type="pct"/>
            <w:noWrap w:val="0"/>
            <w:vAlign w:val="top"/>
          </w:tcPr>
          <w:p w14:paraId="4A0A2DF5">
            <w:pPr>
              <w:spacing w:line="440" w:lineRule="exact"/>
              <w:jc w:val="center"/>
              <w:rPr>
                <w:rFonts w:hint="eastAsia" w:ascii="宋体" w:hAnsi="宋体" w:eastAsia="宋体" w:cs="宋体"/>
                <w:color w:val="auto"/>
                <w:sz w:val="21"/>
                <w:szCs w:val="21"/>
                <w:highlight w:val="none"/>
              </w:rPr>
            </w:pPr>
          </w:p>
        </w:tc>
        <w:tc>
          <w:tcPr>
            <w:tcW w:w="653" w:type="pct"/>
            <w:noWrap w:val="0"/>
            <w:vAlign w:val="top"/>
          </w:tcPr>
          <w:p w14:paraId="2A439E26">
            <w:pPr>
              <w:spacing w:line="440" w:lineRule="exact"/>
              <w:jc w:val="center"/>
              <w:rPr>
                <w:rFonts w:hint="eastAsia" w:ascii="宋体" w:hAnsi="宋体" w:eastAsia="宋体" w:cs="宋体"/>
                <w:color w:val="auto"/>
                <w:sz w:val="21"/>
                <w:szCs w:val="21"/>
                <w:highlight w:val="none"/>
              </w:rPr>
            </w:pPr>
          </w:p>
        </w:tc>
        <w:tc>
          <w:tcPr>
            <w:tcW w:w="733" w:type="pct"/>
            <w:noWrap w:val="0"/>
            <w:vAlign w:val="top"/>
          </w:tcPr>
          <w:p w14:paraId="08E1C326">
            <w:pPr>
              <w:spacing w:line="440" w:lineRule="exact"/>
              <w:jc w:val="center"/>
              <w:rPr>
                <w:rFonts w:hint="eastAsia" w:ascii="宋体" w:hAnsi="宋体" w:eastAsia="宋体" w:cs="宋体"/>
                <w:color w:val="auto"/>
                <w:sz w:val="21"/>
                <w:szCs w:val="21"/>
                <w:highlight w:val="none"/>
              </w:rPr>
            </w:pPr>
          </w:p>
        </w:tc>
        <w:tc>
          <w:tcPr>
            <w:tcW w:w="873" w:type="pct"/>
            <w:noWrap w:val="0"/>
            <w:vAlign w:val="top"/>
          </w:tcPr>
          <w:p w14:paraId="1E36DB89">
            <w:pPr>
              <w:spacing w:line="440" w:lineRule="exact"/>
              <w:jc w:val="center"/>
              <w:rPr>
                <w:rFonts w:hint="eastAsia" w:ascii="宋体" w:hAnsi="宋体" w:eastAsia="宋体" w:cs="宋体"/>
                <w:color w:val="auto"/>
                <w:sz w:val="21"/>
                <w:szCs w:val="21"/>
                <w:highlight w:val="none"/>
              </w:rPr>
            </w:pPr>
          </w:p>
        </w:tc>
      </w:tr>
      <w:tr w14:paraId="50B2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14:paraId="71B69B3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8" w:type="pct"/>
            <w:noWrap w:val="0"/>
            <w:vAlign w:val="top"/>
          </w:tcPr>
          <w:p w14:paraId="2B199D2F">
            <w:pPr>
              <w:spacing w:line="440" w:lineRule="exact"/>
              <w:jc w:val="center"/>
              <w:rPr>
                <w:rFonts w:hint="eastAsia" w:ascii="宋体" w:hAnsi="宋体" w:eastAsia="宋体" w:cs="宋体"/>
                <w:color w:val="auto"/>
                <w:sz w:val="21"/>
                <w:szCs w:val="21"/>
                <w:highlight w:val="none"/>
              </w:rPr>
            </w:pPr>
          </w:p>
        </w:tc>
        <w:tc>
          <w:tcPr>
            <w:tcW w:w="555" w:type="pct"/>
            <w:noWrap w:val="0"/>
            <w:vAlign w:val="top"/>
          </w:tcPr>
          <w:p w14:paraId="04B83D8D">
            <w:pPr>
              <w:spacing w:line="440" w:lineRule="exact"/>
              <w:jc w:val="center"/>
              <w:rPr>
                <w:rFonts w:hint="eastAsia" w:ascii="宋体" w:hAnsi="宋体" w:eastAsia="宋体" w:cs="宋体"/>
                <w:color w:val="auto"/>
                <w:sz w:val="21"/>
                <w:szCs w:val="21"/>
                <w:highlight w:val="none"/>
              </w:rPr>
            </w:pPr>
          </w:p>
        </w:tc>
        <w:tc>
          <w:tcPr>
            <w:tcW w:w="631" w:type="pct"/>
            <w:noWrap w:val="0"/>
            <w:vAlign w:val="top"/>
          </w:tcPr>
          <w:p w14:paraId="3E5026FF">
            <w:pPr>
              <w:spacing w:line="440" w:lineRule="exact"/>
              <w:jc w:val="center"/>
              <w:rPr>
                <w:rFonts w:hint="eastAsia" w:ascii="宋体" w:hAnsi="宋体" w:eastAsia="宋体" w:cs="宋体"/>
                <w:color w:val="auto"/>
                <w:sz w:val="21"/>
                <w:szCs w:val="21"/>
                <w:highlight w:val="none"/>
              </w:rPr>
            </w:pPr>
          </w:p>
        </w:tc>
        <w:tc>
          <w:tcPr>
            <w:tcW w:w="682" w:type="pct"/>
            <w:noWrap w:val="0"/>
            <w:vAlign w:val="top"/>
          </w:tcPr>
          <w:p w14:paraId="36E689A9">
            <w:pPr>
              <w:spacing w:line="440" w:lineRule="exact"/>
              <w:jc w:val="center"/>
              <w:rPr>
                <w:rFonts w:hint="eastAsia" w:ascii="宋体" w:hAnsi="宋体" w:eastAsia="宋体" w:cs="宋体"/>
                <w:color w:val="auto"/>
                <w:sz w:val="21"/>
                <w:szCs w:val="21"/>
                <w:highlight w:val="none"/>
              </w:rPr>
            </w:pPr>
          </w:p>
        </w:tc>
        <w:tc>
          <w:tcPr>
            <w:tcW w:w="653" w:type="pct"/>
            <w:noWrap w:val="0"/>
            <w:vAlign w:val="top"/>
          </w:tcPr>
          <w:p w14:paraId="0946E769">
            <w:pPr>
              <w:spacing w:line="440" w:lineRule="exact"/>
              <w:jc w:val="center"/>
              <w:rPr>
                <w:rFonts w:hint="eastAsia" w:ascii="宋体" w:hAnsi="宋体" w:eastAsia="宋体" w:cs="宋体"/>
                <w:color w:val="auto"/>
                <w:sz w:val="21"/>
                <w:szCs w:val="21"/>
                <w:highlight w:val="none"/>
              </w:rPr>
            </w:pPr>
          </w:p>
        </w:tc>
        <w:tc>
          <w:tcPr>
            <w:tcW w:w="733" w:type="pct"/>
            <w:noWrap w:val="0"/>
            <w:vAlign w:val="top"/>
          </w:tcPr>
          <w:p w14:paraId="52231ED2">
            <w:pPr>
              <w:spacing w:line="440" w:lineRule="exact"/>
              <w:jc w:val="center"/>
              <w:rPr>
                <w:rFonts w:hint="eastAsia" w:ascii="宋体" w:hAnsi="宋体" w:eastAsia="宋体" w:cs="宋体"/>
                <w:color w:val="auto"/>
                <w:sz w:val="21"/>
                <w:szCs w:val="21"/>
                <w:highlight w:val="none"/>
              </w:rPr>
            </w:pPr>
          </w:p>
        </w:tc>
        <w:tc>
          <w:tcPr>
            <w:tcW w:w="873" w:type="pct"/>
            <w:noWrap w:val="0"/>
            <w:vAlign w:val="top"/>
          </w:tcPr>
          <w:p w14:paraId="5712A6E1">
            <w:pPr>
              <w:spacing w:line="440" w:lineRule="exact"/>
              <w:jc w:val="center"/>
              <w:rPr>
                <w:rFonts w:hint="eastAsia" w:ascii="宋体" w:hAnsi="宋体" w:eastAsia="宋体" w:cs="宋体"/>
                <w:color w:val="auto"/>
                <w:sz w:val="21"/>
                <w:szCs w:val="21"/>
                <w:highlight w:val="none"/>
              </w:rPr>
            </w:pPr>
          </w:p>
        </w:tc>
      </w:tr>
      <w:tr w14:paraId="21E9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14:paraId="6E1AFF7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88" w:type="pct"/>
            <w:noWrap w:val="0"/>
            <w:vAlign w:val="top"/>
          </w:tcPr>
          <w:p w14:paraId="534875B8">
            <w:pPr>
              <w:spacing w:line="440" w:lineRule="exact"/>
              <w:jc w:val="center"/>
              <w:rPr>
                <w:rFonts w:hint="eastAsia" w:ascii="宋体" w:hAnsi="宋体" w:eastAsia="宋体" w:cs="宋体"/>
                <w:color w:val="auto"/>
                <w:sz w:val="21"/>
                <w:szCs w:val="21"/>
                <w:highlight w:val="none"/>
              </w:rPr>
            </w:pPr>
          </w:p>
        </w:tc>
        <w:tc>
          <w:tcPr>
            <w:tcW w:w="555" w:type="pct"/>
            <w:noWrap w:val="0"/>
            <w:vAlign w:val="top"/>
          </w:tcPr>
          <w:p w14:paraId="6D583584">
            <w:pPr>
              <w:spacing w:line="440" w:lineRule="exact"/>
              <w:jc w:val="center"/>
              <w:rPr>
                <w:rFonts w:hint="eastAsia" w:ascii="宋体" w:hAnsi="宋体" w:eastAsia="宋体" w:cs="宋体"/>
                <w:color w:val="auto"/>
                <w:sz w:val="21"/>
                <w:szCs w:val="21"/>
                <w:highlight w:val="none"/>
              </w:rPr>
            </w:pPr>
          </w:p>
        </w:tc>
        <w:tc>
          <w:tcPr>
            <w:tcW w:w="631" w:type="pct"/>
            <w:noWrap w:val="0"/>
            <w:vAlign w:val="top"/>
          </w:tcPr>
          <w:p w14:paraId="31268505">
            <w:pPr>
              <w:spacing w:line="440" w:lineRule="exact"/>
              <w:jc w:val="center"/>
              <w:rPr>
                <w:rFonts w:hint="eastAsia" w:ascii="宋体" w:hAnsi="宋体" w:eastAsia="宋体" w:cs="宋体"/>
                <w:color w:val="auto"/>
                <w:sz w:val="21"/>
                <w:szCs w:val="21"/>
                <w:highlight w:val="none"/>
              </w:rPr>
            </w:pPr>
          </w:p>
        </w:tc>
        <w:tc>
          <w:tcPr>
            <w:tcW w:w="682" w:type="pct"/>
            <w:noWrap w:val="0"/>
            <w:vAlign w:val="top"/>
          </w:tcPr>
          <w:p w14:paraId="76583FD5">
            <w:pPr>
              <w:spacing w:line="440" w:lineRule="exact"/>
              <w:jc w:val="center"/>
              <w:rPr>
                <w:rFonts w:hint="eastAsia" w:ascii="宋体" w:hAnsi="宋体" w:eastAsia="宋体" w:cs="宋体"/>
                <w:color w:val="auto"/>
                <w:sz w:val="21"/>
                <w:szCs w:val="21"/>
                <w:highlight w:val="none"/>
              </w:rPr>
            </w:pPr>
          </w:p>
        </w:tc>
        <w:tc>
          <w:tcPr>
            <w:tcW w:w="653" w:type="pct"/>
            <w:noWrap w:val="0"/>
            <w:vAlign w:val="top"/>
          </w:tcPr>
          <w:p w14:paraId="514F9AB6">
            <w:pPr>
              <w:spacing w:line="440" w:lineRule="exact"/>
              <w:jc w:val="center"/>
              <w:rPr>
                <w:rFonts w:hint="eastAsia" w:ascii="宋体" w:hAnsi="宋体" w:eastAsia="宋体" w:cs="宋体"/>
                <w:color w:val="auto"/>
                <w:sz w:val="21"/>
                <w:szCs w:val="21"/>
                <w:highlight w:val="none"/>
              </w:rPr>
            </w:pPr>
          </w:p>
        </w:tc>
        <w:tc>
          <w:tcPr>
            <w:tcW w:w="733" w:type="pct"/>
            <w:noWrap w:val="0"/>
            <w:vAlign w:val="top"/>
          </w:tcPr>
          <w:p w14:paraId="6068E13D">
            <w:pPr>
              <w:spacing w:line="440" w:lineRule="exact"/>
              <w:jc w:val="center"/>
              <w:rPr>
                <w:rFonts w:hint="eastAsia" w:ascii="宋体" w:hAnsi="宋体" w:eastAsia="宋体" w:cs="宋体"/>
                <w:color w:val="auto"/>
                <w:sz w:val="21"/>
                <w:szCs w:val="21"/>
                <w:highlight w:val="none"/>
              </w:rPr>
            </w:pPr>
          </w:p>
        </w:tc>
        <w:tc>
          <w:tcPr>
            <w:tcW w:w="873" w:type="pct"/>
            <w:noWrap w:val="0"/>
            <w:vAlign w:val="top"/>
          </w:tcPr>
          <w:p w14:paraId="1DEEDC84">
            <w:pPr>
              <w:spacing w:line="440" w:lineRule="exact"/>
              <w:jc w:val="center"/>
              <w:rPr>
                <w:rFonts w:hint="eastAsia" w:ascii="宋体" w:hAnsi="宋体" w:eastAsia="宋体" w:cs="宋体"/>
                <w:color w:val="auto"/>
                <w:sz w:val="21"/>
                <w:szCs w:val="21"/>
                <w:highlight w:val="none"/>
              </w:rPr>
            </w:pPr>
          </w:p>
        </w:tc>
      </w:tr>
    </w:tbl>
    <w:p w14:paraId="33400F3E">
      <w:pPr>
        <w:pStyle w:val="9"/>
        <w:spacing w:before="72" w:beforeLines="25" w:after="72" w:afterLines="25"/>
        <w:ind w:firstLine="0"/>
        <w:rPr>
          <w:rFonts w:hint="eastAsia" w:ascii="宋体" w:hAnsi="宋体" w:cs="宋体"/>
          <w:color w:val="auto"/>
          <w:highlight w:val="none"/>
        </w:rPr>
      </w:pPr>
      <w:r>
        <w:rPr>
          <w:rFonts w:hint="eastAsia" w:ascii="宋体" w:hAnsi="宋体" w:cs="宋体"/>
          <w:color w:val="auto"/>
          <w:highlight w:val="none"/>
        </w:rPr>
        <w:t>特别提示：</w:t>
      </w:r>
    </w:p>
    <w:p w14:paraId="0549246E">
      <w:pPr>
        <w:pStyle w:val="9"/>
        <w:spacing w:before="72" w:beforeLines="25" w:after="72" w:afterLines="25"/>
        <w:ind w:firstLineChars="200"/>
        <w:rPr>
          <w:rFonts w:hint="eastAsia" w:ascii="宋体" w:hAnsi="宋体" w:cs="宋体"/>
          <w:b/>
          <w:bCs/>
          <w:color w:val="auto"/>
          <w:highlight w:val="none"/>
        </w:rPr>
      </w:pPr>
      <w:r>
        <w:rPr>
          <w:rFonts w:hint="eastAsia" w:ascii="宋体" w:hAnsi="宋体" w:cs="宋体"/>
          <w:color w:val="auto"/>
          <w:highlight w:val="none"/>
        </w:rPr>
        <w:t>投标人须按本</w:t>
      </w:r>
      <w:r>
        <w:rPr>
          <w:rFonts w:hint="eastAsia" w:ascii="宋体" w:hAnsi="宋体" w:cs="宋体"/>
          <w:color w:val="auto"/>
          <w:highlight w:val="none"/>
          <w:lang w:val="en-US" w:eastAsia="zh-CN"/>
        </w:rPr>
        <w:t>招标</w:t>
      </w:r>
      <w:r>
        <w:rPr>
          <w:rFonts w:hint="eastAsia" w:ascii="宋体" w:hAnsi="宋体" w:cs="宋体"/>
          <w:color w:val="auto"/>
          <w:highlight w:val="none"/>
        </w:rPr>
        <w:t>文件评标信息中“拟安排的项目主要团队成员（主要技术人员）情况（项目负责人除外）”这一评审因素要求，提供证明相关资料如：</w:t>
      </w:r>
      <w:r>
        <w:rPr>
          <w:rFonts w:hint="eastAsia" w:ascii="宋体" w:hAnsi="宋体" w:cs="宋体"/>
          <w:b/>
          <w:color w:val="auto"/>
          <w:spacing w:val="10"/>
          <w:highlight w:val="none"/>
        </w:rPr>
        <w:t>身份证复印件、职称证书复印件、</w:t>
      </w:r>
      <w:r>
        <w:rPr>
          <w:rFonts w:hint="eastAsia" w:ascii="宋体" w:hAnsi="宋体" w:cs="宋体"/>
          <w:b/>
          <w:bCs/>
          <w:color w:val="auto"/>
          <w:highlight w:val="none"/>
        </w:rPr>
        <w:t>国家规定或行业相关上岗、执业资格证书复印件、本单位社保缴纳证明、</w:t>
      </w:r>
      <w:r>
        <w:rPr>
          <w:rFonts w:hint="eastAsia" w:ascii="宋体" w:hAnsi="宋体" w:cs="宋体"/>
          <w:b/>
          <w:color w:val="auto"/>
          <w:spacing w:val="10"/>
          <w:highlight w:val="none"/>
        </w:rPr>
        <w:t>相关业绩证明材料复印件等</w:t>
      </w:r>
      <w:r>
        <w:rPr>
          <w:rFonts w:hint="eastAsia" w:ascii="宋体" w:hAnsi="宋体" w:cs="宋体"/>
          <w:b/>
          <w:bCs/>
          <w:color w:val="auto"/>
          <w:highlight w:val="none"/>
        </w:rPr>
        <w:t>。</w:t>
      </w:r>
    </w:p>
    <w:p w14:paraId="5E722FA7">
      <w:pPr>
        <w:pStyle w:val="9"/>
        <w:spacing w:before="72" w:beforeLines="25" w:after="72" w:afterLines="25"/>
        <w:ind w:firstLine="480" w:firstLineChars="200"/>
        <w:rPr>
          <w:rFonts w:ascii="宋体" w:hAnsi="宋体" w:cs="宋体"/>
          <w:color w:val="auto"/>
          <w:sz w:val="24"/>
          <w:highlight w:val="none"/>
        </w:rPr>
      </w:pPr>
    </w:p>
    <w:p w14:paraId="5D2F6568">
      <w:pPr>
        <w:rPr>
          <w:rFonts w:ascii="宋体" w:hAnsi="宋体" w:cs="宋体"/>
          <w:color w:val="auto"/>
          <w:sz w:val="24"/>
          <w:highlight w:val="none"/>
        </w:rPr>
      </w:pPr>
    </w:p>
    <w:p w14:paraId="51D98237">
      <w:pPr>
        <w:pStyle w:val="39"/>
        <w:rPr>
          <w:color w:val="auto"/>
          <w:highlight w:val="none"/>
        </w:rPr>
      </w:pPr>
    </w:p>
    <w:p w14:paraId="5C444D62">
      <w:pPr>
        <w:pStyle w:val="9"/>
        <w:spacing w:before="72" w:beforeLines="25" w:after="72" w:afterLines="25"/>
        <w:ind w:firstLine="0"/>
        <w:rPr>
          <w:rFonts w:hint="eastAsia" w:ascii="黑体" w:hAnsi="宋体" w:eastAsia="黑体"/>
          <w:color w:val="auto"/>
          <w:sz w:val="24"/>
          <w:highlight w:val="none"/>
        </w:rPr>
      </w:pPr>
    </w:p>
    <w:p w14:paraId="637B50D2">
      <w:pPr>
        <w:pStyle w:val="9"/>
        <w:spacing w:before="72" w:beforeLines="25" w:after="72" w:afterLines="25"/>
        <w:ind w:firstLine="0"/>
        <w:jc w:val="center"/>
        <w:rPr>
          <w:rFonts w:hint="eastAsia" w:ascii="黑体" w:hAnsi="宋体" w:eastAsia="黑体"/>
          <w:b/>
          <w:bCs/>
          <w:color w:val="auto"/>
          <w:sz w:val="24"/>
          <w:highlight w:val="none"/>
          <w:lang w:val="en-US" w:eastAsia="zh-CN"/>
        </w:rPr>
      </w:pPr>
      <w:r>
        <w:rPr>
          <w:rFonts w:hint="eastAsia" w:ascii="黑体" w:hAnsi="宋体" w:eastAsia="黑体"/>
          <w:b/>
          <w:bCs/>
          <w:color w:val="auto"/>
          <w:sz w:val="24"/>
          <w:highlight w:val="none"/>
          <w:lang w:val="en-US" w:eastAsia="zh-CN"/>
        </w:rPr>
        <w:t>附件</w:t>
      </w:r>
      <w:r>
        <w:rPr>
          <w:rFonts w:hint="eastAsia" w:ascii="黑体" w:hAnsi="宋体" w:eastAsia="黑体"/>
          <w:b/>
          <w:bCs/>
          <w:color w:val="auto"/>
          <w:sz w:val="24"/>
          <w:highlight w:val="none"/>
        </w:rPr>
        <w:t>十</w:t>
      </w:r>
      <w:r>
        <w:rPr>
          <w:rFonts w:hint="eastAsia" w:ascii="黑体" w:hAnsi="宋体" w:eastAsia="黑体"/>
          <w:b/>
          <w:bCs/>
          <w:color w:val="auto"/>
          <w:sz w:val="24"/>
          <w:highlight w:val="none"/>
          <w:lang w:val="en-US" w:eastAsia="zh-CN"/>
        </w:rPr>
        <w:t>一</w:t>
      </w:r>
      <w:r>
        <w:rPr>
          <w:rFonts w:hint="eastAsia" w:ascii="黑体" w:hAnsi="宋体" w:eastAsia="黑体"/>
          <w:b/>
          <w:bCs/>
          <w:color w:val="auto"/>
          <w:sz w:val="24"/>
          <w:highlight w:val="none"/>
        </w:rPr>
        <w:t>、</w:t>
      </w:r>
      <w:r>
        <w:rPr>
          <w:rFonts w:hint="eastAsia" w:ascii="黑体" w:hAnsi="宋体" w:eastAsia="黑体"/>
          <w:b/>
          <w:bCs/>
          <w:color w:val="auto"/>
          <w:sz w:val="24"/>
          <w:highlight w:val="none"/>
          <w:lang w:val="en-US" w:eastAsia="zh-CN"/>
        </w:rPr>
        <w:t>项目服务承诺</w:t>
      </w:r>
    </w:p>
    <w:p w14:paraId="2FAE4D96">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5244C199">
      <w:pPr>
        <w:autoSpaceDE w:val="0"/>
        <w:autoSpaceDN w:val="0"/>
        <w:adjustRightInd w:val="0"/>
        <w:snapToGrid w:val="0"/>
        <w:spacing w:line="240" w:lineRule="atLeast"/>
        <w:ind w:firstLine="420" w:firstLineChars="200"/>
        <w:rPr>
          <w:rFonts w:hint="eastAsia"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若此项列入评审因素必须填写；未列入评审因素，则无须填写！</w:t>
      </w:r>
    </w:p>
    <w:p w14:paraId="42623463">
      <w:pPr>
        <w:pStyle w:val="39"/>
        <w:rPr>
          <w:rFonts w:hint="eastAsia" w:ascii="宋体" w:hAnsi="宋体" w:eastAsia="宋体" w:cs="宋体"/>
          <w:color w:val="auto"/>
          <w:kern w:val="1"/>
          <w:highlight w:val="none"/>
          <w:lang w:val="en-US" w:eastAsia="zh-CN"/>
        </w:rPr>
      </w:pPr>
    </w:p>
    <w:p w14:paraId="0D66E442">
      <w:pPr>
        <w:rPr>
          <w:rFonts w:hint="eastAsia" w:ascii="宋体" w:hAnsi="宋体" w:eastAsia="宋体" w:cs="宋体"/>
          <w:color w:val="auto"/>
          <w:kern w:val="1"/>
          <w:highlight w:val="none"/>
          <w:lang w:val="en-US" w:eastAsia="zh-CN"/>
        </w:rPr>
      </w:pPr>
    </w:p>
    <w:p w14:paraId="5F9B79DE">
      <w:pPr>
        <w:pStyle w:val="39"/>
        <w:rPr>
          <w:rFonts w:hint="eastAsia" w:ascii="宋体" w:hAnsi="宋体" w:eastAsia="宋体" w:cs="宋体"/>
          <w:color w:val="auto"/>
          <w:kern w:val="1"/>
          <w:highlight w:val="none"/>
          <w:lang w:val="en-US" w:eastAsia="zh-CN"/>
        </w:rPr>
      </w:pPr>
    </w:p>
    <w:p w14:paraId="662250A1">
      <w:pPr>
        <w:rPr>
          <w:rFonts w:hint="eastAsia" w:ascii="宋体" w:hAnsi="宋体" w:eastAsia="宋体" w:cs="宋体"/>
          <w:color w:val="auto"/>
          <w:kern w:val="1"/>
          <w:highlight w:val="none"/>
          <w:lang w:val="en-US" w:eastAsia="zh-CN"/>
        </w:rPr>
      </w:pPr>
    </w:p>
    <w:p w14:paraId="78A1E546">
      <w:pPr>
        <w:pStyle w:val="39"/>
        <w:rPr>
          <w:rFonts w:hint="eastAsia"/>
          <w:color w:val="auto"/>
          <w:highlight w:val="none"/>
          <w:lang w:val="en-US" w:eastAsia="zh-CN"/>
        </w:rPr>
      </w:pPr>
    </w:p>
    <w:p w14:paraId="1B0E000E">
      <w:pPr>
        <w:pStyle w:val="9"/>
        <w:spacing w:before="72" w:beforeLines="25" w:after="72" w:afterLines="25"/>
        <w:ind w:firstLine="0"/>
        <w:jc w:val="center"/>
        <w:rPr>
          <w:rFonts w:hint="eastAsia" w:ascii="黑体" w:hAnsi="宋体" w:eastAsia="黑体"/>
          <w:b/>
          <w:bCs/>
          <w:color w:val="auto"/>
          <w:sz w:val="24"/>
          <w:highlight w:val="none"/>
          <w:lang w:val="en-US" w:eastAsia="zh-CN"/>
        </w:rPr>
      </w:pPr>
    </w:p>
    <w:p w14:paraId="406F6434">
      <w:pPr>
        <w:pStyle w:val="9"/>
        <w:spacing w:before="72" w:beforeLines="25" w:after="72" w:afterLines="25"/>
        <w:ind w:firstLine="0"/>
        <w:jc w:val="center"/>
        <w:rPr>
          <w:rFonts w:hint="default" w:ascii="黑体" w:hAnsi="宋体" w:eastAsia="黑体"/>
          <w:b/>
          <w:bCs/>
          <w:color w:val="auto"/>
          <w:sz w:val="24"/>
          <w:highlight w:val="none"/>
          <w:lang w:val="en-US" w:eastAsia="zh-CN"/>
        </w:rPr>
      </w:pPr>
      <w:r>
        <w:rPr>
          <w:rFonts w:hint="eastAsia" w:ascii="黑体" w:hAnsi="宋体" w:eastAsia="黑体"/>
          <w:b/>
          <w:bCs/>
          <w:color w:val="auto"/>
          <w:sz w:val="24"/>
          <w:highlight w:val="none"/>
          <w:lang w:val="en-US" w:eastAsia="zh-CN"/>
        </w:rPr>
        <w:t>附件</w:t>
      </w:r>
      <w:r>
        <w:rPr>
          <w:rFonts w:hint="eastAsia" w:ascii="黑体" w:hAnsi="宋体" w:eastAsia="黑体"/>
          <w:b/>
          <w:bCs/>
          <w:color w:val="auto"/>
          <w:sz w:val="24"/>
          <w:highlight w:val="none"/>
        </w:rPr>
        <w:t>十</w:t>
      </w:r>
      <w:r>
        <w:rPr>
          <w:rFonts w:hint="eastAsia" w:ascii="黑体" w:hAnsi="宋体" w:eastAsia="黑体"/>
          <w:b/>
          <w:bCs/>
          <w:color w:val="auto"/>
          <w:sz w:val="24"/>
          <w:highlight w:val="none"/>
          <w:lang w:val="en-US" w:eastAsia="zh-CN"/>
        </w:rPr>
        <w:t>二</w:t>
      </w:r>
      <w:r>
        <w:rPr>
          <w:rFonts w:hint="eastAsia" w:ascii="黑体" w:hAnsi="宋体" w:eastAsia="黑体"/>
          <w:b/>
          <w:bCs/>
          <w:color w:val="auto"/>
          <w:sz w:val="24"/>
          <w:highlight w:val="none"/>
        </w:rPr>
        <w:t>、</w:t>
      </w:r>
      <w:r>
        <w:rPr>
          <w:rFonts w:hint="eastAsia" w:ascii="黑体" w:hAnsi="宋体" w:eastAsia="黑体"/>
          <w:b/>
          <w:bCs/>
          <w:color w:val="auto"/>
          <w:sz w:val="24"/>
          <w:highlight w:val="none"/>
          <w:lang w:val="en-US" w:eastAsia="zh-CN"/>
        </w:rPr>
        <w:t>违约承诺</w:t>
      </w:r>
    </w:p>
    <w:p w14:paraId="71DB6145">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2D74490C">
      <w:pPr>
        <w:pStyle w:val="39"/>
        <w:rPr>
          <w:rFonts w:hint="default"/>
          <w:color w:val="auto"/>
          <w:highlight w:val="none"/>
          <w:lang w:val="en-US" w:eastAsia="zh-CN"/>
        </w:rPr>
      </w:pPr>
      <w:r>
        <w:rPr>
          <w:rFonts w:hint="eastAsia" w:ascii="宋体" w:hAnsi="宋体" w:eastAsia="宋体" w:cs="宋体"/>
          <w:color w:val="auto"/>
          <w:kern w:val="1"/>
          <w:highlight w:val="none"/>
          <w:lang w:val="en-US" w:eastAsia="zh-CN"/>
        </w:rPr>
        <w:t>若此项列入评审因素必须填写；若未列入评审因素，则无须填写！</w:t>
      </w:r>
    </w:p>
    <w:p w14:paraId="34A39049">
      <w:pPr>
        <w:pStyle w:val="2"/>
        <w:rPr>
          <w:color w:val="auto"/>
          <w:highlight w:val="none"/>
        </w:rPr>
      </w:pPr>
    </w:p>
    <w:p w14:paraId="0E1F63E3">
      <w:pPr>
        <w:pStyle w:val="7"/>
        <w:jc w:val="left"/>
        <w:rPr>
          <w:rFonts w:hint="eastAsia"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rPr>
        <w:t>投标文件</w:t>
      </w:r>
      <w:r>
        <w:rPr>
          <w:rFonts w:hint="eastAsia" w:ascii="方正小标宋_GBK" w:hAnsi="方正小标宋_GBK" w:eastAsia="方正小标宋_GBK" w:cs="方正小标宋_GBK"/>
          <w:b/>
          <w:bCs/>
          <w:color w:val="auto"/>
          <w:sz w:val="44"/>
          <w:szCs w:val="44"/>
          <w:highlight w:val="none"/>
          <w:lang w:val="en-US" w:eastAsia="zh-CN"/>
        </w:rPr>
        <w:t>增项</w:t>
      </w:r>
    </w:p>
    <w:p w14:paraId="173B987D">
      <w:pPr>
        <w:pStyle w:val="133"/>
        <w:rPr>
          <w:rFonts w:hint="eastAsia" w:ascii="方正小标宋_GBK" w:hAnsi="方正小标宋_GBK" w:eastAsia="方正小标宋_GBK" w:cs="方正小标宋_GBK"/>
          <w:b/>
          <w:bCs/>
          <w:color w:val="auto"/>
          <w:sz w:val="44"/>
          <w:szCs w:val="44"/>
          <w:highlight w:val="none"/>
          <w:lang w:val="en-US" w:eastAsia="zh-CN"/>
        </w:rPr>
      </w:pPr>
    </w:p>
    <w:p w14:paraId="2C3BAF12">
      <w:pPr>
        <w:widowControl/>
        <w:tabs>
          <w:tab w:val="left" w:pos="720"/>
        </w:tabs>
        <w:spacing w:line="360" w:lineRule="auto"/>
        <w:ind w:left="630" w:firstLine="1446" w:firstLineChars="600"/>
        <w:rPr>
          <w:rFonts w:ascii="黑体" w:hAnsi="宋体" w:eastAsia="黑体"/>
          <w:b/>
          <w:color w:val="auto"/>
          <w:sz w:val="24"/>
          <w:szCs w:val="20"/>
          <w:highlight w:val="none"/>
        </w:rPr>
      </w:pPr>
      <w:r>
        <w:rPr>
          <w:rFonts w:hint="eastAsia" w:ascii="黑体" w:hAnsi="宋体" w:eastAsia="黑体"/>
          <w:b/>
          <w:color w:val="auto"/>
          <w:sz w:val="24"/>
          <w:highlight w:val="none"/>
          <w:lang w:val="en-US" w:eastAsia="zh-CN"/>
        </w:rPr>
        <w:t>一</w:t>
      </w:r>
      <w:r>
        <w:rPr>
          <w:rFonts w:hint="eastAsia" w:ascii="黑体" w:hAnsi="宋体" w:eastAsia="黑体"/>
          <w:b/>
          <w:color w:val="auto"/>
          <w:sz w:val="24"/>
          <w:highlight w:val="none"/>
        </w:rPr>
        <w:t>、供应商获奖情况</w:t>
      </w:r>
      <w:r>
        <w:rPr>
          <w:rFonts w:hint="eastAsia" w:ascii="黑体" w:hAnsi="宋体" w:eastAsia="黑体"/>
          <w:b/>
          <w:color w:val="auto"/>
          <w:sz w:val="24"/>
          <w:szCs w:val="20"/>
          <w:highlight w:val="none"/>
        </w:rPr>
        <w:t>（如有，格式自定）</w:t>
      </w:r>
    </w:p>
    <w:p w14:paraId="393FBCFF">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0A0D6C83">
      <w:pPr>
        <w:pStyle w:val="39"/>
        <w:rPr>
          <w:rFonts w:hint="default"/>
          <w:color w:val="auto"/>
          <w:highlight w:val="none"/>
          <w:lang w:val="en-US" w:eastAsia="zh-CN"/>
        </w:rPr>
      </w:pPr>
      <w:r>
        <w:rPr>
          <w:rFonts w:hint="eastAsia" w:ascii="宋体" w:hAnsi="宋体" w:eastAsia="宋体" w:cs="宋体"/>
          <w:color w:val="auto"/>
          <w:kern w:val="1"/>
          <w:highlight w:val="none"/>
          <w:lang w:val="en-US" w:eastAsia="zh-CN"/>
        </w:rPr>
        <w:t>若此项列入评审因素必须填写；若未列入评审因素，则无须填写！</w:t>
      </w:r>
    </w:p>
    <w:p w14:paraId="0FC1AEAC">
      <w:pPr>
        <w:pStyle w:val="34"/>
        <w:rPr>
          <w:color w:val="auto"/>
          <w:highlight w:val="none"/>
        </w:rPr>
      </w:pPr>
    </w:p>
    <w:p w14:paraId="2893F257">
      <w:pPr>
        <w:widowControl/>
        <w:tabs>
          <w:tab w:val="left" w:pos="720"/>
        </w:tabs>
        <w:spacing w:line="360" w:lineRule="auto"/>
        <w:ind w:left="630" w:firstLine="241" w:firstLineChars="100"/>
        <w:jc w:val="left"/>
        <w:rPr>
          <w:rFonts w:hint="eastAsia" w:ascii="黑体" w:hAnsi="宋体" w:eastAsia="黑体"/>
          <w:b/>
          <w:color w:val="auto"/>
          <w:sz w:val="24"/>
          <w:highlight w:val="none"/>
        </w:rPr>
      </w:pPr>
    </w:p>
    <w:p w14:paraId="2FB498E0">
      <w:pPr>
        <w:widowControl/>
        <w:tabs>
          <w:tab w:val="left" w:pos="720"/>
        </w:tabs>
        <w:spacing w:line="360" w:lineRule="auto"/>
        <w:ind w:left="630" w:firstLine="241" w:firstLineChars="100"/>
        <w:jc w:val="left"/>
        <w:rPr>
          <w:rFonts w:hint="eastAsia" w:ascii="黑体" w:hAnsi="宋体" w:eastAsia="黑体"/>
          <w:b/>
          <w:color w:val="auto"/>
          <w:sz w:val="24"/>
          <w:highlight w:val="none"/>
        </w:rPr>
      </w:pPr>
    </w:p>
    <w:p w14:paraId="4488501A">
      <w:pPr>
        <w:widowControl/>
        <w:tabs>
          <w:tab w:val="left" w:pos="720"/>
        </w:tabs>
        <w:spacing w:line="360" w:lineRule="auto"/>
        <w:ind w:left="630" w:firstLine="241" w:firstLineChars="100"/>
        <w:jc w:val="left"/>
        <w:rPr>
          <w:rFonts w:hint="eastAsia" w:ascii="黑体" w:hAnsi="宋体" w:eastAsia="黑体"/>
          <w:b/>
          <w:color w:val="auto"/>
          <w:sz w:val="24"/>
          <w:highlight w:val="none"/>
        </w:rPr>
      </w:pPr>
    </w:p>
    <w:p w14:paraId="691EACD5">
      <w:pPr>
        <w:widowControl/>
        <w:tabs>
          <w:tab w:val="left" w:pos="720"/>
        </w:tabs>
        <w:spacing w:line="360" w:lineRule="auto"/>
        <w:ind w:left="630" w:firstLine="241" w:firstLineChars="100"/>
        <w:jc w:val="left"/>
        <w:rPr>
          <w:rFonts w:ascii="黑体" w:hAnsi="宋体" w:eastAsia="黑体"/>
          <w:b/>
          <w:color w:val="auto"/>
          <w:sz w:val="24"/>
          <w:szCs w:val="20"/>
          <w:highlight w:val="none"/>
        </w:rPr>
      </w:pPr>
      <w:r>
        <w:rPr>
          <w:rFonts w:hint="eastAsia" w:ascii="黑体" w:hAnsi="宋体" w:eastAsia="黑体"/>
          <w:b/>
          <w:color w:val="auto"/>
          <w:sz w:val="24"/>
          <w:highlight w:val="none"/>
          <w:lang w:val="en-US" w:eastAsia="zh-CN"/>
        </w:rPr>
        <w:t>二</w:t>
      </w:r>
      <w:r>
        <w:rPr>
          <w:rFonts w:hint="eastAsia" w:ascii="黑体" w:hAnsi="宋体" w:eastAsia="黑体"/>
          <w:b/>
          <w:color w:val="auto"/>
          <w:sz w:val="24"/>
          <w:highlight w:val="none"/>
        </w:rPr>
        <w:t>、供应商自主知识产权产品（创新、设计）情况</w:t>
      </w:r>
      <w:r>
        <w:rPr>
          <w:rFonts w:hint="eastAsia" w:ascii="黑体" w:hAnsi="宋体" w:eastAsia="黑体"/>
          <w:b/>
          <w:color w:val="auto"/>
          <w:sz w:val="24"/>
          <w:szCs w:val="20"/>
          <w:highlight w:val="none"/>
        </w:rPr>
        <w:t>（如有，格式自定）</w:t>
      </w:r>
    </w:p>
    <w:p w14:paraId="70EC355C">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7B398A6E">
      <w:pPr>
        <w:pStyle w:val="39"/>
        <w:rPr>
          <w:rFonts w:hint="default"/>
          <w:color w:val="auto"/>
          <w:highlight w:val="none"/>
          <w:lang w:val="en-US" w:eastAsia="zh-CN"/>
        </w:rPr>
      </w:pPr>
      <w:r>
        <w:rPr>
          <w:rFonts w:hint="eastAsia" w:ascii="宋体" w:hAnsi="宋体" w:eastAsia="宋体" w:cs="宋体"/>
          <w:color w:val="auto"/>
          <w:kern w:val="1"/>
          <w:highlight w:val="none"/>
          <w:lang w:val="en-US" w:eastAsia="zh-CN"/>
        </w:rPr>
        <w:t>若此项列入评审因素必须填写；若未列入评审因素，则无须填写！</w:t>
      </w:r>
    </w:p>
    <w:p w14:paraId="2187490A">
      <w:pPr>
        <w:pStyle w:val="2"/>
        <w:rPr>
          <w:rFonts w:hint="eastAsia" w:ascii="宋体" w:hAnsi="宋体" w:eastAsia="宋体" w:cs="宋体"/>
          <w:color w:val="auto"/>
          <w:sz w:val="21"/>
          <w:szCs w:val="21"/>
          <w:highlight w:val="none"/>
        </w:rPr>
      </w:pPr>
    </w:p>
    <w:p w14:paraId="0D520C56">
      <w:pPr>
        <w:pStyle w:val="133"/>
        <w:rPr>
          <w:rFonts w:hint="eastAsia"/>
          <w:color w:val="auto"/>
          <w:highlight w:val="none"/>
          <w:lang w:eastAsia="zh-CN"/>
        </w:rPr>
      </w:pPr>
    </w:p>
    <w:p w14:paraId="7BFDB9F7">
      <w:pPr>
        <w:pStyle w:val="133"/>
        <w:rPr>
          <w:rFonts w:hint="eastAsia"/>
          <w:color w:val="auto"/>
          <w:highlight w:val="none"/>
          <w:lang w:eastAsia="zh-CN"/>
        </w:rPr>
      </w:pPr>
    </w:p>
    <w:p w14:paraId="661028C1">
      <w:pPr>
        <w:pStyle w:val="133"/>
        <w:rPr>
          <w:rFonts w:hint="eastAsia"/>
          <w:color w:val="auto"/>
          <w:highlight w:val="none"/>
          <w:lang w:eastAsia="zh-CN"/>
        </w:rPr>
      </w:pPr>
    </w:p>
    <w:p w14:paraId="00AA5CEA">
      <w:pPr>
        <w:pStyle w:val="9"/>
        <w:keepNext w:val="0"/>
        <w:keepLines w:val="0"/>
        <w:pageBreakBefore w:val="0"/>
        <w:widowControl w:val="0"/>
        <w:numPr>
          <w:ilvl w:val="0"/>
          <w:numId w:val="0"/>
        </w:numPr>
        <w:kinsoku/>
        <w:wordWrap/>
        <w:overflowPunct/>
        <w:topLinePunct w:val="0"/>
        <w:autoSpaceDE/>
        <w:autoSpaceDN/>
        <w:bidi w:val="0"/>
        <w:adjustRightInd/>
        <w:snapToGrid/>
        <w:ind w:leftChars="150"/>
        <w:jc w:val="left"/>
        <w:textAlignment w:val="auto"/>
        <w:rPr>
          <w:rFonts w:hint="eastAsia" w:ascii="黑体" w:hAnsi="宋体" w:eastAsia="黑体" w:cs="Times New Roman"/>
          <w:b/>
          <w:color w:val="auto"/>
          <w:kern w:val="2"/>
          <w:sz w:val="24"/>
          <w:szCs w:val="21"/>
          <w:highlight w:val="none"/>
          <w:lang w:val="en-US" w:eastAsia="zh-CN" w:bidi="ar-SA"/>
        </w:rPr>
      </w:pPr>
      <w:r>
        <w:rPr>
          <w:rFonts w:hint="eastAsia" w:ascii="黑体" w:hAnsi="宋体" w:eastAsia="黑体" w:cs="Times New Roman"/>
          <w:b/>
          <w:color w:val="auto"/>
          <w:kern w:val="2"/>
          <w:sz w:val="24"/>
          <w:szCs w:val="21"/>
          <w:highlight w:val="none"/>
          <w:lang w:val="en-US" w:eastAsia="zh-CN" w:bidi="ar-SA"/>
        </w:rPr>
        <w:t>三、拟投入的服务资源（车辆、场地、工具、机器等）情况（格式自定）</w:t>
      </w:r>
    </w:p>
    <w:p w14:paraId="765B0FA8">
      <w:pPr>
        <w:autoSpaceDE w:val="0"/>
        <w:autoSpaceDN w:val="0"/>
        <w:adjustRightInd w:val="0"/>
        <w:snapToGrid w:val="0"/>
        <w:spacing w:line="240" w:lineRule="atLeast"/>
        <w:rPr>
          <w:rFonts w:hint="eastAsia" w:ascii="宋体" w:hAnsi="宋体" w:eastAsia="宋体" w:cs="宋体"/>
          <w:color w:val="auto"/>
          <w:kern w:val="1"/>
          <w:highlight w:val="none"/>
          <w:lang w:val="en-US" w:eastAsia="zh-CN"/>
        </w:rPr>
      </w:pPr>
    </w:p>
    <w:p w14:paraId="4E665E09">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38747BFC">
      <w:pPr>
        <w:pStyle w:val="39"/>
        <w:rPr>
          <w:rFonts w:hint="default"/>
          <w:color w:val="auto"/>
          <w:highlight w:val="none"/>
          <w:lang w:val="en-US" w:eastAsia="zh-CN"/>
        </w:rPr>
      </w:pPr>
      <w:r>
        <w:rPr>
          <w:rFonts w:hint="eastAsia" w:ascii="宋体" w:hAnsi="宋体" w:eastAsia="宋体" w:cs="宋体"/>
          <w:color w:val="auto"/>
          <w:kern w:val="1"/>
          <w:highlight w:val="none"/>
          <w:lang w:val="en-US" w:eastAsia="zh-CN"/>
        </w:rPr>
        <w:t>若此项列入评审因素必须填写；若未列入评审因素，则无须填写！</w:t>
      </w:r>
    </w:p>
    <w:p w14:paraId="6A704681">
      <w:pPr>
        <w:numPr>
          <w:ilvl w:val="0"/>
          <w:numId w:val="0"/>
        </w:numPr>
        <w:ind w:leftChars="150"/>
        <w:rPr>
          <w:rFonts w:hint="eastAsia"/>
          <w:color w:val="auto"/>
          <w:highlight w:val="none"/>
          <w:lang w:val="en-US" w:eastAsia="zh-CN"/>
        </w:rPr>
      </w:pPr>
    </w:p>
    <w:p w14:paraId="479A2555">
      <w:pPr>
        <w:pStyle w:val="9"/>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黑体" w:hAnsi="宋体" w:eastAsia="黑体" w:cs="Times New Roman"/>
          <w:b/>
          <w:color w:val="auto"/>
          <w:kern w:val="2"/>
          <w:sz w:val="24"/>
          <w:szCs w:val="21"/>
          <w:highlight w:val="none"/>
          <w:lang w:val="en-US" w:eastAsia="zh-CN" w:bidi="ar-SA"/>
        </w:rPr>
      </w:pPr>
    </w:p>
    <w:p w14:paraId="06B63657">
      <w:pPr>
        <w:rPr>
          <w:rFonts w:hint="eastAsia" w:ascii="黑体" w:hAnsi="宋体" w:eastAsia="黑体" w:cs="Times New Roman"/>
          <w:b/>
          <w:color w:val="auto"/>
          <w:kern w:val="2"/>
          <w:sz w:val="24"/>
          <w:szCs w:val="21"/>
          <w:highlight w:val="none"/>
          <w:lang w:val="en-US" w:eastAsia="zh-CN" w:bidi="ar-SA"/>
        </w:rPr>
      </w:pPr>
    </w:p>
    <w:p w14:paraId="0547F249">
      <w:pPr>
        <w:pStyle w:val="39"/>
        <w:rPr>
          <w:rFonts w:hint="eastAsia" w:ascii="黑体" w:hAnsi="宋体" w:eastAsia="黑体" w:cs="Times New Roman"/>
          <w:b/>
          <w:color w:val="auto"/>
          <w:kern w:val="2"/>
          <w:sz w:val="24"/>
          <w:szCs w:val="21"/>
          <w:highlight w:val="none"/>
          <w:lang w:val="en-US" w:eastAsia="zh-CN" w:bidi="ar-SA"/>
        </w:rPr>
      </w:pPr>
    </w:p>
    <w:p w14:paraId="72543107">
      <w:pPr>
        <w:rPr>
          <w:rFonts w:hint="eastAsia" w:ascii="黑体" w:hAnsi="宋体" w:eastAsia="黑体" w:cs="Times New Roman"/>
          <w:b/>
          <w:color w:val="auto"/>
          <w:kern w:val="2"/>
          <w:sz w:val="24"/>
          <w:szCs w:val="21"/>
          <w:highlight w:val="none"/>
          <w:lang w:val="en-US" w:eastAsia="zh-CN" w:bidi="ar-SA"/>
        </w:rPr>
      </w:pPr>
    </w:p>
    <w:p w14:paraId="46DA9F9B">
      <w:pPr>
        <w:pStyle w:val="39"/>
        <w:rPr>
          <w:rFonts w:hint="eastAsia" w:ascii="黑体" w:hAnsi="宋体" w:eastAsia="黑体" w:cs="Times New Roman"/>
          <w:b/>
          <w:color w:val="auto"/>
          <w:kern w:val="2"/>
          <w:sz w:val="24"/>
          <w:szCs w:val="21"/>
          <w:highlight w:val="none"/>
          <w:lang w:val="en-US" w:eastAsia="zh-CN" w:bidi="ar-SA"/>
        </w:rPr>
      </w:pPr>
    </w:p>
    <w:p w14:paraId="4F8182BB">
      <w:pPr>
        <w:rPr>
          <w:rFonts w:hint="eastAsia"/>
          <w:color w:val="auto"/>
          <w:highlight w:val="none"/>
          <w:lang w:val="en-US" w:eastAsia="zh-CN"/>
        </w:rPr>
      </w:pPr>
    </w:p>
    <w:p w14:paraId="2F409B78">
      <w:pPr>
        <w:pStyle w:val="9"/>
        <w:keepNext w:val="0"/>
        <w:keepLines w:val="0"/>
        <w:pageBreakBefore w:val="0"/>
        <w:widowControl w:val="0"/>
        <w:kinsoku/>
        <w:wordWrap/>
        <w:overflowPunct/>
        <w:topLinePunct w:val="0"/>
        <w:autoSpaceDE/>
        <w:autoSpaceDN/>
        <w:bidi w:val="0"/>
        <w:adjustRightInd/>
        <w:snapToGrid/>
        <w:ind w:left="0" w:leftChars="0" w:firstLine="1205" w:firstLineChars="500"/>
        <w:jc w:val="left"/>
        <w:textAlignment w:val="auto"/>
        <w:rPr>
          <w:rFonts w:hint="eastAsia" w:ascii="黑体" w:hAnsi="宋体" w:eastAsia="黑体" w:cs="Times New Roman"/>
          <w:b/>
          <w:color w:val="auto"/>
          <w:kern w:val="2"/>
          <w:sz w:val="24"/>
          <w:szCs w:val="21"/>
          <w:highlight w:val="none"/>
          <w:lang w:val="en-US" w:eastAsia="zh-CN" w:bidi="ar-SA"/>
        </w:rPr>
      </w:pPr>
      <w:r>
        <w:rPr>
          <w:rFonts w:hint="eastAsia" w:ascii="黑体" w:hAnsi="宋体" w:eastAsia="黑体" w:cs="Times New Roman"/>
          <w:b/>
          <w:color w:val="auto"/>
          <w:kern w:val="2"/>
          <w:sz w:val="24"/>
          <w:szCs w:val="21"/>
          <w:highlight w:val="none"/>
          <w:lang w:val="en-US" w:eastAsia="zh-CN" w:bidi="ar-SA"/>
        </w:rPr>
        <w:t>四、投标人认为需要加以说明的其他内容（格式自定）</w:t>
      </w:r>
    </w:p>
    <w:p w14:paraId="7DB08971">
      <w:pPr>
        <w:autoSpaceDE w:val="0"/>
        <w:autoSpaceDN w:val="0"/>
        <w:adjustRightInd w:val="0"/>
        <w:snapToGrid w:val="0"/>
        <w:spacing w:line="240" w:lineRule="atLeast"/>
        <w:rPr>
          <w:rFonts w:hint="eastAsia" w:ascii="宋体" w:hAnsi="宋体" w:eastAsia="宋体" w:cs="宋体"/>
          <w:color w:val="auto"/>
          <w:kern w:val="1"/>
          <w:highlight w:val="none"/>
          <w:lang w:val="en-US" w:eastAsia="zh-CN"/>
        </w:rPr>
      </w:pPr>
    </w:p>
    <w:p w14:paraId="553C5C53">
      <w:pPr>
        <w:autoSpaceDE w:val="0"/>
        <w:autoSpaceDN w:val="0"/>
        <w:adjustRightInd w:val="0"/>
        <w:snapToGrid w:val="0"/>
        <w:spacing w:line="240" w:lineRule="atLeast"/>
        <w:rPr>
          <w:rFonts w:hint="default" w:ascii="宋体" w:hAnsi="宋体" w:eastAsia="宋体" w:cs="宋体"/>
          <w:color w:val="auto"/>
          <w:kern w:val="1"/>
          <w:highlight w:val="none"/>
          <w:lang w:val="en-US" w:eastAsia="zh-CN"/>
        </w:rPr>
      </w:pPr>
      <w:r>
        <w:rPr>
          <w:rFonts w:hint="eastAsia" w:ascii="宋体" w:hAnsi="宋体" w:eastAsia="宋体" w:cs="宋体"/>
          <w:color w:val="auto"/>
          <w:kern w:val="1"/>
          <w:highlight w:val="none"/>
          <w:lang w:val="en-US" w:eastAsia="zh-CN"/>
        </w:rPr>
        <w:t>特别提示：</w:t>
      </w:r>
    </w:p>
    <w:p w14:paraId="379FAA0C">
      <w:pPr>
        <w:pStyle w:val="39"/>
        <w:rPr>
          <w:rFonts w:hint="eastAsia" w:ascii="方正小标宋_GBK" w:hAnsi="方正小标宋_GBK" w:eastAsia="方正小标宋_GBK" w:cs="方正小标宋_GBK"/>
          <w:b/>
          <w:bCs/>
          <w:color w:val="auto"/>
          <w:sz w:val="32"/>
          <w:szCs w:val="32"/>
          <w:highlight w:val="none"/>
        </w:rPr>
      </w:pPr>
      <w:r>
        <w:rPr>
          <w:rFonts w:hint="eastAsia" w:ascii="宋体" w:hAnsi="宋体" w:eastAsia="宋体" w:cs="宋体"/>
          <w:color w:val="auto"/>
          <w:kern w:val="1"/>
          <w:highlight w:val="none"/>
          <w:lang w:val="en-US" w:eastAsia="zh-CN"/>
        </w:rPr>
        <w:t>若此项列入评审因素必须填写；若未列入评审因素，则无须填写。</w:t>
      </w:r>
    </w:p>
    <w:p w14:paraId="02D24794">
      <w:pPr>
        <w:pStyle w:val="7"/>
        <w:ind w:firstLine="2570" w:firstLineChars="800"/>
        <w:jc w:val="both"/>
        <w:rPr>
          <w:rFonts w:hint="eastAsia" w:ascii="方正小标宋_GBK" w:hAnsi="方正小标宋_GBK" w:eastAsia="方正小标宋_GBK" w:cs="方正小标宋_GBK"/>
          <w:b/>
          <w:bCs/>
          <w:color w:val="auto"/>
          <w:sz w:val="32"/>
          <w:szCs w:val="32"/>
          <w:highlight w:val="none"/>
        </w:rPr>
      </w:pPr>
      <w:r>
        <w:rPr>
          <w:rFonts w:hint="eastAsia" w:ascii="方正小标宋_GBK" w:hAnsi="方正小标宋_GBK" w:eastAsia="方正小标宋_GBK" w:cs="方正小标宋_GBK"/>
          <w:b/>
          <w:bCs/>
          <w:color w:val="auto"/>
          <w:sz w:val="32"/>
          <w:szCs w:val="32"/>
          <w:highlight w:val="none"/>
        </w:rPr>
        <w:t>第五章  合同条款及格式</w:t>
      </w:r>
    </w:p>
    <w:p w14:paraId="2F4622B3">
      <w:pPr>
        <w:pStyle w:val="7"/>
        <w:jc w:val="both"/>
        <w:rPr>
          <w:rFonts w:hint="eastAsia" w:ascii="方正小标宋_GBK" w:hAnsi="方正小标宋_GBK" w:eastAsia="方正小标宋_GBK" w:cs="方正小标宋_GBK"/>
          <w:color w:val="auto"/>
          <w:sz w:val="32"/>
          <w:szCs w:val="32"/>
          <w:highlight w:val="none"/>
        </w:rPr>
      </w:pPr>
    </w:p>
    <w:p w14:paraId="315E6037">
      <w:pPr>
        <w:rPr>
          <w:rFonts w:hint="eastAsia" w:ascii="方正小标宋_GBK" w:hAnsi="方正小标宋_GBK" w:eastAsia="方正小标宋_GBK" w:cs="方正小标宋_GBK"/>
          <w:color w:val="auto"/>
          <w:sz w:val="32"/>
          <w:szCs w:val="32"/>
          <w:highlight w:val="none"/>
        </w:rPr>
      </w:pPr>
    </w:p>
    <w:p w14:paraId="0970311A">
      <w:pPr>
        <w:pStyle w:val="136"/>
        <w:rPr>
          <w:rFonts w:hint="eastAsia"/>
          <w:color w:val="auto"/>
          <w:highlight w:val="none"/>
        </w:rPr>
      </w:pPr>
    </w:p>
    <w:p w14:paraId="54532BD4">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4710CF02">
      <w:pPr>
        <w:pStyle w:val="2"/>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1D17B0AC">
      <w:pPr>
        <w:rPr>
          <w:rFonts w:hint="eastAsia" w:ascii="宋体" w:hAnsi="宋体" w:eastAsia="宋体" w:cs="宋体"/>
          <w:b/>
          <w:bCs/>
          <w:color w:val="auto"/>
          <w:spacing w:val="-20"/>
          <w:kern w:val="44"/>
          <w:sz w:val="40"/>
          <w:szCs w:val="40"/>
          <w:highlight w:val="none"/>
        </w:rPr>
      </w:pPr>
    </w:p>
    <w:p w14:paraId="02AE5AE1">
      <w:pPr>
        <w:rPr>
          <w:rFonts w:hint="eastAsia" w:ascii="宋体" w:hAnsi="宋体" w:eastAsia="宋体" w:cs="宋体"/>
          <w:b/>
          <w:bCs/>
          <w:color w:val="auto"/>
          <w:spacing w:val="-20"/>
          <w:kern w:val="44"/>
          <w:sz w:val="40"/>
          <w:szCs w:val="40"/>
          <w:highlight w:val="none"/>
        </w:rPr>
      </w:pPr>
    </w:p>
    <w:p w14:paraId="1847359B">
      <w:pPr>
        <w:rPr>
          <w:rFonts w:hint="eastAsia" w:ascii="宋体" w:hAnsi="宋体" w:eastAsia="宋体" w:cs="宋体"/>
          <w:b/>
          <w:bCs/>
          <w:color w:val="auto"/>
          <w:spacing w:val="-20"/>
          <w:kern w:val="44"/>
          <w:sz w:val="40"/>
          <w:szCs w:val="40"/>
          <w:highlight w:val="none"/>
        </w:rPr>
      </w:pPr>
    </w:p>
    <w:p w14:paraId="1D7A8213">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DD13AF0">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9DAA40B">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84F64B2">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35D16A39">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95654D5">
      <w:pPr>
        <w:rPr>
          <w:color w:val="auto"/>
          <w:highlight w:val="none"/>
        </w:rPr>
      </w:pPr>
    </w:p>
    <w:p w14:paraId="10A39225">
      <w:pPr>
        <w:rPr>
          <w:rFonts w:eastAsia="黑体"/>
          <w:color w:val="auto"/>
          <w:sz w:val="44"/>
          <w:szCs w:val="44"/>
          <w:highlight w:val="none"/>
        </w:rPr>
      </w:pPr>
      <w:r>
        <w:rPr>
          <w:rFonts w:eastAsia="黑体"/>
          <w:color w:val="auto"/>
          <w:sz w:val="44"/>
          <w:szCs w:val="44"/>
          <w:highlight w:val="none"/>
        </w:rPr>
        <w:br w:type="page"/>
      </w:r>
    </w:p>
    <w:p w14:paraId="71C48044">
      <w:pPr>
        <w:rPr>
          <w:rFonts w:eastAsia="黑体"/>
          <w:color w:val="auto"/>
          <w:sz w:val="44"/>
          <w:szCs w:val="44"/>
          <w:highlight w:val="none"/>
        </w:rPr>
      </w:pPr>
    </w:p>
    <w:p w14:paraId="61632B2B">
      <w:pPr>
        <w:rPr>
          <w:rFonts w:hint="eastAsia" w:ascii="宋体" w:hAnsi="宋体" w:eastAsia="宋体" w:cs="宋体"/>
          <w:color w:val="auto"/>
          <w:sz w:val="32"/>
          <w:szCs w:val="32"/>
          <w:highlight w:val="none"/>
        </w:rPr>
      </w:pPr>
    </w:p>
    <w:p w14:paraId="2CE13FEE">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使</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用</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明</w:t>
      </w:r>
    </w:p>
    <w:p w14:paraId="388FA988">
      <w:pPr>
        <w:ind w:firstLine="640" w:firstLineChars="200"/>
        <w:rPr>
          <w:rFonts w:hint="eastAsia" w:ascii="宋体" w:hAnsi="宋体" w:eastAsia="宋体" w:cs="宋体"/>
          <w:color w:val="auto"/>
          <w:sz w:val="32"/>
          <w:szCs w:val="32"/>
          <w:highlight w:val="none"/>
          <w:lang w:val="en-US" w:eastAsia="zh-CN"/>
        </w:rPr>
      </w:pPr>
    </w:p>
    <w:p w14:paraId="64FC0C06">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00523A71">
      <w:pPr>
        <w:ind w:firstLine="0" w:firstLine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2.本合同标准文本为政府采购货物买卖合同编制提供参考，可以结合采购项目具体情况，对文本作必要的调整修订后使用。</w:t>
      </w:r>
    </w:p>
    <w:p w14:paraId="4C851B55">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06A59E3">
      <w:pPr>
        <w:ind w:firstLine="640" w:firstLineChars="200"/>
        <w:jc w:val="both"/>
        <w:rPr>
          <w:rFonts w:hint="eastAsia" w:ascii="宋体" w:hAnsi="宋体" w:eastAsia="宋体" w:cs="宋体"/>
          <w:color w:val="auto"/>
          <w:sz w:val="32"/>
          <w:szCs w:val="32"/>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588F731">
      <w:pPr>
        <w:pStyle w:val="7"/>
        <w:adjustRightInd w:val="0"/>
        <w:snapToGrid w:val="0"/>
        <w:spacing w:beforeLines="0" w:line="400" w:lineRule="exact"/>
        <w:jc w:val="center"/>
        <w:rPr>
          <w:rFonts w:hint="eastAsia" w:ascii="黑体" w:hAnsi="黑体" w:eastAsia="黑体"/>
          <w:color w:val="auto"/>
          <w:sz w:val="28"/>
          <w:szCs w:val="28"/>
          <w:highlight w:val="none"/>
        </w:rPr>
      </w:pPr>
      <w:bookmarkStart w:id="65" w:name="_Toc22209"/>
    </w:p>
    <w:p w14:paraId="5498BC78">
      <w:pPr>
        <w:pStyle w:val="7"/>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5"/>
    </w:p>
    <w:p w14:paraId="6DA57363">
      <w:pPr>
        <w:pStyle w:val="7"/>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30FD5B8">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76BCB013">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92ED31D">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9227611">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3E6830B">
      <w:pPr>
        <w:spacing w:beforeLines="0" w:line="400" w:lineRule="exact"/>
        <w:rPr>
          <w:rFonts w:hint="default" w:eastAsia="宋体"/>
          <w:color w:val="auto"/>
          <w:highlight w:val="none"/>
          <w:lang w:val="en-US" w:eastAsia="zh-CN"/>
        </w:rPr>
      </w:pPr>
    </w:p>
    <w:p w14:paraId="0A4AEFCB">
      <w:pPr>
        <w:pStyle w:val="19"/>
        <w:adjustRightInd w:val="0"/>
        <w:snapToGrid w:val="0"/>
        <w:spacing w:before="0" w:beforeLines="0" w:after="0" w:line="400" w:lineRule="exact"/>
        <w:ind w:left="0" w:leftChars="0" w:firstLine="64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31DF90A9">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058637E">
      <w:pPr>
        <w:pStyle w:val="19"/>
        <w:numPr>
          <w:ilvl w:val="0"/>
          <w:numId w:val="10"/>
        </w:numPr>
        <w:adjustRightInd w:val="0"/>
        <w:snapToGrid w:val="0"/>
        <w:spacing w:before="0" w:beforeLines="0" w:after="0" w:line="400" w:lineRule="exact"/>
        <w:ind w:left="0" w:leftChars="0" w:firstLine="64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71A5C6F">
      <w:pPr>
        <w:pStyle w:val="19"/>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792FAE6">
      <w:pPr>
        <w:pStyle w:val="19"/>
        <w:adjustRightInd w:val="0"/>
        <w:snapToGrid w:val="0"/>
        <w:spacing w:before="0" w:beforeLines="0" w:after="0" w:line="400" w:lineRule="exact"/>
        <w:ind w:left="0" w:leftChars="0" w:firstLine="64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2827996">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1DF6C94E">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2812A2AD">
      <w:pPr>
        <w:numPr>
          <w:ilvl w:val="0"/>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7D55C0C1">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379079F">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29ACC95C">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7986B8E7">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04333433">
      <w:pPr>
        <w:pStyle w:val="1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26BE66A">
      <w:pPr>
        <w:pStyle w:val="136"/>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785AF958">
      <w:pPr>
        <w:pStyle w:val="136"/>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B7DA57E">
      <w:pPr>
        <w:pStyle w:val="136"/>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DC1B6BA">
      <w:pPr>
        <w:pStyle w:val="136"/>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F48A241">
      <w:pPr>
        <w:pStyle w:val="136"/>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4541549">
      <w:pPr>
        <w:pStyle w:val="136"/>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7B1F0CC">
      <w:pPr>
        <w:pStyle w:val="136"/>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26DD0769">
      <w:pPr>
        <w:pStyle w:val="136"/>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F40612D">
      <w:pPr>
        <w:pStyle w:val="136"/>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A493080">
      <w:pPr>
        <w:pStyle w:val="136"/>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5589DEA5">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724FCD7">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FEEB56A">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8D18109">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1CFE5C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3C79322">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227CE82">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A4A3360">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408604B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561FA704">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98C2FCE">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2CE7B14C">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52F453C">
      <w:pPr>
        <w:pStyle w:val="136"/>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6AC7878">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75B3CEBD">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33573B59">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09C963D3">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0BE336E8">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41E7FED">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36416A8">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88AE21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D188F8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32FF2FD6">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61B28E96">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15FA350">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25F8509">
      <w:pPr>
        <w:pStyle w:val="136"/>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00FD1371">
      <w:pPr>
        <w:pStyle w:val="136"/>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2B04C081">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8959685">
      <w:pPr>
        <w:pStyle w:val="136"/>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2CD866EE">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174B6E79">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0066829E">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35CB8E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FA1D25C">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CE4B560">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11309D76">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0F015D7">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4D61B9FB">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4871BA74">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76DD905">
      <w:pPr>
        <w:pStyle w:val="79"/>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3F64A8AE">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638F898">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091C0C84">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4CBF156">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15834EE7">
      <w:pPr>
        <w:numPr>
          <w:ilvl w:val="0"/>
          <w:numId w:val="9"/>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02A5F2C1">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599B90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1ACA5FA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099755A">
      <w:pPr>
        <w:pStyle w:val="136"/>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4B9FA71">
      <w:pPr>
        <w:pStyle w:val="136"/>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8CD881F">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A3244FD">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16A2C28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23CD50F5">
      <w:pPr>
        <w:numPr>
          <w:ilvl w:val="0"/>
          <w:numId w:val="9"/>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B9EFC6E">
      <w:pPr>
        <w:numPr>
          <w:ilvl w:val="0"/>
          <w:numId w:val="11"/>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4B6C1F92">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2AAC8B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893481B">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6B02E9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95B057F">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843410E">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485CC82">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2934666D">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7A4125F0">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0F80B757">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106E4853">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0AC55285">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3C96F81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F16E034">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06E23490">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BFF4FC6">
      <w:pPr>
        <w:pStyle w:val="136"/>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78E6620">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2DCDFA6B">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4C97D7E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6712781">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F13A2D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7439F10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4329479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64E1404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C8E0DC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2A374E6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76BAC6BE">
      <w:pPr>
        <w:pStyle w:val="136"/>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48101D4">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A63098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DD9DC25">
      <w:pPr>
        <w:numPr>
          <w:ilvl w:val="0"/>
          <w:numId w:val="9"/>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07430CC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0DE2441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AFCCCA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9E1E391">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50924AD8">
      <w:pPr>
        <w:pStyle w:val="79"/>
        <w:spacing w:beforeLines="0" w:line="400" w:lineRule="exact"/>
        <w:rPr>
          <w:color w:val="auto"/>
          <w:highlight w:val="none"/>
        </w:rPr>
      </w:pPr>
    </w:p>
    <w:p w14:paraId="5379CBB8">
      <w:pPr>
        <w:pStyle w:val="7"/>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8F16D1">
      <w:pPr>
        <w:rPr>
          <w:rFonts w:hint="eastAsia"/>
          <w:color w:val="auto"/>
          <w:highlight w:val="none"/>
        </w:rPr>
      </w:pPr>
      <w:r>
        <w:rPr>
          <w:rFonts w:hint="eastAsia"/>
          <w:color w:val="auto"/>
          <w:highlight w:val="none"/>
        </w:rPr>
        <w:br w:type="page"/>
      </w:r>
    </w:p>
    <w:p w14:paraId="1F1B728C">
      <w:pPr>
        <w:pStyle w:val="79"/>
        <w:rPr>
          <w:rFonts w:hint="eastAsia"/>
          <w:color w:val="auto"/>
          <w:highlight w:val="none"/>
        </w:rPr>
      </w:pPr>
    </w:p>
    <w:tbl>
      <w:tblPr>
        <w:tblStyle w:val="4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128C8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D40C08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65718FD4">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A3BA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046ACE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CBAF52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6A9D7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2E0C4A65">
            <w:pPr>
              <w:adjustRightInd w:val="0"/>
              <w:snapToGrid w:val="0"/>
              <w:spacing w:line="300" w:lineRule="exact"/>
              <w:jc w:val="center"/>
              <w:rPr>
                <w:color w:val="auto"/>
                <w:spacing w:val="20"/>
                <w:szCs w:val="21"/>
                <w:highlight w:val="none"/>
              </w:rPr>
            </w:pPr>
          </w:p>
        </w:tc>
      </w:tr>
      <w:tr w14:paraId="27E229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C77AC42">
            <w:pPr>
              <w:adjustRightInd w:val="0"/>
              <w:snapToGrid w:val="0"/>
              <w:spacing w:line="300" w:lineRule="exact"/>
              <w:jc w:val="center"/>
              <w:rPr>
                <w:color w:val="auto"/>
                <w:szCs w:val="21"/>
                <w:highlight w:val="none"/>
              </w:rPr>
            </w:pPr>
            <w:r>
              <w:rPr>
                <w:color w:val="auto"/>
                <w:szCs w:val="21"/>
                <w:highlight w:val="none"/>
              </w:rPr>
              <w:t>法定代表人</w:t>
            </w:r>
          </w:p>
          <w:p w14:paraId="26BD1D1B">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1A56A5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047E4FA2">
            <w:pPr>
              <w:adjustRightInd w:val="0"/>
              <w:snapToGrid w:val="0"/>
              <w:spacing w:line="300" w:lineRule="exact"/>
              <w:jc w:val="center"/>
              <w:rPr>
                <w:color w:val="auto"/>
                <w:szCs w:val="21"/>
                <w:highlight w:val="none"/>
              </w:rPr>
            </w:pPr>
            <w:r>
              <w:rPr>
                <w:color w:val="auto"/>
                <w:szCs w:val="21"/>
                <w:highlight w:val="none"/>
              </w:rPr>
              <w:t>法定代表人</w:t>
            </w:r>
          </w:p>
          <w:p w14:paraId="1E1638ED">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6D99F000">
            <w:pPr>
              <w:adjustRightInd w:val="0"/>
              <w:snapToGrid w:val="0"/>
              <w:spacing w:line="300" w:lineRule="exact"/>
              <w:jc w:val="center"/>
              <w:rPr>
                <w:color w:val="auto"/>
                <w:szCs w:val="21"/>
                <w:highlight w:val="none"/>
              </w:rPr>
            </w:pPr>
          </w:p>
        </w:tc>
      </w:tr>
      <w:tr w14:paraId="7D58FC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noWrap w:val="0"/>
            <w:vAlign w:val="center"/>
          </w:tcPr>
          <w:p w14:paraId="617EA7B5">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24DE8F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986435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2490A9AA">
            <w:pPr>
              <w:adjustRightInd w:val="0"/>
              <w:snapToGrid w:val="0"/>
              <w:spacing w:line="300" w:lineRule="exact"/>
              <w:jc w:val="center"/>
              <w:rPr>
                <w:color w:val="auto"/>
                <w:spacing w:val="20"/>
                <w:szCs w:val="21"/>
                <w:highlight w:val="none"/>
              </w:rPr>
            </w:pPr>
          </w:p>
        </w:tc>
      </w:tr>
      <w:tr w14:paraId="029B3A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AB25E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A665C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E54D08">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7DFCCB41">
            <w:pPr>
              <w:adjustRightInd w:val="0"/>
              <w:snapToGrid w:val="0"/>
              <w:spacing w:line="300" w:lineRule="exact"/>
              <w:jc w:val="center"/>
              <w:rPr>
                <w:color w:val="auto"/>
                <w:spacing w:val="20"/>
                <w:szCs w:val="21"/>
                <w:highlight w:val="none"/>
              </w:rPr>
            </w:pPr>
          </w:p>
        </w:tc>
      </w:tr>
      <w:tr w14:paraId="2DDABB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13FD82C">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65A05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F5B9FB">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4E128F0">
            <w:pPr>
              <w:adjustRightInd w:val="0"/>
              <w:snapToGrid w:val="0"/>
              <w:spacing w:line="300" w:lineRule="exact"/>
              <w:jc w:val="center"/>
              <w:rPr>
                <w:color w:val="auto"/>
                <w:spacing w:val="20"/>
                <w:szCs w:val="21"/>
                <w:highlight w:val="none"/>
              </w:rPr>
            </w:pPr>
          </w:p>
        </w:tc>
      </w:tr>
      <w:tr w14:paraId="7E780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6C08A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11F20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896E60">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4E2A3BF">
            <w:pPr>
              <w:adjustRightInd w:val="0"/>
              <w:snapToGrid w:val="0"/>
              <w:spacing w:line="300" w:lineRule="exact"/>
              <w:jc w:val="center"/>
              <w:rPr>
                <w:color w:val="auto"/>
                <w:spacing w:val="20"/>
                <w:szCs w:val="21"/>
                <w:highlight w:val="none"/>
              </w:rPr>
            </w:pPr>
          </w:p>
        </w:tc>
      </w:tr>
      <w:tr w14:paraId="1ECDAE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9C2062">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AFE0A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D69B0E">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75D8005F">
            <w:pPr>
              <w:adjustRightInd w:val="0"/>
              <w:snapToGrid w:val="0"/>
              <w:spacing w:line="300" w:lineRule="exact"/>
              <w:jc w:val="center"/>
              <w:rPr>
                <w:color w:val="auto"/>
                <w:spacing w:val="20"/>
                <w:szCs w:val="21"/>
                <w:highlight w:val="none"/>
              </w:rPr>
            </w:pPr>
          </w:p>
        </w:tc>
      </w:tr>
      <w:tr w14:paraId="76A1B7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0F399">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82277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4AEBA2">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F4772CF">
            <w:pPr>
              <w:adjustRightInd w:val="0"/>
              <w:snapToGrid w:val="0"/>
              <w:spacing w:line="300" w:lineRule="exact"/>
              <w:jc w:val="center"/>
              <w:rPr>
                <w:color w:val="auto"/>
                <w:spacing w:val="20"/>
                <w:szCs w:val="21"/>
                <w:highlight w:val="none"/>
              </w:rPr>
            </w:pPr>
          </w:p>
        </w:tc>
      </w:tr>
      <w:tr w14:paraId="70D33B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CC6F2C">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8FF70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62CDC4">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708067C">
            <w:pPr>
              <w:adjustRightInd w:val="0"/>
              <w:snapToGrid w:val="0"/>
              <w:spacing w:line="300" w:lineRule="exact"/>
              <w:jc w:val="center"/>
              <w:rPr>
                <w:color w:val="auto"/>
                <w:spacing w:val="20"/>
                <w:szCs w:val="21"/>
                <w:highlight w:val="none"/>
              </w:rPr>
            </w:pPr>
          </w:p>
        </w:tc>
      </w:tr>
      <w:tr w14:paraId="12575C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0D490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57FEA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AFCEB5">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8A7F463">
            <w:pPr>
              <w:adjustRightInd w:val="0"/>
              <w:snapToGrid w:val="0"/>
              <w:spacing w:line="300" w:lineRule="exact"/>
              <w:jc w:val="center"/>
              <w:rPr>
                <w:color w:val="auto"/>
                <w:spacing w:val="20"/>
                <w:szCs w:val="21"/>
                <w:highlight w:val="none"/>
              </w:rPr>
            </w:pPr>
          </w:p>
        </w:tc>
      </w:tr>
      <w:tr w14:paraId="17DF74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AC2777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A5AB0B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4CD4CB0">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1C539A6D">
            <w:pPr>
              <w:adjustRightInd w:val="0"/>
              <w:snapToGrid w:val="0"/>
              <w:spacing w:line="300" w:lineRule="exact"/>
              <w:jc w:val="center"/>
              <w:rPr>
                <w:color w:val="auto"/>
                <w:spacing w:val="20"/>
                <w:szCs w:val="21"/>
                <w:highlight w:val="none"/>
              </w:rPr>
            </w:pPr>
          </w:p>
        </w:tc>
      </w:tr>
      <w:tr w14:paraId="2C0D9E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51B749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4220B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4C9DDD">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4A83C04">
            <w:pPr>
              <w:adjustRightInd w:val="0"/>
              <w:snapToGrid w:val="0"/>
              <w:spacing w:line="300" w:lineRule="exact"/>
              <w:jc w:val="center"/>
              <w:rPr>
                <w:color w:val="auto"/>
                <w:spacing w:val="20"/>
                <w:szCs w:val="21"/>
                <w:highlight w:val="none"/>
              </w:rPr>
            </w:pPr>
          </w:p>
        </w:tc>
      </w:tr>
      <w:tr w14:paraId="4877FD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BD606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810E4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AADAE52">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09B2006">
            <w:pPr>
              <w:adjustRightInd w:val="0"/>
              <w:snapToGrid w:val="0"/>
              <w:spacing w:line="300" w:lineRule="exact"/>
              <w:jc w:val="center"/>
              <w:rPr>
                <w:color w:val="auto"/>
                <w:spacing w:val="20"/>
                <w:szCs w:val="21"/>
                <w:highlight w:val="none"/>
              </w:rPr>
            </w:pPr>
          </w:p>
        </w:tc>
      </w:tr>
      <w:tr w14:paraId="7EB33B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17CC359">
            <w:pPr>
              <w:pStyle w:val="19"/>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2370C86">
      <w:pPr>
        <w:pStyle w:val="7"/>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66" w:name="_Toc27624"/>
      <w:r>
        <w:rPr>
          <w:rFonts w:hint="eastAsia" w:ascii="黑体" w:hAnsi="黑体" w:eastAsia="黑体"/>
          <w:b w:val="0"/>
          <w:bCs w:val="0"/>
          <w:color w:val="auto"/>
          <w:sz w:val="28"/>
          <w:szCs w:val="28"/>
          <w:highlight w:val="none"/>
        </w:rPr>
        <w:t>第二节 政府采购合同通用条款</w:t>
      </w:r>
      <w:bookmarkEnd w:id="66"/>
    </w:p>
    <w:p w14:paraId="1CD523F1">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768BBB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F01E1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1F173C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BB0F6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87BE74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506FA9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00727991">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A80D2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18E0C0B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544CF68A">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083BCD4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C35010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5BCEFAB">
      <w:pPr>
        <w:numPr>
          <w:ilvl w:val="0"/>
          <w:numId w:val="12"/>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0B0F9646">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8E0E0B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5A172A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504DBF8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762E65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4AD27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45B33B1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83CDF70">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5482EA4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89768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1FDCB2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2EFF8A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11A601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45D7F4E">
      <w:pPr>
        <w:pStyle w:val="2"/>
        <w:spacing w:after="0" w:line="400" w:lineRule="exact"/>
        <w:ind w:firstLine="49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3BCFB3D1">
      <w:pPr>
        <w:pStyle w:val="2"/>
        <w:spacing w:after="0" w:line="400" w:lineRule="exact"/>
        <w:ind w:firstLine="49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558A347">
      <w:pPr>
        <w:numPr>
          <w:ilvl w:val="0"/>
          <w:numId w:val="13"/>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B03D8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0D39772">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E59878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1B32C8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3653B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9BDB79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53912F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66125D2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0587055C">
      <w:pPr>
        <w:pStyle w:val="136"/>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5F2D913">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4C3D693">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05275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2D972CC">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6F27C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B8B70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F5494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74BF3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F0716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C9C06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BC020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139B459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5A4FD2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36C5D7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7F0AEC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06F69B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0DC631E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7084E0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6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highlight w:val="none"/>
        </w:rPr>
        <w:t>。</w:t>
      </w:r>
    </w:p>
    <w:p w14:paraId="5BAA456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22DA10E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A0870E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6DAA597">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24BF741">
      <w:pPr>
        <w:pStyle w:val="7"/>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77FF4537">
      <w:pPr>
        <w:pStyle w:val="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3DE5FF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0FCA69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DC086E3">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B9F8CAF">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4EC23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4441CB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D6070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6BDA0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78BB45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4F37E5E6">
      <w:pPr>
        <w:pStyle w:val="1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18B26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3BE8E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17FDE23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32C6D9D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09D6A0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8C99043">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18275D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D74617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A6E30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767D751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745378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4BB0263">
      <w:pPr>
        <w:numPr>
          <w:ilvl w:val="0"/>
          <w:numId w:val="14"/>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165478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7BED2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B465D3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533F6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789C54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2AECE98">
      <w:pPr>
        <w:pStyle w:val="136"/>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7350A97">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088D39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7499AC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573D6F8">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470FAFC">
      <w:pPr>
        <w:pStyle w:val="1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6808EC8">
      <w:pPr>
        <w:pStyle w:val="136"/>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3323A68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DE6FB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F7791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3B2980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4FF1DF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E7E00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3846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8621E6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F094E02">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572913DB">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779D00DD">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5693EF34">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91DE93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0B2E7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117C473">
      <w:pPr>
        <w:pStyle w:val="2"/>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407972">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BFD1890">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2749DC71">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8CD72E5">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60E3B12">
      <w:pPr>
        <w:pStyle w:val="13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4AE6A7F">
      <w:pPr>
        <w:pStyle w:val="136"/>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792CBEA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03C3C81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62115C0">
      <w:pPr>
        <w:numPr>
          <w:ilvl w:val="0"/>
          <w:numId w:val="15"/>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EED6C34">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11D3B51">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68" w:name="_Toc20313"/>
    </w:p>
    <w:p w14:paraId="344CA11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5EE5255D">
      <w:pPr>
        <w:pStyle w:val="7"/>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6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07ED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91694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67C1AA">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19663A23">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6F761F8B">
            <w:pPr>
              <w:adjustRightInd w:val="0"/>
              <w:snapToGrid w:val="0"/>
              <w:jc w:val="left"/>
              <w:rPr>
                <w:rFonts w:ascii="宋体" w:hAnsi="宋体"/>
                <w:color w:val="auto"/>
                <w:szCs w:val="21"/>
                <w:highlight w:val="none"/>
              </w:rPr>
            </w:pPr>
          </w:p>
        </w:tc>
      </w:tr>
      <w:tr w14:paraId="39A433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73627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43B02E">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14E2FF4A">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26B4354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49734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0D79F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48D3FD">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3897F46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3B396C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37E9E9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96E13D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815B8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71F71AC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029AFD94">
            <w:pPr>
              <w:adjustRightInd w:val="0"/>
              <w:snapToGrid w:val="0"/>
              <w:jc w:val="left"/>
              <w:rPr>
                <w:rFonts w:ascii="宋体" w:hAnsi="宋体" w:eastAsia="宋体" w:cs="Times New Roman"/>
                <w:color w:val="auto"/>
                <w:kern w:val="2"/>
                <w:sz w:val="21"/>
                <w:szCs w:val="21"/>
                <w:highlight w:val="none"/>
                <w:lang w:val="en-US" w:eastAsia="zh-CN" w:bidi="ar-SA"/>
              </w:rPr>
            </w:pPr>
          </w:p>
        </w:tc>
      </w:tr>
      <w:tr w14:paraId="0A4025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71199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3618D9EF">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087AC998">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40C85E46">
            <w:pPr>
              <w:adjustRightInd w:val="0"/>
              <w:snapToGrid w:val="0"/>
              <w:jc w:val="left"/>
              <w:rPr>
                <w:rFonts w:ascii="宋体" w:hAnsi="宋体" w:eastAsia="宋体" w:cs="Times New Roman"/>
                <w:color w:val="auto"/>
                <w:kern w:val="2"/>
                <w:sz w:val="21"/>
                <w:szCs w:val="21"/>
                <w:highlight w:val="none"/>
                <w:lang w:val="en-US" w:eastAsia="zh-CN" w:bidi="ar-SA"/>
              </w:rPr>
            </w:pPr>
          </w:p>
        </w:tc>
      </w:tr>
      <w:tr w14:paraId="35EB6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984A4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8998B8F">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5AAEC098">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59E70C34">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06C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00DFCA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594B8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40283A76">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20505098">
            <w:pPr>
              <w:rPr>
                <w:color w:val="auto"/>
                <w:highlight w:val="none"/>
              </w:rPr>
            </w:pPr>
          </w:p>
        </w:tc>
      </w:tr>
      <w:tr w14:paraId="56456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3E48E37">
            <w:pPr>
              <w:adjustRightInd w:val="0"/>
              <w:snapToGrid w:val="0"/>
              <w:jc w:val="center"/>
              <w:rPr>
                <w:rFonts w:hint="eastAsia" w:ascii="宋体" w:hAnsi="宋体"/>
                <w:color w:val="auto"/>
                <w:szCs w:val="21"/>
                <w:highlight w:val="none"/>
              </w:rPr>
            </w:pPr>
          </w:p>
        </w:tc>
        <w:tc>
          <w:tcPr>
            <w:tcW w:w="1742" w:type="dxa"/>
            <w:noWrap w:val="0"/>
            <w:vAlign w:val="center"/>
          </w:tcPr>
          <w:p w14:paraId="40016EC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452C5117">
            <w:pPr>
              <w:rPr>
                <w:rFonts w:hint="eastAsia"/>
                <w:color w:val="auto"/>
                <w:highlight w:val="none"/>
              </w:rPr>
            </w:pPr>
          </w:p>
        </w:tc>
      </w:tr>
      <w:tr w14:paraId="2EF365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8E4C81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1EB10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5BA8457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46C77A2D">
            <w:pPr>
              <w:rPr>
                <w:rFonts w:hint="eastAsia"/>
                <w:color w:val="auto"/>
                <w:highlight w:val="none"/>
              </w:rPr>
            </w:pPr>
          </w:p>
        </w:tc>
      </w:tr>
      <w:tr w14:paraId="04A9F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83290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B2146F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37BB95B8">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0A3A2C4A">
            <w:pPr>
              <w:rPr>
                <w:rFonts w:hint="eastAsia"/>
                <w:color w:val="auto"/>
                <w:highlight w:val="none"/>
              </w:rPr>
            </w:pPr>
          </w:p>
        </w:tc>
      </w:tr>
      <w:tr w14:paraId="1D2AC2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5EED30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317383">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4BB3A7E3">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7A01B8AC">
            <w:pPr>
              <w:autoSpaceDE w:val="0"/>
              <w:autoSpaceDN w:val="0"/>
              <w:adjustRightInd w:val="0"/>
              <w:snapToGrid w:val="0"/>
              <w:ind w:firstLine="420" w:firstLineChars="200"/>
              <w:jc w:val="left"/>
              <w:rPr>
                <w:rFonts w:ascii="宋体" w:hAnsi="宋体"/>
                <w:color w:val="auto"/>
                <w:szCs w:val="21"/>
                <w:highlight w:val="none"/>
              </w:rPr>
            </w:pPr>
          </w:p>
        </w:tc>
      </w:tr>
      <w:tr w14:paraId="3A729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133D8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3B4F42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45D436FB">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1FD66E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45244F4F">
            <w:pPr>
              <w:adjustRightInd w:val="0"/>
              <w:snapToGrid w:val="0"/>
              <w:jc w:val="left"/>
              <w:rPr>
                <w:rFonts w:ascii="宋体" w:hAnsi="宋体"/>
                <w:color w:val="auto"/>
                <w:szCs w:val="21"/>
                <w:highlight w:val="none"/>
              </w:rPr>
            </w:pPr>
          </w:p>
        </w:tc>
      </w:tr>
      <w:tr w14:paraId="6B7DD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3B0C6E">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0050719E">
            <w:pPr>
              <w:pStyle w:val="136"/>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0D1FF8C8">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5FE85935">
            <w:pPr>
              <w:adjustRightInd w:val="0"/>
              <w:snapToGrid w:val="0"/>
              <w:jc w:val="left"/>
              <w:rPr>
                <w:rFonts w:ascii="宋体" w:hAnsi="宋体"/>
                <w:color w:val="auto"/>
                <w:szCs w:val="21"/>
                <w:highlight w:val="none"/>
              </w:rPr>
            </w:pPr>
          </w:p>
        </w:tc>
      </w:tr>
      <w:tr w14:paraId="18D0B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C6A5B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2E7B5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72C67D2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24E026F3">
            <w:pPr>
              <w:adjustRightInd w:val="0"/>
              <w:snapToGrid w:val="0"/>
              <w:jc w:val="left"/>
              <w:rPr>
                <w:rFonts w:ascii="宋体" w:hAnsi="宋体"/>
                <w:color w:val="auto"/>
                <w:szCs w:val="21"/>
                <w:highlight w:val="none"/>
              </w:rPr>
            </w:pPr>
          </w:p>
        </w:tc>
      </w:tr>
      <w:tr w14:paraId="11CA6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D6EB8C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6E9455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00E6DEB5">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4DC4DDBC">
            <w:pPr>
              <w:adjustRightInd w:val="0"/>
              <w:snapToGrid w:val="0"/>
              <w:jc w:val="left"/>
              <w:rPr>
                <w:rFonts w:ascii="宋体" w:hAnsi="宋体"/>
                <w:color w:val="auto"/>
                <w:szCs w:val="21"/>
                <w:highlight w:val="none"/>
              </w:rPr>
            </w:pPr>
          </w:p>
        </w:tc>
      </w:tr>
      <w:tr w14:paraId="7BD99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005286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2AE536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4F186FD7">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356F02A2">
            <w:pPr>
              <w:adjustRightInd w:val="0"/>
              <w:snapToGrid w:val="0"/>
              <w:jc w:val="left"/>
              <w:rPr>
                <w:rFonts w:ascii="宋体" w:hAnsi="宋体"/>
                <w:color w:val="auto"/>
                <w:szCs w:val="21"/>
                <w:highlight w:val="none"/>
              </w:rPr>
            </w:pPr>
          </w:p>
        </w:tc>
      </w:tr>
      <w:tr w14:paraId="000CA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F69F7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897B0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1D01A994">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46F43935">
            <w:pPr>
              <w:adjustRightInd w:val="0"/>
              <w:snapToGrid w:val="0"/>
              <w:jc w:val="left"/>
              <w:rPr>
                <w:rFonts w:ascii="宋体" w:hAnsi="宋体"/>
                <w:color w:val="auto"/>
                <w:szCs w:val="21"/>
                <w:highlight w:val="none"/>
              </w:rPr>
            </w:pPr>
          </w:p>
        </w:tc>
      </w:tr>
      <w:tr w14:paraId="68B035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6A91E4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49C5C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4773C05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52506B6D">
            <w:pPr>
              <w:adjustRightInd w:val="0"/>
              <w:snapToGrid w:val="0"/>
              <w:jc w:val="left"/>
              <w:rPr>
                <w:rFonts w:ascii="宋体" w:hAnsi="宋体"/>
                <w:color w:val="auto"/>
                <w:szCs w:val="21"/>
                <w:highlight w:val="none"/>
              </w:rPr>
            </w:pPr>
          </w:p>
        </w:tc>
      </w:tr>
      <w:tr w14:paraId="78BE6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3A2B1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BA1632">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557DB990">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2FCA3E9E">
            <w:pPr>
              <w:adjustRightInd w:val="0"/>
              <w:snapToGrid w:val="0"/>
              <w:jc w:val="left"/>
              <w:rPr>
                <w:rFonts w:ascii="宋体" w:hAnsi="宋体"/>
                <w:color w:val="auto"/>
                <w:szCs w:val="21"/>
                <w:highlight w:val="none"/>
              </w:rPr>
            </w:pPr>
          </w:p>
        </w:tc>
      </w:tr>
      <w:tr w14:paraId="4FAD39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54CC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B0234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0E0798D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46486DA3">
            <w:pPr>
              <w:adjustRightInd w:val="0"/>
              <w:snapToGrid w:val="0"/>
              <w:jc w:val="left"/>
              <w:rPr>
                <w:rFonts w:ascii="宋体" w:hAnsi="宋体"/>
                <w:color w:val="auto"/>
                <w:szCs w:val="21"/>
                <w:highlight w:val="none"/>
              </w:rPr>
            </w:pPr>
          </w:p>
        </w:tc>
      </w:tr>
      <w:tr w14:paraId="48E7C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BEE3A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1669A10">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3B1282A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75F99314">
            <w:pPr>
              <w:adjustRightInd w:val="0"/>
              <w:snapToGrid w:val="0"/>
              <w:jc w:val="left"/>
              <w:rPr>
                <w:rFonts w:ascii="宋体" w:hAnsi="宋体"/>
                <w:color w:val="auto"/>
                <w:szCs w:val="21"/>
                <w:highlight w:val="none"/>
                <w:u w:val="single"/>
              </w:rPr>
            </w:pPr>
          </w:p>
        </w:tc>
      </w:tr>
      <w:tr w14:paraId="43356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74106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8F5BC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536874E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691FE1B0">
            <w:pPr>
              <w:adjustRightInd w:val="0"/>
              <w:snapToGrid w:val="0"/>
              <w:jc w:val="left"/>
              <w:rPr>
                <w:rFonts w:ascii="宋体" w:hAnsi="宋体"/>
                <w:color w:val="auto"/>
                <w:szCs w:val="21"/>
                <w:highlight w:val="none"/>
                <w:u w:val="single"/>
              </w:rPr>
            </w:pPr>
          </w:p>
        </w:tc>
      </w:tr>
      <w:tr w14:paraId="2A9FE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397D6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27844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0D6299FC">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03C90A10">
            <w:pPr>
              <w:adjustRightInd w:val="0"/>
              <w:snapToGrid w:val="0"/>
              <w:jc w:val="left"/>
              <w:rPr>
                <w:rFonts w:ascii="宋体" w:hAnsi="宋体"/>
                <w:color w:val="auto"/>
                <w:szCs w:val="21"/>
                <w:highlight w:val="none"/>
                <w:u w:val="single"/>
              </w:rPr>
            </w:pPr>
          </w:p>
        </w:tc>
      </w:tr>
      <w:tr w14:paraId="5533A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D17FDA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5FE0C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4C7BFA5">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358604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166603ED">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1D54792">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783F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0BD9FE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5DFC6A">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6940DF51">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012A076C">
            <w:pPr>
              <w:adjustRightInd w:val="0"/>
              <w:snapToGrid w:val="0"/>
              <w:jc w:val="left"/>
              <w:rPr>
                <w:rFonts w:hint="default" w:ascii="宋体" w:hAnsi="宋体" w:eastAsia="宋体"/>
                <w:color w:val="auto"/>
                <w:szCs w:val="21"/>
                <w:highlight w:val="none"/>
                <w:lang w:val="en-US" w:eastAsia="zh-CN"/>
              </w:rPr>
            </w:pPr>
          </w:p>
        </w:tc>
      </w:tr>
    </w:tbl>
    <w:p w14:paraId="221CAB74">
      <w:pPr>
        <w:rPr>
          <w:color w:val="auto"/>
          <w:highlight w:val="none"/>
        </w:rPr>
      </w:pPr>
    </w:p>
    <w:p w14:paraId="628AA33E">
      <w:pPr>
        <w:rPr>
          <w:color w:val="auto"/>
          <w:highlight w:val="none"/>
        </w:rPr>
      </w:pPr>
    </w:p>
    <w:p w14:paraId="1177443A">
      <w:pPr>
        <w:pStyle w:val="5"/>
        <w:spacing w:before="0" w:after="0"/>
        <w:ind w:left="0" w:leftChars="0" w:firstLine="0" w:firstLineChars="0"/>
        <w:jc w:val="both"/>
        <w:rPr>
          <w:rFonts w:hint="default" w:ascii="方正黑体_GBK" w:hAnsi="方正黑体_GBK" w:eastAsia="方正黑体_GBK" w:cs="方正黑体_GBK"/>
          <w:b/>
          <w:bCs w:val="0"/>
          <w:color w:val="auto"/>
          <w:highlight w:val="none"/>
          <w:lang w:val="en-US" w:eastAsia="zh-CN"/>
        </w:rPr>
      </w:pPr>
      <w:bookmarkStart w:id="69" w:name="_Toc73613644"/>
      <w:bookmarkStart w:id="70" w:name="_Toc73610162"/>
    </w:p>
    <w:p w14:paraId="55254E03">
      <w:pPr>
        <w:rPr>
          <w:rFonts w:hint="default" w:ascii="方正黑体_GBK" w:hAnsi="方正黑体_GBK" w:eastAsia="方正黑体_GBK" w:cs="方正黑体_GBK"/>
          <w:b/>
          <w:bCs w:val="0"/>
          <w:color w:val="auto"/>
          <w:highlight w:val="none"/>
          <w:lang w:val="en-US" w:eastAsia="zh-CN"/>
        </w:rPr>
      </w:pPr>
    </w:p>
    <w:p w14:paraId="6961041D">
      <w:pPr>
        <w:pStyle w:val="136"/>
        <w:rPr>
          <w:rFonts w:hint="default" w:ascii="方正黑体_GBK" w:hAnsi="方正黑体_GBK" w:eastAsia="方正黑体_GBK" w:cs="方正黑体_GBK"/>
          <w:b/>
          <w:bCs w:val="0"/>
          <w:color w:val="auto"/>
          <w:highlight w:val="none"/>
          <w:lang w:val="en-US" w:eastAsia="zh-CN"/>
        </w:rPr>
      </w:pPr>
    </w:p>
    <w:p w14:paraId="57FA0ED9">
      <w:pPr>
        <w:pStyle w:val="136"/>
        <w:rPr>
          <w:rFonts w:hint="default" w:ascii="方正黑体_GBK" w:hAnsi="方正黑体_GBK" w:eastAsia="方正黑体_GBK" w:cs="方正黑体_GBK"/>
          <w:b/>
          <w:bCs w:val="0"/>
          <w:color w:val="auto"/>
          <w:highlight w:val="none"/>
          <w:lang w:val="en-US" w:eastAsia="zh-CN"/>
        </w:rPr>
      </w:pPr>
    </w:p>
    <w:p w14:paraId="00F1B305">
      <w:pPr>
        <w:pStyle w:val="136"/>
        <w:rPr>
          <w:rFonts w:hint="default" w:ascii="方正黑体_GBK" w:hAnsi="方正黑体_GBK" w:eastAsia="方正黑体_GBK" w:cs="方正黑体_GBK"/>
          <w:b/>
          <w:bCs w:val="0"/>
          <w:color w:val="auto"/>
          <w:highlight w:val="none"/>
          <w:lang w:val="en-US" w:eastAsia="zh-CN"/>
        </w:rPr>
      </w:pPr>
    </w:p>
    <w:p w14:paraId="58735B0A">
      <w:pPr>
        <w:pStyle w:val="136"/>
        <w:ind w:left="0" w:leftChars="0" w:firstLine="0" w:firstLineChars="0"/>
        <w:rPr>
          <w:rFonts w:hint="default" w:ascii="方正黑体_GBK" w:hAnsi="方正黑体_GBK" w:eastAsia="方正黑体_GBK" w:cs="方正黑体_GBK"/>
          <w:b/>
          <w:bCs w:val="0"/>
          <w:color w:val="auto"/>
          <w:highlight w:val="none"/>
          <w:lang w:val="en-US" w:eastAsia="zh-CN"/>
        </w:rPr>
      </w:pPr>
    </w:p>
    <w:p w14:paraId="43D15252">
      <w:pPr>
        <w:pStyle w:val="136"/>
        <w:ind w:left="0" w:leftChars="0" w:firstLine="0" w:firstLineChars="0"/>
        <w:rPr>
          <w:rFonts w:hint="default" w:ascii="方正黑体_GBK" w:hAnsi="方正黑体_GBK" w:eastAsia="方正黑体_GBK" w:cs="方正黑体_GBK"/>
          <w:b/>
          <w:bCs w:val="0"/>
          <w:color w:val="auto"/>
          <w:highlight w:val="none"/>
          <w:lang w:val="en-US" w:eastAsia="zh-CN"/>
        </w:rPr>
      </w:pPr>
    </w:p>
    <w:p w14:paraId="389982AB">
      <w:pPr>
        <w:pStyle w:val="5"/>
        <w:spacing w:before="0" w:after="0"/>
        <w:ind w:left="0" w:leftChars="0" w:firstLine="0" w:firstLineChars="0"/>
        <w:jc w:val="both"/>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参考文件</w:t>
      </w:r>
    </w:p>
    <w:p w14:paraId="5292DC4A">
      <w:pPr>
        <w:pStyle w:val="5"/>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color w:val="auto"/>
          <w:highlight w:val="none"/>
          <w:lang w:val="en-US" w:eastAsia="zh-CN"/>
        </w:rPr>
      </w:pPr>
    </w:p>
    <w:p w14:paraId="573876DE">
      <w:pPr>
        <w:pStyle w:val="5"/>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color w:val="auto"/>
          <w:highlight w:val="none"/>
          <w:lang w:val="en-US" w:eastAsia="zh-CN"/>
        </w:rPr>
      </w:pPr>
    </w:p>
    <w:p w14:paraId="13CA9134">
      <w:pPr>
        <w:pStyle w:val="5"/>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color w:val="auto"/>
          <w:highlight w:val="none"/>
        </w:rPr>
      </w:pPr>
      <w:r>
        <w:rPr>
          <w:rFonts w:hint="eastAsia" w:ascii="方正小标宋_GBK" w:hAnsi="方正小标宋_GBK" w:eastAsia="方正小标宋_GBK" w:cs="方正小标宋_GBK"/>
          <w:color w:val="auto"/>
          <w:highlight w:val="none"/>
          <w:lang w:val="en-US" w:eastAsia="zh-CN"/>
        </w:rPr>
        <w:t>一、</w:t>
      </w:r>
      <w:r>
        <w:rPr>
          <w:rFonts w:hint="eastAsia" w:ascii="方正小标宋_GBK" w:hAnsi="方正小标宋_GBK" w:eastAsia="方正小标宋_GBK" w:cs="方正小标宋_GBK"/>
          <w:color w:val="auto"/>
          <w:highlight w:val="none"/>
        </w:rPr>
        <w:t>财政部工业和信息化部关于印发《政府采购促进中小企业发展管理办法》的通知</w:t>
      </w:r>
      <w:bookmarkEnd w:id="69"/>
      <w:bookmarkEnd w:id="70"/>
    </w:p>
    <w:p w14:paraId="0E30D6F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p>
    <w:p w14:paraId="7160509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ascii="宋体" w:hAnsi="宋体"/>
          <w:color w:val="auto"/>
          <w:sz w:val="21"/>
          <w:szCs w:val="21"/>
          <w:highlight w:val="none"/>
        </w:rPr>
      </w:pPr>
      <w:r>
        <w:rPr>
          <w:rFonts w:hint="eastAsia" w:ascii="宋体" w:hAnsi="宋体"/>
          <w:color w:val="auto"/>
          <w:sz w:val="21"/>
          <w:szCs w:val="21"/>
          <w:highlight w:val="none"/>
        </w:rPr>
        <w:t>财库〔2020〕46号</w:t>
      </w:r>
    </w:p>
    <w:p w14:paraId="70A5360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r>
        <w:rPr>
          <w:rFonts w:hint="eastAsia" w:ascii="宋体" w:hAnsi="宋体"/>
          <w:color w:val="auto"/>
          <w:sz w:val="21"/>
          <w:szCs w:val="21"/>
          <w:highlight w:val="none"/>
        </w:rPr>
        <w:t>各中央预算单位办公厅（室），各省、自治区、直辖市、计划单列市财政厅（局）、工业和信息化主管部门，新疆生产建设兵团财政局、工业和信息化主管部门：</w:t>
      </w:r>
    </w:p>
    <w:p w14:paraId="1B47A3B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AFD5608">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left"/>
        <w:textAlignment w:val="auto"/>
        <w:rPr>
          <w:rFonts w:ascii="宋体" w:hAnsi="宋体"/>
          <w:color w:val="auto"/>
          <w:sz w:val="21"/>
          <w:szCs w:val="21"/>
          <w:highlight w:val="none"/>
        </w:rPr>
      </w:pPr>
      <w:r>
        <w:rPr>
          <w:rFonts w:hint="eastAsia" w:ascii="宋体" w:hAnsi="宋体"/>
          <w:color w:val="auto"/>
          <w:sz w:val="21"/>
          <w:szCs w:val="21"/>
          <w:highlight w:val="none"/>
        </w:rPr>
        <w:t>附件：政府采购促进中小企业发展管理办法</w:t>
      </w:r>
    </w:p>
    <w:p w14:paraId="378DAB5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auto"/>
          <w:sz w:val="21"/>
          <w:szCs w:val="21"/>
          <w:highlight w:val="none"/>
        </w:rPr>
      </w:pPr>
      <w:r>
        <w:rPr>
          <w:rFonts w:hint="eastAsia" w:ascii="宋体" w:hAnsi="宋体"/>
          <w:color w:val="auto"/>
          <w:sz w:val="21"/>
          <w:szCs w:val="21"/>
          <w:highlight w:val="none"/>
        </w:rPr>
        <w:t>财　　政　　部</w:t>
      </w:r>
    </w:p>
    <w:p w14:paraId="42F6A13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auto"/>
          <w:sz w:val="21"/>
          <w:szCs w:val="21"/>
          <w:highlight w:val="none"/>
        </w:rPr>
      </w:pPr>
      <w:r>
        <w:rPr>
          <w:rFonts w:hint="eastAsia" w:ascii="宋体" w:hAnsi="宋体"/>
          <w:color w:val="auto"/>
          <w:sz w:val="21"/>
          <w:szCs w:val="21"/>
          <w:highlight w:val="none"/>
        </w:rPr>
        <w:t>工业和信息化部</w:t>
      </w:r>
    </w:p>
    <w:p w14:paraId="54FA4FF9">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auto"/>
          <w:sz w:val="21"/>
          <w:szCs w:val="21"/>
          <w:highlight w:val="none"/>
        </w:rPr>
      </w:pPr>
      <w:r>
        <w:rPr>
          <w:rFonts w:hint="eastAsia" w:ascii="宋体" w:hAnsi="宋体"/>
          <w:color w:val="auto"/>
          <w:sz w:val="21"/>
          <w:szCs w:val="21"/>
          <w:highlight w:val="none"/>
        </w:rPr>
        <w:t>2020年12月18日</w:t>
      </w:r>
    </w:p>
    <w:p w14:paraId="4DBCACB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p>
    <w:p w14:paraId="5EAF20F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p>
    <w:p w14:paraId="66A998D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p>
    <w:p w14:paraId="744C543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b/>
          <w:bCs/>
          <w:color w:val="auto"/>
          <w:sz w:val="32"/>
          <w:szCs w:val="32"/>
          <w:highlight w:val="none"/>
        </w:rPr>
        <w:t>政府采购促进中小企业发展管理办法</w:t>
      </w:r>
    </w:p>
    <w:p w14:paraId="2038A01C">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p>
    <w:p w14:paraId="6653ADE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第一条</w:t>
      </w:r>
      <w:r>
        <w:rPr>
          <w:rFonts w:hint="eastAsia" w:ascii="宋体" w:hAnsi="宋体"/>
          <w:color w:val="auto"/>
          <w:sz w:val="21"/>
          <w:szCs w:val="21"/>
          <w:highlight w:val="none"/>
        </w:rPr>
        <w:t>　为了发挥政府采购的政策功能，促进中小企业健康发展，根据《中华人民共和国政府采购法》、《中华人民共和国中小企业促进法》等有关法律法规，制定本办法。</w:t>
      </w:r>
    </w:p>
    <w:p w14:paraId="1AA11D2D">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第二条</w:t>
      </w:r>
      <w:r>
        <w:rPr>
          <w:rFonts w:hint="eastAsia" w:ascii="宋体" w:hAnsi="宋体"/>
          <w:color w:val="auto"/>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4FC5AB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符合中小企业划分标准的个体工商户，在政府采购活动中视同中小企业。</w:t>
      </w:r>
    </w:p>
    <w:p w14:paraId="37C723E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第三条</w:t>
      </w:r>
      <w:r>
        <w:rPr>
          <w:rFonts w:hint="eastAsia" w:ascii="宋体" w:hAnsi="宋体"/>
          <w:color w:val="auto"/>
          <w:sz w:val="21"/>
          <w:szCs w:val="21"/>
          <w:highlight w:val="none"/>
        </w:rPr>
        <w:t>　采购人在政府采购活动中应当通过加强采购需求管理，落实预留采购份额、价格评审优惠、优先采购等措施，提高中小企业在政府采购中的份额，支持中小企业发展。</w:t>
      </w:r>
    </w:p>
    <w:p w14:paraId="30B7CA8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第四条</w:t>
      </w:r>
      <w:r>
        <w:rPr>
          <w:rFonts w:hint="eastAsia" w:ascii="宋体" w:hAnsi="宋体"/>
          <w:color w:val="auto"/>
          <w:sz w:val="21"/>
          <w:szCs w:val="21"/>
          <w:highlight w:val="none"/>
        </w:rPr>
        <w:t>　在政府采购活动中，供应商提供的货物、工程或者服务符合下列情形的，享受本办法规定的中小企业扶持政策：</w:t>
      </w:r>
    </w:p>
    <w:p w14:paraId="6857A36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（一）在货物采购项目中，货物由中小企业制造，即货物由中小企业生产且使用该中小企业商号或者注册商标；</w:t>
      </w:r>
    </w:p>
    <w:p w14:paraId="23528E0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（二）在工程采购项目中，工程由中小企业承建，即工程施工单位为中小企业；</w:t>
      </w:r>
    </w:p>
    <w:p w14:paraId="1A8E035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（三）在服务采购项目中，服务由中小企业承接，即提供服务的人员为中小企业依照《中华人民共和国劳动合同法》订立劳动合同的从业人员。</w:t>
      </w:r>
    </w:p>
    <w:p w14:paraId="496DB9B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在货物采购项目中，供应商提供的货物既有中小企业制造货物，也有大型企业制造货物的，不享受本办法规定的中小企业扶持政策。</w:t>
      </w:r>
    </w:p>
    <w:p w14:paraId="40E2464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以联合体形式参加政府采购活动，联合体各方均为中小企业的，联合体视同中小企业。其中，联合体各方均为小微企业的，联合体视同小微企业。</w:t>
      </w:r>
    </w:p>
    <w:p w14:paraId="1FE139E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第五条</w:t>
      </w:r>
      <w:r>
        <w:rPr>
          <w:rFonts w:hint="eastAsia" w:ascii="宋体" w:hAnsi="宋体"/>
          <w:color w:val="auto"/>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B98E383">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第六条</w:t>
      </w:r>
      <w:r>
        <w:rPr>
          <w:rFonts w:hint="eastAsia" w:ascii="宋体" w:hAnsi="宋体"/>
          <w:color w:val="auto"/>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DC8302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符合下列情形之一的，可不专门面向中小企业预留采购份额：</w:t>
      </w:r>
    </w:p>
    <w:p w14:paraId="1B976D3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（一）法律法规和国家有关政策明确规定优先或者应当面向事业单位、社会组织等非企业主体采购的；</w:t>
      </w:r>
    </w:p>
    <w:p w14:paraId="4EF6039D">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（二）因确需使用不可替代的专利、专有技术，基础设施限制，或者提供特定公共服务等原因，只能从中小企业之外的供应商处采购的；</w:t>
      </w:r>
    </w:p>
    <w:p w14:paraId="503B52E8">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（三）按照本办法规定预留采购份额无法确保充分供应、充分竞争，或者存在可能影响政府采购目标实现的情形；</w:t>
      </w:r>
    </w:p>
    <w:p w14:paraId="730976A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（四）框架协议采购项目；</w:t>
      </w:r>
    </w:p>
    <w:p w14:paraId="08292D8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（五）省级以上人民政府财政部门规定的其他情形。</w:t>
      </w:r>
    </w:p>
    <w:p w14:paraId="190A4F6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除上述情形外，其他均为适宜由中小企业提供的情形。</w:t>
      </w:r>
    </w:p>
    <w:p w14:paraId="667EBF4D">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第七条</w:t>
      </w:r>
      <w:r>
        <w:rPr>
          <w:rFonts w:hint="eastAsia" w:ascii="宋体" w:hAnsi="宋体"/>
          <w:color w:val="auto"/>
          <w:sz w:val="21"/>
          <w:szCs w:val="21"/>
          <w:highlight w:val="none"/>
        </w:rPr>
        <w:t>　采购限额标准以上，200万元以下的货物和服务采购项目、400万元以下的工程采购项目，适宜由中小企业提供的，采购人应当专门面向中小企业采购。</w:t>
      </w:r>
    </w:p>
    <w:p w14:paraId="4062B3E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第八条</w:t>
      </w:r>
      <w:r>
        <w:rPr>
          <w:rFonts w:hint="eastAsia" w:ascii="宋体" w:hAnsi="宋体"/>
          <w:color w:val="auto"/>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D26E6F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（一）将采购项目整体或者设置采购包专门面向中小企业采购；</w:t>
      </w:r>
    </w:p>
    <w:p w14:paraId="559F2E0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（二）要求供应商以联合体形式参加采购活动，且联合体中中小企业承担的部分达到一定比例；</w:t>
      </w:r>
    </w:p>
    <w:p w14:paraId="1849BD2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（三）要求获得采购合同的供应商将采购项目中的一定比例分包给一家或者多家中小企业。</w:t>
      </w:r>
    </w:p>
    <w:p w14:paraId="52B4EEA9">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组成联合体或者接受分包合同的中小企业与联合体内其他企业、分包企业之间不得存在直接控股、管理关系。</w:t>
      </w:r>
    </w:p>
    <w:p w14:paraId="0DE0015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第九条</w:t>
      </w:r>
      <w:r>
        <w:rPr>
          <w:rFonts w:hint="eastAsia" w:ascii="宋体" w:hAnsi="宋体"/>
          <w:color w:val="auto"/>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8E15F2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F861B73">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7F03CF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第十条</w:t>
      </w:r>
      <w:r>
        <w:rPr>
          <w:rFonts w:hint="eastAsia" w:ascii="宋体" w:hAnsi="宋体"/>
          <w:color w:val="auto"/>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15C9AE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第十一条</w:t>
      </w:r>
      <w:r>
        <w:rPr>
          <w:rFonts w:hint="eastAsia" w:ascii="宋体" w:hAnsi="宋体"/>
          <w:color w:val="auto"/>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41FE76D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第十二条</w:t>
      </w:r>
      <w:r>
        <w:rPr>
          <w:rFonts w:hint="eastAsia" w:ascii="宋体" w:hAnsi="宋体"/>
          <w:color w:val="auto"/>
          <w:sz w:val="21"/>
          <w:szCs w:val="21"/>
          <w:highlight w:val="none"/>
        </w:rPr>
        <w:t>　采购项目涉及中小企业采购的，采购文件应当明确以下内容：</w:t>
      </w:r>
    </w:p>
    <w:p w14:paraId="353A6D8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（一）预留份额的采购项目或者采购包，明确该项目或相关采购包专门面向中小企业采购，以及相关标的及预算金额；</w:t>
      </w:r>
    </w:p>
    <w:p w14:paraId="7FB58FE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（二）要求以联合体形式参加或者合同分包的，明确联合协议或者分包意向协议中中小企业合同金额应当达到的比例，并作为供应商资格条件；</w:t>
      </w:r>
    </w:p>
    <w:p w14:paraId="1000CA6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（三）非预留份额的采购项目或者采购包，明确有关价格扣除比例或者价格分加分比例；</w:t>
      </w:r>
    </w:p>
    <w:p w14:paraId="3194BB03">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（四）规定依据本办法规定享受扶持政策获得政府采购合同的，小微企业不得将合同分包给大中型企业，中型企业不得将合同分包给大型企业；</w:t>
      </w:r>
    </w:p>
    <w:p w14:paraId="578F82C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（五）采购人认为具备相关条件的，明确对中小企业在资金支付期限、预付款比例等方面的优惠措施；</w:t>
      </w:r>
    </w:p>
    <w:p w14:paraId="3E5E7FC8">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（六）明确采购标的对应的中小企业划分标准所属行业；</w:t>
      </w:r>
    </w:p>
    <w:p w14:paraId="59AC1AB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（七）法律法规和省级以上人民政府财政部门规定的其他事项。</w:t>
      </w:r>
    </w:p>
    <w:p w14:paraId="6125B77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第十三条</w:t>
      </w:r>
      <w:r>
        <w:rPr>
          <w:rFonts w:hint="eastAsia" w:ascii="宋体" w:hAnsi="宋体"/>
          <w:color w:val="auto"/>
          <w:sz w:val="21"/>
          <w:szCs w:val="21"/>
          <w:highlight w:val="none"/>
        </w:rPr>
        <w:t>　中标、成交供应商享受本办法规定的中小企业扶持政策的，采购人、采购代理机构应当随中标、成交结果公开中标、成交供应商的《中小企业声明函》。</w:t>
      </w:r>
    </w:p>
    <w:p w14:paraId="0C0F99E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适用招标投标法的政府采购工程建设项目，应当在公示中标候选人时公开中标候选人的《中小企业声明函》。</w:t>
      </w:r>
    </w:p>
    <w:p w14:paraId="3C7F6FF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第十四条</w:t>
      </w:r>
      <w:r>
        <w:rPr>
          <w:rFonts w:hint="eastAsia" w:ascii="宋体" w:hAnsi="宋体"/>
          <w:color w:val="auto"/>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D34FC0D">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第十五条</w:t>
      </w:r>
      <w:r>
        <w:rPr>
          <w:rFonts w:hint="eastAsia" w:ascii="宋体" w:hAnsi="宋体"/>
          <w:color w:val="auto"/>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467784ED">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第十六条</w:t>
      </w:r>
      <w:r>
        <w:rPr>
          <w:rFonts w:hint="eastAsia" w:ascii="宋体" w:hAnsi="宋体"/>
          <w:color w:val="auto"/>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48E95F2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中小企业主管部门应当在收到财政部门或者有关招标投标行政监督部门关于协助开展中小企业认定函后10个工作日内做出书面答复。</w:t>
      </w:r>
    </w:p>
    <w:p w14:paraId="4596A7C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第十七条</w:t>
      </w:r>
      <w:r>
        <w:rPr>
          <w:rFonts w:hint="eastAsia" w:ascii="宋体" w:hAnsi="宋体"/>
          <w:color w:val="auto"/>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5231C6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第十八条</w:t>
      </w:r>
      <w:r>
        <w:rPr>
          <w:rFonts w:hint="eastAsia" w:ascii="宋体" w:hAnsi="宋体"/>
          <w:color w:val="auto"/>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D8176B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第十九条</w:t>
      </w:r>
      <w:r>
        <w:rPr>
          <w:rFonts w:hint="eastAsia" w:ascii="宋体" w:hAnsi="宋体"/>
          <w:color w:val="auto"/>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66459F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第二十条</w:t>
      </w:r>
      <w:r>
        <w:rPr>
          <w:rFonts w:hint="eastAsia" w:ascii="宋体" w:hAnsi="宋体"/>
          <w:color w:val="auto"/>
          <w:sz w:val="21"/>
          <w:szCs w:val="21"/>
          <w:highlight w:val="none"/>
        </w:rPr>
        <w:t>　供应商按照本办法规定提供声明函内容不实的，属于提供虚假材料谋取中标、成交，依照《中华人民共和国政府采购法》等国家有关规定追究相应责任。</w:t>
      </w:r>
    </w:p>
    <w:p w14:paraId="3E4B0C5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color w:val="auto"/>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5A06C51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第二十一条</w:t>
      </w:r>
      <w:r>
        <w:rPr>
          <w:rFonts w:hint="eastAsia" w:ascii="宋体" w:hAnsi="宋体"/>
          <w:color w:val="auto"/>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A6F25E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第二十二条</w:t>
      </w:r>
      <w:r>
        <w:rPr>
          <w:rFonts w:hint="eastAsia" w:ascii="宋体" w:hAnsi="宋体"/>
          <w:color w:val="auto"/>
          <w:sz w:val="21"/>
          <w:szCs w:val="21"/>
          <w:highlight w:val="none"/>
        </w:rPr>
        <w:t>　对外援助项目、国家相关资格或者资质管理制度另有规定的项目，不适用本办法。</w:t>
      </w:r>
    </w:p>
    <w:p w14:paraId="06BDEEB0">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第二十三条</w:t>
      </w:r>
      <w:r>
        <w:rPr>
          <w:rFonts w:hint="eastAsia" w:ascii="宋体" w:hAnsi="宋体"/>
          <w:color w:val="auto"/>
          <w:sz w:val="21"/>
          <w:szCs w:val="21"/>
          <w:highlight w:val="none"/>
        </w:rPr>
        <w:t>　关于视同中小企业的其他主体的政府采购扶持政策，由财政部会同有关部门另行规定。</w:t>
      </w:r>
    </w:p>
    <w:p w14:paraId="01DD35E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第二十四条</w:t>
      </w:r>
      <w:r>
        <w:rPr>
          <w:rFonts w:hint="eastAsia" w:ascii="宋体" w:hAnsi="宋体"/>
          <w:color w:val="auto"/>
          <w:sz w:val="21"/>
          <w:szCs w:val="21"/>
          <w:highlight w:val="none"/>
        </w:rPr>
        <w:t>　省级财政部门可以会同中小企业主管部门根据本办法的规定制定具体实施办法。</w:t>
      </w:r>
    </w:p>
    <w:p w14:paraId="0AAEBCC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r>
        <w:rPr>
          <w:rFonts w:hint="eastAsia" w:ascii="宋体" w:hAnsi="宋体"/>
          <w:b/>
          <w:bCs/>
          <w:color w:val="auto"/>
          <w:sz w:val="21"/>
          <w:szCs w:val="21"/>
          <w:highlight w:val="none"/>
        </w:rPr>
        <w:t>第二十五条</w:t>
      </w:r>
      <w:r>
        <w:rPr>
          <w:rFonts w:hint="eastAsia" w:ascii="宋体" w:hAnsi="宋体"/>
          <w:color w:val="auto"/>
          <w:sz w:val="21"/>
          <w:szCs w:val="21"/>
          <w:highlight w:val="none"/>
        </w:rPr>
        <w:t>　本办法自2021年1月1日起施行。《财政部 工业和信息化部关于印发〈政府采购促进中小企业发展暂行办法〉的通知》（财库〔2011〕181号）同时废止。</w:t>
      </w:r>
    </w:p>
    <w:p w14:paraId="45EF366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auto"/>
          <w:sz w:val="21"/>
          <w:szCs w:val="21"/>
          <w:highlight w:val="none"/>
        </w:rPr>
      </w:pPr>
    </w:p>
    <w:p w14:paraId="48D944AF">
      <w:pPr>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Cs w:val="21"/>
          <w:highlight w:val="none"/>
        </w:rPr>
      </w:pPr>
    </w:p>
    <w:p w14:paraId="623FB602">
      <w:pPr>
        <w:pStyle w:val="5"/>
        <w:pageBreakBefore w:val="0"/>
        <w:shd w:val="clear" w:color="auto" w:fill="auto"/>
        <w:kinsoku/>
        <w:wordWrap/>
        <w:overflowPunct/>
        <w:topLinePunct w:val="0"/>
        <w:autoSpaceDE/>
        <w:autoSpaceDN/>
        <w:bidi w:val="0"/>
        <w:adjustRightInd/>
        <w:snapToGrid/>
        <w:spacing w:before="0" w:beforeAutospacing="0" w:after="0" w:afterAutospacing="0" w:line="240" w:lineRule="auto"/>
        <w:ind w:left="0" w:firstLine="1124" w:firstLineChars="350"/>
        <w:jc w:val="both"/>
        <w:textAlignment w:val="auto"/>
        <w:rPr>
          <w:rFonts w:hint="eastAsia" w:ascii="方正小标宋_GBK" w:hAnsi="方正小标宋_GBK" w:eastAsia="方正小标宋_GBK" w:cs="方正小标宋_GBK"/>
          <w:b/>
          <w:bCs w:val="0"/>
          <w:color w:val="auto"/>
          <w:highlight w:val="none"/>
        </w:rPr>
      </w:pPr>
      <w:bookmarkStart w:id="71" w:name="_Toc73613645"/>
      <w:bookmarkStart w:id="72" w:name="_Toc73610163"/>
      <w:r>
        <w:rPr>
          <w:rFonts w:hint="eastAsia" w:ascii="方正小标宋_GBK" w:hAnsi="方正小标宋_GBK" w:eastAsia="方正小标宋_GBK" w:cs="方正小标宋_GBK"/>
          <w:b/>
          <w:bCs w:val="0"/>
          <w:color w:val="auto"/>
          <w:highlight w:val="none"/>
        </w:rPr>
        <w:t>二、关于印发中小企业划型标准规定的通知</w:t>
      </w:r>
      <w:bookmarkEnd w:id="71"/>
      <w:bookmarkEnd w:id="72"/>
    </w:p>
    <w:p w14:paraId="021FA09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r>
        <w:rPr>
          <w:rFonts w:hint="eastAsia" w:ascii="宋体" w:hAnsi="宋体"/>
          <w:color w:val="auto"/>
          <w:sz w:val="21"/>
          <w:szCs w:val="21"/>
          <w:highlight w:val="none"/>
        </w:rPr>
        <w:t>工信部联企业〔2011〕300号</w:t>
      </w:r>
    </w:p>
    <w:p w14:paraId="7D56641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各省、自治区、直辖市人民政府，国务院各部委、各直属机构及有关单位：</w:t>
      </w:r>
    </w:p>
    <w:p w14:paraId="3B0B2A3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CA2722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工业和信息化部　国家统计局</w:t>
      </w:r>
    </w:p>
    <w:p w14:paraId="0C31500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国家发展和改革委员会　财政部</w:t>
      </w:r>
    </w:p>
    <w:p w14:paraId="3E9244AE">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r>
        <w:rPr>
          <w:rFonts w:hint="eastAsia" w:ascii="宋体" w:hAnsi="宋体"/>
          <w:color w:val="auto"/>
          <w:sz w:val="21"/>
          <w:szCs w:val="21"/>
          <w:highlight w:val="none"/>
        </w:rPr>
        <w:t>　　　　　　　　　　　　　　　　　　　　　　　　二○一一年六月十八日</w:t>
      </w:r>
    </w:p>
    <w:p w14:paraId="1D4864F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color w:val="auto"/>
          <w:sz w:val="24"/>
          <w:szCs w:val="24"/>
          <w:highlight w:val="none"/>
        </w:rPr>
      </w:pPr>
      <w:r>
        <w:rPr>
          <w:rStyle w:val="43"/>
          <w:rFonts w:hint="eastAsia" w:ascii="方正小标宋_GBK" w:hAnsi="方正小标宋_GBK" w:eastAsia="方正小标宋_GBK" w:cs="方正小标宋_GBK"/>
          <w:color w:val="auto"/>
          <w:sz w:val="24"/>
          <w:szCs w:val="24"/>
          <w:highlight w:val="none"/>
        </w:rPr>
        <w:t>中小企业划型标准规定</w:t>
      </w:r>
    </w:p>
    <w:p w14:paraId="12837FC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一、根据《中华人民共和国中小企业促进法》和《国务院关于进一步促进中小企业发展的若干意见》(国发〔2009〕36号)，制定本规定。</w:t>
      </w:r>
    </w:p>
    <w:p w14:paraId="56DB601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二、中小企业划分为中型、小型、微型三种类型，具体标准根据企业从业人员、营业收入、资产总额等指标，结合行业特点制定。</w:t>
      </w:r>
    </w:p>
    <w:p w14:paraId="0D6FCACC">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1ACB7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四、各行业划型标准为：</w:t>
      </w:r>
    </w:p>
    <w:p w14:paraId="6BFE1FB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58B42F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649AD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D611F8">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FC359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EDDE6B9">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9ECF9F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010CD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234E95">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69F2B7">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9D1CA2">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B2E04E4">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1637A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AE2ACB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AFC8D9">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5A5DBB">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8C90253">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五、企业类型的划分以统计部门的统计数据为依据。</w:t>
      </w:r>
    </w:p>
    <w:p w14:paraId="117B8541">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六、本规定适用于在中华人民共和国境内依法设立的各类所有制和各种组织形式的企业。个体工商户和本规定以外的行业，参照本规定进行划型。</w:t>
      </w:r>
    </w:p>
    <w:p w14:paraId="78083D9C">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FD6DBAF">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八、本规定由工业和信息化部、国家统计局会同有关部门根据《国民经济行业分类》修订情况和企业发展变化情况适时修订。</w:t>
      </w:r>
    </w:p>
    <w:p w14:paraId="374AAD69">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九、本规定由工业和信息化部、国家统计局会同有关部门负责解释。</w:t>
      </w:r>
    </w:p>
    <w:p w14:paraId="0812794A">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r>
        <w:rPr>
          <w:rFonts w:hint="eastAsia" w:ascii="宋体" w:hAnsi="宋体"/>
          <w:color w:val="auto"/>
          <w:sz w:val="21"/>
          <w:szCs w:val="21"/>
          <w:highlight w:val="none"/>
        </w:rPr>
        <w:t>　　十、本规定自发布之日起执行，原国家经贸委、原国家计委、财政部和国家统计局2003年颁布的《中小企业标准暂行规定》同时废止。</w:t>
      </w:r>
    </w:p>
    <w:p w14:paraId="04BD9B26">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auto"/>
          <w:sz w:val="21"/>
          <w:szCs w:val="21"/>
          <w:highlight w:val="none"/>
        </w:rPr>
      </w:pPr>
    </w:p>
    <w:p w14:paraId="7054119D">
      <w:pPr>
        <w:pStyle w:val="5"/>
        <w:pageBreakBefore w:val="0"/>
        <w:kinsoku/>
        <w:wordWrap/>
        <w:overflowPunct/>
        <w:topLinePunct w:val="0"/>
        <w:autoSpaceDE/>
        <w:autoSpaceDN/>
        <w:bidi w:val="0"/>
        <w:adjustRightInd/>
        <w:snapToGrid/>
        <w:spacing w:before="0" w:beforeAutospacing="0" w:after="0" w:afterAutospacing="0" w:line="240" w:lineRule="auto"/>
        <w:ind w:left="0"/>
        <w:jc w:val="center"/>
        <w:textAlignment w:val="auto"/>
        <w:rPr>
          <w:rFonts w:hint="eastAsia" w:ascii="方正小标宋_GBK" w:hAnsi="方正小标宋_GBK" w:eastAsia="方正小标宋_GBK" w:cs="方正小标宋_GBK"/>
          <w:b/>
          <w:bCs/>
          <w:color w:val="auto"/>
          <w:highlight w:val="none"/>
        </w:rPr>
      </w:pPr>
      <w:bookmarkStart w:id="73" w:name="_Toc73610164"/>
      <w:bookmarkStart w:id="74" w:name="_Toc73613646"/>
      <w:r>
        <w:rPr>
          <w:rFonts w:hint="eastAsia" w:ascii="方正小标宋_GBK" w:hAnsi="方正小标宋_GBK" w:eastAsia="方正小标宋_GBK" w:cs="方正小标宋_GBK"/>
          <w:b/>
          <w:bCs/>
          <w:color w:val="auto"/>
          <w:highlight w:val="none"/>
        </w:rPr>
        <w:t>三、国家统计局关于印发《统计上大中小微型企业划分办法 （2017）》的通知</w:t>
      </w:r>
      <w:bookmarkEnd w:id="73"/>
      <w:bookmarkEnd w:id="74"/>
    </w:p>
    <w:p w14:paraId="2CE03B57">
      <w:pPr>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Arial"/>
          <w:color w:val="auto"/>
          <w:szCs w:val="21"/>
          <w:highlight w:val="none"/>
        </w:rPr>
      </w:pPr>
    </w:p>
    <w:p w14:paraId="09F1456D">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r>
        <w:rPr>
          <w:rFonts w:ascii="宋体" w:hAnsi="宋体" w:cs="宋体"/>
          <w:color w:val="auto"/>
          <w:szCs w:val="21"/>
          <w:highlight w:val="none"/>
        </w:rPr>
        <w:t>各省、自治区、直辖市统计局，新疆生产建设兵团统计局，国务院各有关部门，国家统计局各调查总队：</w:t>
      </w:r>
    </w:p>
    <w:p w14:paraId="5E9EB05E">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9F8996E">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r>
        <w:rPr>
          <w:rFonts w:ascii="宋体" w:hAnsi="宋体" w:cs="宋体"/>
          <w:color w:val="auto"/>
          <w:szCs w:val="21"/>
          <w:highlight w:val="none"/>
        </w:rPr>
        <w:t>附件：《统计上大中小微型企业划分办法（2017）》修订说明</w:t>
      </w:r>
    </w:p>
    <w:p w14:paraId="23E99B36">
      <w:pPr>
        <w:pageBreakBefore w:val="0"/>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s="宋体"/>
          <w:color w:val="auto"/>
          <w:szCs w:val="21"/>
          <w:highlight w:val="none"/>
        </w:rPr>
      </w:pPr>
      <w:r>
        <w:rPr>
          <w:rFonts w:ascii="宋体" w:hAnsi="宋体" w:cs="宋体"/>
          <w:color w:val="auto"/>
          <w:szCs w:val="21"/>
          <w:highlight w:val="none"/>
        </w:rPr>
        <w:t>国家统计局</w:t>
      </w:r>
    </w:p>
    <w:p w14:paraId="45F1FEDE">
      <w:pPr>
        <w:pageBreakBefore w:val="0"/>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s="宋体"/>
          <w:color w:val="auto"/>
          <w:szCs w:val="21"/>
          <w:highlight w:val="none"/>
        </w:rPr>
      </w:pPr>
      <w:r>
        <w:rPr>
          <w:rFonts w:ascii="宋体" w:hAnsi="宋体" w:cs="宋体"/>
          <w:color w:val="auto"/>
          <w:szCs w:val="21"/>
          <w:highlight w:val="none"/>
        </w:rPr>
        <w:t>2017年12月28日</w:t>
      </w:r>
    </w:p>
    <w:p w14:paraId="35DAB7AC">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b/>
          <w:bCs/>
          <w:color w:val="auto"/>
          <w:szCs w:val="21"/>
          <w:highlight w:val="none"/>
        </w:rPr>
      </w:pPr>
    </w:p>
    <w:p w14:paraId="79D27776">
      <w:pPr>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b/>
          <w:bCs/>
          <w:color w:val="auto"/>
          <w:sz w:val="24"/>
          <w:szCs w:val="24"/>
          <w:highlight w:val="none"/>
        </w:rPr>
      </w:pPr>
      <w:r>
        <w:rPr>
          <w:rFonts w:hint="eastAsia" w:ascii="方正小标宋_GBK" w:hAnsi="方正小标宋_GBK" w:eastAsia="方正小标宋_GBK" w:cs="方正小标宋_GBK"/>
          <w:b/>
          <w:bCs/>
          <w:color w:val="auto"/>
          <w:sz w:val="24"/>
          <w:szCs w:val="24"/>
          <w:highlight w:val="none"/>
        </w:rPr>
        <w:t>统计上大中小微型企业划分办法（2017）</w:t>
      </w:r>
    </w:p>
    <w:p w14:paraId="78406A62">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p>
    <w:p w14:paraId="67D88EF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23F14236">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二、本办法适用对象为在中华人民共和国境内依法设立的各种组织形式的法人企业或单位。个体工商户参照本办法进行划分。</w:t>
      </w:r>
    </w:p>
    <w:p w14:paraId="71ECF86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A7B485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四、本办法按照行业门类、大类、中类和组合类别，依据从业人员、营业收入、资产总额等指标或替代指标，将我国的企业划分为大型、中型、小型、微型等四种类型。具体划分标准见附表。</w:t>
      </w:r>
    </w:p>
    <w:p w14:paraId="028C834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五、企业划分由政府综合统计部门根据统计年报每年确定一次，定报统计原则上不进行调整。</w:t>
      </w:r>
    </w:p>
    <w:p w14:paraId="343F30C6">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六、本办法自印发之日起执行，国家统计局2011年印发的《统计上大中小微型企业划分办法》（国统字〔2011〕75号）同时废止。</w:t>
      </w:r>
    </w:p>
    <w:p w14:paraId="22CF1998">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p>
    <w:p w14:paraId="2C16AED7">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r>
        <w:rPr>
          <w:rFonts w:ascii="宋体" w:hAnsi="宋体" w:cs="宋体"/>
          <w:color w:val="auto"/>
          <w:szCs w:val="21"/>
          <w:highlight w:val="none"/>
        </w:rPr>
        <w:t>附件</w:t>
      </w:r>
    </w:p>
    <w:p w14:paraId="4EC7BAC2">
      <w:pPr>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b/>
          <w:bCs/>
          <w:color w:val="auto"/>
          <w:sz w:val="24"/>
          <w:szCs w:val="24"/>
          <w:highlight w:val="none"/>
        </w:rPr>
        <w:t>《统计上大中小微型企业划分办法（2017）》修订说明</w:t>
      </w:r>
    </w:p>
    <w:p w14:paraId="17B686A2">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p>
    <w:p w14:paraId="15ACDCC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一、修订背景</w:t>
      </w:r>
    </w:p>
    <w:p w14:paraId="066B7E3C">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1F62AA0">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E835608">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二、修订主要内容</w:t>
      </w:r>
    </w:p>
    <w:p w14:paraId="630B729D">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C2BF493">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color w:val="auto"/>
          <w:szCs w:val="21"/>
          <w:highlight w:val="none"/>
        </w:rPr>
      </w:pPr>
      <w:r>
        <w:rPr>
          <w:rFonts w:ascii="宋体" w:hAnsi="宋体" w:cs="宋体"/>
          <w:color w:val="auto"/>
          <w:szCs w:val="21"/>
          <w:highlight w:val="none"/>
        </w:rPr>
        <w:t>将交通运输业中包括的“装卸搬运和运输代理业”修改为“多式联运和运输代理业、装卸搬运”。</w:t>
      </w:r>
    </w:p>
    <w:p w14:paraId="7D903FF4">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r>
        <w:rPr>
          <w:rFonts w:ascii="宋体" w:hAnsi="宋体" w:cs="宋体"/>
          <w:color w:val="auto"/>
          <w:szCs w:val="21"/>
          <w:highlight w:val="none"/>
        </w:rPr>
        <w:t>仓储业所包括的行业中类，根据《国民经济行业分类》（GB/T 4754—2017）调整为“通用仓储，低温仓储，危险品仓储，谷物、棉花等农产品仓储，中药材仓储和其他仓储业”。</w:t>
      </w:r>
    </w:p>
    <w:p w14:paraId="1B3D4E5F">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color w:val="auto"/>
          <w:szCs w:val="21"/>
          <w:highlight w:val="none"/>
        </w:rPr>
      </w:pPr>
    </w:p>
    <w:p w14:paraId="4F606CBD">
      <w:pPr>
        <w:spacing w:line="360" w:lineRule="auto"/>
        <w:rPr>
          <w:rFonts w:ascii="宋体" w:hAnsi="宋体" w:cs="宋体"/>
          <w:color w:val="auto"/>
          <w:szCs w:val="21"/>
          <w:highlight w:val="none"/>
        </w:rPr>
      </w:pPr>
      <w:r>
        <w:rPr>
          <w:rFonts w:ascii="宋体" w:hAnsi="宋体" w:cs="宋体"/>
          <w:color w:val="auto"/>
          <w:szCs w:val="21"/>
          <w:highlight w:val="none"/>
        </w:rPr>
        <w:t>附表</w:t>
      </w:r>
    </w:p>
    <w:p w14:paraId="4C82B89B">
      <w:pPr>
        <w:spacing w:line="360" w:lineRule="auto"/>
        <w:jc w:val="center"/>
        <w:rPr>
          <w:rFonts w:ascii="宋体" w:hAnsi="宋体" w:cs="宋体"/>
          <w:color w:val="auto"/>
          <w:szCs w:val="21"/>
          <w:highlight w:val="none"/>
        </w:rPr>
      </w:pPr>
      <w:r>
        <w:rPr>
          <w:rFonts w:ascii="宋体" w:hAnsi="宋体" w:cs="宋体"/>
          <w:b/>
          <w:bCs/>
          <w:color w:val="auto"/>
          <w:szCs w:val="21"/>
          <w:highlight w:val="none"/>
        </w:rPr>
        <w:t>统计上大中小微型企业划分标准</w:t>
      </w:r>
    </w:p>
    <w:tbl>
      <w:tblPr>
        <w:tblStyle w:val="4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6B6359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00689E32">
            <w:pPr>
              <w:keepNext w:val="0"/>
              <w:keepLines w:val="0"/>
              <w:widowControl/>
              <w:suppressLineNumbers w:val="0"/>
              <w:spacing w:before="0" w:beforeAutospacing="0" w:after="0" w:afterAutospacing="0" w:line="240" w:lineRule="exact"/>
              <w:ind w:left="0" w:right="0"/>
              <w:jc w:val="center"/>
              <w:rPr>
                <w:rFonts w:hint="default" w:ascii="宋体" w:hAnsi="宋体" w:cs="宋体"/>
                <w:b/>
                <w:bCs/>
                <w:color w:val="auto"/>
                <w:sz w:val="18"/>
                <w:szCs w:val="21"/>
                <w:highlight w:val="none"/>
              </w:rPr>
            </w:pPr>
            <w:r>
              <w:rPr>
                <w:rFonts w:hint="eastAsia" w:ascii="宋体" w:hAnsi="宋体" w:cs="宋体"/>
                <w:b/>
                <w:bCs/>
                <w:color w:val="auto"/>
                <w:sz w:val="18"/>
                <w:szCs w:val="21"/>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36F79293">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0CDD14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rPr>
              <w:t>计量</w:t>
            </w:r>
          </w:p>
          <w:p w14:paraId="3A9D0497">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11BD37D5">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3FB48A6F">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3D8146B2">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11BA67C4">
            <w:pPr>
              <w:keepNext w:val="0"/>
              <w:keepLines w:val="0"/>
              <w:widowControl/>
              <w:suppressLineNumbers w:val="0"/>
              <w:spacing w:before="0" w:beforeAutospacing="0" w:after="0" w:afterAutospacing="0"/>
              <w:ind w:left="0" w:right="0"/>
              <w:jc w:val="center"/>
              <w:rPr>
                <w:rFonts w:hint="default"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06F2233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2DB34158">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191C274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95ABE4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72A798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7EE8853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039BC54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50≤Y＜500</w:t>
            </w:r>
          </w:p>
        </w:tc>
        <w:tc>
          <w:tcPr>
            <w:tcW w:w="992" w:type="dxa"/>
            <w:tcBorders>
              <w:top w:val="nil"/>
              <w:left w:val="nil"/>
              <w:bottom w:val="single" w:color="auto" w:sz="4" w:space="0"/>
              <w:right w:val="nil"/>
            </w:tcBorders>
            <w:noWrap w:val="0"/>
            <w:vAlign w:val="center"/>
          </w:tcPr>
          <w:p w14:paraId="6E6EE07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Y＜50</w:t>
            </w:r>
          </w:p>
        </w:tc>
      </w:tr>
      <w:tr w14:paraId="65490B1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BE29046">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tcBorders>
              <w:top w:val="nil"/>
              <w:left w:val="nil"/>
              <w:bottom w:val="nil"/>
              <w:right w:val="single" w:color="auto" w:sz="4" w:space="0"/>
            </w:tcBorders>
            <w:noWrap w:val="0"/>
            <w:vAlign w:val="center"/>
          </w:tcPr>
          <w:p w14:paraId="148F534F">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21C283E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D722B5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noWrap w:val="0"/>
            <w:vAlign w:val="center"/>
          </w:tcPr>
          <w:p w14:paraId="6047713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noWrap w:val="0"/>
            <w:vAlign w:val="center"/>
          </w:tcPr>
          <w:p w14:paraId="5741E39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tcBorders>
              <w:top w:val="nil"/>
              <w:left w:val="nil"/>
              <w:bottom w:val="nil"/>
              <w:right w:val="nil"/>
            </w:tcBorders>
            <w:noWrap w:val="0"/>
            <w:vAlign w:val="center"/>
          </w:tcPr>
          <w:p w14:paraId="1E89EB6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w:t>
            </w:r>
          </w:p>
        </w:tc>
      </w:tr>
      <w:tr w14:paraId="3D06B3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451327C">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182D8EE2">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A3F2F9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6AB80D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3830C56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2E5901F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300≤Y＜2000</w:t>
            </w:r>
          </w:p>
        </w:tc>
        <w:tc>
          <w:tcPr>
            <w:tcW w:w="992" w:type="dxa"/>
            <w:tcBorders>
              <w:top w:val="nil"/>
              <w:left w:val="nil"/>
              <w:bottom w:val="single" w:color="auto" w:sz="4" w:space="0"/>
              <w:right w:val="nil"/>
            </w:tcBorders>
            <w:noWrap w:val="0"/>
            <w:vAlign w:val="center"/>
          </w:tcPr>
          <w:p w14:paraId="38C29E4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Y＜300</w:t>
            </w:r>
          </w:p>
        </w:tc>
      </w:tr>
      <w:tr w14:paraId="7B7B90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91D9A10">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tcBorders>
              <w:top w:val="nil"/>
              <w:left w:val="nil"/>
              <w:bottom w:val="nil"/>
              <w:right w:val="single" w:color="auto" w:sz="4" w:space="0"/>
            </w:tcBorders>
            <w:noWrap w:val="0"/>
            <w:vAlign w:val="center"/>
          </w:tcPr>
          <w:p w14:paraId="1AD68B2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nil"/>
              <w:right w:val="single" w:color="auto" w:sz="4" w:space="0"/>
            </w:tcBorders>
            <w:noWrap w:val="0"/>
            <w:vAlign w:val="center"/>
          </w:tcPr>
          <w:p w14:paraId="47E0F67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nil"/>
              <w:right w:val="single" w:color="auto" w:sz="4" w:space="0"/>
            </w:tcBorders>
            <w:noWrap w:val="0"/>
            <w:vAlign w:val="center"/>
          </w:tcPr>
          <w:p w14:paraId="4AB8A9B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tcBorders>
              <w:top w:val="nil"/>
              <w:left w:val="nil"/>
              <w:bottom w:val="nil"/>
              <w:right w:val="single" w:color="auto" w:sz="4" w:space="0"/>
            </w:tcBorders>
            <w:noWrap w:val="0"/>
            <w:vAlign w:val="center"/>
          </w:tcPr>
          <w:p w14:paraId="2D88184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tcBorders>
              <w:top w:val="nil"/>
              <w:left w:val="nil"/>
              <w:bottom w:val="nil"/>
              <w:right w:val="single" w:color="auto" w:sz="4" w:space="0"/>
            </w:tcBorders>
            <w:noWrap w:val="0"/>
            <w:vAlign w:val="center"/>
          </w:tcPr>
          <w:p w14:paraId="3539383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300≤Y＜6000</w:t>
            </w:r>
          </w:p>
        </w:tc>
        <w:tc>
          <w:tcPr>
            <w:tcW w:w="992" w:type="dxa"/>
            <w:tcBorders>
              <w:top w:val="nil"/>
              <w:left w:val="nil"/>
              <w:bottom w:val="nil"/>
              <w:right w:val="nil"/>
            </w:tcBorders>
            <w:noWrap w:val="0"/>
            <w:vAlign w:val="center"/>
          </w:tcPr>
          <w:p w14:paraId="593B171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Y＜300</w:t>
            </w:r>
          </w:p>
        </w:tc>
      </w:tr>
      <w:tr w14:paraId="239BE16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B5F51EF">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716FA5FD">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10B9F71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F425DD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3FEE123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2069010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300≤Z＜5000</w:t>
            </w:r>
          </w:p>
        </w:tc>
        <w:tc>
          <w:tcPr>
            <w:tcW w:w="992" w:type="dxa"/>
            <w:tcBorders>
              <w:top w:val="nil"/>
              <w:left w:val="nil"/>
              <w:bottom w:val="single" w:color="auto" w:sz="4" w:space="0"/>
              <w:right w:val="nil"/>
            </w:tcBorders>
            <w:noWrap w:val="0"/>
            <w:vAlign w:val="center"/>
          </w:tcPr>
          <w:p w14:paraId="4E4EFBE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Z＜300</w:t>
            </w:r>
          </w:p>
        </w:tc>
      </w:tr>
      <w:tr w14:paraId="2308281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4344B3F">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tcBorders>
              <w:top w:val="nil"/>
              <w:left w:val="nil"/>
              <w:bottom w:val="nil"/>
              <w:right w:val="single" w:color="auto" w:sz="4" w:space="0"/>
            </w:tcBorders>
            <w:noWrap w:val="0"/>
            <w:vAlign w:val="center"/>
          </w:tcPr>
          <w:p w14:paraId="5502E9B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7BECD9C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0F58C10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tcBorders>
              <w:top w:val="nil"/>
              <w:left w:val="nil"/>
              <w:bottom w:val="nil"/>
              <w:right w:val="single" w:color="auto" w:sz="4" w:space="0"/>
            </w:tcBorders>
            <w:noWrap w:val="0"/>
            <w:vAlign w:val="center"/>
          </w:tcPr>
          <w:p w14:paraId="1D46860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tcBorders>
              <w:top w:val="nil"/>
              <w:left w:val="nil"/>
              <w:bottom w:val="nil"/>
              <w:right w:val="single" w:color="auto" w:sz="4" w:space="0"/>
            </w:tcBorders>
            <w:noWrap w:val="0"/>
            <w:vAlign w:val="center"/>
          </w:tcPr>
          <w:p w14:paraId="1EEB2CC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5≤X＜20</w:t>
            </w:r>
          </w:p>
        </w:tc>
        <w:tc>
          <w:tcPr>
            <w:tcW w:w="992" w:type="dxa"/>
            <w:tcBorders>
              <w:top w:val="nil"/>
              <w:left w:val="nil"/>
              <w:bottom w:val="nil"/>
              <w:right w:val="nil"/>
            </w:tcBorders>
            <w:noWrap w:val="0"/>
            <w:vAlign w:val="center"/>
          </w:tcPr>
          <w:p w14:paraId="629494D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X＜5</w:t>
            </w:r>
          </w:p>
        </w:tc>
      </w:tr>
      <w:tr w14:paraId="4378B0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C4D4AF2">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240229D2">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4B7853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8DF52E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56680E4F">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21541BA4">
            <w:pPr>
              <w:keepNext w:val="0"/>
              <w:keepLines w:val="0"/>
              <w:widowControl/>
              <w:suppressLineNumbers w:val="0"/>
              <w:spacing w:before="0" w:beforeAutospacing="0" w:after="0" w:afterAutospacing="0"/>
              <w:ind w:left="-1" w:leftChars="-1" w:right="0" w:hanging="1"/>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92" w:type="dxa"/>
            <w:tcBorders>
              <w:top w:val="nil"/>
              <w:left w:val="nil"/>
              <w:bottom w:val="single" w:color="auto" w:sz="4" w:space="0"/>
              <w:right w:val="nil"/>
            </w:tcBorders>
            <w:noWrap w:val="0"/>
            <w:vAlign w:val="center"/>
          </w:tcPr>
          <w:p w14:paraId="1391E9F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Y＜1000</w:t>
            </w:r>
          </w:p>
        </w:tc>
      </w:tr>
      <w:tr w14:paraId="57AC530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CF4FB0A">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tcBorders>
              <w:top w:val="nil"/>
              <w:left w:val="nil"/>
              <w:bottom w:val="nil"/>
              <w:right w:val="single" w:color="auto" w:sz="4" w:space="0"/>
            </w:tcBorders>
            <w:noWrap w:val="0"/>
            <w:vAlign w:val="center"/>
          </w:tcPr>
          <w:p w14:paraId="63BD45E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5ACB88D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506B7E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noWrap w:val="0"/>
            <w:vAlign w:val="center"/>
          </w:tcPr>
          <w:p w14:paraId="6536E4F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tcBorders>
              <w:top w:val="nil"/>
              <w:left w:val="nil"/>
              <w:bottom w:val="nil"/>
              <w:right w:val="single" w:color="auto" w:sz="4" w:space="0"/>
            </w:tcBorders>
            <w:noWrap w:val="0"/>
            <w:vAlign w:val="center"/>
          </w:tcPr>
          <w:p w14:paraId="3FD946CE">
            <w:pPr>
              <w:keepNext w:val="0"/>
              <w:keepLines w:val="0"/>
              <w:widowControl/>
              <w:suppressLineNumbers w:val="0"/>
              <w:spacing w:before="0" w:beforeAutospacing="0" w:after="0" w:afterAutospacing="0"/>
              <w:ind w:left="-1" w:leftChars="-1" w:right="0" w:hanging="1"/>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992" w:type="dxa"/>
            <w:tcBorders>
              <w:top w:val="nil"/>
              <w:left w:val="nil"/>
              <w:bottom w:val="nil"/>
              <w:right w:val="nil"/>
            </w:tcBorders>
            <w:noWrap w:val="0"/>
            <w:vAlign w:val="center"/>
          </w:tcPr>
          <w:p w14:paraId="4854844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3F787EF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5A503AF">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49515CA6">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F603A0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D76365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6D7473C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42915752">
            <w:pPr>
              <w:keepNext w:val="0"/>
              <w:keepLines w:val="0"/>
              <w:widowControl/>
              <w:suppressLineNumbers w:val="0"/>
              <w:spacing w:before="0" w:beforeAutospacing="0" w:after="0" w:afterAutospacing="0"/>
              <w:ind w:left="-1" w:leftChars="-1" w:right="0" w:hanging="1"/>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100≤Y＜500 </w:t>
            </w:r>
          </w:p>
        </w:tc>
        <w:tc>
          <w:tcPr>
            <w:tcW w:w="992" w:type="dxa"/>
            <w:tcBorders>
              <w:top w:val="nil"/>
              <w:left w:val="nil"/>
              <w:bottom w:val="single" w:color="auto" w:sz="4" w:space="0"/>
              <w:right w:val="nil"/>
            </w:tcBorders>
            <w:noWrap w:val="0"/>
            <w:vAlign w:val="center"/>
          </w:tcPr>
          <w:p w14:paraId="3C40EB2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57C266F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7615F9D">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tcBorders>
              <w:top w:val="nil"/>
              <w:left w:val="nil"/>
              <w:bottom w:val="nil"/>
              <w:right w:val="single" w:color="auto" w:sz="4" w:space="0"/>
            </w:tcBorders>
            <w:noWrap w:val="0"/>
            <w:vAlign w:val="center"/>
          </w:tcPr>
          <w:p w14:paraId="002FE8B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7F312BB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4187CA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noWrap w:val="0"/>
            <w:vAlign w:val="center"/>
          </w:tcPr>
          <w:p w14:paraId="29F35AB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noWrap w:val="0"/>
            <w:vAlign w:val="center"/>
          </w:tcPr>
          <w:p w14:paraId="4DCA09B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tcBorders>
              <w:top w:val="nil"/>
              <w:left w:val="nil"/>
              <w:bottom w:val="nil"/>
              <w:right w:val="nil"/>
            </w:tcBorders>
            <w:noWrap w:val="0"/>
            <w:vAlign w:val="center"/>
          </w:tcPr>
          <w:p w14:paraId="156CF2A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w:t>
            </w:r>
          </w:p>
        </w:tc>
      </w:tr>
      <w:tr w14:paraId="57B40FA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880A75F">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2B1B3189">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8DCEE0F">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4BD9AF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7DD4B4E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7DFA27F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200≤Y＜3000</w:t>
            </w:r>
          </w:p>
        </w:tc>
        <w:tc>
          <w:tcPr>
            <w:tcW w:w="992" w:type="dxa"/>
            <w:tcBorders>
              <w:top w:val="nil"/>
              <w:left w:val="nil"/>
              <w:bottom w:val="single" w:color="auto" w:sz="4" w:space="0"/>
              <w:right w:val="nil"/>
            </w:tcBorders>
            <w:noWrap w:val="0"/>
            <w:vAlign w:val="center"/>
          </w:tcPr>
          <w:p w14:paraId="380B565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Y＜200</w:t>
            </w:r>
          </w:p>
        </w:tc>
      </w:tr>
      <w:tr w14:paraId="5240C1B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0B38F61">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tcBorders>
              <w:top w:val="nil"/>
              <w:left w:val="nil"/>
              <w:bottom w:val="nil"/>
              <w:right w:val="single" w:color="auto" w:sz="4" w:space="0"/>
            </w:tcBorders>
            <w:noWrap w:val="0"/>
            <w:vAlign w:val="center"/>
          </w:tcPr>
          <w:p w14:paraId="11328F4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73DA21B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7827A9B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tcBorders>
              <w:top w:val="nil"/>
              <w:left w:val="nil"/>
              <w:bottom w:val="nil"/>
              <w:right w:val="single" w:color="auto" w:sz="4" w:space="0"/>
            </w:tcBorders>
            <w:noWrap w:val="0"/>
            <w:vAlign w:val="center"/>
          </w:tcPr>
          <w:p w14:paraId="346A13BC">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tcBorders>
              <w:top w:val="nil"/>
              <w:left w:val="nil"/>
              <w:bottom w:val="nil"/>
              <w:right w:val="single" w:color="auto" w:sz="4" w:space="0"/>
            </w:tcBorders>
            <w:noWrap w:val="0"/>
            <w:vAlign w:val="center"/>
          </w:tcPr>
          <w:p w14:paraId="08BCD2B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20≤X＜100</w:t>
            </w:r>
          </w:p>
        </w:tc>
        <w:tc>
          <w:tcPr>
            <w:tcW w:w="992" w:type="dxa"/>
            <w:tcBorders>
              <w:top w:val="nil"/>
              <w:left w:val="nil"/>
              <w:bottom w:val="nil"/>
              <w:right w:val="nil"/>
            </w:tcBorders>
            <w:noWrap w:val="0"/>
            <w:vAlign w:val="center"/>
          </w:tcPr>
          <w:p w14:paraId="50D7BD7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w:t>
            </w:r>
          </w:p>
        </w:tc>
      </w:tr>
      <w:tr w14:paraId="59054E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9A99F7E">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7D5356A9">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363FD1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7413C6C">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19C0618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21C369E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tcBorders>
              <w:top w:val="nil"/>
              <w:left w:val="nil"/>
              <w:bottom w:val="single" w:color="auto" w:sz="4" w:space="0"/>
              <w:right w:val="nil"/>
            </w:tcBorders>
            <w:noWrap w:val="0"/>
            <w:vAlign w:val="center"/>
          </w:tcPr>
          <w:p w14:paraId="6F4F7E4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6BD76FF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763591D">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tcBorders>
              <w:top w:val="nil"/>
              <w:left w:val="nil"/>
              <w:bottom w:val="nil"/>
              <w:right w:val="single" w:color="auto" w:sz="4" w:space="0"/>
            </w:tcBorders>
            <w:noWrap w:val="0"/>
            <w:vAlign w:val="center"/>
          </w:tcPr>
          <w:p w14:paraId="08D228E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4AE7ACE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CE196D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noWrap w:val="0"/>
            <w:vAlign w:val="center"/>
          </w:tcPr>
          <w:p w14:paraId="61F0E31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noWrap w:val="0"/>
            <w:vAlign w:val="center"/>
          </w:tcPr>
          <w:p w14:paraId="796ABC0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tcBorders>
              <w:top w:val="nil"/>
              <w:left w:val="nil"/>
              <w:bottom w:val="nil"/>
              <w:right w:val="nil"/>
            </w:tcBorders>
            <w:noWrap w:val="0"/>
            <w:vAlign w:val="center"/>
          </w:tcPr>
          <w:p w14:paraId="435988A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w:t>
            </w:r>
          </w:p>
        </w:tc>
      </w:tr>
      <w:tr w14:paraId="68AB6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A4E1CD8">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6D60FA89">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DAE40F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8F33EC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05D9082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484DFF5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tcBorders>
              <w:top w:val="nil"/>
              <w:left w:val="nil"/>
              <w:bottom w:val="single" w:color="auto" w:sz="4" w:space="0"/>
              <w:right w:val="nil"/>
            </w:tcBorders>
            <w:noWrap w:val="0"/>
            <w:vAlign w:val="center"/>
          </w:tcPr>
          <w:p w14:paraId="432688B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1FBB7CE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716438E">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tcBorders>
              <w:top w:val="nil"/>
              <w:left w:val="nil"/>
              <w:bottom w:val="nil"/>
              <w:right w:val="single" w:color="auto" w:sz="4" w:space="0"/>
            </w:tcBorders>
            <w:noWrap w:val="0"/>
            <w:vAlign w:val="center"/>
          </w:tcPr>
          <w:p w14:paraId="5988DA8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0B06620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3C6A24EC">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noWrap w:val="0"/>
            <w:vAlign w:val="center"/>
          </w:tcPr>
          <w:p w14:paraId="7142BD39">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noWrap w:val="0"/>
            <w:vAlign w:val="center"/>
          </w:tcPr>
          <w:p w14:paraId="49DD66E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nil"/>
              <w:right w:val="nil"/>
            </w:tcBorders>
            <w:noWrap w:val="0"/>
            <w:vAlign w:val="center"/>
          </w:tcPr>
          <w:p w14:paraId="2F61012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241F4C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1101F5F">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77243BE6">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938D41F">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70D35A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056BFFF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5DBC2FA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tcBorders>
              <w:top w:val="nil"/>
              <w:left w:val="nil"/>
              <w:bottom w:val="single" w:color="auto" w:sz="4" w:space="0"/>
              <w:right w:val="nil"/>
            </w:tcBorders>
            <w:noWrap w:val="0"/>
            <w:vAlign w:val="center"/>
          </w:tcPr>
          <w:p w14:paraId="687DF9B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69A60C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B3AA3A2">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tcBorders>
              <w:top w:val="nil"/>
              <w:left w:val="nil"/>
              <w:bottom w:val="nil"/>
              <w:right w:val="single" w:color="auto" w:sz="4" w:space="0"/>
            </w:tcBorders>
            <w:noWrap w:val="0"/>
            <w:vAlign w:val="center"/>
          </w:tcPr>
          <w:p w14:paraId="4CA2D09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5D6C199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5A1D83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noWrap w:val="0"/>
            <w:vAlign w:val="center"/>
          </w:tcPr>
          <w:p w14:paraId="69FF6338">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437364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nil"/>
              <w:right w:val="nil"/>
            </w:tcBorders>
            <w:noWrap w:val="0"/>
            <w:vAlign w:val="center"/>
          </w:tcPr>
          <w:p w14:paraId="328E02B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230855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268EA12">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01CC5B9D">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26AF90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5CF43D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7899256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39342CE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tcBorders>
              <w:top w:val="nil"/>
              <w:left w:val="nil"/>
              <w:bottom w:val="single" w:color="auto" w:sz="4" w:space="0"/>
              <w:right w:val="nil"/>
            </w:tcBorders>
            <w:noWrap w:val="0"/>
            <w:vAlign w:val="center"/>
          </w:tcPr>
          <w:p w14:paraId="73B3462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0EEF7F2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53A13EE4">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信息传输业 *</w:t>
            </w:r>
          </w:p>
        </w:tc>
        <w:tc>
          <w:tcPr>
            <w:tcW w:w="1369" w:type="dxa"/>
            <w:tcBorders>
              <w:top w:val="nil"/>
              <w:left w:val="nil"/>
              <w:bottom w:val="nil"/>
              <w:right w:val="single" w:color="auto" w:sz="4" w:space="0"/>
            </w:tcBorders>
            <w:noWrap w:val="0"/>
            <w:vAlign w:val="center"/>
          </w:tcPr>
          <w:p w14:paraId="064FB51C">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13A6B2B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0F60367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tcBorders>
              <w:top w:val="nil"/>
              <w:left w:val="nil"/>
              <w:bottom w:val="nil"/>
              <w:right w:val="single" w:color="auto" w:sz="4" w:space="0"/>
            </w:tcBorders>
            <w:noWrap w:val="0"/>
            <w:vAlign w:val="center"/>
          </w:tcPr>
          <w:p w14:paraId="56AF6B9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tcBorders>
              <w:top w:val="nil"/>
              <w:left w:val="nil"/>
              <w:bottom w:val="nil"/>
              <w:right w:val="single" w:color="auto" w:sz="4" w:space="0"/>
            </w:tcBorders>
            <w:noWrap w:val="0"/>
            <w:vAlign w:val="center"/>
          </w:tcPr>
          <w:p w14:paraId="146FE4F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nil"/>
              <w:right w:val="nil"/>
            </w:tcBorders>
            <w:noWrap w:val="0"/>
            <w:vAlign w:val="center"/>
          </w:tcPr>
          <w:p w14:paraId="6955ACA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29C8AE2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295D929">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60458793">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453BBA5">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F70AA2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5EE0470C">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1CF77FA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tcBorders>
              <w:top w:val="nil"/>
              <w:left w:val="nil"/>
              <w:bottom w:val="single" w:color="auto" w:sz="4" w:space="0"/>
              <w:right w:val="nil"/>
            </w:tcBorders>
            <w:noWrap w:val="0"/>
            <w:vAlign w:val="center"/>
          </w:tcPr>
          <w:p w14:paraId="619F874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3DB3AD6E">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4F4F5015">
            <w:pPr>
              <w:keepNext w:val="0"/>
              <w:keepLines w:val="0"/>
              <w:widowControl/>
              <w:suppressLineNumbers w:val="0"/>
              <w:spacing w:before="0" w:beforeAutospacing="0" w:after="0" w:afterAutospacing="0" w:line="240" w:lineRule="exact"/>
              <w:ind w:left="0" w:right="0"/>
              <w:rPr>
                <w:rFonts w:hint="default" w:ascii="宋体" w:hAnsi="宋体" w:cs="宋体"/>
                <w:color w:val="auto"/>
                <w:spacing w:val="-12"/>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69" w:type="dxa"/>
            <w:tcBorders>
              <w:top w:val="nil"/>
              <w:left w:val="nil"/>
              <w:bottom w:val="nil"/>
              <w:right w:val="single" w:color="auto" w:sz="4" w:space="0"/>
            </w:tcBorders>
            <w:noWrap w:val="0"/>
            <w:vAlign w:val="center"/>
          </w:tcPr>
          <w:p w14:paraId="318372A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4CAD7D3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1294358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noWrap w:val="0"/>
            <w:vAlign w:val="center"/>
          </w:tcPr>
          <w:p w14:paraId="4E3D4481">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noWrap w:val="0"/>
            <w:vAlign w:val="center"/>
          </w:tcPr>
          <w:p w14:paraId="2ADFD46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nil"/>
              <w:right w:val="nil"/>
            </w:tcBorders>
            <w:noWrap w:val="0"/>
            <w:vAlign w:val="center"/>
          </w:tcPr>
          <w:p w14:paraId="40D4795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6C6899F3">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2F3C6510">
            <w:pPr>
              <w:keepNext w:val="0"/>
              <w:keepLines w:val="0"/>
              <w:widowControl/>
              <w:suppressLineNumbers w:val="0"/>
              <w:spacing w:before="0" w:beforeAutospacing="0" w:after="0" w:afterAutospacing="0"/>
              <w:ind w:left="0" w:right="0"/>
              <w:rPr>
                <w:rFonts w:hint="default" w:ascii="宋体" w:hAnsi="宋体" w:cs="宋体"/>
                <w:color w:val="auto"/>
                <w:spacing w:val="-12"/>
                <w:sz w:val="18"/>
                <w:szCs w:val="18"/>
                <w:highlight w:val="none"/>
              </w:rPr>
            </w:pPr>
          </w:p>
        </w:tc>
        <w:tc>
          <w:tcPr>
            <w:tcW w:w="1369" w:type="dxa"/>
            <w:tcBorders>
              <w:top w:val="nil"/>
              <w:left w:val="nil"/>
              <w:bottom w:val="single" w:color="auto" w:sz="4" w:space="0"/>
              <w:right w:val="single" w:color="auto" w:sz="4" w:space="0"/>
            </w:tcBorders>
            <w:noWrap w:val="0"/>
            <w:vAlign w:val="center"/>
          </w:tcPr>
          <w:p w14:paraId="6674CE8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E72310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7D9F7B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023C5D1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20465B7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50≤Y＜1000</w:t>
            </w:r>
          </w:p>
        </w:tc>
        <w:tc>
          <w:tcPr>
            <w:tcW w:w="992" w:type="dxa"/>
            <w:tcBorders>
              <w:top w:val="nil"/>
              <w:left w:val="nil"/>
              <w:bottom w:val="single" w:color="auto" w:sz="4" w:space="0"/>
              <w:right w:val="nil"/>
            </w:tcBorders>
            <w:noWrap w:val="0"/>
            <w:vAlign w:val="center"/>
          </w:tcPr>
          <w:p w14:paraId="0BD1CA2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Y＜50</w:t>
            </w:r>
          </w:p>
        </w:tc>
      </w:tr>
      <w:tr w14:paraId="539C0D3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4178AFE6">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tcBorders>
              <w:top w:val="nil"/>
              <w:left w:val="nil"/>
              <w:bottom w:val="nil"/>
              <w:right w:val="single" w:color="auto" w:sz="4" w:space="0"/>
            </w:tcBorders>
            <w:noWrap w:val="0"/>
            <w:vAlign w:val="center"/>
          </w:tcPr>
          <w:p w14:paraId="2BF8B3A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nil"/>
              <w:right w:val="single" w:color="auto" w:sz="4" w:space="0"/>
            </w:tcBorders>
            <w:noWrap w:val="0"/>
            <w:vAlign w:val="center"/>
          </w:tcPr>
          <w:p w14:paraId="6F0504D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nil"/>
              <w:right w:val="single" w:color="auto" w:sz="4" w:space="0"/>
            </w:tcBorders>
            <w:noWrap w:val="0"/>
            <w:vAlign w:val="center"/>
          </w:tcPr>
          <w:p w14:paraId="14EBC51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tcBorders>
              <w:top w:val="nil"/>
              <w:left w:val="nil"/>
              <w:bottom w:val="nil"/>
              <w:right w:val="single" w:color="auto" w:sz="4" w:space="0"/>
            </w:tcBorders>
            <w:noWrap w:val="0"/>
            <w:vAlign w:val="center"/>
          </w:tcPr>
          <w:p w14:paraId="3B5B7D5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310F508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tcBorders>
              <w:top w:val="nil"/>
              <w:left w:val="nil"/>
              <w:bottom w:val="nil"/>
              <w:right w:val="nil"/>
            </w:tcBorders>
            <w:noWrap w:val="0"/>
            <w:vAlign w:val="center"/>
          </w:tcPr>
          <w:p w14:paraId="2F4567F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Y＜100</w:t>
            </w:r>
          </w:p>
        </w:tc>
      </w:tr>
      <w:tr w14:paraId="16B2D72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2A458626">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146AE255">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1F7916F3">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AF0EE0C">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5A5A675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1447C6B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790EFA1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Z＜2000</w:t>
            </w:r>
          </w:p>
        </w:tc>
      </w:tr>
      <w:tr w14:paraId="2C93F0E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BE90808">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tcBorders>
              <w:top w:val="nil"/>
              <w:left w:val="nil"/>
              <w:bottom w:val="nil"/>
              <w:right w:val="single" w:color="auto" w:sz="4" w:space="0"/>
            </w:tcBorders>
            <w:noWrap w:val="0"/>
            <w:vAlign w:val="center"/>
          </w:tcPr>
          <w:p w14:paraId="2A7E368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1BBAE2E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2B6B6254">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noWrap w:val="0"/>
            <w:vAlign w:val="center"/>
          </w:tcPr>
          <w:p w14:paraId="52583F0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noWrap w:val="0"/>
            <w:vAlign w:val="center"/>
          </w:tcPr>
          <w:p w14:paraId="460A717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992" w:type="dxa"/>
            <w:tcBorders>
              <w:top w:val="nil"/>
              <w:left w:val="nil"/>
              <w:bottom w:val="nil"/>
              <w:right w:val="nil"/>
            </w:tcBorders>
            <w:noWrap w:val="0"/>
            <w:vAlign w:val="center"/>
          </w:tcPr>
          <w:p w14:paraId="1D2CFA77">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X＜100</w:t>
            </w:r>
          </w:p>
        </w:tc>
      </w:tr>
      <w:tr w14:paraId="034F538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15DD113">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3016142E">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3CA369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298EF5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12177613">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5BA540E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500≤Y＜1000</w:t>
            </w:r>
          </w:p>
        </w:tc>
        <w:tc>
          <w:tcPr>
            <w:tcW w:w="992" w:type="dxa"/>
            <w:tcBorders>
              <w:top w:val="nil"/>
              <w:left w:val="nil"/>
              <w:bottom w:val="single" w:color="auto" w:sz="4" w:space="0"/>
              <w:right w:val="nil"/>
            </w:tcBorders>
            <w:noWrap w:val="0"/>
            <w:vAlign w:val="center"/>
          </w:tcPr>
          <w:p w14:paraId="168CB44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Y＜500</w:t>
            </w:r>
          </w:p>
        </w:tc>
      </w:tr>
      <w:tr w14:paraId="586D5C3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269173F0">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tcBorders>
              <w:top w:val="nil"/>
              <w:left w:val="nil"/>
              <w:bottom w:val="nil"/>
              <w:right w:val="single" w:color="auto" w:sz="4" w:space="0"/>
            </w:tcBorders>
            <w:noWrap w:val="0"/>
            <w:vAlign w:val="center"/>
          </w:tcPr>
          <w:p w14:paraId="493C90DB">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noWrap w:val="0"/>
            <w:vAlign w:val="center"/>
          </w:tcPr>
          <w:p w14:paraId="0AB2B07F">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noWrap w:val="0"/>
            <w:vAlign w:val="center"/>
          </w:tcPr>
          <w:p w14:paraId="376771A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noWrap w:val="0"/>
            <w:vAlign w:val="center"/>
          </w:tcPr>
          <w:p w14:paraId="4568DC06">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noWrap w:val="0"/>
            <w:vAlign w:val="center"/>
          </w:tcPr>
          <w:p w14:paraId="6AD1C5C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nil"/>
              <w:right w:val="nil"/>
            </w:tcBorders>
            <w:noWrap w:val="0"/>
            <w:vAlign w:val="center"/>
          </w:tcPr>
          <w:p w14:paraId="0D9A1DFE">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r w14:paraId="7865FC0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4149EC59">
            <w:pPr>
              <w:keepNext w:val="0"/>
              <w:keepLines w:val="0"/>
              <w:widowControl/>
              <w:suppressLineNumbers w:val="0"/>
              <w:spacing w:before="0" w:beforeAutospacing="0" w:after="0" w:afterAutospacing="0"/>
              <w:ind w:left="0" w:right="0"/>
              <w:rPr>
                <w:rFonts w:hint="default"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noWrap w:val="0"/>
            <w:vAlign w:val="center"/>
          </w:tcPr>
          <w:p w14:paraId="036A11A9">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34A08052">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A684D3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7E96729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57DD5310">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100≤Z＜8000</w:t>
            </w:r>
          </w:p>
        </w:tc>
        <w:tc>
          <w:tcPr>
            <w:tcW w:w="992" w:type="dxa"/>
            <w:tcBorders>
              <w:top w:val="nil"/>
              <w:left w:val="nil"/>
              <w:bottom w:val="single" w:color="auto" w:sz="4" w:space="0"/>
              <w:right w:val="nil"/>
            </w:tcBorders>
            <w:noWrap w:val="0"/>
            <w:vAlign w:val="center"/>
          </w:tcPr>
          <w:p w14:paraId="7382F308">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Z＜100</w:t>
            </w:r>
          </w:p>
        </w:tc>
      </w:tr>
      <w:tr w14:paraId="02EB940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247D3830">
            <w:pPr>
              <w:keepNext w:val="0"/>
              <w:keepLines w:val="0"/>
              <w:widowControl/>
              <w:suppressLineNumbers w:val="0"/>
              <w:spacing w:before="0" w:beforeAutospacing="0" w:after="0" w:afterAutospacing="0" w:line="240" w:lineRule="exact"/>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74F97A91">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2A0F29ED">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3679E0B9">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1CF1E3A7">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01E608BA">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tcBorders>
              <w:top w:val="nil"/>
              <w:left w:val="nil"/>
              <w:bottom w:val="single" w:color="auto" w:sz="4" w:space="0"/>
              <w:right w:val="nil"/>
            </w:tcBorders>
            <w:noWrap w:val="0"/>
            <w:vAlign w:val="center"/>
          </w:tcPr>
          <w:p w14:paraId="0D3CFDB6">
            <w:pPr>
              <w:keepNext w:val="0"/>
              <w:keepLines w:val="0"/>
              <w:widowControl/>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X＜10</w:t>
            </w:r>
          </w:p>
        </w:tc>
      </w:tr>
    </w:tbl>
    <w:p w14:paraId="477701AA">
      <w:pPr>
        <w:spacing w:line="360" w:lineRule="auto"/>
        <w:rPr>
          <w:rFonts w:ascii="宋体" w:hAnsi="宋体" w:cs="宋体"/>
          <w:color w:val="auto"/>
          <w:szCs w:val="21"/>
          <w:highlight w:val="none"/>
        </w:rPr>
      </w:pPr>
      <w:r>
        <w:rPr>
          <w:rFonts w:ascii="宋体" w:hAnsi="宋体" w:cs="宋体"/>
          <w:color w:val="auto"/>
          <w:szCs w:val="21"/>
          <w:highlight w:val="none"/>
        </w:rPr>
        <w:t>说明：</w:t>
      </w:r>
    </w:p>
    <w:p w14:paraId="0CCF22B2">
      <w:pPr>
        <w:spacing w:line="360" w:lineRule="auto"/>
        <w:ind w:firstLine="371" w:firstLineChars="177"/>
        <w:rPr>
          <w:rFonts w:ascii="宋体" w:hAnsi="宋体" w:cs="宋体"/>
          <w:color w:val="auto"/>
          <w:szCs w:val="21"/>
          <w:highlight w:val="none"/>
        </w:rPr>
      </w:pPr>
      <w:r>
        <w:rPr>
          <w:rFonts w:ascii="宋体" w:hAnsi="宋体" w:cs="宋体"/>
          <w:color w:val="auto"/>
          <w:szCs w:val="21"/>
          <w:highlight w:val="none"/>
        </w:rPr>
        <w:t>1.大型、中型和小型企业须同时满足所列指标的下限，否则下划一档；微型企业只须满足所列指标中的一项即可。</w:t>
      </w:r>
    </w:p>
    <w:p w14:paraId="2B6093CD">
      <w:pPr>
        <w:spacing w:line="360" w:lineRule="auto"/>
        <w:ind w:firstLine="371" w:firstLineChars="177"/>
        <w:rPr>
          <w:rFonts w:ascii="宋体" w:hAnsi="宋体" w:cs="宋体"/>
          <w:color w:val="auto"/>
          <w:szCs w:val="21"/>
          <w:highlight w:val="none"/>
        </w:rPr>
      </w:pPr>
      <w:r>
        <w:rPr>
          <w:rFonts w:ascii="宋体" w:hAnsi="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7258F2">
      <w:pPr>
        <w:spacing w:line="360" w:lineRule="auto"/>
        <w:ind w:firstLine="371" w:firstLineChars="177"/>
        <w:rPr>
          <w:rFonts w:ascii="宋体" w:hAnsi="宋体" w:cs="宋体"/>
          <w:color w:val="auto"/>
          <w:szCs w:val="21"/>
          <w:highlight w:val="none"/>
        </w:rPr>
      </w:pPr>
      <w:r>
        <w:rPr>
          <w:rFonts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C4EA568">
      <w:pPr>
        <w:spacing w:line="360" w:lineRule="auto"/>
        <w:rPr>
          <w:rFonts w:ascii="宋体" w:hAnsi="宋体"/>
          <w:color w:val="auto"/>
          <w:szCs w:val="21"/>
          <w:highlight w:val="none"/>
        </w:rPr>
      </w:pPr>
    </w:p>
    <w:p w14:paraId="034BABC8">
      <w:pPr>
        <w:pStyle w:val="5"/>
        <w:spacing w:before="0" w:after="0"/>
        <w:jc w:val="center"/>
        <w:rPr>
          <w:rFonts w:ascii="宋体" w:hAnsi="宋体"/>
          <w:color w:val="auto"/>
          <w:sz w:val="21"/>
          <w:szCs w:val="21"/>
          <w:highlight w:val="none"/>
        </w:rPr>
      </w:pPr>
      <w:bookmarkStart w:id="75" w:name="_Toc73613647"/>
      <w:bookmarkStart w:id="76" w:name="_Toc73610165"/>
      <w:r>
        <w:rPr>
          <w:rFonts w:hint="eastAsia" w:ascii="方正小标宋_GBK" w:hAnsi="方正小标宋_GBK" w:eastAsia="方正小标宋_GBK" w:cs="方正小标宋_GBK"/>
          <w:b/>
          <w:bCs w:val="0"/>
          <w:color w:val="auto"/>
          <w:highlight w:val="none"/>
        </w:rPr>
        <w:t>四、财政部 民政部 中国残疾人联合会关于促进残疾人就业 政府采购政策的通知</w:t>
      </w:r>
      <w:bookmarkEnd w:id="75"/>
      <w:bookmarkEnd w:id="76"/>
      <w:r>
        <w:rPr>
          <w:color w:val="auto"/>
          <w:highlight w:val="none"/>
        </w:rPr>
        <w:t xml:space="preserve"> </w:t>
      </w:r>
    </w:p>
    <w:p w14:paraId="6DBF1A24">
      <w:pPr>
        <w:pStyle w:val="36"/>
        <w:shd w:val="clear" w:color="auto" w:fill="auto"/>
        <w:spacing w:line="360" w:lineRule="auto"/>
        <w:jc w:val="center"/>
        <w:rPr>
          <w:rFonts w:ascii="宋体" w:hAnsi="宋体"/>
          <w:color w:val="auto"/>
          <w:sz w:val="21"/>
          <w:szCs w:val="21"/>
          <w:highlight w:val="none"/>
        </w:rPr>
      </w:pPr>
      <w:r>
        <w:rPr>
          <w:rFonts w:ascii="宋体" w:hAnsi="宋体"/>
          <w:color w:val="auto"/>
          <w:sz w:val="21"/>
          <w:szCs w:val="21"/>
          <w:highlight w:val="none"/>
        </w:rPr>
        <w:t>财库〔2017〕141号</w:t>
      </w:r>
    </w:p>
    <w:p w14:paraId="15D96BC5">
      <w:pPr>
        <w:spacing w:line="360" w:lineRule="auto"/>
        <w:rPr>
          <w:rFonts w:ascii="宋体" w:hAnsi="宋体" w:cs="宋体"/>
          <w:color w:val="auto"/>
          <w:szCs w:val="21"/>
          <w:highlight w:val="none"/>
        </w:rPr>
      </w:pPr>
      <w:r>
        <w:rPr>
          <w:rFonts w:hint="eastAsia" w:ascii="宋体" w:hAnsi="宋体" w:cs="宋体"/>
          <w:color w:val="auto"/>
          <w:szCs w:val="21"/>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2D1CFF0">
      <w:pPr>
        <w:spacing w:line="360" w:lineRule="auto"/>
        <w:rPr>
          <w:rFonts w:ascii="宋体" w:hAnsi="宋体" w:cs="宋体"/>
          <w:color w:val="auto"/>
          <w:szCs w:val="21"/>
          <w:highlight w:val="none"/>
        </w:rPr>
      </w:pPr>
      <w:r>
        <w:rPr>
          <w:rFonts w:hint="eastAsia" w:ascii="宋体" w:hAnsi="宋体" w:cs="宋体"/>
          <w:color w:val="auto"/>
          <w:szCs w:val="21"/>
          <w:highlight w:val="none"/>
        </w:rPr>
        <w:t>　　为了发挥政府采购促进残疾人就业的作用，进一步保障残疾人权益，依照《政府采购法》、《残疾人保障法》等法律法规及相关规定，现就促进残疾人就业政府采购政策通知如下：</w:t>
      </w:r>
    </w:p>
    <w:p w14:paraId="0A567895">
      <w:pPr>
        <w:spacing w:line="360" w:lineRule="auto"/>
        <w:rPr>
          <w:rFonts w:ascii="宋体" w:hAnsi="宋体" w:cs="宋体"/>
          <w:color w:val="auto"/>
          <w:szCs w:val="21"/>
          <w:highlight w:val="none"/>
        </w:rPr>
      </w:pPr>
      <w:r>
        <w:rPr>
          <w:rFonts w:hint="eastAsia" w:ascii="宋体" w:hAnsi="宋体" w:cs="宋体"/>
          <w:color w:val="auto"/>
          <w:szCs w:val="21"/>
          <w:highlight w:val="none"/>
        </w:rPr>
        <w:t>　　一、享受政府采购支持政策的残疾人福利性单位应当同时满足以下条件：</w:t>
      </w:r>
    </w:p>
    <w:p w14:paraId="428A3310">
      <w:pPr>
        <w:spacing w:line="360" w:lineRule="auto"/>
        <w:rPr>
          <w:rFonts w:ascii="宋体" w:hAnsi="宋体" w:cs="宋体"/>
          <w:color w:val="auto"/>
          <w:szCs w:val="21"/>
          <w:highlight w:val="none"/>
        </w:rPr>
      </w:pPr>
      <w:r>
        <w:rPr>
          <w:rFonts w:hint="eastAsia" w:ascii="宋体" w:hAnsi="宋体" w:cs="宋体"/>
          <w:color w:val="auto"/>
          <w:szCs w:val="21"/>
          <w:highlight w:val="none"/>
        </w:rPr>
        <w:t>　　（一）安置的残疾人占本单位在职职工人数的比例不低于25%（含25%），并且安置的残疾人人数不少于10人（含10人）；</w:t>
      </w:r>
    </w:p>
    <w:p w14:paraId="01476361">
      <w:pPr>
        <w:spacing w:line="360" w:lineRule="auto"/>
        <w:rPr>
          <w:rFonts w:ascii="宋体" w:hAnsi="宋体" w:cs="宋体"/>
          <w:color w:val="auto"/>
          <w:szCs w:val="21"/>
          <w:highlight w:val="none"/>
        </w:rPr>
      </w:pPr>
      <w:r>
        <w:rPr>
          <w:rFonts w:hint="eastAsia" w:ascii="宋体" w:hAnsi="宋体" w:cs="宋体"/>
          <w:color w:val="auto"/>
          <w:szCs w:val="21"/>
          <w:highlight w:val="none"/>
        </w:rPr>
        <w:t>　　（二）依法与安置的每位残疾人签订了一年以上（含一年）的劳动合同或服务协议；</w:t>
      </w:r>
    </w:p>
    <w:p w14:paraId="2CDDDA01">
      <w:pPr>
        <w:spacing w:line="360" w:lineRule="auto"/>
        <w:rPr>
          <w:rFonts w:ascii="宋体" w:hAnsi="宋体" w:cs="宋体"/>
          <w:color w:val="auto"/>
          <w:szCs w:val="21"/>
          <w:highlight w:val="none"/>
        </w:rPr>
      </w:pPr>
      <w:r>
        <w:rPr>
          <w:rFonts w:hint="eastAsia" w:ascii="宋体" w:hAnsi="宋体" w:cs="宋体"/>
          <w:color w:val="auto"/>
          <w:szCs w:val="21"/>
          <w:highlight w:val="none"/>
        </w:rPr>
        <w:t>　　（三）为安置的每位残疾人按月足额缴纳了基本养老保险、基本医疗保险、失业保险、工伤保险和生育保险等社会保险费；</w:t>
      </w:r>
    </w:p>
    <w:p w14:paraId="3CDA7027">
      <w:pPr>
        <w:spacing w:line="360" w:lineRule="auto"/>
        <w:rPr>
          <w:rFonts w:ascii="宋体" w:hAnsi="宋体" w:cs="宋体"/>
          <w:color w:val="auto"/>
          <w:szCs w:val="21"/>
          <w:highlight w:val="none"/>
        </w:rPr>
      </w:pPr>
      <w:r>
        <w:rPr>
          <w:rFonts w:hint="eastAsia" w:ascii="宋体" w:hAnsi="宋体" w:cs="宋体"/>
          <w:color w:val="auto"/>
          <w:szCs w:val="21"/>
          <w:highlight w:val="none"/>
        </w:rPr>
        <w:t>　　（四）通过银行等金融机构向安置的每位残疾人，按月支付了不低于单位所在区县适用的经省级人民政府批准的月最低工资标准的工资；</w:t>
      </w:r>
    </w:p>
    <w:p w14:paraId="7C04E6EA">
      <w:pPr>
        <w:spacing w:line="360" w:lineRule="auto"/>
        <w:rPr>
          <w:rFonts w:ascii="宋体" w:hAnsi="宋体" w:cs="宋体"/>
          <w:color w:val="auto"/>
          <w:szCs w:val="21"/>
          <w:highlight w:val="none"/>
        </w:rPr>
      </w:pPr>
      <w:r>
        <w:rPr>
          <w:rFonts w:hint="eastAsia" w:ascii="宋体" w:hAnsi="宋体" w:cs="宋体"/>
          <w:color w:val="auto"/>
          <w:szCs w:val="21"/>
          <w:highlight w:val="none"/>
        </w:rPr>
        <w:t>　　（五）提供本单位制造的货物、承担的工程或者服务（以下简称产品），或者提供其他残疾人福利性单位制造的货物（不包括使用非残疾人福利性单位注册商标的货物）。</w:t>
      </w:r>
    </w:p>
    <w:p w14:paraId="7ACE068E">
      <w:pPr>
        <w:spacing w:line="360" w:lineRule="auto"/>
        <w:rPr>
          <w:rFonts w:ascii="宋体" w:hAnsi="宋体" w:cs="宋体"/>
          <w:color w:val="auto"/>
          <w:szCs w:val="21"/>
          <w:highlight w:val="none"/>
        </w:rPr>
      </w:pPr>
      <w:r>
        <w:rPr>
          <w:rFonts w:hint="eastAsia" w:ascii="宋体" w:hAnsi="宋体" w:cs="宋体"/>
          <w:color w:val="auto"/>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1CFA2E">
      <w:pPr>
        <w:spacing w:line="360" w:lineRule="auto"/>
        <w:rPr>
          <w:rFonts w:ascii="宋体" w:hAnsi="宋体" w:cs="宋体"/>
          <w:color w:val="auto"/>
          <w:szCs w:val="21"/>
          <w:highlight w:val="none"/>
        </w:rPr>
      </w:pPr>
      <w:r>
        <w:rPr>
          <w:rFonts w:hint="eastAsia" w:ascii="宋体" w:hAnsi="宋体" w:cs="宋体"/>
          <w:color w:val="auto"/>
          <w:szCs w:val="21"/>
          <w:highlight w:val="none"/>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CEFC6C4">
      <w:pPr>
        <w:spacing w:line="360" w:lineRule="auto"/>
        <w:rPr>
          <w:rFonts w:ascii="宋体" w:hAnsi="宋体" w:cs="宋体"/>
          <w:color w:val="auto"/>
          <w:szCs w:val="21"/>
          <w:highlight w:val="none"/>
        </w:rPr>
      </w:pPr>
      <w:r>
        <w:rPr>
          <w:rFonts w:hint="eastAsia" w:ascii="宋体" w:hAnsi="宋体" w:cs="宋体"/>
          <w:color w:val="auto"/>
          <w:szCs w:val="21"/>
          <w:highlight w:val="none"/>
        </w:rPr>
        <w:t>　　中标、成交供应商为残疾人福利性单位的，采购人或者其委托的采购代理机构应当随中标、成交结果同时公告其《残疾人福利性单位声明函》，接受社会监督。</w:t>
      </w:r>
    </w:p>
    <w:p w14:paraId="3944ED19">
      <w:pPr>
        <w:spacing w:line="360" w:lineRule="auto"/>
        <w:rPr>
          <w:rFonts w:ascii="宋体" w:hAnsi="宋体" w:cs="宋体"/>
          <w:color w:val="auto"/>
          <w:szCs w:val="21"/>
          <w:highlight w:val="none"/>
        </w:rPr>
      </w:pPr>
      <w:r>
        <w:rPr>
          <w:rFonts w:hint="eastAsia" w:ascii="宋体" w:hAnsi="宋体" w:cs="宋体"/>
          <w:color w:val="auto"/>
          <w:szCs w:val="21"/>
          <w:highlight w:val="none"/>
        </w:rPr>
        <w:t>　　供应商提供的《残疾人福利性单位声明函》与事实不符的，依照《政府采购法》第七十七条第一款的规定追究法律责任。</w:t>
      </w:r>
    </w:p>
    <w:p w14:paraId="20807A5D">
      <w:pPr>
        <w:spacing w:line="360" w:lineRule="auto"/>
        <w:rPr>
          <w:rFonts w:ascii="宋体" w:hAnsi="宋体" w:cs="宋体"/>
          <w:color w:val="auto"/>
          <w:szCs w:val="21"/>
          <w:highlight w:val="none"/>
        </w:rPr>
      </w:pPr>
      <w:r>
        <w:rPr>
          <w:rFonts w:hint="eastAsia" w:ascii="宋体" w:hAnsi="宋体" w:cs="宋体"/>
          <w:color w:val="auto"/>
          <w:szCs w:val="21"/>
          <w:highlight w:val="none"/>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9891AD2">
      <w:pPr>
        <w:spacing w:line="360" w:lineRule="auto"/>
        <w:rPr>
          <w:rFonts w:ascii="宋体" w:hAnsi="宋体" w:cs="宋体"/>
          <w:color w:val="auto"/>
          <w:szCs w:val="21"/>
          <w:highlight w:val="none"/>
        </w:rPr>
      </w:pPr>
      <w:r>
        <w:rPr>
          <w:rFonts w:hint="eastAsia" w:ascii="宋体" w:hAnsi="宋体" w:cs="宋体"/>
          <w:color w:val="auto"/>
          <w:szCs w:val="21"/>
          <w:highlight w:val="none"/>
        </w:rPr>
        <w:t>　　四、采购人采购公开招标数额标准以上的货物或者服务，因落实促进残疾人就业政策的需要，依法履行有关报批程序后，可采用公开招标以外的采购方式。</w:t>
      </w:r>
    </w:p>
    <w:p w14:paraId="6D35DB2B">
      <w:pPr>
        <w:spacing w:line="360" w:lineRule="auto"/>
        <w:rPr>
          <w:rFonts w:ascii="宋体" w:hAnsi="宋体" w:cs="宋体"/>
          <w:color w:val="auto"/>
          <w:szCs w:val="21"/>
          <w:highlight w:val="none"/>
        </w:rPr>
      </w:pPr>
      <w:r>
        <w:rPr>
          <w:rFonts w:hint="eastAsia" w:ascii="宋体" w:hAnsi="宋体" w:cs="宋体"/>
          <w:color w:val="auto"/>
          <w:szCs w:val="21"/>
          <w:highlight w:val="none"/>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14DD6B5">
      <w:pPr>
        <w:spacing w:line="360" w:lineRule="auto"/>
        <w:rPr>
          <w:rFonts w:ascii="宋体" w:hAnsi="宋体" w:cs="宋体"/>
          <w:color w:val="auto"/>
          <w:szCs w:val="21"/>
          <w:highlight w:val="none"/>
        </w:rPr>
      </w:pPr>
      <w:r>
        <w:rPr>
          <w:rFonts w:hint="eastAsia" w:ascii="宋体" w:hAnsi="宋体" w:cs="宋体"/>
          <w:color w:val="auto"/>
          <w:szCs w:val="21"/>
          <w:highlight w:val="none"/>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5831C81">
      <w:pPr>
        <w:spacing w:line="360" w:lineRule="auto"/>
        <w:rPr>
          <w:rFonts w:ascii="宋体" w:hAnsi="宋体" w:cs="宋体"/>
          <w:color w:val="auto"/>
          <w:szCs w:val="21"/>
          <w:highlight w:val="none"/>
        </w:rPr>
      </w:pPr>
      <w:r>
        <w:rPr>
          <w:rFonts w:hint="eastAsia" w:ascii="宋体" w:hAnsi="宋体" w:cs="宋体"/>
          <w:color w:val="auto"/>
          <w:szCs w:val="21"/>
          <w:highlight w:val="none"/>
        </w:rPr>
        <w:t>　　七、本通知自2017年10月1日起执行。</w:t>
      </w:r>
    </w:p>
    <w:p w14:paraId="123BEF7A">
      <w:pPr>
        <w:spacing w:line="360" w:lineRule="auto"/>
        <w:rPr>
          <w:rFonts w:ascii="宋体" w:hAnsi="宋体" w:cs="宋体"/>
          <w:color w:val="auto"/>
          <w:szCs w:val="21"/>
          <w:highlight w:val="none"/>
        </w:rPr>
      </w:pPr>
      <w:r>
        <w:rPr>
          <w:rFonts w:ascii="宋体" w:hAnsi="宋体" w:cs="宋体"/>
          <w:color w:val="auto"/>
          <w:szCs w:val="21"/>
          <w:highlight w:val="none"/>
        </w:rPr>
        <w:t>　　</w:t>
      </w:r>
    </w:p>
    <w:p w14:paraId="7F6B32F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财政部 民政部 中国残疾人联合会</w:t>
      </w:r>
    </w:p>
    <w:p w14:paraId="0AC59212">
      <w:pPr>
        <w:spacing w:line="360" w:lineRule="auto"/>
        <w:ind w:firstLine="5880" w:firstLineChars="2800"/>
        <w:jc w:val="both"/>
        <w:rPr>
          <w:rFonts w:ascii="宋体" w:hAnsi="宋体" w:cs="宋体"/>
          <w:color w:val="auto"/>
          <w:szCs w:val="21"/>
          <w:highlight w:val="none"/>
        </w:rPr>
      </w:pPr>
      <w:r>
        <w:rPr>
          <w:rFonts w:hint="eastAsia" w:ascii="宋体" w:hAnsi="宋体" w:cs="宋体"/>
          <w:color w:val="auto"/>
          <w:szCs w:val="21"/>
          <w:highlight w:val="none"/>
        </w:rPr>
        <w:t>2017年8月22日</w:t>
      </w:r>
    </w:p>
    <w:p w14:paraId="48E3DE8F">
      <w:pPr>
        <w:pStyle w:val="7"/>
        <w:spacing w:before="120" w:beforeLines="50" w:after="120" w:afterLines="50"/>
        <w:ind w:left="562" w:firstLine="1767" w:firstLineChars="550"/>
        <w:jc w:val="both"/>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第二册  通用条款（公开招标）</w:t>
      </w:r>
    </w:p>
    <w:p w14:paraId="5AABF0FB">
      <w:pPr>
        <w:pStyle w:val="7"/>
        <w:numPr>
          <w:ilvl w:val="0"/>
          <w:numId w:val="0"/>
        </w:numPr>
        <w:spacing w:before="120" w:beforeLines="50" w:after="120" w:afterLines="50"/>
        <w:ind w:firstLine="3373" w:firstLineChars="1200"/>
        <w:jc w:val="both"/>
        <w:rPr>
          <w:color w:val="auto"/>
          <w:sz w:val="28"/>
          <w:szCs w:val="28"/>
          <w:highlight w:val="none"/>
        </w:rPr>
      </w:pPr>
      <w:bookmarkStart w:id="77" w:name="_Hlk72399513"/>
      <w:r>
        <w:rPr>
          <w:rFonts w:hint="eastAsia"/>
          <w:color w:val="auto"/>
          <w:sz w:val="28"/>
          <w:szCs w:val="28"/>
          <w:highlight w:val="none"/>
          <w:lang w:val="en-US" w:eastAsia="zh-CN"/>
        </w:rPr>
        <w:t xml:space="preserve">第一章  </w:t>
      </w:r>
      <w:r>
        <w:rPr>
          <w:rFonts w:hint="eastAsia"/>
          <w:color w:val="auto"/>
          <w:sz w:val="28"/>
          <w:szCs w:val="28"/>
          <w:highlight w:val="none"/>
        </w:rPr>
        <w:t>总则</w:t>
      </w:r>
    </w:p>
    <w:bookmarkEnd w:id="77"/>
    <w:p w14:paraId="71A8BADD">
      <w:pPr>
        <w:outlineLvl w:val="1"/>
        <w:rPr>
          <w:rFonts w:ascii="黑体" w:hAnsi="宋体" w:eastAsia="黑体"/>
          <w:color w:val="auto"/>
          <w:sz w:val="24"/>
          <w:highlight w:val="none"/>
        </w:rPr>
      </w:pPr>
      <w:r>
        <w:rPr>
          <w:rFonts w:hint="eastAsia" w:ascii="黑体" w:hAnsi="宋体" w:eastAsia="黑体"/>
          <w:color w:val="auto"/>
          <w:sz w:val="24"/>
          <w:highlight w:val="none"/>
        </w:rPr>
        <w:t>1. 通用条款说明</w:t>
      </w:r>
    </w:p>
    <w:p w14:paraId="7FBA651F">
      <w:pPr>
        <w:ind w:firstLine="411" w:firstLineChars="196"/>
        <w:rPr>
          <w:rFonts w:ascii="宋体" w:hAnsi="宋体"/>
          <w:color w:val="auto"/>
          <w:szCs w:val="21"/>
          <w:highlight w:val="none"/>
        </w:rPr>
      </w:pPr>
      <w:r>
        <w:rPr>
          <w:rFonts w:hint="eastAsia" w:ascii="宋体" w:hAnsi="宋体"/>
          <w:color w:val="auto"/>
          <w:szCs w:val="21"/>
          <w:highlight w:val="none"/>
        </w:rPr>
        <w:t>1.1政府集中采购机构发出招标文件通用条款版本，列出</w:t>
      </w:r>
      <w:r>
        <w:rPr>
          <w:rFonts w:hint="eastAsia" w:ascii="宋体" w:hAnsi="宋体"/>
          <w:b/>
          <w:bCs/>
          <w:color w:val="auto"/>
          <w:szCs w:val="21"/>
          <w:highlight w:val="none"/>
          <w:lang w:val="en-US" w:eastAsia="zh-CN"/>
        </w:rPr>
        <w:t>巴州</w:t>
      </w:r>
      <w:r>
        <w:rPr>
          <w:rFonts w:hint="eastAsia" w:ascii="宋体" w:hAnsi="宋体"/>
          <w:b/>
          <w:bCs/>
          <w:color w:val="auto"/>
          <w:szCs w:val="21"/>
          <w:highlight w:val="none"/>
        </w:rPr>
        <w:t>政府采购项目</w:t>
      </w:r>
      <w:r>
        <w:rPr>
          <w:rFonts w:hint="eastAsia" w:ascii="宋体" w:hAnsi="宋体"/>
          <w:color w:val="auto"/>
          <w:szCs w:val="21"/>
          <w:highlight w:val="none"/>
        </w:rPr>
        <w:t>进行招标采购所适用的通用条款内容。</w:t>
      </w:r>
      <w:bookmarkStart w:id="78" w:name="_Hlk72399729"/>
      <w:r>
        <w:rPr>
          <w:rFonts w:hint="eastAsia" w:ascii="宋体" w:hAnsi="宋体"/>
          <w:color w:val="auto"/>
          <w:szCs w:val="21"/>
          <w:highlight w:val="none"/>
        </w:rPr>
        <w:t>如有需要，政府集中采购机构可以对通用条款的内容进行补充。</w:t>
      </w:r>
      <w:bookmarkEnd w:id="78"/>
    </w:p>
    <w:p w14:paraId="4D348B8B">
      <w:pPr>
        <w:ind w:firstLine="411" w:firstLineChars="196"/>
        <w:rPr>
          <w:rFonts w:ascii="宋体" w:hAnsi="宋体"/>
          <w:color w:val="auto"/>
          <w:szCs w:val="21"/>
          <w:highlight w:val="none"/>
        </w:rPr>
      </w:pPr>
      <w:r>
        <w:rPr>
          <w:rFonts w:hint="eastAsia" w:ascii="宋体" w:hAnsi="宋体"/>
          <w:color w:val="auto"/>
          <w:szCs w:val="21"/>
          <w:highlight w:val="none"/>
        </w:rPr>
        <w:t>1.2招标文件分为第一册“专用条款”和第二册“通用条款”。</w:t>
      </w:r>
    </w:p>
    <w:p w14:paraId="42DF44B2">
      <w:pPr>
        <w:ind w:firstLine="411" w:firstLineChars="196"/>
        <w:rPr>
          <w:rFonts w:ascii="宋体" w:hAnsi="宋体"/>
          <w:color w:val="auto"/>
          <w:szCs w:val="21"/>
          <w:highlight w:val="none"/>
        </w:rPr>
      </w:pPr>
      <w:r>
        <w:rPr>
          <w:rFonts w:hint="eastAsia" w:ascii="宋体" w:hAnsi="宋体"/>
          <w:color w:val="auto"/>
          <w:szCs w:val="21"/>
          <w:highlight w:val="none"/>
        </w:rPr>
        <w:t>1.3“专用条款”是对本次采购项目的具体要求，包含招标公告、对通用条款的补充内容及其他关键信息、用户需求书、投标文件格式及附件、合同条款及格式等内容。</w:t>
      </w:r>
    </w:p>
    <w:p w14:paraId="5A120C2F">
      <w:pPr>
        <w:ind w:firstLine="411" w:firstLineChars="196"/>
        <w:rPr>
          <w:rFonts w:ascii="宋体" w:hAnsi="宋体"/>
          <w:color w:val="auto"/>
          <w:szCs w:val="21"/>
          <w:highlight w:val="none"/>
        </w:rPr>
      </w:pPr>
      <w:r>
        <w:rPr>
          <w:rFonts w:hint="eastAsia" w:ascii="宋体" w:hAnsi="宋体"/>
          <w:color w:val="auto"/>
          <w:szCs w:val="21"/>
          <w:highlight w:val="none"/>
        </w:rPr>
        <w:t>1.4“通用条款”是适用于政府采购公开招标项目的基础性条款，具有普遍性和通用性。</w:t>
      </w:r>
    </w:p>
    <w:p w14:paraId="6C51A008">
      <w:pPr>
        <w:ind w:firstLine="411" w:firstLineChars="196"/>
        <w:rPr>
          <w:rFonts w:ascii="宋体" w:hAnsi="宋体"/>
          <w:color w:val="auto"/>
          <w:szCs w:val="21"/>
          <w:highlight w:val="none"/>
        </w:rPr>
      </w:pPr>
      <w:r>
        <w:rPr>
          <w:rFonts w:hint="eastAsia" w:ascii="宋体" w:hAnsi="宋体"/>
          <w:color w:val="auto"/>
          <w:szCs w:val="21"/>
          <w:highlight w:val="none"/>
        </w:rPr>
        <w:t>1.5 “专用条款”和“通用条款”表述不一致或有冲突时，以“专用条款”为准。</w:t>
      </w:r>
    </w:p>
    <w:p w14:paraId="7A3C2B87">
      <w:pPr>
        <w:outlineLvl w:val="1"/>
        <w:rPr>
          <w:rFonts w:ascii="黑体" w:hAnsi="宋体" w:eastAsia="黑体"/>
          <w:color w:val="auto"/>
          <w:sz w:val="24"/>
          <w:highlight w:val="none"/>
        </w:rPr>
      </w:pPr>
      <w:r>
        <w:rPr>
          <w:rFonts w:hint="eastAsia" w:ascii="黑体" w:hAnsi="宋体" w:eastAsia="黑体"/>
          <w:color w:val="auto"/>
          <w:sz w:val="24"/>
          <w:highlight w:val="none"/>
        </w:rPr>
        <w:t>2</w:t>
      </w:r>
      <w:r>
        <w:rPr>
          <w:rFonts w:ascii="黑体" w:hAnsi="宋体" w:eastAsia="黑体"/>
          <w:color w:val="auto"/>
          <w:sz w:val="24"/>
          <w:highlight w:val="none"/>
        </w:rPr>
        <w:t>．</w:t>
      </w:r>
      <w:r>
        <w:rPr>
          <w:rFonts w:hint="eastAsia" w:ascii="黑体" w:hAnsi="宋体" w:eastAsia="黑体"/>
          <w:color w:val="auto"/>
          <w:sz w:val="24"/>
          <w:highlight w:val="none"/>
        </w:rPr>
        <w:t>招标说明</w:t>
      </w:r>
    </w:p>
    <w:p w14:paraId="21F134D3">
      <w:pPr>
        <w:ind w:firstLine="411" w:firstLineChars="196"/>
        <w:rPr>
          <w:rFonts w:ascii="宋体" w:hAnsi="宋体"/>
          <w:color w:val="auto"/>
          <w:szCs w:val="21"/>
          <w:highlight w:val="none"/>
        </w:rPr>
      </w:pPr>
      <w:r>
        <w:rPr>
          <w:rFonts w:hint="eastAsia" w:ascii="宋体" w:hAnsi="宋体"/>
          <w:color w:val="auto"/>
          <w:szCs w:val="21"/>
          <w:highlight w:val="none"/>
        </w:rPr>
        <w:t>本项目按照《政府采购</w:t>
      </w:r>
      <w:r>
        <w:rPr>
          <w:rFonts w:hint="eastAsia" w:ascii="宋体" w:hAnsi="宋体"/>
          <w:color w:val="auto"/>
          <w:szCs w:val="21"/>
          <w:highlight w:val="none"/>
          <w:lang w:val="en-US" w:eastAsia="zh-CN"/>
        </w:rPr>
        <w:t>法</w:t>
      </w:r>
      <w:r>
        <w:rPr>
          <w:rFonts w:hint="eastAsia" w:ascii="宋体" w:hAnsi="宋体"/>
          <w:color w:val="auto"/>
          <w:szCs w:val="21"/>
          <w:highlight w:val="none"/>
        </w:rPr>
        <w:t>》、《</w:t>
      </w:r>
      <w:r>
        <w:rPr>
          <w:rFonts w:hint="eastAsia" w:ascii="宋体" w:hAnsi="宋体"/>
          <w:color w:val="auto"/>
          <w:szCs w:val="21"/>
          <w:highlight w:val="none"/>
          <w:lang w:val="en-US" w:eastAsia="zh-CN"/>
        </w:rPr>
        <w:t>政府采购法实施条例</w:t>
      </w:r>
      <w:r>
        <w:rPr>
          <w:rFonts w:hint="eastAsia" w:ascii="宋体" w:hAnsi="宋体"/>
          <w:color w:val="auto"/>
          <w:szCs w:val="21"/>
          <w:highlight w:val="none"/>
        </w:rPr>
        <w:t>》及政府采购其他法律法规，通过公开招标方式确定中标供应商。</w:t>
      </w:r>
    </w:p>
    <w:p w14:paraId="5E29C935">
      <w:pPr>
        <w:outlineLvl w:val="1"/>
        <w:rPr>
          <w:rFonts w:ascii="黑体" w:hAnsi="宋体" w:eastAsia="黑体"/>
          <w:color w:val="auto"/>
          <w:sz w:val="24"/>
          <w:highlight w:val="none"/>
        </w:rPr>
      </w:pPr>
      <w:r>
        <w:rPr>
          <w:rFonts w:hint="eastAsia" w:ascii="黑体" w:hAnsi="宋体" w:eastAsia="黑体"/>
          <w:color w:val="auto"/>
          <w:sz w:val="24"/>
          <w:highlight w:val="none"/>
        </w:rPr>
        <w:t>3．定义</w:t>
      </w:r>
    </w:p>
    <w:p w14:paraId="4BD17D87">
      <w:pPr>
        <w:ind w:firstLine="420" w:firstLineChars="200"/>
        <w:rPr>
          <w:rFonts w:ascii="宋体" w:hAnsi="宋体"/>
          <w:color w:val="auto"/>
          <w:szCs w:val="21"/>
          <w:highlight w:val="none"/>
        </w:rPr>
      </w:pPr>
      <w:r>
        <w:rPr>
          <w:rFonts w:ascii="宋体" w:hAnsi="宋体"/>
          <w:color w:val="auto"/>
          <w:szCs w:val="21"/>
          <w:highlight w:val="none"/>
        </w:rPr>
        <w:t>招标文件中下列术语应解释为：</w:t>
      </w:r>
    </w:p>
    <w:p w14:paraId="3F38645B">
      <w:pPr>
        <w:ind w:firstLine="411" w:firstLineChars="196"/>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“采购人”：指利用财政性资金依法进行政府采购的国家机关、事业单位、团体组织；</w:t>
      </w:r>
    </w:p>
    <w:p w14:paraId="0DE7A9AC">
      <w:pPr>
        <w:ind w:firstLine="411" w:firstLineChars="196"/>
        <w:rPr>
          <w:rFonts w:ascii="宋体" w:hAnsi="宋体"/>
          <w:color w:val="auto"/>
          <w:szCs w:val="21"/>
          <w:highlight w:val="none"/>
        </w:rPr>
      </w:pPr>
      <w:r>
        <w:rPr>
          <w:rFonts w:hint="eastAsia" w:ascii="宋体" w:hAnsi="宋体"/>
          <w:color w:val="auto"/>
          <w:szCs w:val="21"/>
          <w:highlight w:val="none"/>
        </w:rPr>
        <w:t>3.2 “政府集中采购机构”</w:t>
      </w:r>
      <w:r>
        <w:rPr>
          <w:rFonts w:hint="eastAsia" w:ascii="Arial" w:hAnsi="Arial" w:cs="Arial"/>
          <w:color w:val="auto"/>
          <w:szCs w:val="21"/>
          <w:highlight w:val="none"/>
        </w:rPr>
        <w:t>是指政府设立的，组织实施政府采购项目，并对政府采购活动提供服务的专门机构；</w:t>
      </w:r>
      <w:r>
        <w:rPr>
          <w:rFonts w:hint="eastAsia" w:ascii="宋体" w:hAnsi="宋体"/>
          <w:color w:val="auto"/>
          <w:szCs w:val="21"/>
          <w:highlight w:val="none"/>
        </w:rPr>
        <w:t>本文件所述的“政府集中采购机构”</w:t>
      </w:r>
      <w:r>
        <w:rPr>
          <w:rFonts w:ascii="宋体" w:hAnsi="宋体"/>
          <w:color w:val="auto"/>
          <w:szCs w:val="21"/>
          <w:highlight w:val="none"/>
        </w:rPr>
        <w:t>指</w:t>
      </w:r>
      <w:r>
        <w:rPr>
          <w:rFonts w:hint="eastAsia" w:ascii="宋体" w:hAnsi="宋体"/>
          <w:b/>
          <w:bCs/>
          <w:color w:val="auto"/>
          <w:szCs w:val="21"/>
          <w:highlight w:val="none"/>
          <w:lang w:val="en-US" w:eastAsia="zh-CN"/>
        </w:rPr>
        <w:t>巴州政务服务和</w:t>
      </w:r>
      <w:r>
        <w:rPr>
          <w:rFonts w:hint="eastAsia" w:ascii="宋体" w:hAnsi="宋体"/>
          <w:b/>
          <w:bCs/>
          <w:color w:val="auto"/>
          <w:szCs w:val="21"/>
          <w:highlight w:val="none"/>
        </w:rPr>
        <w:t>公共资源交易中心</w:t>
      </w:r>
      <w:r>
        <w:rPr>
          <w:rFonts w:hint="eastAsia" w:ascii="宋体" w:hAnsi="宋体"/>
          <w:color w:val="auto"/>
          <w:szCs w:val="21"/>
          <w:highlight w:val="none"/>
        </w:rPr>
        <w:t>；</w:t>
      </w:r>
    </w:p>
    <w:p w14:paraId="1CC310B9">
      <w:pPr>
        <w:ind w:firstLine="411" w:firstLineChars="196"/>
        <w:rPr>
          <w:rFonts w:ascii="宋体" w:hAnsi="宋体"/>
          <w:color w:val="auto"/>
          <w:szCs w:val="21"/>
          <w:highlight w:val="none"/>
        </w:rPr>
      </w:pPr>
      <w:r>
        <w:rPr>
          <w:rFonts w:hint="eastAsia" w:ascii="宋体" w:hAnsi="宋体"/>
          <w:color w:val="auto"/>
          <w:szCs w:val="21"/>
          <w:highlight w:val="none"/>
        </w:rPr>
        <w:t>3.3“投标人”，即供应商，指参加投标竞争并愿意按照招标文件要求向采购人提供货物、工程或者服务的依法成立的法人、其他组织或者自然人；</w:t>
      </w:r>
    </w:p>
    <w:p w14:paraId="35FC0327">
      <w:pPr>
        <w:ind w:firstLine="411" w:firstLineChars="196"/>
        <w:rPr>
          <w:rFonts w:ascii="宋体" w:hAnsi="宋体"/>
          <w:color w:val="auto"/>
          <w:szCs w:val="21"/>
          <w:highlight w:val="none"/>
        </w:rPr>
      </w:pPr>
      <w:r>
        <w:rPr>
          <w:rFonts w:hint="eastAsia" w:ascii="宋体" w:hAnsi="宋体"/>
          <w:color w:val="auto"/>
          <w:szCs w:val="21"/>
          <w:highlight w:val="none"/>
        </w:rPr>
        <w:t>3.4“中标候选人”即“候选中标供应商”；</w:t>
      </w:r>
    </w:p>
    <w:p w14:paraId="19EEA3BB">
      <w:pPr>
        <w:ind w:firstLine="411" w:firstLineChars="196"/>
        <w:rPr>
          <w:rFonts w:ascii="宋体" w:hAnsi="宋体"/>
          <w:color w:val="auto"/>
          <w:szCs w:val="21"/>
          <w:highlight w:val="none"/>
        </w:rPr>
      </w:pPr>
      <w:r>
        <w:rPr>
          <w:rFonts w:hint="eastAsia" w:ascii="宋体" w:hAnsi="宋体"/>
          <w:color w:val="auto"/>
          <w:szCs w:val="21"/>
          <w:highlight w:val="none"/>
        </w:rPr>
        <w:t>3.5“评审委员会”是依据《政府采购</w:t>
      </w:r>
      <w:r>
        <w:rPr>
          <w:rFonts w:hint="eastAsia" w:ascii="宋体" w:hAnsi="宋体"/>
          <w:color w:val="auto"/>
          <w:szCs w:val="21"/>
          <w:highlight w:val="none"/>
          <w:lang w:val="en-US" w:eastAsia="zh-CN"/>
        </w:rPr>
        <w:t>法</w:t>
      </w:r>
      <w:r>
        <w:rPr>
          <w:rFonts w:hint="eastAsia" w:ascii="宋体" w:hAnsi="宋体"/>
          <w:color w:val="auto"/>
          <w:szCs w:val="21"/>
          <w:highlight w:val="none"/>
        </w:rPr>
        <w:t>》、《</w:t>
      </w:r>
      <w:r>
        <w:rPr>
          <w:rFonts w:hint="eastAsia" w:ascii="宋体" w:hAnsi="宋体"/>
          <w:color w:val="auto"/>
          <w:szCs w:val="21"/>
          <w:highlight w:val="none"/>
          <w:lang w:val="en-US" w:eastAsia="zh-CN"/>
        </w:rPr>
        <w:t>政府采购法实施条例</w:t>
      </w:r>
      <w:r>
        <w:rPr>
          <w:rFonts w:hint="eastAsia" w:ascii="宋体" w:hAnsi="宋体"/>
          <w:color w:val="auto"/>
          <w:szCs w:val="21"/>
          <w:highlight w:val="none"/>
        </w:rPr>
        <w:t>》等有关规定组建的专门负责本次招标其评审工作的临时性机构；</w:t>
      </w:r>
    </w:p>
    <w:p w14:paraId="4DD20615">
      <w:pPr>
        <w:ind w:firstLine="411" w:firstLineChars="196"/>
        <w:rPr>
          <w:rFonts w:ascii="宋体" w:hAnsi="宋体"/>
          <w:color w:val="auto"/>
          <w:szCs w:val="21"/>
          <w:highlight w:val="none"/>
        </w:rPr>
      </w:pPr>
      <w:r>
        <w:rPr>
          <w:rFonts w:hint="eastAsia" w:ascii="宋体" w:hAnsi="宋体"/>
          <w:color w:val="auto"/>
          <w:szCs w:val="21"/>
          <w:highlight w:val="none"/>
        </w:rPr>
        <w:t>3.6“日期”指公历日；</w:t>
      </w:r>
    </w:p>
    <w:p w14:paraId="2144737C">
      <w:pPr>
        <w:ind w:firstLine="411" w:firstLineChars="196"/>
        <w:rPr>
          <w:rFonts w:ascii="宋体" w:hAnsi="宋体"/>
          <w:color w:val="auto"/>
          <w:szCs w:val="21"/>
          <w:highlight w:val="none"/>
        </w:rPr>
      </w:pPr>
      <w:r>
        <w:rPr>
          <w:rFonts w:hint="eastAsia" w:ascii="宋体" w:hAnsi="宋体"/>
          <w:color w:val="auto"/>
          <w:szCs w:val="21"/>
          <w:highlight w:val="none"/>
        </w:rPr>
        <w:t>3.7“合同”指由本次招标所产生的合同或合约文件；</w:t>
      </w:r>
    </w:p>
    <w:p w14:paraId="5D1FAC1F">
      <w:pPr>
        <w:ind w:firstLine="411" w:firstLineChars="196"/>
        <w:rPr>
          <w:rFonts w:hint="eastAsia" w:ascii="宋体" w:hAnsi="宋体"/>
          <w:color w:val="auto"/>
          <w:szCs w:val="21"/>
          <w:highlight w:val="none"/>
        </w:rPr>
      </w:pPr>
      <w:r>
        <w:rPr>
          <w:rFonts w:hint="eastAsia" w:ascii="宋体" w:hAnsi="宋体"/>
          <w:color w:val="auto"/>
          <w:szCs w:val="21"/>
          <w:highlight w:val="none"/>
        </w:rPr>
        <w:t>3.8“电子投标文件”指利用</w:t>
      </w:r>
      <w:r>
        <w:rPr>
          <w:rFonts w:hint="eastAsia" w:ascii="宋体" w:hAnsi="宋体"/>
          <w:b/>
          <w:bCs/>
          <w:color w:val="auto"/>
          <w:szCs w:val="21"/>
          <w:highlight w:val="none"/>
          <w:lang w:val="en-US" w:eastAsia="zh-CN"/>
        </w:rPr>
        <w:t>新疆政采云</w:t>
      </w:r>
      <w:r>
        <w:rPr>
          <w:rFonts w:hint="eastAsia" w:ascii="宋体" w:hAnsi="宋体"/>
          <w:b/>
          <w:bCs/>
          <w:color w:val="auto"/>
          <w:szCs w:val="21"/>
          <w:highlight w:val="none"/>
        </w:rPr>
        <w:t>平台</w:t>
      </w:r>
      <w:r>
        <w:rPr>
          <w:rFonts w:hint="eastAsia" w:ascii="宋体" w:hAnsi="宋体"/>
          <w:color w:val="auto"/>
          <w:szCs w:val="21"/>
          <w:highlight w:val="none"/>
        </w:rPr>
        <w:t>投标文件制作专用软件制作并加密的投标文件,适用于网上投标；</w:t>
      </w:r>
    </w:p>
    <w:p w14:paraId="527AD3E4">
      <w:pPr>
        <w:ind w:firstLine="411" w:firstLineChars="196"/>
        <w:rPr>
          <w:rFonts w:ascii="宋体" w:hAnsi="宋体"/>
          <w:color w:val="auto"/>
          <w:szCs w:val="21"/>
          <w:highlight w:val="none"/>
        </w:rPr>
      </w:pPr>
      <w:r>
        <w:rPr>
          <w:rFonts w:hint="eastAsia" w:ascii="宋体" w:hAnsi="宋体"/>
          <w:color w:val="auto"/>
          <w:szCs w:val="21"/>
          <w:highlight w:val="none"/>
        </w:rPr>
        <w:t>3.9“网上投标”指通过</w:t>
      </w:r>
      <w:r>
        <w:rPr>
          <w:rFonts w:hint="eastAsia" w:ascii="宋体" w:hAnsi="宋体"/>
          <w:b/>
          <w:bCs/>
          <w:color w:val="auto"/>
          <w:szCs w:val="21"/>
          <w:highlight w:val="none"/>
          <w:lang w:val="en-US" w:eastAsia="zh-CN"/>
        </w:rPr>
        <w:t>新疆政采云</w:t>
      </w:r>
      <w:r>
        <w:rPr>
          <w:rFonts w:hint="eastAsia" w:ascii="宋体" w:hAnsi="宋体"/>
          <w:b/>
          <w:bCs/>
          <w:color w:val="auto"/>
          <w:szCs w:val="21"/>
          <w:highlight w:val="none"/>
        </w:rPr>
        <w:t>平台</w:t>
      </w:r>
      <w:r>
        <w:rPr>
          <w:rFonts w:hint="eastAsia" w:ascii="宋体" w:hAnsi="宋体"/>
          <w:color w:val="auto"/>
          <w:szCs w:val="21"/>
          <w:highlight w:val="none"/>
        </w:rPr>
        <w:t>网站上传电子投标文件；</w:t>
      </w:r>
    </w:p>
    <w:p w14:paraId="2FFF7EC8">
      <w:pPr>
        <w:ind w:firstLine="411" w:firstLineChars="196"/>
        <w:rPr>
          <w:rFonts w:ascii="宋体" w:hAnsi="宋体"/>
          <w:color w:val="auto"/>
          <w:szCs w:val="21"/>
          <w:highlight w:val="none"/>
        </w:rPr>
      </w:pPr>
      <w:r>
        <w:rPr>
          <w:rFonts w:hint="eastAsia" w:ascii="宋体" w:hAnsi="宋体"/>
          <w:color w:val="auto"/>
          <w:szCs w:val="21"/>
          <w:highlight w:val="none"/>
        </w:rPr>
        <w:t>3.10招标文件中的标题或题名仅起引导作用，而不应视为对招标文件内容的理解和解释。</w:t>
      </w:r>
    </w:p>
    <w:p w14:paraId="432A5EE5">
      <w:pPr>
        <w:outlineLvl w:val="1"/>
        <w:rPr>
          <w:rFonts w:ascii="黑体" w:hAnsi="宋体" w:eastAsia="黑体"/>
          <w:color w:val="auto"/>
          <w:sz w:val="24"/>
          <w:highlight w:val="none"/>
        </w:rPr>
      </w:pPr>
      <w:r>
        <w:rPr>
          <w:rFonts w:hint="eastAsia" w:ascii="黑体" w:hAnsi="宋体" w:eastAsia="黑体"/>
          <w:color w:val="auto"/>
          <w:sz w:val="24"/>
          <w:highlight w:val="none"/>
        </w:rPr>
        <w:t xml:space="preserve">4. </w:t>
      </w:r>
      <w:bookmarkStart w:id="79" w:name="_Hlk72398643"/>
      <w:r>
        <w:rPr>
          <w:rFonts w:hint="eastAsia" w:ascii="黑体" w:hAnsi="宋体" w:eastAsia="黑体"/>
          <w:color w:val="auto"/>
          <w:sz w:val="24"/>
          <w:highlight w:val="none"/>
        </w:rPr>
        <w:t>政府采购供应商责任</w:t>
      </w:r>
    </w:p>
    <w:p w14:paraId="15B52BEE">
      <w:pPr>
        <w:ind w:firstLine="411" w:firstLineChars="196"/>
        <w:rPr>
          <w:rFonts w:ascii="宋体" w:hAnsi="宋体"/>
          <w:color w:val="auto"/>
          <w:szCs w:val="21"/>
          <w:highlight w:val="none"/>
        </w:rPr>
      </w:pPr>
      <w:r>
        <w:rPr>
          <w:rFonts w:hint="eastAsia" w:ascii="宋体" w:hAnsi="宋体"/>
          <w:color w:val="auto"/>
          <w:szCs w:val="21"/>
          <w:highlight w:val="none"/>
        </w:rPr>
        <w:t>4.1欢迎诚信、有实力和有社会责任心的供应商参与政府采购事业。</w:t>
      </w:r>
    </w:p>
    <w:p w14:paraId="31200AAB">
      <w:pPr>
        <w:ind w:firstLine="411" w:firstLineChars="196"/>
        <w:rPr>
          <w:rFonts w:ascii="宋体" w:hAnsi="宋体"/>
          <w:color w:val="auto"/>
          <w:szCs w:val="21"/>
          <w:highlight w:val="none"/>
        </w:rPr>
      </w:pPr>
      <w:r>
        <w:rPr>
          <w:rFonts w:hint="eastAsia" w:ascii="宋体" w:hAnsi="宋体"/>
          <w:color w:val="auto"/>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22AC6431">
      <w:pPr>
        <w:outlineLvl w:val="1"/>
        <w:rPr>
          <w:rFonts w:ascii="黑体" w:hAnsi="宋体" w:eastAsia="黑体"/>
          <w:color w:val="auto"/>
          <w:sz w:val="24"/>
          <w:highlight w:val="none"/>
        </w:rPr>
      </w:pPr>
      <w:r>
        <w:rPr>
          <w:rFonts w:hint="eastAsia" w:ascii="黑体" w:hAnsi="宋体" w:eastAsia="黑体"/>
          <w:color w:val="auto"/>
          <w:sz w:val="24"/>
          <w:highlight w:val="none"/>
        </w:rPr>
        <w:t>5．投标人参加政府采购的条件</w:t>
      </w:r>
    </w:p>
    <w:p w14:paraId="4F11B3B0">
      <w:pPr>
        <w:ind w:firstLine="411" w:firstLineChars="196"/>
        <w:rPr>
          <w:rFonts w:hint="eastAsia" w:ascii="宋体" w:hAnsi="宋体"/>
          <w:color w:val="auto"/>
          <w:szCs w:val="21"/>
          <w:highlight w:val="none"/>
        </w:rPr>
      </w:pPr>
      <w:r>
        <w:rPr>
          <w:rFonts w:hint="eastAsia" w:ascii="宋体" w:hAnsi="宋体"/>
          <w:color w:val="auto"/>
          <w:szCs w:val="21"/>
          <w:highlight w:val="none"/>
        </w:rPr>
        <w:t>5.1投标人应在投标前到</w:t>
      </w:r>
      <w:r>
        <w:rPr>
          <w:rFonts w:hint="eastAsia" w:ascii="宋体" w:hAnsi="宋体"/>
          <w:b/>
          <w:bCs/>
          <w:color w:val="auto"/>
          <w:szCs w:val="21"/>
          <w:highlight w:val="none"/>
          <w:lang w:val="en-US" w:eastAsia="zh-CN"/>
        </w:rPr>
        <w:t>新疆CA本地营业网点</w:t>
      </w:r>
      <w:r>
        <w:rPr>
          <w:rFonts w:hint="eastAsia" w:ascii="宋体" w:hAnsi="宋体"/>
          <w:color w:val="auto"/>
          <w:szCs w:val="21"/>
          <w:highlight w:val="none"/>
        </w:rPr>
        <w:t>进行注册并办理电子密钥。</w:t>
      </w:r>
    </w:p>
    <w:p w14:paraId="13B64A8B">
      <w:pPr>
        <w:ind w:firstLine="411" w:firstLineChars="196"/>
        <w:rPr>
          <w:rFonts w:ascii="宋体" w:hAnsi="宋体"/>
          <w:color w:val="auto"/>
          <w:szCs w:val="21"/>
          <w:highlight w:val="none"/>
        </w:rPr>
      </w:pPr>
      <w:r>
        <w:rPr>
          <w:rFonts w:hint="eastAsia" w:ascii="宋体" w:hAnsi="宋体"/>
          <w:color w:val="auto"/>
          <w:szCs w:val="21"/>
          <w:highlight w:val="none"/>
        </w:rPr>
        <w:t>5.2投标人资格要求</w:t>
      </w:r>
    </w:p>
    <w:p w14:paraId="4C22196C">
      <w:pPr>
        <w:ind w:firstLine="411" w:firstLineChars="196"/>
        <w:rPr>
          <w:rFonts w:ascii="宋体" w:hAnsi="宋体"/>
          <w:color w:val="auto"/>
          <w:szCs w:val="21"/>
          <w:highlight w:val="none"/>
        </w:rPr>
      </w:pPr>
      <w:r>
        <w:rPr>
          <w:rFonts w:hint="eastAsia" w:ascii="宋体" w:hAnsi="宋体"/>
          <w:color w:val="auto"/>
          <w:szCs w:val="21"/>
          <w:highlight w:val="none"/>
        </w:rPr>
        <w:t>参加本项目的投标人应具备的资格条件详见本项目招标公告中 “投标人资格要求”（即申请人的资格要求）的内容。</w:t>
      </w:r>
    </w:p>
    <w:p w14:paraId="3B305776">
      <w:pPr>
        <w:ind w:firstLine="411" w:firstLineChars="196"/>
        <w:rPr>
          <w:rFonts w:ascii="宋体" w:hAnsi="宋体"/>
          <w:color w:val="auto"/>
          <w:szCs w:val="21"/>
          <w:highlight w:val="none"/>
        </w:rPr>
      </w:pPr>
      <w:r>
        <w:rPr>
          <w:rFonts w:hint="eastAsia" w:ascii="宋体" w:hAnsi="宋体"/>
          <w:color w:val="auto"/>
          <w:szCs w:val="21"/>
          <w:highlight w:val="none"/>
        </w:rPr>
        <w:t>5.3联合体投标</w:t>
      </w:r>
    </w:p>
    <w:p w14:paraId="080633F1">
      <w:pPr>
        <w:ind w:firstLine="411" w:firstLineChars="196"/>
        <w:rPr>
          <w:rFonts w:ascii="宋体" w:hAnsi="宋体"/>
          <w:color w:val="auto"/>
          <w:szCs w:val="21"/>
          <w:highlight w:val="none"/>
        </w:rPr>
      </w:pPr>
      <w:r>
        <w:rPr>
          <w:rFonts w:hint="eastAsia" w:ascii="宋体" w:hAnsi="宋体"/>
          <w:color w:val="auto"/>
          <w:szCs w:val="21"/>
          <w:highlight w:val="none"/>
        </w:rPr>
        <w:t>5.3.1　以下有关联合体投标的条款仅适用于允许投标人组成联合体投标的项目。</w:t>
      </w:r>
    </w:p>
    <w:p w14:paraId="37D03CD4">
      <w:pPr>
        <w:ind w:firstLine="411" w:firstLineChars="196"/>
        <w:rPr>
          <w:rFonts w:ascii="宋体" w:hAnsi="宋体"/>
          <w:color w:val="auto"/>
          <w:szCs w:val="21"/>
          <w:highlight w:val="none"/>
        </w:rPr>
      </w:pPr>
      <w:r>
        <w:rPr>
          <w:rFonts w:hint="eastAsia" w:ascii="宋体" w:hAnsi="宋体"/>
          <w:color w:val="auto"/>
          <w:szCs w:val="21"/>
          <w:highlight w:val="none"/>
        </w:rPr>
        <w:t>5.3.2  由两个或两个以上的自然人、法人或者其他组织可以组成一个联合体，以一个供应商的身份共同投标时，应符合以下原则：</w:t>
      </w:r>
    </w:p>
    <w:p w14:paraId="0EE2ECB9">
      <w:pPr>
        <w:ind w:firstLine="411" w:firstLineChars="196"/>
        <w:rPr>
          <w:rFonts w:ascii="宋体" w:hAnsi="宋体"/>
          <w:color w:val="auto"/>
          <w:highlight w:val="none"/>
        </w:rPr>
      </w:pPr>
      <w:r>
        <w:rPr>
          <w:rFonts w:hint="eastAsia" w:ascii="宋体" w:hAnsi="宋体"/>
          <w:color w:val="auto"/>
          <w:highlight w:val="none"/>
        </w:rPr>
        <w:t>（1）投标联合体各方参加政府采购活动应当具备下列条件：</w:t>
      </w:r>
    </w:p>
    <w:p w14:paraId="75A51EF2">
      <w:pPr>
        <w:ind w:left="420" w:leftChars="200" w:firstLine="411" w:firstLineChars="196"/>
        <w:rPr>
          <w:rFonts w:ascii="宋体" w:hAnsi="宋体"/>
          <w:color w:val="auto"/>
          <w:highlight w:val="none"/>
        </w:rPr>
      </w:pPr>
      <w:r>
        <w:rPr>
          <w:rFonts w:hint="eastAsia" w:ascii="宋体" w:hAnsi="宋体"/>
          <w:color w:val="auto"/>
          <w:highlight w:val="none"/>
        </w:rPr>
        <w:t>1、具有独立承担民事责任的能力；</w:t>
      </w:r>
    </w:p>
    <w:p w14:paraId="08EAF44A">
      <w:pPr>
        <w:ind w:left="420" w:firstLine="411" w:firstLineChars="196"/>
        <w:rPr>
          <w:rFonts w:ascii="宋体" w:hAnsi="宋体"/>
          <w:color w:val="auto"/>
          <w:highlight w:val="none"/>
        </w:rPr>
      </w:pPr>
      <w:r>
        <w:rPr>
          <w:rFonts w:hint="eastAsia" w:ascii="宋体" w:hAnsi="宋体"/>
          <w:color w:val="auto"/>
          <w:highlight w:val="none"/>
        </w:rPr>
        <w:t>2、有良好的商业信誉和健全的财务会计制度；</w:t>
      </w:r>
    </w:p>
    <w:p w14:paraId="62C57D28">
      <w:pPr>
        <w:ind w:left="420" w:leftChars="200" w:firstLine="411" w:firstLineChars="196"/>
        <w:rPr>
          <w:rFonts w:ascii="宋体" w:hAnsi="宋体"/>
          <w:color w:val="auto"/>
          <w:highlight w:val="none"/>
        </w:rPr>
      </w:pPr>
      <w:r>
        <w:rPr>
          <w:rFonts w:hint="eastAsia" w:ascii="宋体" w:hAnsi="宋体"/>
          <w:color w:val="auto"/>
          <w:highlight w:val="none"/>
        </w:rPr>
        <w:t>3、具有履行合同所必需的设备和专业技术能力；</w:t>
      </w:r>
    </w:p>
    <w:p w14:paraId="5DE3B6DC">
      <w:pPr>
        <w:ind w:left="420" w:leftChars="200" w:firstLine="411" w:firstLineChars="196"/>
        <w:rPr>
          <w:rFonts w:ascii="宋体" w:hAnsi="宋体"/>
          <w:color w:val="auto"/>
          <w:highlight w:val="none"/>
        </w:rPr>
      </w:pPr>
      <w:r>
        <w:rPr>
          <w:rFonts w:hint="eastAsia" w:ascii="宋体" w:hAnsi="宋体"/>
          <w:color w:val="auto"/>
          <w:highlight w:val="none"/>
        </w:rPr>
        <w:t>4、有依法缴纳税收和社会保障资金的良好记录；</w:t>
      </w:r>
    </w:p>
    <w:p w14:paraId="489A44C8">
      <w:pPr>
        <w:ind w:left="420" w:leftChars="200" w:firstLine="411" w:firstLineChars="196"/>
        <w:rPr>
          <w:rFonts w:ascii="宋体" w:hAnsi="宋体"/>
          <w:color w:val="auto"/>
          <w:highlight w:val="none"/>
        </w:rPr>
      </w:pPr>
      <w:r>
        <w:rPr>
          <w:rFonts w:hint="eastAsia" w:ascii="宋体" w:hAnsi="宋体"/>
          <w:color w:val="auto"/>
          <w:highlight w:val="none"/>
        </w:rPr>
        <w:t>5、参加政府采购活动前三年内，在经营活动中没有重大违法记录；</w:t>
      </w:r>
    </w:p>
    <w:p w14:paraId="3318331A">
      <w:pPr>
        <w:ind w:left="420" w:leftChars="200" w:firstLine="411" w:firstLineChars="196"/>
        <w:rPr>
          <w:rFonts w:ascii="宋体" w:hAnsi="宋体"/>
          <w:color w:val="auto"/>
          <w:highlight w:val="none"/>
        </w:rPr>
      </w:pPr>
      <w:r>
        <w:rPr>
          <w:rFonts w:hint="eastAsia" w:ascii="宋体" w:hAnsi="宋体"/>
          <w:color w:val="auto"/>
          <w:highlight w:val="none"/>
        </w:rPr>
        <w:t>6、法律、行政法规规定的其他条件。</w:t>
      </w:r>
    </w:p>
    <w:p w14:paraId="3F856877">
      <w:pPr>
        <w:ind w:firstLine="411" w:firstLineChars="196"/>
        <w:rPr>
          <w:rFonts w:ascii="宋体" w:hAnsi="宋体"/>
          <w:color w:val="auto"/>
          <w:highlight w:val="none"/>
        </w:rPr>
      </w:pPr>
      <w:r>
        <w:rPr>
          <w:rFonts w:hint="eastAsia" w:ascii="宋体" w:hAnsi="宋体"/>
          <w:color w:val="auto"/>
          <w:highlight w:val="none"/>
        </w:rPr>
        <w:t>（2）在投标截止前，投标联合体各方均应注册成</w:t>
      </w:r>
      <w:r>
        <w:rPr>
          <w:rFonts w:hint="eastAsia" w:ascii="宋体" w:hAnsi="宋体"/>
          <w:b/>
          <w:bCs/>
          <w:color w:val="auto"/>
          <w:highlight w:val="none"/>
        </w:rPr>
        <w:t>政府采购</w:t>
      </w:r>
      <w:r>
        <w:rPr>
          <w:rFonts w:hint="eastAsia" w:ascii="宋体" w:hAnsi="宋体"/>
          <w:b/>
          <w:bCs/>
          <w:color w:val="auto"/>
          <w:highlight w:val="none"/>
          <w:lang w:val="en-US" w:eastAsia="zh-CN"/>
        </w:rPr>
        <w:t>正式</w:t>
      </w:r>
      <w:r>
        <w:rPr>
          <w:rFonts w:hint="eastAsia" w:ascii="宋体" w:hAnsi="宋体"/>
          <w:b/>
          <w:bCs/>
          <w:color w:val="auto"/>
          <w:highlight w:val="none"/>
        </w:rPr>
        <w:t>供应商</w:t>
      </w:r>
      <w:r>
        <w:rPr>
          <w:rFonts w:hint="eastAsia" w:ascii="宋体" w:hAnsi="宋体"/>
          <w:color w:val="auto"/>
          <w:highlight w:val="none"/>
        </w:rPr>
        <w:t>；</w:t>
      </w:r>
    </w:p>
    <w:p w14:paraId="3644D34D">
      <w:pPr>
        <w:ind w:firstLine="411" w:firstLineChars="196"/>
        <w:rPr>
          <w:rFonts w:ascii="宋体" w:hAnsi="宋体"/>
          <w:color w:val="auto"/>
          <w:highlight w:val="none"/>
        </w:rPr>
      </w:pPr>
      <w:r>
        <w:rPr>
          <w:rFonts w:hint="eastAsia" w:ascii="宋体" w:hAnsi="宋体"/>
          <w:color w:val="auto"/>
          <w:highlight w:val="none"/>
        </w:rPr>
        <w:t>（3）联合体中有同类资质的供应商按照联合体分工承担相同工作的，应当按照资质等级较低的供应商确定资质等级；</w:t>
      </w:r>
    </w:p>
    <w:p w14:paraId="3C2A2B72">
      <w:pPr>
        <w:ind w:firstLine="411" w:firstLineChars="196"/>
        <w:rPr>
          <w:color w:val="auto"/>
          <w:highlight w:val="none"/>
        </w:rPr>
      </w:pPr>
      <w:r>
        <w:rPr>
          <w:rFonts w:hint="eastAsia"/>
          <w:color w:val="auto"/>
          <w:highlight w:val="none"/>
        </w:rPr>
        <w:t>（4）是否允许联合体参加投标，应当由采购人和采购代理机构根据项目的实际情况和潜在供应商的数量自主决定，如果决定接受联合体投标则应当在招标公告中明示；</w:t>
      </w:r>
    </w:p>
    <w:p w14:paraId="15CA7606">
      <w:pPr>
        <w:ind w:firstLine="411" w:firstLineChars="196"/>
        <w:rPr>
          <w:rFonts w:ascii="宋体" w:hAnsi="宋体"/>
          <w:color w:val="auto"/>
          <w:highlight w:val="none"/>
        </w:rPr>
      </w:pPr>
      <w:r>
        <w:rPr>
          <w:rFonts w:hint="eastAsia" w:ascii="宋体" w:hAnsi="宋体"/>
          <w:color w:val="auto"/>
          <w:highlight w:val="none"/>
        </w:rPr>
        <w:t>（5）投标人的投标文件及中标后签署的合同协议对联合体各方均具法律约束力；</w:t>
      </w:r>
    </w:p>
    <w:p w14:paraId="725AEE4E">
      <w:pPr>
        <w:ind w:firstLine="411" w:firstLineChars="196"/>
        <w:rPr>
          <w:rFonts w:ascii="宋体" w:hAnsi="宋体"/>
          <w:color w:val="auto"/>
          <w:highlight w:val="none"/>
        </w:rPr>
      </w:pPr>
      <w:r>
        <w:rPr>
          <w:rFonts w:hint="eastAsia" w:ascii="宋体" w:hAnsi="宋体"/>
          <w:color w:val="auto"/>
          <w:highlight w:val="none"/>
        </w:rPr>
        <w:t>（6）联合体各方应当签订联合体投标协议，明确约定各方拟承担的工作和责任，并将该协议随投标文件一并递交给政府集中采购机构；</w:t>
      </w:r>
    </w:p>
    <w:p w14:paraId="3A732507">
      <w:pPr>
        <w:ind w:firstLine="411" w:firstLineChars="196"/>
        <w:rPr>
          <w:rFonts w:ascii="宋体" w:hAnsi="宋体"/>
          <w:color w:val="auto"/>
          <w:highlight w:val="none"/>
        </w:rPr>
      </w:pPr>
      <w:r>
        <w:rPr>
          <w:rFonts w:hint="eastAsia" w:ascii="宋体" w:hAnsi="宋体"/>
          <w:color w:val="auto"/>
          <w:highlight w:val="none"/>
        </w:rPr>
        <w:t>（7）联合体中标后，联合体各方应当共同与采购人签订合同，就中标项目向采购人承担连带责任；</w:t>
      </w:r>
    </w:p>
    <w:p w14:paraId="5598E473">
      <w:pPr>
        <w:ind w:firstLine="411" w:firstLineChars="196"/>
        <w:rPr>
          <w:rFonts w:ascii="宋体" w:hAnsi="宋体"/>
          <w:color w:val="auto"/>
          <w:highlight w:val="none"/>
        </w:rPr>
      </w:pPr>
      <w:r>
        <w:rPr>
          <w:rFonts w:hint="eastAsia" w:ascii="宋体" w:hAnsi="宋体"/>
          <w:color w:val="auto"/>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8AE5B05">
      <w:pPr>
        <w:ind w:firstLine="411" w:firstLineChars="196"/>
        <w:rPr>
          <w:rFonts w:ascii="宋体" w:hAnsi="宋体"/>
          <w:color w:val="auto"/>
          <w:szCs w:val="21"/>
          <w:highlight w:val="none"/>
        </w:rPr>
      </w:pPr>
      <w:r>
        <w:rPr>
          <w:rFonts w:hint="eastAsia" w:ascii="宋体" w:hAnsi="宋体"/>
          <w:color w:val="auto"/>
          <w:highlight w:val="none"/>
        </w:rPr>
        <w:t>（9）本通用条款中“投标人”一词亦指联合体各方，专用条款另有规定或说明的除外。</w:t>
      </w:r>
    </w:p>
    <w:p w14:paraId="1F2ADAC4">
      <w:pPr>
        <w:outlineLvl w:val="1"/>
        <w:rPr>
          <w:rFonts w:ascii="黑体" w:hAnsi="宋体" w:eastAsia="黑体"/>
          <w:color w:val="auto"/>
          <w:sz w:val="24"/>
          <w:highlight w:val="none"/>
        </w:rPr>
      </w:pPr>
      <w:r>
        <w:rPr>
          <w:rFonts w:hint="eastAsia" w:ascii="黑体" w:hAnsi="宋体" w:eastAsia="黑体"/>
          <w:color w:val="auto"/>
          <w:sz w:val="24"/>
          <w:highlight w:val="none"/>
        </w:rPr>
        <w:t>6．政策导向</w:t>
      </w:r>
    </w:p>
    <w:p w14:paraId="0C99CC0A">
      <w:pPr>
        <w:ind w:firstLine="411" w:firstLineChars="196"/>
        <w:rPr>
          <w:rFonts w:ascii="宋体" w:hAnsi="宋体"/>
          <w:color w:val="auto"/>
          <w:highlight w:val="none"/>
        </w:rPr>
      </w:pPr>
      <w:r>
        <w:rPr>
          <w:rFonts w:hint="eastAsia" w:ascii="宋体" w:hAnsi="宋体"/>
          <w:color w:val="auto"/>
          <w:highlight w:val="none"/>
        </w:rPr>
        <w:t>6.1政府采购扶持贫困地区、中小企业、监狱企业和残疾人福利性单位发展，支持节能减排、环境保护。</w:t>
      </w:r>
    </w:p>
    <w:p w14:paraId="0A9F4DF7">
      <w:pPr>
        <w:ind w:firstLine="405"/>
        <w:rPr>
          <w:color w:val="auto"/>
          <w:highlight w:val="none"/>
        </w:rPr>
      </w:pPr>
      <w:r>
        <w:rPr>
          <w:rFonts w:hint="eastAsia" w:ascii="宋体" w:hAnsi="宋体"/>
          <w:color w:val="auto"/>
          <w:highlight w:val="none"/>
        </w:rPr>
        <w:t>6.2本项目落实</w:t>
      </w:r>
      <w:r>
        <w:rPr>
          <w:rFonts w:hint="eastAsia" w:ascii="宋体" w:hAnsi="宋体"/>
          <w:color w:val="auto"/>
          <w:highlight w:val="none"/>
          <w:lang w:val="en-US" w:eastAsia="zh-CN"/>
        </w:rPr>
        <w:t>巴州</w:t>
      </w:r>
      <w:r>
        <w:rPr>
          <w:rFonts w:hint="eastAsia" w:ascii="宋体" w:hAnsi="宋体"/>
          <w:color w:val="auto"/>
          <w:highlight w:val="none"/>
        </w:rPr>
        <w:t>政府采购供应商诚信管理政策要求。</w:t>
      </w:r>
    </w:p>
    <w:p w14:paraId="25875F41">
      <w:pPr>
        <w:outlineLvl w:val="1"/>
        <w:rPr>
          <w:rFonts w:ascii="黑体" w:hAnsi="宋体" w:eastAsia="黑体"/>
          <w:color w:val="auto"/>
          <w:sz w:val="24"/>
          <w:highlight w:val="none"/>
        </w:rPr>
      </w:pPr>
      <w:r>
        <w:rPr>
          <w:rFonts w:hint="eastAsia" w:ascii="黑体" w:hAnsi="宋体" w:eastAsia="黑体"/>
          <w:color w:val="auto"/>
          <w:sz w:val="24"/>
          <w:highlight w:val="none"/>
        </w:rPr>
        <w:t>7. 本项目若涉及采购货物，则合格的货物及相应服务应满足以下要求：</w:t>
      </w:r>
    </w:p>
    <w:p w14:paraId="3A777277">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.1  </w:t>
      </w:r>
      <w:r>
        <w:rPr>
          <w:rFonts w:hint="eastAsia" w:ascii="宋体" w:hAnsi="宋体"/>
          <w:color w:val="auto"/>
          <w:highlight w:val="none"/>
        </w:rPr>
        <w:t>必须是全新、未使用过的原装合格正品（包括零部件），如安装或配置了软件的，须为正版软件。</w:t>
      </w:r>
    </w:p>
    <w:p w14:paraId="0D352E76">
      <w:pPr>
        <w:ind w:firstLine="411" w:firstLineChars="196"/>
        <w:rPr>
          <w:rFonts w:ascii="宋体" w:hAnsi="宋体"/>
          <w:color w:val="auto"/>
          <w:highlight w:val="none"/>
        </w:rPr>
      </w:pPr>
      <w:r>
        <w:rPr>
          <w:rFonts w:hint="eastAsia" w:ascii="宋体" w:hAnsi="宋体"/>
          <w:color w:val="auto"/>
          <w:highlight w:val="none"/>
        </w:rPr>
        <w:t>7.2  国产的货物及其有关服务必须符合中华人民共和国的设计、制造生产标准及行业标准。招标公告有其他要求的，亦应符合其要求。</w:t>
      </w:r>
    </w:p>
    <w:p w14:paraId="0E7193C2">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E2423C1">
      <w:pPr>
        <w:ind w:firstLine="411" w:firstLineChars="196"/>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4投标人</w:t>
      </w:r>
      <w:bookmarkStart w:id="80" w:name="_Hlk72152753"/>
      <w:r>
        <w:rPr>
          <w:rFonts w:hint="eastAsia" w:ascii="宋体" w:hAnsi="宋体"/>
          <w:color w:val="auto"/>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0"/>
    </w:p>
    <w:p w14:paraId="592D08C2">
      <w:pPr>
        <w:ind w:firstLine="411" w:firstLineChars="196"/>
        <w:rPr>
          <w:rFonts w:ascii="宋体" w:hAnsi="宋体"/>
          <w:color w:val="auto"/>
          <w:highlight w:val="none"/>
        </w:rPr>
      </w:pPr>
      <w:r>
        <w:rPr>
          <w:rFonts w:hint="eastAsia" w:ascii="宋体" w:hAnsi="宋体"/>
          <w:color w:val="auto"/>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7570323">
      <w:pPr>
        <w:ind w:firstLine="411" w:firstLineChars="196"/>
        <w:rPr>
          <w:rFonts w:ascii="宋体" w:hAnsi="宋体"/>
          <w:color w:val="auto"/>
          <w:highlight w:val="none"/>
        </w:rPr>
      </w:pPr>
      <w:r>
        <w:rPr>
          <w:rFonts w:hint="eastAsia" w:ascii="宋体" w:hAnsi="宋体"/>
          <w:color w:val="auto"/>
          <w:highlight w:val="none"/>
        </w:rPr>
        <w:t>7.6  工期要求：投标人在投标时对其所投项目应提交交货进度、交货计划等，在合同规定的时间内完成项目实施工作。</w:t>
      </w:r>
    </w:p>
    <w:p w14:paraId="2A147D93">
      <w:pPr>
        <w:ind w:firstLine="411" w:firstLineChars="196"/>
        <w:rPr>
          <w:rFonts w:ascii="宋体" w:hAnsi="宋体"/>
          <w:color w:val="auto"/>
          <w:highlight w:val="none"/>
        </w:rPr>
      </w:pPr>
      <w:r>
        <w:rPr>
          <w:rFonts w:hint="eastAsia" w:ascii="宋体" w:hAnsi="宋体"/>
          <w:color w:val="auto"/>
          <w:highlight w:val="none"/>
        </w:rPr>
        <w:t>7.7  投标人必须承担的设备运输、安装调试、验收检测和提供设备操作说明书、图纸等其他相关及类似的义务。</w:t>
      </w:r>
    </w:p>
    <w:p w14:paraId="4ACB0671">
      <w:pPr>
        <w:outlineLvl w:val="1"/>
        <w:rPr>
          <w:rFonts w:ascii="黑体" w:hAnsi="宋体" w:eastAsia="黑体"/>
          <w:color w:val="auto"/>
          <w:sz w:val="24"/>
          <w:highlight w:val="none"/>
        </w:rPr>
      </w:pPr>
      <w:r>
        <w:rPr>
          <w:rFonts w:hint="eastAsia" w:ascii="黑体" w:hAnsi="宋体" w:eastAsia="黑体"/>
          <w:color w:val="auto"/>
          <w:sz w:val="24"/>
          <w:highlight w:val="none"/>
        </w:rPr>
        <w:t>8．投标费用</w:t>
      </w:r>
    </w:p>
    <w:p w14:paraId="46C407E4">
      <w:pPr>
        <w:ind w:firstLine="411" w:firstLineChars="196"/>
        <w:rPr>
          <w:rFonts w:ascii="宋体" w:hAnsi="宋体"/>
          <w:color w:val="auto"/>
          <w:szCs w:val="21"/>
          <w:highlight w:val="none"/>
        </w:rPr>
      </w:pPr>
      <w:r>
        <w:rPr>
          <w:rFonts w:hint="eastAsia" w:ascii="宋体" w:hAnsi="宋体"/>
          <w:color w:val="auto"/>
          <w:szCs w:val="21"/>
          <w:highlight w:val="none"/>
        </w:rPr>
        <w:t>不论投标结果如何，投标人应承担其编制投标文件与递交投标文件所涉及的一切费用。</w:t>
      </w:r>
    </w:p>
    <w:p w14:paraId="5D3214B2">
      <w:pPr>
        <w:outlineLvl w:val="1"/>
        <w:rPr>
          <w:rFonts w:ascii="黑体" w:hAnsi="宋体" w:eastAsia="黑体"/>
          <w:color w:val="auto"/>
          <w:sz w:val="24"/>
          <w:highlight w:val="none"/>
        </w:rPr>
      </w:pPr>
      <w:r>
        <w:rPr>
          <w:rFonts w:hint="eastAsia" w:ascii="黑体" w:hAnsi="宋体" w:eastAsia="黑体"/>
          <w:color w:val="auto"/>
          <w:sz w:val="24"/>
          <w:highlight w:val="none"/>
        </w:rPr>
        <w:t>9．踏勘现场</w:t>
      </w:r>
    </w:p>
    <w:p w14:paraId="5A1306EA">
      <w:pPr>
        <w:ind w:firstLine="411" w:firstLineChars="196"/>
        <w:rPr>
          <w:rFonts w:ascii="宋体" w:hAnsi="宋体"/>
          <w:color w:val="auto"/>
          <w:szCs w:val="21"/>
          <w:highlight w:val="none"/>
        </w:rPr>
      </w:pPr>
      <w:r>
        <w:rPr>
          <w:rFonts w:hint="eastAsia" w:ascii="宋体" w:hAnsi="宋体"/>
          <w:color w:val="auto"/>
          <w:szCs w:val="21"/>
          <w:highlight w:val="none"/>
        </w:rPr>
        <w:t>9.1如有需要（详见</w:t>
      </w:r>
      <w:r>
        <w:rPr>
          <w:rFonts w:hint="eastAsia" w:ascii="宋体" w:hAnsi="宋体"/>
          <w:color w:val="auto"/>
          <w:szCs w:val="21"/>
          <w:highlight w:val="none"/>
          <w:lang w:val="en-US" w:eastAsia="zh-CN"/>
        </w:rPr>
        <w:t>第一册</w:t>
      </w:r>
      <w:r>
        <w:rPr>
          <w:rFonts w:hint="eastAsia" w:ascii="宋体" w:hAnsi="宋体"/>
          <w:color w:val="auto"/>
          <w:szCs w:val="21"/>
          <w:highlight w:val="none"/>
        </w:rPr>
        <w:t>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060CA0C">
      <w:pPr>
        <w:ind w:firstLine="411" w:firstLineChars="196"/>
        <w:rPr>
          <w:rFonts w:ascii="宋体" w:hAnsi="宋体"/>
          <w:color w:val="auto"/>
          <w:highlight w:val="none"/>
        </w:rPr>
      </w:pPr>
      <w:r>
        <w:rPr>
          <w:rFonts w:hint="eastAsia" w:ascii="宋体" w:hAnsi="宋体"/>
          <w:color w:val="auto"/>
          <w:highlight w:val="none"/>
        </w:rPr>
        <w:t>9.2投标人及其人员经过采购人的允许，可以进入采购人的项目现场踏勘。若招标文件要求投标人于统一时间地点踏勘现场的，投标人应当按时前往。</w:t>
      </w:r>
    </w:p>
    <w:p w14:paraId="6F9EBE2C">
      <w:pPr>
        <w:ind w:firstLine="411" w:firstLineChars="196"/>
        <w:rPr>
          <w:rFonts w:ascii="宋体" w:hAnsi="宋体"/>
          <w:color w:val="auto"/>
          <w:highlight w:val="none"/>
        </w:rPr>
      </w:pPr>
      <w:r>
        <w:rPr>
          <w:rFonts w:hint="eastAsia" w:ascii="宋体" w:hAnsi="宋体"/>
          <w:color w:val="auto"/>
          <w:highlight w:val="none"/>
        </w:rPr>
        <w:t>9.3采购人应当通过政府集中采购机构向投标人提供有关现场的书面资料和数据。</w:t>
      </w:r>
    </w:p>
    <w:p w14:paraId="4C1FC0C9">
      <w:pPr>
        <w:ind w:firstLine="411" w:firstLineChars="196"/>
        <w:rPr>
          <w:rFonts w:ascii="宋体" w:hAnsi="宋体"/>
          <w:color w:val="auto"/>
          <w:highlight w:val="none"/>
        </w:rPr>
      </w:pPr>
      <w:r>
        <w:rPr>
          <w:rFonts w:hint="eastAsia" w:ascii="宋体" w:hAnsi="宋体"/>
          <w:color w:val="auto"/>
          <w:highlight w:val="none"/>
        </w:rPr>
        <w:t>9.4任何人或任何组织在踏勘现场时向投标人提供的任何书面资料或口头承诺，未经政府集中采购机构</w:t>
      </w:r>
      <w:r>
        <w:rPr>
          <w:rFonts w:hint="eastAsia" w:ascii="宋体" w:hAnsi="宋体"/>
          <w:color w:val="auto"/>
          <w:highlight w:val="none"/>
          <w:lang w:val="en-US" w:eastAsia="zh-CN"/>
        </w:rPr>
        <w:t>在网上发布或</w:t>
      </w:r>
      <w:r>
        <w:rPr>
          <w:rFonts w:hint="eastAsia" w:ascii="宋体" w:hAnsi="宋体"/>
          <w:color w:val="auto"/>
          <w:highlight w:val="none"/>
        </w:rPr>
        <w:t>书面通知，均作无效处理。</w:t>
      </w:r>
    </w:p>
    <w:p w14:paraId="6B4FC102">
      <w:pPr>
        <w:ind w:firstLine="411" w:firstLineChars="196"/>
        <w:rPr>
          <w:rFonts w:ascii="宋体" w:hAnsi="宋体"/>
          <w:color w:val="auto"/>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未参与踏勘现场不作为否定投标人资格的理由。</w:t>
      </w:r>
    </w:p>
    <w:p w14:paraId="030A8AF3">
      <w:pPr>
        <w:outlineLvl w:val="1"/>
        <w:rPr>
          <w:rFonts w:ascii="宋体" w:hAnsi="宋体"/>
          <w:color w:val="auto"/>
          <w:szCs w:val="21"/>
          <w:highlight w:val="none"/>
        </w:rPr>
      </w:pPr>
      <w:r>
        <w:rPr>
          <w:rFonts w:hint="eastAsia" w:ascii="黑体" w:hAnsi="宋体" w:eastAsia="黑体"/>
          <w:color w:val="auto"/>
          <w:sz w:val="24"/>
          <w:highlight w:val="none"/>
        </w:rPr>
        <w:t>1</w:t>
      </w:r>
      <w:r>
        <w:rPr>
          <w:rFonts w:ascii="黑体" w:hAnsi="宋体" w:eastAsia="黑体"/>
          <w:color w:val="auto"/>
          <w:sz w:val="24"/>
          <w:highlight w:val="none"/>
        </w:rPr>
        <w:t>0</w:t>
      </w:r>
      <w:r>
        <w:rPr>
          <w:rFonts w:hint="eastAsia" w:ascii="黑体" w:hAnsi="宋体" w:eastAsia="黑体"/>
          <w:color w:val="auto"/>
          <w:sz w:val="24"/>
          <w:highlight w:val="none"/>
        </w:rPr>
        <w:t>．标前会议</w:t>
      </w:r>
    </w:p>
    <w:p w14:paraId="1383CDB7">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0FE87F8">
      <w:pPr>
        <w:ind w:firstLine="411" w:firstLineChars="196"/>
        <w:rPr>
          <w:rFonts w:ascii="宋体" w:hAnsi="宋体"/>
          <w:color w:val="auto"/>
          <w:szCs w:val="21"/>
          <w:highlight w:val="none"/>
        </w:rPr>
      </w:pPr>
      <w:r>
        <w:rPr>
          <w:rFonts w:ascii="宋体" w:hAnsi="宋体"/>
          <w:color w:val="auto"/>
          <w:highlight w:val="none"/>
        </w:rPr>
        <w:t>10</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任何人或任何组织在标前会议时向投标人提供的任何书面资料或口头承诺，未经政府集中采购机构在网上发布或书面通知，均作无效处理。</w:t>
      </w:r>
    </w:p>
    <w:p w14:paraId="3E9B8EF6">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未参与标前会议不作为否定投标人资格的理由。</w:t>
      </w:r>
    </w:p>
    <w:bookmarkEnd w:id="79"/>
    <w:p w14:paraId="15110DFE">
      <w:pPr>
        <w:pStyle w:val="7"/>
        <w:numPr>
          <w:ilvl w:val="0"/>
          <w:numId w:val="0"/>
        </w:numPr>
        <w:tabs>
          <w:tab w:val="left" w:pos="360"/>
        </w:tabs>
        <w:spacing w:before="120" w:beforeLines="50" w:after="120" w:afterLines="50"/>
        <w:ind w:leftChars="0" w:firstLine="2811" w:firstLineChars="1000"/>
        <w:jc w:val="both"/>
        <w:rPr>
          <w:color w:val="auto"/>
          <w:sz w:val="28"/>
          <w:szCs w:val="28"/>
          <w:highlight w:val="none"/>
        </w:rPr>
      </w:pPr>
      <w:r>
        <w:rPr>
          <w:rFonts w:hint="eastAsia"/>
          <w:color w:val="auto"/>
          <w:sz w:val="28"/>
          <w:szCs w:val="28"/>
          <w:highlight w:val="none"/>
          <w:lang w:val="en-US" w:eastAsia="zh-CN"/>
        </w:rPr>
        <w:t xml:space="preserve">第二章  </w:t>
      </w:r>
      <w:r>
        <w:rPr>
          <w:rFonts w:hint="eastAsia"/>
          <w:color w:val="auto"/>
          <w:sz w:val="28"/>
          <w:szCs w:val="28"/>
          <w:highlight w:val="none"/>
        </w:rPr>
        <w:t>招标文件</w:t>
      </w:r>
    </w:p>
    <w:p w14:paraId="6E94EAA7">
      <w:pPr>
        <w:rPr>
          <w:rFonts w:ascii="黑体" w:hAnsi="宋体" w:eastAsia="黑体"/>
          <w:color w:val="auto"/>
          <w:sz w:val="24"/>
          <w:highlight w:val="none"/>
        </w:rPr>
      </w:pPr>
      <w:r>
        <w:rPr>
          <w:rFonts w:hint="eastAsia" w:ascii="黑体" w:hAnsi="宋体" w:eastAsia="黑体"/>
          <w:color w:val="auto"/>
          <w:sz w:val="24"/>
          <w:highlight w:val="none"/>
        </w:rPr>
        <w:t>1</w:t>
      </w:r>
      <w:r>
        <w:rPr>
          <w:rFonts w:ascii="黑体" w:hAnsi="宋体" w:eastAsia="黑体"/>
          <w:color w:val="auto"/>
          <w:sz w:val="24"/>
          <w:highlight w:val="none"/>
        </w:rPr>
        <w:t>1</w:t>
      </w:r>
      <w:r>
        <w:rPr>
          <w:rFonts w:hint="eastAsia" w:ascii="黑体" w:hAnsi="宋体" w:eastAsia="黑体"/>
          <w:color w:val="auto"/>
          <w:sz w:val="24"/>
          <w:highlight w:val="none"/>
        </w:rPr>
        <w:t>．</w:t>
      </w:r>
      <w:bookmarkStart w:id="81" w:name="_Hlk72399819"/>
      <w:r>
        <w:rPr>
          <w:rFonts w:hint="eastAsia" w:ascii="黑体" w:hAnsi="宋体" w:eastAsia="黑体"/>
          <w:color w:val="auto"/>
          <w:sz w:val="24"/>
          <w:highlight w:val="none"/>
        </w:rPr>
        <w:t>招标文件的编制与组成</w:t>
      </w:r>
    </w:p>
    <w:p w14:paraId="78045A62">
      <w:pPr>
        <w:snapToGrid w:val="0"/>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.1招标文件除以下内容外，政府集中采购机构在招标期间发出的澄清或修改等相关公告或通知内容，均是招标文件的组成部分，对投标人起约束作用；</w:t>
      </w:r>
    </w:p>
    <w:p w14:paraId="58D08B0D">
      <w:pPr>
        <w:ind w:firstLine="411" w:firstLineChars="196"/>
        <w:rPr>
          <w:rFonts w:ascii="宋体" w:hAnsi="宋体"/>
          <w:color w:val="auto"/>
          <w:szCs w:val="21"/>
          <w:highlight w:val="none"/>
        </w:rPr>
      </w:pPr>
      <w:r>
        <w:rPr>
          <w:rFonts w:hint="eastAsia" w:ascii="宋体" w:hAnsi="宋体"/>
          <w:color w:val="auto"/>
          <w:szCs w:val="21"/>
          <w:highlight w:val="none"/>
        </w:rPr>
        <w:t>招标文件包括下列内容：</w:t>
      </w:r>
    </w:p>
    <w:p w14:paraId="10C21EC5">
      <w:pPr>
        <w:ind w:left="420" w:leftChars="200" w:firstLine="413" w:firstLineChars="196"/>
        <w:rPr>
          <w:rFonts w:ascii="宋体" w:hAnsi="宋体"/>
          <w:b/>
          <w:color w:val="auto"/>
          <w:szCs w:val="21"/>
          <w:highlight w:val="none"/>
        </w:rPr>
      </w:pPr>
      <w:r>
        <w:rPr>
          <w:rFonts w:hint="eastAsia" w:ascii="宋体" w:hAnsi="宋体"/>
          <w:b/>
          <w:color w:val="auto"/>
          <w:szCs w:val="21"/>
          <w:highlight w:val="none"/>
        </w:rPr>
        <w:t>第一册  专用条款</w:t>
      </w:r>
    </w:p>
    <w:p w14:paraId="11FF74EA">
      <w:pPr>
        <w:ind w:left="1079" w:leftChars="514"/>
        <w:rPr>
          <w:rFonts w:ascii="宋体" w:hAnsi="宋体"/>
          <w:b/>
          <w:color w:val="auto"/>
          <w:szCs w:val="21"/>
          <w:highlight w:val="none"/>
        </w:rPr>
      </w:pPr>
      <w:r>
        <w:rPr>
          <w:rFonts w:hint="eastAsia" w:ascii="宋体" w:hAnsi="宋体"/>
          <w:b/>
          <w:color w:val="auto"/>
          <w:szCs w:val="21"/>
          <w:highlight w:val="none"/>
        </w:rPr>
        <w:t>关键信息</w:t>
      </w:r>
    </w:p>
    <w:p w14:paraId="039797BA">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第一章  招标公告</w:t>
      </w:r>
    </w:p>
    <w:p w14:paraId="590C429A">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第二章  对通用条款的补充内容及其他关键信息</w:t>
      </w:r>
    </w:p>
    <w:p w14:paraId="632AB2AF">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第三章  用户需求书</w:t>
      </w:r>
    </w:p>
    <w:p w14:paraId="09FAFC4A">
      <w:pPr>
        <w:ind w:left="630" w:leftChars="300" w:firstLine="411" w:firstLineChars="196"/>
        <w:outlineLvl w:val="0"/>
        <w:rPr>
          <w:rFonts w:ascii="宋体" w:hAnsi="宋体"/>
          <w:color w:val="auto"/>
          <w:szCs w:val="21"/>
          <w:highlight w:val="none"/>
        </w:rPr>
      </w:pPr>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投标文件格式及附件</w:t>
      </w:r>
    </w:p>
    <w:p w14:paraId="336CF50F">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第五章  合同条款及格式</w:t>
      </w:r>
    </w:p>
    <w:p w14:paraId="56CD57EB">
      <w:pPr>
        <w:ind w:left="420" w:leftChars="200" w:firstLine="413" w:firstLineChars="196"/>
        <w:outlineLvl w:val="0"/>
        <w:rPr>
          <w:rFonts w:ascii="宋体" w:hAnsi="宋体"/>
          <w:b/>
          <w:color w:val="auto"/>
          <w:szCs w:val="21"/>
          <w:highlight w:val="none"/>
        </w:rPr>
      </w:pPr>
      <w:r>
        <w:rPr>
          <w:rFonts w:hint="eastAsia" w:ascii="宋体" w:hAnsi="宋体"/>
          <w:b/>
          <w:color w:val="auto"/>
          <w:szCs w:val="21"/>
          <w:highlight w:val="none"/>
        </w:rPr>
        <w:t>第二册  通用条款</w:t>
      </w:r>
    </w:p>
    <w:p w14:paraId="4CDEBD7D">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第一章  总则</w:t>
      </w:r>
    </w:p>
    <w:p w14:paraId="5CE16605">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第二章  招标文件</w:t>
      </w:r>
    </w:p>
    <w:p w14:paraId="3B5FC3F2">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第三章  投标文件的编制</w:t>
      </w:r>
    </w:p>
    <w:p w14:paraId="322EA3DE">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第四章  投标文件的递交</w:t>
      </w:r>
    </w:p>
    <w:p w14:paraId="28E7E396">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第五章  开标</w:t>
      </w:r>
    </w:p>
    <w:p w14:paraId="4786B51E">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第六章  评审要求</w:t>
      </w:r>
    </w:p>
    <w:p w14:paraId="4A6E1A00">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第七章  评审程序及评审方法</w:t>
      </w:r>
    </w:p>
    <w:p w14:paraId="66A20BAF">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第八章  定标及公示</w:t>
      </w:r>
    </w:p>
    <w:p w14:paraId="47CEA805">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第九章  公开招标失败的后续处理</w:t>
      </w:r>
    </w:p>
    <w:p w14:paraId="5E2D9521">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第十章  合同的授予与备案</w:t>
      </w:r>
    </w:p>
    <w:p w14:paraId="668CB1D1">
      <w:pPr>
        <w:ind w:left="630" w:leftChars="300" w:firstLine="411" w:firstLineChars="196"/>
        <w:outlineLvl w:val="0"/>
        <w:rPr>
          <w:rFonts w:ascii="宋体" w:hAnsi="宋体"/>
          <w:color w:val="auto"/>
          <w:szCs w:val="21"/>
          <w:highlight w:val="none"/>
        </w:rPr>
      </w:pPr>
      <w:r>
        <w:rPr>
          <w:rFonts w:hint="eastAsia" w:ascii="宋体" w:hAnsi="宋体"/>
          <w:color w:val="auto"/>
          <w:szCs w:val="21"/>
          <w:highlight w:val="none"/>
        </w:rPr>
        <w:t>第十一章  质疑处理</w:t>
      </w:r>
    </w:p>
    <w:p w14:paraId="4C05D580">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B41C4C5">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w:t>
      </w:r>
      <w:r>
        <w:rPr>
          <w:rFonts w:hint="eastAsia" w:ascii="宋体" w:hAnsi="宋体"/>
          <w:color w:val="auto"/>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50219A">
      <w:pPr>
        <w:rPr>
          <w:rFonts w:ascii="黑体" w:hAnsi="宋体" w:eastAsia="黑体"/>
          <w:color w:val="auto"/>
          <w:sz w:val="24"/>
          <w:highlight w:val="none"/>
        </w:rPr>
      </w:pPr>
      <w:r>
        <w:rPr>
          <w:rFonts w:hint="eastAsia" w:ascii="黑体" w:hAnsi="宋体" w:eastAsia="黑体"/>
          <w:color w:val="auto"/>
          <w:sz w:val="24"/>
          <w:highlight w:val="none"/>
        </w:rPr>
        <w:t>1</w:t>
      </w:r>
      <w:r>
        <w:rPr>
          <w:rFonts w:ascii="黑体" w:hAnsi="宋体" w:eastAsia="黑体"/>
          <w:color w:val="auto"/>
          <w:sz w:val="24"/>
          <w:highlight w:val="none"/>
        </w:rPr>
        <w:t>2</w:t>
      </w:r>
      <w:r>
        <w:rPr>
          <w:rFonts w:hint="eastAsia" w:ascii="黑体" w:hAnsi="宋体" w:eastAsia="黑体"/>
          <w:color w:val="auto"/>
          <w:sz w:val="24"/>
          <w:highlight w:val="none"/>
        </w:rPr>
        <w:t>．招标文件的澄清</w:t>
      </w:r>
    </w:p>
    <w:p w14:paraId="05F4D518">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.1招标文件澄清的目的是澄清、解答投标人在查阅招标文件后或现场踏勘中可能提出的与投标有关的疑问或询问。</w:t>
      </w:r>
    </w:p>
    <w:p w14:paraId="38483381">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.2投标人如对招标文件内容有疑问，应当在招标公告规定的澄清（提问）截止时间前以</w:t>
      </w:r>
      <w:r>
        <w:rPr>
          <w:rFonts w:hint="eastAsia" w:ascii="宋体" w:hAnsi="宋体"/>
          <w:b/>
          <w:bCs/>
          <w:color w:val="auto"/>
          <w:szCs w:val="21"/>
          <w:highlight w:val="none"/>
          <w:lang w:val="en-US" w:eastAsia="zh-CN"/>
        </w:rPr>
        <w:t>书面</w:t>
      </w:r>
      <w:r>
        <w:rPr>
          <w:rFonts w:hint="eastAsia" w:ascii="宋体" w:hAnsi="宋体"/>
          <w:b/>
          <w:bCs/>
          <w:color w:val="auto"/>
          <w:szCs w:val="21"/>
          <w:highlight w:val="none"/>
        </w:rPr>
        <w:t>提问的形式</w:t>
      </w:r>
      <w:r>
        <w:rPr>
          <w:rFonts w:hint="eastAsia" w:ascii="宋体" w:hAnsi="宋体"/>
          <w:color w:val="auto"/>
          <w:szCs w:val="21"/>
          <w:highlight w:val="none"/>
        </w:rPr>
        <w:t>提交政府集中采购机构。</w:t>
      </w:r>
    </w:p>
    <w:p w14:paraId="0C276244">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auto"/>
          <w:szCs w:val="21"/>
          <w:highlight w:val="none"/>
        </w:rPr>
        <w:t>3.3</w:t>
      </w:r>
      <w:r>
        <w:rPr>
          <w:rFonts w:hint="eastAsia" w:ascii="宋体" w:hAnsi="宋体"/>
          <w:color w:val="auto"/>
          <w:szCs w:val="21"/>
          <w:highlight w:val="none"/>
        </w:rPr>
        <w:t>、1</w:t>
      </w:r>
      <w:r>
        <w:rPr>
          <w:rFonts w:ascii="宋体" w:hAnsi="宋体"/>
          <w:color w:val="auto"/>
          <w:szCs w:val="21"/>
          <w:highlight w:val="none"/>
        </w:rPr>
        <w:t>3.4</w:t>
      </w:r>
      <w:r>
        <w:rPr>
          <w:rFonts w:hint="eastAsia" w:ascii="宋体" w:hAnsi="宋体"/>
          <w:color w:val="auto"/>
          <w:szCs w:val="21"/>
          <w:highlight w:val="none"/>
        </w:rPr>
        <w:t>款规定执行。</w:t>
      </w:r>
    </w:p>
    <w:p w14:paraId="76DD108A">
      <w:pPr>
        <w:rPr>
          <w:rFonts w:ascii="黑体" w:hAnsi="宋体" w:eastAsia="黑体"/>
          <w:color w:val="auto"/>
          <w:sz w:val="24"/>
          <w:highlight w:val="none"/>
        </w:rPr>
      </w:pPr>
      <w:r>
        <w:rPr>
          <w:rFonts w:ascii="黑体" w:hAnsi="宋体" w:eastAsia="黑体"/>
          <w:color w:val="auto"/>
          <w:sz w:val="24"/>
          <w:highlight w:val="none"/>
        </w:rPr>
        <w:t>1</w:t>
      </w:r>
      <w:r>
        <w:rPr>
          <w:rFonts w:hint="eastAsia" w:ascii="黑体" w:hAnsi="宋体" w:eastAsia="黑体"/>
          <w:color w:val="auto"/>
          <w:sz w:val="24"/>
          <w:highlight w:val="none"/>
        </w:rPr>
        <w:t>3．招标文件的修改</w:t>
      </w:r>
    </w:p>
    <w:p w14:paraId="3E5B5E0F">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3.1招标文件发出后，在投标截止日期前任何时候，确需要变更招标文件内容的，政府集中采购机构可主动或在解答投标人提出的澄清问题时对招标文件进行修改。</w:t>
      </w:r>
    </w:p>
    <w:p w14:paraId="284E32CC">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3.2招标文件的修改以书面形式（包括政府集中采购机构网站发布方式，如更正公告等）发送给所有投标人，招标文件的修改内容作为招标文件的组成部分，并具有约束力。</w:t>
      </w:r>
    </w:p>
    <w:p w14:paraId="7A0F60B5">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F4579C1">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1"/>
    </w:p>
    <w:p w14:paraId="4D0B108F">
      <w:pPr>
        <w:pStyle w:val="7"/>
        <w:numPr>
          <w:ilvl w:val="0"/>
          <w:numId w:val="0"/>
        </w:numPr>
        <w:tabs>
          <w:tab w:val="left" w:pos="360"/>
        </w:tabs>
        <w:spacing w:before="120" w:beforeLines="50" w:after="120" w:afterLines="50"/>
        <w:ind w:leftChars="0" w:firstLine="2530" w:firstLineChars="900"/>
        <w:jc w:val="both"/>
        <w:rPr>
          <w:color w:val="auto"/>
          <w:sz w:val="28"/>
          <w:szCs w:val="28"/>
          <w:highlight w:val="none"/>
        </w:rPr>
      </w:pPr>
      <w:r>
        <w:rPr>
          <w:rFonts w:hint="eastAsia"/>
          <w:color w:val="auto"/>
          <w:sz w:val="28"/>
          <w:szCs w:val="28"/>
          <w:highlight w:val="none"/>
          <w:lang w:val="en-US" w:eastAsia="zh-CN"/>
        </w:rPr>
        <w:t xml:space="preserve">第三章  </w:t>
      </w:r>
      <w:r>
        <w:rPr>
          <w:rFonts w:hint="eastAsia"/>
          <w:color w:val="auto"/>
          <w:sz w:val="28"/>
          <w:szCs w:val="28"/>
          <w:highlight w:val="none"/>
        </w:rPr>
        <w:t>投标文件的编制</w:t>
      </w:r>
    </w:p>
    <w:p w14:paraId="22F5ACDE">
      <w:pPr>
        <w:rPr>
          <w:rFonts w:ascii="黑体" w:hAnsi="宋体" w:eastAsia="黑体"/>
          <w:color w:val="auto"/>
          <w:sz w:val="24"/>
          <w:highlight w:val="none"/>
        </w:rPr>
      </w:pPr>
      <w:r>
        <w:rPr>
          <w:rFonts w:hint="eastAsia" w:ascii="黑体" w:hAnsi="宋体" w:eastAsia="黑体"/>
          <w:color w:val="auto"/>
          <w:sz w:val="24"/>
          <w:highlight w:val="none"/>
        </w:rPr>
        <w:t>14．</w:t>
      </w:r>
      <w:bookmarkStart w:id="82" w:name="_Hlk72400236"/>
      <w:r>
        <w:rPr>
          <w:rFonts w:hint="eastAsia" w:ascii="黑体" w:hAnsi="宋体" w:eastAsia="黑体"/>
          <w:color w:val="auto"/>
          <w:sz w:val="24"/>
          <w:highlight w:val="none"/>
        </w:rPr>
        <w:t>投标文件的语言及度量单位</w:t>
      </w:r>
    </w:p>
    <w:p w14:paraId="04F0C9DA">
      <w:pPr>
        <w:ind w:firstLine="411" w:firstLineChars="196"/>
        <w:rPr>
          <w:rFonts w:ascii="宋体" w:hAnsi="宋体"/>
          <w:color w:val="auto"/>
          <w:szCs w:val="21"/>
          <w:highlight w:val="none"/>
        </w:rPr>
      </w:pPr>
      <w:r>
        <w:rPr>
          <w:rFonts w:hint="eastAsia" w:ascii="宋体" w:hAnsi="宋体"/>
          <w:color w:val="auto"/>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17EDDAB">
      <w:pPr>
        <w:ind w:firstLine="411" w:firstLineChars="196"/>
        <w:rPr>
          <w:rFonts w:ascii="宋体" w:hAnsi="宋体"/>
          <w:color w:val="auto"/>
          <w:szCs w:val="21"/>
          <w:highlight w:val="none"/>
        </w:rPr>
      </w:pPr>
      <w:r>
        <w:rPr>
          <w:rFonts w:hint="eastAsia" w:ascii="宋体" w:hAnsi="宋体"/>
          <w:color w:val="auto"/>
          <w:szCs w:val="21"/>
          <w:highlight w:val="none"/>
        </w:rPr>
        <w:t>14.2 除技术规范另有规定外，投标文件使用的度量单位，均采用中华人民共和国法定计量单位。</w:t>
      </w:r>
    </w:p>
    <w:bookmarkEnd w:id="82"/>
    <w:p w14:paraId="5BA6AAE1">
      <w:pPr>
        <w:rPr>
          <w:rFonts w:ascii="黑体" w:hAnsi="宋体" w:eastAsia="黑体"/>
          <w:color w:val="auto"/>
          <w:sz w:val="24"/>
          <w:highlight w:val="none"/>
        </w:rPr>
      </w:pPr>
      <w:r>
        <w:rPr>
          <w:rFonts w:hint="eastAsia" w:ascii="黑体" w:hAnsi="宋体" w:eastAsia="黑体"/>
          <w:color w:val="auto"/>
          <w:sz w:val="24"/>
          <w:highlight w:val="none"/>
        </w:rPr>
        <w:t>15．</w:t>
      </w:r>
      <w:bookmarkStart w:id="83" w:name="_Hlk72401567"/>
      <w:r>
        <w:rPr>
          <w:rFonts w:hint="eastAsia" w:ascii="黑体" w:hAnsi="宋体" w:eastAsia="黑体"/>
          <w:color w:val="auto"/>
          <w:sz w:val="24"/>
          <w:highlight w:val="none"/>
        </w:rPr>
        <w:t>投标文件的组成</w:t>
      </w:r>
    </w:p>
    <w:p w14:paraId="4504C65A">
      <w:pPr>
        <w:ind w:firstLine="411" w:firstLineChars="196"/>
        <w:rPr>
          <w:rFonts w:ascii="宋体" w:hAnsi="宋体"/>
          <w:color w:val="auto"/>
          <w:szCs w:val="21"/>
          <w:highlight w:val="none"/>
        </w:rPr>
      </w:pPr>
      <w:r>
        <w:rPr>
          <w:rFonts w:hint="eastAsia" w:ascii="宋体" w:hAnsi="宋体"/>
          <w:color w:val="auto"/>
          <w:szCs w:val="21"/>
          <w:highlight w:val="none"/>
        </w:rPr>
        <w:t>具体内容在招标文件专用条款中进行规定。</w:t>
      </w:r>
    </w:p>
    <w:p w14:paraId="7E6B8440">
      <w:pPr>
        <w:rPr>
          <w:rFonts w:ascii="黑体" w:hAnsi="宋体" w:eastAsia="黑体"/>
          <w:color w:val="auto"/>
          <w:sz w:val="24"/>
          <w:highlight w:val="none"/>
        </w:rPr>
      </w:pPr>
      <w:r>
        <w:rPr>
          <w:rFonts w:ascii="黑体" w:hAnsi="宋体" w:eastAsia="黑体"/>
          <w:color w:val="auto"/>
          <w:sz w:val="24"/>
          <w:highlight w:val="none"/>
        </w:rPr>
        <w:t>16．投标文件格式</w:t>
      </w:r>
    </w:p>
    <w:p w14:paraId="0F1AF5B7">
      <w:pPr>
        <w:ind w:firstLine="411" w:firstLineChars="196"/>
        <w:rPr>
          <w:rFonts w:ascii="宋体" w:hAnsi="宋体"/>
          <w:color w:val="auto"/>
          <w:szCs w:val="21"/>
          <w:highlight w:val="none"/>
        </w:rPr>
      </w:pPr>
      <w:r>
        <w:rPr>
          <w:rFonts w:hint="eastAsia" w:ascii="宋体" w:hAnsi="宋体"/>
          <w:color w:val="auto"/>
          <w:szCs w:val="21"/>
          <w:highlight w:val="none"/>
        </w:rPr>
        <w:t>投标文件包括本通用条款第</w:t>
      </w:r>
      <w:r>
        <w:rPr>
          <w:rFonts w:ascii="宋体" w:hAnsi="宋体"/>
          <w:color w:val="auto"/>
          <w:szCs w:val="21"/>
          <w:highlight w:val="none"/>
        </w:rPr>
        <w:t>15条中规定的内容。如</w:t>
      </w:r>
      <w:r>
        <w:rPr>
          <w:rFonts w:ascii="宋体" w:hAnsi="宋体"/>
          <w:b/>
          <w:bCs/>
          <w:color w:val="auto"/>
          <w:szCs w:val="21"/>
          <w:highlight w:val="none"/>
        </w:rPr>
        <w:t>招标文件提供了投标文件格式，则</w:t>
      </w:r>
      <w:r>
        <w:rPr>
          <w:rFonts w:hint="eastAsia" w:ascii="宋体" w:hAnsi="宋体"/>
          <w:b/>
          <w:bCs/>
          <w:color w:val="auto"/>
          <w:szCs w:val="21"/>
          <w:highlight w:val="none"/>
        </w:rPr>
        <w:t>投标人提交的投标文件应毫无例外地使用招标文件所提供的相应格式</w:t>
      </w:r>
      <w:r>
        <w:rPr>
          <w:rFonts w:hint="eastAsia" w:ascii="宋体" w:hAnsi="宋体"/>
          <w:color w:val="auto"/>
          <w:szCs w:val="21"/>
          <w:highlight w:val="none"/>
        </w:rPr>
        <w:t>（表格均可按同样格式扩展）。</w:t>
      </w:r>
    </w:p>
    <w:p w14:paraId="22D6AC10">
      <w:pPr>
        <w:rPr>
          <w:rFonts w:ascii="黑体" w:hAnsi="宋体" w:eastAsia="黑体"/>
          <w:color w:val="auto"/>
          <w:sz w:val="24"/>
          <w:highlight w:val="none"/>
        </w:rPr>
      </w:pPr>
      <w:r>
        <w:rPr>
          <w:rFonts w:hint="eastAsia" w:ascii="黑体" w:hAnsi="宋体" w:eastAsia="黑体"/>
          <w:color w:val="auto"/>
          <w:sz w:val="24"/>
          <w:highlight w:val="none"/>
        </w:rPr>
        <w:t>17．投标货币</w:t>
      </w:r>
    </w:p>
    <w:p w14:paraId="02EA6347">
      <w:pPr>
        <w:ind w:firstLine="411" w:firstLineChars="196"/>
        <w:rPr>
          <w:rFonts w:ascii="宋体" w:hAnsi="宋体"/>
          <w:color w:val="auto"/>
          <w:szCs w:val="21"/>
          <w:highlight w:val="none"/>
        </w:rPr>
      </w:pPr>
      <w:r>
        <w:rPr>
          <w:rFonts w:hint="eastAsia" w:ascii="宋体" w:hAnsi="宋体"/>
          <w:color w:val="auto"/>
          <w:szCs w:val="21"/>
          <w:highlight w:val="none"/>
        </w:rPr>
        <w:t>本项目的投标报价应以人民币计。</w:t>
      </w:r>
    </w:p>
    <w:bookmarkEnd w:id="83"/>
    <w:p w14:paraId="558F253F">
      <w:pPr>
        <w:rPr>
          <w:rFonts w:ascii="黑体" w:hAnsi="宋体" w:eastAsia="黑体"/>
          <w:color w:val="auto"/>
          <w:sz w:val="24"/>
          <w:highlight w:val="none"/>
        </w:rPr>
      </w:pPr>
      <w:r>
        <w:rPr>
          <w:rFonts w:hint="eastAsia" w:ascii="黑体" w:hAnsi="宋体" w:eastAsia="黑体"/>
          <w:color w:val="auto"/>
          <w:sz w:val="24"/>
          <w:highlight w:val="none"/>
        </w:rPr>
        <w:t>18．</w:t>
      </w:r>
      <w:bookmarkStart w:id="84" w:name="_Hlk72401735"/>
      <w:r>
        <w:rPr>
          <w:rFonts w:hint="eastAsia" w:ascii="黑体" w:hAnsi="宋体" w:eastAsia="黑体"/>
          <w:color w:val="auto"/>
          <w:sz w:val="24"/>
          <w:highlight w:val="none"/>
        </w:rPr>
        <w:t>证明投标文件投标技术方案的合格性和符合招标文件规定的文件要求</w:t>
      </w:r>
    </w:p>
    <w:p w14:paraId="5AC70D72">
      <w:pPr>
        <w:ind w:firstLine="411" w:firstLineChars="196"/>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 xml:space="preserve">.1 </w:t>
      </w:r>
      <w:r>
        <w:rPr>
          <w:rFonts w:hint="eastAsia" w:ascii="宋体" w:hAnsi="宋体"/>
          <w:color w:val="auto"/>
          <w:szCs w:val="21"/>
          <w:highlight w:val="none"/>
        </w:rPr>
        <w:t>投标人应提交证明文件，证明其投标技术方案项下的货物和服务的合格性符合招标文件规定。该投标技术方案及其证明文件均作为投标文件组成部分。</w:t>
      </w:r>
    </w:p>
    <w:p w14:paraId="2A0C1DED">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.2 </w:t>
      </w:r>
      <w:r>
        <w:rPr>
          <w:rFonts w:hint="eastAsia" w:ascii="宋体" w:hAnsi="宋体"/>
          <w:color w:val="auto"/>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F112CE5">
      <w:pPr>
        <w:ind w:firstLine="411" w:firstLineChars="196"/>
        <w:rPr>
          <w:rFonts w:ascii="宋体" w:hAnsi="宋体"/>
          <w:color w:val="auto"/>
          <w:szCs w:val="21"/>
          <w:highlight w:val="none"/>
        </w:rPr>
      </w:pPr>
      <w:r>
        <w:rPr>
          <w:rFonts w:hint="eastAsia" w:ascii="宋体" w:hAnsi="宋体"/>
          <w:color w:val="auto"/>
          <w:szCs w:val="21"/>
          <w:highlight w:val="none"/>
        </w:rPr>
        <w:t>18.2.1主要技术指标和性能的详细说明。</w:t>
      </w:r>
    </w:p>
    <w:p w14:paraId="14EA63FA">
      <w:pPr>
        <w:ind w:firstLine="411" w:firstLineChars="196"/>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2</w:t>
      </w:r>
      <w:r>
        <w:rPr>
          <w:rFonts w:hint="eastAsia" w:ascii="宋体" w:hAnsi="宋体"/>
          <w:color w:val="auto"/>
          <w:szCs w:val="21"/>
          <w:highlight w:val="none"/>
        </w:rPr>
        <w:t>投标产品从采购人开始使用至招标文件中规定的周期内正常、连续地使用所必须的备件和专用工具清单，包括备件和专用工具的货源及现行价格。</w:t>
      </w:r>
    </w:p>
    <w:p w14:paraId="0E382B5F">
      <w:pPr>
        <w:ind w:firstLine="411" w:firstLineChars="196"/>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3</w:t>
      </w:r>
      <w:r>
        <w:rPr>
          <w:rFonts w:hint="eastAsia" w:ascii="宋体" w:hAnsi="宋体"/>
          <w:color w:val="auto"/>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4244C98">
      <w:pPr>
        <w:ind w:firstLine="411" w:firstLineChars="196"/>
        <w:rPr>
          <w:rFonts w:ascii="宋体" w:hAnsi="宋体"/>
          <w:color w:val="auto"/>
          <w:szCs w:val="21"/>
          <w:highlight w:val="none"/>
        </w:rPr>
      </w:pPr>
      <w:r>
        <w:rPr>
          <w:rFonts w:hint="eastAsia" w:ascii="宋体" w:hAnsi="宋体"/>
          <w:color w:val="auto"/>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highlight w:val="none"/>
        </w:rPr>
        <w:t>清晰度要求能够使用电脑阅读、识别和判断</w:t>
      </w:r>
      <w:r>
        <w:rPr>
          <w:rFonts w:hint="eastAsia" w:ascii="宋体" w:hAnsi="宋体"/>
          <w:color w:val="auto"/>
          <w:szCs w:val="21"/>
          <w:highlight w:val="none"/>
        </w:rPr>
        <w:t>；</w:t>
      </w:r>
    </w:p>
    <w:p w14:paraId="1BF4231A">
      <w:pPr>
        <w:ind w:firstLine="411" w:firstLineChars="196"/>
        <w:rPr>
          <w:rFonts w:ascii="宋体" w:hAnsi="宋体"/>
          <w:color w:val="auto"/>
          <w:szCs w:val="21"/>
          <w:highlight w:val="none"/>
        </w:rPr>
      </w:pPr>
      <w:r>
        <w:rPr>
          <w:rFonts w:hint="eastAsia" w:ascii="宋体" w:hAnsi="宋体"/>
          <w:color w:val="auto"/>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5070D78F">
      <w:pPr>
        <w:ind w:firstLine="411" w:firstLineChars="196"/>
        <w:rPr>
          <w:rFonts w:ascii="宋体" w:hAnsi="宋体"/>
          <w:color w:val="auto"/>
          <w:szCs w:val="21"/>
          <w:highlight w:val="none"/>
        </w:rPr>
      </w:pPr>
      <w:r>
        <w:rPr>
          <w:rFonts w:hint="eastAsia" w:ascii="宋体" w:hAnsi="宋体"/>
          <w:color w:val="auto"/>
          <w:szCs w:val="21"/>
          <w:highlight w:val="none"/>
        </w:rPr>
        <w:t>18.3相关资料不符合18.2款要求的，评审委员会有权认定为投标技术方案不合格响应，其相关分数予以扣减或作投标无效处理。</w:t>
      </w:r>
    </w:p>
    <w:p w14:paraId="708937E7">
      <w:pPr>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highlight w:val="none"/>
        </w:rPr>
        <w:t>满足要求</w:t>
      </w:r>
      <w:r>
        <w:rPr>
          <w:rFonts w:hint="eastAsia" w:ascii="宋体" w:hAnsi="宋体"/>
          <w:color w:val="auto"/>
          <w:szCs w:val="21"/>
          <w:highlight w:val="none"/>
        </w:rPr>
        <w:t>，由评审委员会来评判。</w:t>
      </w:r>
    </w:p>
    <w:p w14:paraId="65427BA9">
      <w:pPr>
        <w:ind w:firstLine="411" w:firstLineChars="196"/>
        <w:rPr>
          <w:rFonts w:ascii="宋体" w:hAnsi="宋体"/>
          <w:color w:val="auto"/>
          <w:szCs w:val="21"/>
          <w:highlight w:val="none"/>
        </w:rPr>
      </w:pPr>
      <w:r>
        <w:rPr>
          <w:rFonts w:hint="eastAsia" w:ascii="宋体" w:hAnsi="宋体"/>
          <w:color w:val="auto"/>
          <w:szCs w:val="21"/>
          <w:highlight w:val="none"/>
        </w:rPr>
        <w:t>18.5除非另有规定或说明，投标人对同一项目投标时，不得同时提供两套或两套以上的投标方案。</w:t>
      </w:r>
    </w:p>
    <w:bookmarkEnd w:id="84"/>
    <w:p w14:paraId="24171397">
      <w:pPr>
        <w:rPr>
          <w:rFonts w:ascii="黑体" w:hAnsi="宋体" w:eastAsia="黑体"/>
          <w:color w:val="auto"/>
          <w:sz w:val="24"/>
          <w:highlight w:val="none"/>
        </w:rPr>
      </w:pPr>
      <w:r>
        <w:rPr>
          <w:rFonts w:hint="eastAsia" w:ascii="黑体" w:hAnsi="宋体" w:eastAsia="黑体"/>
          <w:color w:val="auto"/>
          <w:sz w:val="24"/>
          <w:highlight w:val="none"/>
        </w:rPr>
        <w:t>19．</w:t>
      </w:r>
      <w:bookmarkStart w:id="85" w:name="_Hlk72402034"/>
      <w:r>
        <w:rPr>
          <w:rFonts w:hint="eastAsia" w:ascii="黑体" w:hAnsi="宋体" w:eastAsia="黑体"/>
          <w:color w:val="auto"/>
          <w:sz w:val="24"/>
          <w:highlight w:val="none"/>
        </w:rPr>
        <w:t>投标文件其他证明文件的要求</w:t>
      </w:r>
    </w:p>
    <w:p w14:paraId="449631BC">
      <w:pPr>
        <w:ind w:firstLine="420" w:firstLineChars="200"/>
        <w:rPr>
          <w:rFonts w:ascii="宋体" w:hAnsi="宋体"/>
          <w:color w:val="auto"/>
          <w:szCs w:val="21"/>
          <w:highlight w:val="none"/>
        </w:rPr>
      </w:pPr>
      <w:r>
        <w:rPr>
          <w:rFonts w:hint="eastAsia" w:ascii="宋体" w:hAnsi="宋体"/>
          <w:color w:val="auto"/>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6" w:name="_Hlk71407299"/>
    </w:p>
    <w:bookmarkEnd w:id="86"/>
    <w:p w14:paraId="7FB4F0D7">
      <w:pPr>
        <w:ind w:firstLine="411" w:firstLineChars="196"/>
        <w:rPr>
          <w:rFonts w:ascii="宋体" w:hAnsi="宋体"/>
          <w:color w:val="auto"/>
          <w:szCs w:val="21"/>
          <w:highlight w:val="none"/>
        </w:rPr>
      </w:pPr>
      <w:r>
        <w:rPr>
          <w:rFonts w:hint="eastAsia" w:ascii="宋体" w:hAnsi="宋体"/>
          <w:color w:val="auto"/>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3CBFCB3">
      <w:pPr>
        <w:rPr>
          <w:rFonts w:ascii="黑体" w:hAnsi="宋体" w:eastAsia="黑体"/>
          <w:color w:val="auto"/>
          <w:sz w:val="24"/>
          <w:highlight w:val="none"/>
        </w:rPr>
      </w:pPr>
      <w:r>
        <w:rPr>
          <w:rFonts w:hint="eastAsia" w:ascii="黑体" w:hAnsi="宋体" w:eastAsia="黑体"/>
          <w:color w:val="auto"/>
          <w:sz w:val="24"/>
          <w:highlight w:val="none"/>
        </w:rPr>
        <w:t>20．投标有效期</w:t>
      </w:r>
    </w:p>
    <w:bookmarkEnd w:id="85"/>
    <w:p w14:paraId="369D975A">
      <w:pPr>
        <w:ind w:firstLine="411" w:firstLineChars="196"/>
        <w:rPr>
          <w:rFonts w:ascii="宋体" w:hAnsi="宋体"/>
          <w:color w:val="auto"/>
          <w:szCs w:val="21"/>
          <w:highlight w:val="none"/>
        </w:rPr>
      </w:pPr>
      <w:bookmarkStart w:id="87" w:name="_Hlk72402214"/>
      <w:r>
        <w:rPr>
          <w:rFonts w:hint="eastAsia" w:ascii="宋体" w:hAnsi="宋体"/>
          <w:color w:val="auto"/>
          <w:szCs w:val="21"/>
          <w:highlight w:val="none"/>
        </w:rPr>
        <w:t>20.1 投标有效期为</w:t>
      </w:r>
      <w:r>
        <w:rPr>
          <w:rFonts w:hint="eastAsia" w:ascii="Arial" w:hAnsi="Arial" w:cs="Arial"/>
          <w:color w:val="auto"/>
          <w:szCs w:val="21"/>
          <w:highlight w:val="none"/>
        </w:rPr>
        <w:t>从投标截止之日算起的日历天数。</w:t>
      </w:r>
      <w:r>
        <w:rPr>
          <w:rFonts w:hint="eastAsia" w:ascii="宋体" w:hAnsi="宋体"/>
          <w:color w:val="auto"/>
          <w:szCs w:val="21"/>
          <w:highlight w:val="none"/>
        </w:rPr>
        <w:t>在此期限内，所有投标文件均保持有效。</w:t>
      </w:r>
    </w:p>
    <w:p w14:paraId="5644C982">
      <w:pPr>
        <w:ind w:firstLine="411" w:firstLineChars="196"/>
        <w:rPr>
          <w:rFonts w:ascii="宋体" w:hAnsi="宋体"/>
          <w:color w:val="auto"/>
          <w:szCs w:val="21"/>
          <w:highlight w:val="none"/>
        </w:rPr>
      </w:pPr>
      <w:r>
        <w:rPr>
          <w:rFonts w:hint="eastAsia" w:ascii="宋体" w:hAnsi="宋体"/>
          <w:color w:val="auto"/>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A77D7C9">
      <w:pPr>
        <w:ind w:firstLine="411" w:firstLineChars="196"/>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 xml:space="preserve"> 中标供应商的投标文件有效期，截止于完成本招标文件规定的全部项目内容，并通过竣工验收及保修期结束。</w:t>
      </w:r>
    </w:p>
    <w:bookmarkEnd w:id="87"/>
    <w:p w14:paraId="6623A076">
      <w:pPr>
        <w:rPr>
          <w:rFonts w:ascii="黑体" w:hAnsi="宋体" w:eastAsia="黑体"/>
          <w:color w:val="auto"/>
          <w:sz w:val="24"/>
          <w:highlight w:val="none"/>
        </w:rPr>
      </w:pPr>
      <w:r>
        <w:rPr>
          <w:rFonts w:hint="eastAsia" w:ascii="黑体" w:hAnsi="宋体" w:eastAsia="黑体"/>
          <w:color w:val="auto"/>
          <w:sz w:val="24"/>
          <w:highlight w:val="none"/>
        </w:rPr>
        <w:t>21．</w:t>
      </w:r>
      <w:bookmarkStart w:id="88" w:name="_Hlk72402325"/>
      <w:r>
        <w:rPr>
          <w:rFonts w:hint="eastAsia" w:ascii="黑体" w:hAnsi="宋体" w:eastAsia="黑体"/>
          <w:color w:val="auto"/>
          <w:sz w:val="24"/>
          <w:highlight w:val="none"/>
        </w:rPr>
        <w:t xml:space="preserve">关于投标保证金 </w:t>
      </w:r>
    </w:p>
    <w:p w14:paraId="295B8978">
      <w:pPr>
        <w:ind w:firstLine="411" w:firstLineChars="196"/>
        <w:rPr>
          <w:rFonts w:hint="default" w:eastAsia="宋体"/>
          <w:color w:val="auto"/>
          <w:highlight w:val="none"/>
          <w:lang w:val="en-US" w:eastAsia="zh-CN"/>
        </w:rPr>
      </w:pPr>
      <w:r>
        <w:rPr>
          <w:rFonts w:hint="eastAsia" w:ascii="宋体" w:hAnsi="宋体"/>
          <w:color w:val="auto"/>
          <w:szCs w:val="21"/>
          <w:highlight w:val="none"/>
        </w:rPr>
        <w:t xml:space="preserve"> 21.1 </w:t>
      </w:r>
      <w:r>
        <w:rPr>
          <w:rFonts w:hint="eastAsia"/>
          <w:color w:val="auto"/>
          <w:highlight w:val="none"/>
        </w:rPr>
        <w:t>根据</w:t>
      </w:r>
      <w:r>
        <w:rPr>
          <w:rFonts w:hint="eastAsia"/>
          <w:color w:val="auto"/>
          <w:highlight w:val="none"/>
          <w:lang w:val="en-US" w:eastAsia="zh-CN"/>
        </w:rPr>
        <w:t>第一册专用条款中</w:t>
      </w:r>
      <w:r>
        <w:rPr>
          <w:rFonts w:hint="eastAsia"/>
          <w:color w:val="auto"/>
          <w:highlight w:val="none"/>
        </w:rPr>
        <w:t>的规定，</w:t>
      </w:r>
      <w:r>
        <w:rPr>
          <w:rFonts w:hint="eastAsia"/>
          <w:color w:val="auto"/>
          <w:highlight w:val="none"/>
          <w:lang w:val="en-US" w:eastAsia="zh-CN"/>
        </w:rPr>
        <w:t>足额缴纳</w:t>
      </w:r>
      <w:r>
        <w:rPr>
          <w:rFonts w:hint="eastAsia"/>
          <w:color w:val="auto"/>
          <w:highlight w:val="none"/>
        </w:rPr>
        <w:t>。</w:t>
      </w:r>
      <w:r>
        <w:rPr>
          <w:rFonts w:hint="eastAsia"/>
          <w:color w:val="auto"/>
          <w:highlight w:val="none"/>
          <w:lang w:val="en-US" w:eastAsia="zh-CN"/>
        </w:rPr>
        <w:t>供应商有下列情形之一的，磋商保证金不予退还：</w:t>
      </w:r>
    </w:p>
    <w:p w14:paraId="6D6AAD65">
      <w:pPr>
        <w:ind w:firstLine="411" w:firstLineChars="196"/>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（一）供应商在提交响应文件截止时间后撤回响应文件的；</w:t>
      </w:r>
    </w:p>
    <w:p w14:paraId="242D6CCF">
      <w:pPr>
        <w:ind w:firstLine="411" w:firstLineChars="196"/>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（二）供应商在响应文件中提供虚假材料的；</w:t>
      </w:r>
    </w:p>
    <w:p w14:paraId="551203EE">
      <w:pPr>
        <w:ind w:left="428" w:leftChars="200" w:hanging="8" w:hangingChars="4"/>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（三）除因不可抗力或磋商文件认可的情形以外，成交供应商不与采购人签订合同的；（四）供应商与采购人、其他供应商或者采购代理机构恶意串通的；</w:t>
      </w:r>
    </w:p>
    <w:p w14:paraId="7B716A69">
      <w:pPr>
        <w:ind w:left="428" w:leftChars="200" w:hanging="8" w:hangingChars="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（五）磋商文件规定的其他情形。</w:t>
      </w:r>
    </w:p>
    <w:p w14:paraId="48204BE9">
      <w:pPr>
        <w:rPr>
          <w:rFonts w:ascii="黑体" w:hAnsi="宋体" w:eastAsia="黑体"/>
          <w:color w:val="auto"/>
          <w:sz w:val="24"/>
          <w:highlight w:val="none"/>
        </w:rPr>
      </w:pPr>
      <w:r>
        <w:rPr>
          <w:rFonts w:hint="eastAsia" w:ascii="黑体" w:hAnsi="宋体" w:eastAsia="黑体"/>
          <w:color w:val="auto"/>
          <w:sz w:val="24"/>
          <w:highlight w:val="none"/>
        </w:rPr>
        <w:t>22．投标人的替代方案</w:t>
      </w:r>
    </w:p>
    <w:p w14:paraId="399DE6B6">
      <w:pPr>
        <w:ind w:firstLine="411" w:firstLineChars="196"/>
        <w:rPr>
          <w:rFonts w:ascii="宋体" w:hAnsi="宋体"/>
          <w:color w:val="auto"/>
          <w:szCs w:val="21"/>
          <w:highlight w:val="none"/>
        </w:rPr>
      </w:pPr>
      <w:r>
        <w:rPr>
          <w:rFonts w:hint="eastAsia" w:ascii="宋体" w:hAnsi="宋体"/>
          <w:color w:val="auto"/>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EDA8AA">
      <w:pPr>
        <w:ind w:firstLine="411" w:firstLineChars="196"/>
        <w:rPr>
          <w:rFonts w:ascii="宋体" w:hAnsi="宋体"/>
          <w:color w:val="auto"/>
          <w:szCs w:val="21"/>
          <w:highlight w:val="none"/>
        </w:rPr>
      </w:pPr>
      <w:r>
        <w:rPr>
          <w:rFonts w:hint="eastAsia" w:ascii="宋体" w:hAnsi="宋体"/>
          <w:color w:val="auto"/>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8"/>
    <w:p w14:paraId="37C522CF">
      <w:pPr>
        <w:rPr>
          <w:rFonts w:ascii="黑体" w:hAnsi="宋体" w:eastAsia="黑体"/>
          <w:color w:val="auto"/>
          <w:sz w:val="24"/>
          <w:highlight w:val="none"/>
        </w:rPr>
      </w:pPr>
      <w:r>
        <w:rPr>
          <w:rFonts w:hint="eastAsia" w:ascii="黑体" w:hAnsi="宋体" w:eastAsia="黑体"/>
          <w:color w:val="auto"/>
          <w:sz w:val="24"/>
          <w:highlight w:val="none"/>
        </w:rPr>
        <w:t>23．</w:t>
      </w:r>
      <w:bookmarkStart w:id="89" w:name="_Hlk72402860"/>
      <w:r>
        <w:rPr>
          <w:rFonts w:ascii="黑体" w:hAnsi="宋体" w:eastAsia="黑体"/>
          <w:color w:val="auto"/>
          <w:sz w:val="24"/>
          <w:highlight w:val="none"/>
        </w:rPr>
        <w:t>投标文件的</w:t>
      </w:r>
      <w:r>
        <w:rPr>
          <w:rFonts w:hint="eastAsia" w:ascii="黑体" w:hAnsi="宋体" w:eastAsia="黑体"/>
          <w:color w:val="auto"/>
          <w:sz w:val="24"/>
          <w:highlight w:val="none"/>
        </w:rPr>
        <w:t>制作</w:t>
      </w:r>
      <w:r>
        <w:rPr>
          <w:rFonts w:ascii="黑体" w:hAnsi="宋体" w:eastAsia="黑体"/>
          <w:color w:val="auto"/>
          <w:sz w:val="24"/>
          <w:highlight w:val="none"/>
        </w:rPr>
        <w:t>要求</w:t>
      </w:r>
    </w:p>
    <w:p w14:paraId="3661D22A">
      <w:pPr>
        <w:ind w:firstLine="411" w:firstLineChars="196"/>
        <w:rPr>
          <w:rFonts w:ascii="宋体" w:hAnsi="宋体"/>
          <w:color w:val="auto"/>
          <w:highlight w:val="none"/>
        </w:rPr>
      </w:pPr>
      <w:r>
        <w:rPr>
          <w:rFonts w:hint="eastAsia" w:ascii="宋体" w:hAnsi="宋体"/>
          <w:color w:val="auto"/>
          <w:highlight w:val="none"/>
        </w:rPr>
        <w:t>23.1投标人应准备所投项目的电子投标文件一份。</w:t>
      </w:r>
      <w:r>
        <w:rPr>
          <w:rFonts w:hint="eastAsia" w:ascii="宋体" w:hAnsi="宋体"/>
          <w:color w:val="auto"/>
          <w:highlight w:val="none"/>
          <w:lang w:val="en-US" w:eastAsia="zh-CN"/>
        </w:rPr>
        <w:t>通过新疆政采云</w:t>
      </w:r>
      <w:r>
        <w:rPr>
          <w:rFonts w:hint="eastAsia" w:ascii="宋体" w:hAnsi="宋体"/>
          <w:color w:val="auto"/>
          <w:highlight w:val="none"/>
        </w:rPr>
        <w:t>平台投标文件制作专用软件</w:t>
      </w:r>
      <w:r>
        <w:rPr>
          <w:rFonts w:hint="eastAsia" w:ascii="宋体" w:hAnsi="宋体"/>
          <w:color w:val="auto"/>
          <w:highlight w:val="none"/>
          <w:lang w:val="en-US" w:eastAsia="zh-CN"/>
        </w:rPr>
        <w:t>制作</w:t>
      </w:r>
      <w:r>
        <w:rPr>
          <w:rFonts w:hint="eastAsia" w:ascii="宋体" w:hAnsi="宋体"/>
          <w:color w:val="auto"/>
          <w:highlight w:val="none"/>
        </w:rPr>
        <w:t>。</w:t>
      </w:r>
    </w:p>
    <w:p w14:paraId="70DA5F2B">
      <w:pPr>
        <w:ind w:firstLine="411" w:firstLineChars="196"/>
        <w:rPr>
          <w:rFonts w:ascii="宋体" w:hAnsi="宋体"/>
          <w:color w:val="auto"/>
          <w:highlight w:val="none"/>
        </w:rPr>
      </w:pPr>
      <w:r>
        <w:rPr>
          <w:rFonts w:hint="eastAsia" w:ascii="宋体" w:hAnsi="宋体"/>
          <w:color w:val="auto"/>
          <w:highlight w:val="none"/>
        </w:rPr>
        <w:t>23.2投标人在使用《投标文件制作软件》编制投标书时须注意：</w:t>
      </w:r>
    </w:p>
    <w:p w14:paraId="079FE3AE">
      <w:pPr>
        <w:ind w:firstLine="411" w:firstLineChars="196"/>
        <w:rPr>
          <w:rFonts w:ascii="宋体" w:hAnsi="宋体"/>
          <w:color w:val="auto"/>
          <w:highlight w:val="none"/>
        </w:rPr>
      </w:pPr>
      <w:r>
        <w:rPr>
          <w:rFonts w:hint="eastAsia" w:ascii="宋体" w:hAnsi="宋体"/>
          <w:color w:val="auto"/>
          <w:highlight w:val="none"/>
        </w:rPr>
        <w:t>23.2.1导入《投标文件制作软件》的招标文件项目编号、包号应与以此制作的投标文件项目编号、包号一致。例如，不能将甲项目A包的招标书导入《投标文件制作软件》，制作乙项目B包的投标书。</w:t>
      </w:r>
    </w:p>
    <w:p w14:paraId="4F3A405A">
      <w:pPr>
        <w:ind w:firstLine="411" w:firstLineChars="196"/>
        <w:rPr>
          <w:rFonts w:ascii="宋体" w:hAnsi="宋体"/>
          <w:color w:val="auto"/>
          <w:highlight w:val="none"/>
        </w:rPr>
      </w:pPr>
      <w:r>
        <w:rPr>
          <w:rFonts w:hint="eastAsia" w:ascii="宋体" w:hAnsi="宋体"/>
          <w:color w:val="auto"/>
          <w:highlight w:val="none"/>
        </w:rPr>
        <w:t>23.2.2不能用非本公司的电子密钥加密本公司的投标文件，或者用其它公司的登录用户上传本公司的投标文件。</w:t>
      </w:r>
    </w:p>
    <w:p w14:paraId="330C5A86">
      <w:pPr>
        <w:ind w:firstLine="411" w:firstLineChars="196"/>
        <w:rPr>
          <w:rFonts w:ascii="宋体" w:hAnsi="宋体"/>
          <w:color w:val="auto"/>
          <w:highlight w:val="none"/>
        </w:rPr>
      </w:pPr>
      <w:r>
        <w:rPr>
          <w:rFonts w:hint="eastAsia" w:ascii="宋体" w:hAnsi="宋体"/>
          <w:color w:val="auto"/>
          <w:highlight w:val="none"/>
        </w:rPr>
        <w:t>23.2.3要求用《投标文件制作软件》编制投标书的包，不能用其它方式编制投标书。编制投标文件时，电脑须连通互联网。</w:t>
      </w:r>
    </w:p>
    <w:p w14:paraId="57B4A593">
      <w:pPr>
        <w:ind w:firstLine="411" w:firstLineChars="196"/>
        <w:rPr>
          <w:rFonts w:ascii="宋体" w:hAnsi="宋体"/>
          <w:color w:val="auto"/>
          <w:highlight w:val="none"/>
        </w:rPr>
      </w:pPr>
      <w:r>
        <w:rPr>
          <w:rFonts w:hint="eastAsia" w:ascii="宋体" w:hAnsi="宋体"/>
          <w:color w:val="auto"/>
          <w:highlight w:val="none"/>
        </w:rPr>
        <w:t>23.2.4投标文件不能带病毒。</w:t>
      </w:r>
    </w:p>
    <w:p w14:paraId="26CA9F1D">
      <w:pPr>
        <w:ind w:firstLine="411" w:firstLineChars="196"/>
        <w:rPr>
          <w:rFonts w:hint="eastAsia" w:ascii="宋体" w:hAnsi="宋体" w:eastAsia="宋体" w:cs="Times New Roman"/>
          <w:color w:val="auto"/>
          <w:highlight w:val="none"/>
        </w:rPr>
      </w:pPr>
      <w:r>
        <w:rPr>
          <w:rFonts w:hint="eastAsia" w:ascii="宋体" w:hAnsi="宋体"/>
          <w:color w:val="auto"/>
          <w:highlight w:val="none"/>
        </w:rPr>
        <w:t>23.2.5完整填写“投标关键信息”，</w:t>
      </w:r>
      <w:r>
        <w:rPr>
          <w:rFonts w:hint="eastAsia" w:ascii="宋体" w:hAnsi="宋体" w:eastAsia="宋体" w:cs="Times New Roman"/>
          <w:color w:val="auto"/>
          <w:highlight w:val="none"/>
        </w:rPr>
        <w:t>“开标一览表”中的“投标报价”将作为价格分计算依据；其它信息仅是对投标文件相关内容的概括性表述，不作为评审依据。</w:t>
      </w:r>
    </w:p>
    <w:p w14:paraId="208A4D6D">
      <w:pPr>
        <w:ind w:firstLine="420" w:firstLineChars="200"/>
        <w:rPr>
          <w:rFonts w:hint="eastAsia" w:ascii="宋体" w:hAnsi="宋体"/>
          <w:b/>
          <w:color w:val="auto"/>
          <w:highlight w:val="none"/>
          <w:lang w:val="en-US" w:eastAsia="zh-CN"/>
        </w:rPr>
      </w:pPr>
      <w:r>
        <w:rPr>
          <w:rFonts w:hint="eastAsia" w:ascii="宋体" w:hAnsi="宋体"/>
          <w:color w:val="auto"/>
          <w:highlight w:val="none"/>
        </w:rPr>
        <w:t>23.2.6投标人在编辑投标文件时，</w:t>
      </w:r>
      <w:r>
        <w:rPr>
          <w:rFonts w:hint="eastAsia" w:ascii="宋体" w:hAnsi="宋体"/>
          <w:b/>
          <w:color w:val="auto"/>
          <w:highlight w:val="none"/>
        </w:rPr>
        <w:t>在投标文件目录中属于本节点内容的必须在本节</w:t>
      </w:r>
      <w:r>
        <w:rPr>
          <w:rFonts w:hint="eastAsia" w:ascii="宋体" w:hAnsi="宋体"/>
          <w:b/>
          <w:color w:val="auto"/>
          <w:highlight w:val="none"/>
          <w:lang w:val="en-US" w:eastAsia="zh-CN"/>
        </w:rPr>
        <w:t>点上传。</w:t>
      </w:r>
    </w:p>
    <w:p w14:paraId="7E0B7CAE">
      <w:pPr>
        <w:ind w:firstLine="420" w:firstLineChars="200"/>
        <w:rPr>
          <w:rFonts w:ascii="宋体" w:hAnsi="宋体"/>
          <w:b w:val="0"/>
          <w:bCs/>
          <w:color w:val="auto"/>
          <w:highlight w:val="none"/>
        </w:rPr>
      </w:pPr>
      <w:r>
        <w:rPr>
          <w:rFonts w:hint="eastAsia" w:ascii="宋体" w:hAnsi="宋体"/>
          <w:color w:val="auto"/>
          <w:highlight w:val="none"/>
        </w:rPr>
        <w:t>23.2.7投标文件编写完成后，</w:t>
      </w:r>
      <w:r>
        <w:rPr>
          <w:rFonts w:hint="eastAsia" w:ascii="宋体" w:hAnsi="宋体"/>
          <w:b w:val="0"/>
          <w:bCs/>
          <w:color w:val="auto"/>
          <w:highlight w:val="none"/>
        </w:rPr>
        <w:t>必须用属于投标人的电子密钥进行加密，否则视同未盖公章，将导致投标文件无效。</w:t>
      </w:r>
    </w:p>
    <w:p w14:paraId="54982929">
      <w:pPr>
        <w:ind w:firstLine="411" w:firstLineChars="196"/>
        <w:rPr>
          <w:rFonts w:ascii="宋体" w:hAnsi="宋体"/>
          <w:color w:val="auto"/>
          <w:highlight w:val="none"/>
        </w:rPr>
      </w:pPr>
      <w:r>
        <w:rPr>
          <w:rFonts w:hint="eastAsia" w:ascii="宋体" w:hAnsi="宋体"/>
          <w:color w:val="auto"/>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w:t>
      </w:r>
      <w:r>
        <w:rPr>
          <w:rFonts w:hint="eastAsia" w:ascii="宋体" w:hAnsi="宋体"/>
          <w:color w:val="auto"/>
          <w:highlight w:val="none"/>
          <w:lang w:val="en-US" w:eastAsia="zh-CN"/>
        </w:rPr>
        <w:t>拨打政采云95763</w:t>
      </w:r>
      <w:r>
        <w:rPr>
          <w:rFonts w:hint="eastAsia" w:ascii="宋体" w:hAnsi="宋体"/>
          <w:color w:val="auto"/>
          <w:highlight w:val="none"/>
        </w:rPr>
        <w:t>咨询。</w:t>
      </w:r>
    </w:p>
    <w:p w14:paraId="75D4DBA9">
      <w:pPr>
        <w:ind w:firstLine="411" w:firstLineChars="196"/>
        <w:rPr>
          <w:rFonts w:ascii="宋体" w:hAnsi="宋体"/>
          <w:color w:val="auto"/>
          <w:highlight w:val="none"/>
        </w:rPr>
      </w:pPr>
      <w:r>
        <w:rPr>
          <w:rFonts w:hint="eastAsia" w:ascii="宋体" w:hAnsi="宋体"/>
          <w:color w:val="auto"/>
          <w:highlight w:val="none"/>
        </w:rPr>
        <w:t>23.2.9如果开标时出现网络故障、技术故障，影响了政府采购活动，政府集中采购机构有权采取措施如延期、接受无法从网上上传的投标书等，以保障政府采购活动的公开、公平和公正。</w:t>
      </w:r>
    </w:p>
    <w:p w14:paraId="2EF18C4D">
      <w:pPr>
        <w:ind w:firstLine="411" w:firstLineChars="196"/>
        <w:rPr>
          <w:rFonts w:ascii="宋体" w:hAnsi="宋体"/>
          <w:color w:val="auto"/>
          <w:highlight w:val="none"/>
        </w:rPr>
      </w:pPr>
      <w:r>
        <w:rPr>
          <w:rFonts w:hint="eastAsia" w:ascii="宋体" w:hAnsi="宋体"/>
          <w:color w:val="auto"/>
          <w:highlight w:val="none"/>
        </w:rPr>
        <w:t>23.3电报、电话、传真形式的投标概不接受。</w:t>
      </w:r>
    </w:p>
    <w:p w14:paraId="7DEC1585">
      <w:pPr>
        <w:ind w:firstLine="411" w:firstLineChars="196"/>
        <w:rPr>
          <w:rFonts w:ascii="宋体" w:hAnsi="宋体"/>
          <w:color w:val="auto"/>
          <w:highlight w:val="none"/>
        </w:rPr>
      </w:pPr>
      <w:r>
        <w:rPr>
          <w:rFonts w:hint="eastAsia" w:ascii="宋体" w:hAnsi="宋体"/>
          <w:b w:val="0"/>
          <w:bCs/>
          <w:color w:val="auto"/>
          <w:highlight w:val="none"/>
        </w:rPr>
        <w:t>23.</w:t>
      </w:r>
      <w:r>
        <w:rPr>
          <w:rFonts w:hint="eastAsia" w:ascii="宋体" w:hAnsi="宋体"/>
          <w:b w:val="0"/>
          <w:bCs/>
          <w:color w:val="auto"/>
          <w:highlight w:val="none"/>
          <w:lang w:val="en-US" w:eastAsia="zh-CN"/>
        </w:rPr>
        <w:t>4</w:t>
      </w:r>
      <w:r>
        <w:rPr>
          <w:rFonts w:hint="eastAsia" w:ascii="宋体" w:hAnsi="宋体"/>
          <w:b w:val="0"/>
          <w:bCs/>
          <w:color w:val="auto"/>
          <w:highlight w:val="none"/>
        </w:rPr>
        <w:t>各类</w:t>
      </w:r>
      <w:r>
        <w:rPr>
          <w:rFonts w:hint="eastAsia" w:ascii="宋体" w:hAnsi="宋体"/>
          <w:color w:val="auto"/>
          <w:highlight w:val="none"/>
        </w:rPr>
        <w:t>资格（资质）文件提供扫描件，专用条款另有要求的除外。</w:t>
      </w:r>
      <w:bookmarkEnd w:id="89"/>
    </w:p>
    <w:p w14:paraId="2FCAE1BC">
      <w:pPr>
        <w:pStyle w:val="7"/>
        <w:numPr>
          <w:ilvl w:val="0"/>
          <w:numId w:val="0"/>
        </w:numPr>
        <w:tabs>
          <w:tab w:val="left" w:pos="360"/>
        </w:tabs>
        <w:spacing w:before="120" w:beforeLines="50" w:after="120" w:afterLines="50"/>
        <w:ind w:leftChars="0" w:firstLine="2530" w:firstLineChars="900"/>
        <w:jc w:val="both"/>
        <w:rPr>
          <w:color w:val="auto"/>
          <w:sz w:val="28"/>
          <w:szCs w:val="28"/>
          <w:highlight w:val="none"/>
        </w:rPr>
      </w:pPr>
      <w:r>
        <w:rPr>
          <w:rFonts w:hint="eastAsia"/>
          <w:color w:val="auto"/>
          <w:sz w:val="28"/>
          <w:szCs w:val="28"/>
          <w:highlight w:val="none"/>
          <w:lang w:val="en-US" w:eastAsia="zh-CN"/>
        </w:rPr>
        <w:t xml:space="preserve">第四章  </w:t>
      </w:r>
      <w:r>
        <w:rPr>
          <w:rFonts w:hint="eastAsia"/>
          <w:color w:val="auto"/>
          <w:sz w:val="28"/>
          <w:szCs w:val="28"/>
          <w:highlight w:val="none"/>
        </w:rPr>
        <w:t>投标文件的递交</w:t>
      </w:r>
      <w:bookmarkStart w:id="90" w:name="_Hlk72405459"/>
    </w:p>
    <w:p w14:paraId="31A8AF93">
      <w:pPr>
        <w:rPr>
          <w:rFonts w:ascii="黑体" w:hAnsi="宋体" w:eastAsia="黑体"/>
          <w:color w:val="auto"/>
          <w:sz w:val="24"/>
          <w:highlight w:val="none"/>
        </w:rPr>
      </w:pPr>
      <w:r>
        <w:rPr>
          <w:rFonts w:hint="eastAsia" w:ascii="黑体" w:hAnsi="宋体" w:eastAsia="黑体"/>
          <w:color w:val="auto"/>
          <w:sz w:val="24"/>
          <w:highlight w:val="none"/>
        </w:rPr>
        <w:t>24．投标书的保密</w:t>
      </w:r>
    </w:p>
    <w:p w14:paraId="0974027A">
      <w:pPr>
        <w:ind w:firstLine="411" w:firstLineChars="196"/>
        <w:rPr>
          <w:rFonts w:ascii="宋体" w:hAnsi="宋体"/>
          <w:color w:val="auto"/>
          <w:highlight w:val="none"/>
        </w:rPr>
      </w:pPr>
      <w:r>
        <w:rPr>
          <w:rFonts w:hint="eastAsia" w:ascii="宋体" w:hAnsi="宋体"/>
          <w:color w:val="auto"/>
          <w:highlight w:val="none"/>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w:t>
      </w:r>
      <w:r>
        <w:rPr>
          <w:rFonts w:hint="eastAsia" w:ascii="宋体" w:hAnsi="宋体"/>
          <w:color w:val="auto"/>
          <w:highlight w:val="none"/>
          <w:lang w:val="en-US" w:eastAsia="zh-CN"/>
        </w:rPr>
        <w:t>投</w:t>
      </w:r>
      <w:r>
        <w:rPr>
          <w:rFonts w:hint="eastAsia" w:ascii="宋体" w:hAnsi="宋体"/>
          <w:color w:val="auto"/>
          <w:highlight w:val="none"/>
        </w:rPr>
        <w:t>标文件自动进行加密，此加密程序确保投标文件在到达开标时间后才能解密查看。</w:t>
      </w:r>
    </w:p>
    <w:p w14:paraId="45527B36">
      <w:pPr>
        <w:ind w:firstLine="420" w:firstLineChars="200"/>
        <w:rPr>
          <w:rFonts w:ascii="宋体" w:hAnsi="宋体"/>
          <w:b w:val="0"/>
          <w:bCs/>
          <w:color w:val="auto"/>
          <w:highlight w:val="none"/>
        </w:rPr>
      </w:pPr>
      <w:r>
        <w:rPr>
          <w:rFonts w:hint="eastAsia" w:ascii="宋体" w:hAnsi="宋体"/>
          <w:b w:val="0"/>
          <w:bCs/>
          <w:color w:val="auto"/>
          <w:highlight w:val="none"/>
        </w:rPr>
        <w:t>24.2若采购项目出现延期情况：</w:t>
      </w:r>
    </w:p>
    <w:p w14:paraId="77A0BB9E">
      <w:pPr>
        <w:ind w:firstLine="420" w:firstLineChars="200"/>
        <w:rPr>
          <w:rFonts w:hint="eastAsia" w:ascii="黑体" w:hAnsi="宋体" w:eastAsia="宋体"/>
          <w:b w:val="0"/>
          <w:bCs/>
          <w:color w:val="auto"/>
          <w:sz w:val="24"/>
          <w:highlight w:val="none"/>
          <w:lang w:eastAsia="zh-CN"/>
        </w:rPr>
      </w:pPr>
      <w:r>
        <w:rPr>
          <w:rFonts w:hint="eastAsia" w:ascii="宋体" w:hAnsi="宋体"/>
          <w:b w:val="0"/>
          <w:bCs/>
          <w:color w:val="auto"/>
          <w:highlight w:val="none"/>
        </w:rPr>
        <w:t>如果供下载的招标文件有更新，投标人必须重新下载招标文件、重新制作投标文件、重新加密投标文件、重新上传投标文件</w:t>
      </w:r>
      <w:r>
        <w:rPr>
          <w:rFonts w:hint="eastAsia" w:ascii="宋体" w:hAnsi="宋体"/>
          <w:b w:val="0"/>
          <w:bCs/>
          <w:color w:val="auto"/>
          <w:highlight w:val="none"/>
          <w:lang w:eastAsia="zh-CN"/>
        </w:rPr>
        <w:t>。</w:t>
      </w:r>
    </w:p>
    <w:p w14:paraId="4631CCD8">
      <w:pPr>
        <w:rPr>
          <w:rFonts w:ascii="黑体" w:hAnsi="宋体" w:eastAsia="黑体"/>
          <w:color w:val="auto"/>
          <w:sz w:val="24"/>
          <w:highlight w:val="none"/>
        </w:rPr>
      </w:pPr>
      <w:r>
        <w:rPr>
          <w:rFonts w:hint="eastAsia" w:ascii="黑体" w:hAnsi="宋体" w:eastAsia="黑体"/>
          <w:color w:val="auto"/>
          <w:sz w:val="24"/>
          <w:highlight w:val="none"/>
        </w:rPr>
        <w:t>25．上传投标文件及投标截止日期</w:t>
      </w:r>
    </w:p>
    <w:p w14:paraId="58A7484E">
      <w:pPr>
        <w:ind w:firstLine="411" w:firstLineChars="196"/>
        <w:rPr>
          <w:rFonts w:hint="default" w:ascii="宋体" w:hAnsi="宋体" w:eastAsia="宋体"/>
          <w:color w:val="auto"/>
          <w:highlight w:val="none"/>
          <w:lang w:val="en-US" w:eastAsia="zh-CN"/>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1实行网上投标，</w:t>
      </w:r>
      <w:r>
        <w:rPr>
          <w:rFonts w:ascii="宋体" w:hAnsi="宋体"/>
          <w:color w:val="auto"/>
          <w:highlight w:val="none"/>
        </w:rPr>
        <w:t>投标人必须</w:t>
      </w:r>
      <w:r>
        <w:rPr>
          <w:rFonts w:hint="eastAsia" w:ascii="宋体" w:hAnsi="宋体"/>
          <w:color w:val="auto"/>
          <w:highlight w:val="none"/>
        </w:rPr>
        <w:t>在招标</w:t>
      </w:r>
      <w:r>
        <w:rPr>
          <w:rFonts w:ascii="宋体" w:hAnsi="宋体"/>
          <w:color w:val="auto"/>
          <w:highlight w:val="none"/>
        </w:rPr>
        <w:t>文件规定的投标截止时间前</w:t>
      </w:r>
      <w:r>
        <w:rPr>
          <w:rFonts w:hint="eastAsia" w:ascii="宋体" w:hAnsi="宋体"/>
          <w:color w:val="auto"/>
          <w:highlight w:val="none"/>
        </w:rPr>
        <w:t>用电子密钥登录</w:t>
      </w:r>
      <w:r>
        <w:rPr>
          <w:rFonts w:hint="eastAsia" w:ascii="宋体" w:hAnsi="宋体"/>
          <w:color w:val="auto"/>
          <w:highlight w:val="none"/>
          <w:lang w:val="en-US" w:eastAsia="zh-CN"/>
        </w:rPr>
        <w:t>新疆政采云平台</w:t>
      </w:r>
      <w:r>
        <w:rPr>
          <w:rFonts w:hint="eastAsia" w:ascii="宋体" w:hAnsi="宋体"/>
          <w:color w:val="auto"/>
          <w:highlight w:val="none"/>
        </w:rPr>
        <w:t>上传投标文件。如上传过程中遇到问题，可拨打技术支持电话，联系方式：</w:t>
      </w:r>
      <w:r>
        <w:rPr>
          <w:rFonts w:hint="eastAsia" w:ascii="宋体" w:hAnsi="宋体"/>
          <w:color w:val="auto"/>
          <w:highlight w:val="none"/>
          <w:lang w:val="en-US" w:eastAsia="zh-CN"/>
        </w:rPr>
        <w:t>95763</w:t>
      </w:r>
    </w:p>
    <w:p w14:paraId="0789FAC7">
      <w:pPr>
        <w:ind w:firstLine="411" w:firstLineChars="196"/>
        <w:rPr>
          <w:rFonts w:ascii="宋体" w:hAnsi="宋体"/>
          <w:color w:val="auto"/>
          <w:highlight w:val="none"/>
        </w:rPr>
      </w:pPr>
      <w:r>
        <w:rPr>
          <w:rFonts w:hint="eastAsia" w:ascii="宋体" w:hAnsi="宋体"/>
          <w:color w:val="auto"/>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F63C4E3">
      <w:pPr>
        <w:ind w:firstLine="411" w:firstLineChars="196"/>
        <w:rPr>
          <w:rFonts w:ascii="宋体" w:hAnsi="宋体"/>
          <w:color w:val="auto"/>
          <w:highlight w:val="none"/>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3投标截止时间以后不得上传投标文件。</w:t>
      </w:r>
    </w:p>
    <w:p w14:paraId="18175293">
      <w:pPr>
        <w:ind w:firstLine="411" w:firstLineChars="196"/>
        <w:rPr>
          <w:rFonts w:ascii="宋体" w:hAnsi="宋体"/>
          <w:color w:val="auto"/>
          <w:highlight w:val="none"/>
        </w:rPr>
      </w:pPr>
      <w:r>
        <w:rPr>
          <w:rFonts w:hint="eastAsia" w:ascii="宋体" w:hAnsi="宋体"/>
          <w:color w:val="auto"/>
          <w:highlight w:val="none"/>
        </w:rPr>
        <w:t>25.4.投标人须在开标当日的开标时间至解密截止时间内进行</w:t>
      </w:r>
      <w:r>
        <w:rPr>
          <w:rFonts w:hint="eastAsia" w:ascii="宋体" w:hAnsi="宋体"/>
          <w:color w:val="auto"/>
          <w:highlight w:val="none"/>
          <w:lang w:val="en-US" w:eastAsia="zh-CN"/>
        </w:rPr>
        <w:t>在线</w:t>
      </w:r>
      <w:r>
        <w:rPr>
          <w:rFonts w:hint="eastAsia" w:ascii="宋体" w:hAnsi="宋体"/>
          <w:color w:val="auto"/>
          <w:highlight w:val="none"/>
        </w:rPr>
        <w:t>解密，逾期未解密的作无效处理。</w:t>
      </w:r>
    </w:p>
    <w:bookmarkEnd w:id="90"/>
    <w:p w14:paraId="293B39D5">
      <w:pPr>
        <w:rPr>
          <w:rFonts w:ascii="黑体" w:hAnsi="宋体" w:eastAsia="黑体"/>
          <w:color w:val="auto"/>
          <w:sz w:val="24"/>
          <w:highlight w:val="none"/>
        </w:rPr>
      </w:pPr>
      <w:r>
        <w:rPr>
          <w:rFonts w:hint="eastAsia" w:ascii="黑体" w:hAnsi="宋体" w:eastAsia="黑体"/>
          <w:color w:val="auto"/>
          <w:sz w:val="24"/>
          <w:highlight w:val="none"/>
        </w:rPr>
        <w:t>26. 样品、演示、方案讲解</w:t>
      </w:r>
    </w:p>
    <w:p w14:paraId="3B4FF3E5">
      <w:pPr>
        <w:ind w:firstLine="411" w:firstLineChars="196"/>
        <w:rPr>
          <w:rFonts w:ascii="宋体" w:hAnsi="宋体"/>
          <w:color w:val="auto"/>
          <w:szCs w:val="21"/>
          <w:highlight w:val="none"/>
        </w:rPr>
      </w:pPr>
      <w:r>
        <w:rPr>
          <w:rFonts w:hint="eastAsia" w:ascii="宋体" w:hAnsi="宋体"/>
          <w:color w:val="auto"/>
          <w:szCs w:val="21"/>
          <w:highlight w:val="none"/>
        </w:rPr>
        <w:t>26.1 样品、演示、方案讲解等事项在招标文件专用条款中进行规定。</w:t>
      </w:r>
    </w:p>
    <w:p w14:paraId="03082B8D">
      <w:pPr>
        <w:rPr>
          <w:rFonts w:ascii="黑体" w:hAnsi="宋体" w:eastAsia="黑体"/>
          <w:color w:val="auto"/>
          <w:sz w:val="24"/>
          <w:highlight w:val="none"/>
        </w:rPr>
      </w:pPr>
      <w:bookmarkStart w:id="91" w:name="_Hlk72428346"/>
      <w:r>
        <w:rPr>
          <w:rFonts w:ascii="黑体" w:hAnsi="宋体" w:eastAsia="黑体"/>
          <w:color w:val="auto"/>
          <w:sz w:val="24"/>
          <w:highlight w:val="none"/>
        </w:rPr>
        <w:t>2</w:t>
      </w:r>
      <w:r>
        <w:rPr>
          <w:rFonts w:hint="eastAsia" w:ascii="黑体" w:hAnsi="宋体" w:eastAsia="黑体"/>
          <w:color w:val="auto"/>
          <w:sz w:val="24"/>
          <w:highlight w:val="none"/>
        </w:rPr>
        <w:t>7．</w:t>
      </w:r>
      <w:r>
        <w:rPr>
          <w:rFonts w:ascii="黑体" w:hAnsi="宋体" w:eastAsia="黑体"/>
          <w:color w:val="auto"/>
          <w:sz w:val="24"/>
          <w:highlight w:val="none"/>
        </w:rPr>
        <w:t>投标文件的修改和撤销</w:t>
      </w:r>
    </w:p>
    <w:p w14:paraId="61EB03BE">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投标方在提交投标文件后可对其投标文件进行修改</w:t>
      </w:r>
      <w:r>
        <w:rPr>
          <w:rFonts w:hint="eastAsia" w:ascii="宋体" w:hAnsi="宋体"/>
          <w:color w:val="auto"/>
          <w:highlight w:val="none"/>
        </w:rPr>
        <w:t>并重新上传投标文件</w:t>
      </w:r>
      <w:r>
        <w:rPr>
          <w:rFonts w:ascii="宋体" w:hAnsi="宋体"/>
          <w:color w:val="auto"/>
          <w:highlight w:val="none"/>
        </w:rPr>
        <w:t>或</w:t>
      </w:r>
      <w:r>
        <w:rPr>
          <w:rFonts w:hint="eastAsia" w:ascii="宋体" w:hAnsi="宋体"/>
          <w:color w:val="auto"/>
          <w:highlight w:val="none"/>
        </w:rPr>
        <w:t>在网上进行</w:t>
      </w:r>
      <w:r>
        <w:rPr>
          <w:rFonts w:ascii="宋体" w:hAnsi="宋体"/>
          <w:color w:val="auto"/>
          <w:highlight w:val="none"/>
        </w:rPr>
        <w:t>撤销</w:t>
      </w:r>
      <w:r>
        <w:rPr>
          <w:rFonts w:hint="eastAsia" w:ascii="宋体" w:hAnsi="宋体"/>
          <w:color w:val="auto"/>
          <w:highlight w:val="none"/>
        </w:rPr>
        <w:t>投标的操作</w:t>
      </w:r>
      <w:r>
        <w:rPr>
          <w:rFonts w:ascii="宋体" w:hAnsi="宋体"/>
          <w:color w:val="auto"/>
          <w:highlight w:val="none"/>
        </w:rPr>
        <w:t>。</w:t>
      </w:r>
    </w:p>
    <w:p w14:paraId="2BCD7FF6">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投标截止时间以后不得修改投标文件。</w:t>
      </w:r>
    </w:p>
    <w:p w14:paraId="401A0AB6">
      <w:pPr>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3从投标截止期至投标人在投标文件中确定的投标有效期之间的这段时间内，投标人不得撤回其投标。</w:t>
      </w:r>
    </w:p>
    <w:p w14:paraId="72844E76">
      <w:pPr>
        <w:ind w:firstLine="411" w:firstLineChars="196"/>
        <w:rPr>
          <w:rFonts w:ascii="宋体" w:hAnsi="宋体"/>
          <w:color w:val="auto"/>
          <w:szCs w:val="21"/>
          <w:highlight w:val="none"/>
        </w:rPr>
      </w:pPr>
      <w:r>
        <w:rPr>
          <w:rFonts w:hint="eastAsia" w:ascii="宋体" w:hAnsi="宋体"/>
          <w:color w:val="auto"/>
          <w:szCs w:val="21"/>
          <w:highlight w:val="none"/>
        </w:rPr>
        <w:t>27.4政府集中采购机构不退还投标文件，专用条款另有规定的除外。</w:t>
      </w:r>
    </w:p>
    <w:bookmarkEnd w:id="91"/>
    <w:p w14:paraId="05AEAF90">
      <w:pPr>
        <w:pStyle w:val="7"/>
        <w:numPr>
          <w:ilvl w:val="0"/>
          <w:numId w:val="0"/>
        </w:numPr>
        <w:tabs>
          <w:tab w:val="left" w:pos="360"/>
        </w:tabs>
        <w:spacing w:before="120" w:beforeLines="50" w:after="120" w:afterLines="50"/>
        <w:ind w:firstLine="3092" w:firstLineChars="1100"/>
        <w:jc w:val="both"/>
        <w:rPr>
          <w:color w:val="auto"/>
          <w:sz w:val="28"/>
          <w:szCs w:val="28"/>
          <w:highlight w:val="none"/>
        </w:rPr>
      </w:pPr>
      <w:r>
        <w:rPr>
          <w:rFonts w:hint="eastAsia"/>
          <w:color w:val="auto"/>
          <w:sz w:val="28"/>
          <w:szCs w:val="28"/>
          <w:highlight w:val="none"/>
          <w:lang w:val="en-US" w:eastAsia="zh-CN"/>
        </w:rPr>
        <w:t xml:space="preserve">第五章  </w:t>
      </w:r>
      <w:r>
        <w:rPr>
          <w:rFonts w:hint="eastAsia"/>
          <w:color w:val="auto"/>
          <w:sz w:val="28"/>
          <w:szCs w:val="28"/>
          <w:highlight w:val="none"/>
        </w:rPr>
        <w:t>开标</w:t>
      </w:r>
    </w:p>
    <w:p w14:paraId="7898E1A7">
      <w:pPr>
        <w:rPr>
          <w:rFonts w:ascii="黑体" w:hAnsi="宋体" w:eastAsia="黑体"/>
          <w:color w:val="auto"/>
          <w:sz w:val="24"/>
          <w:highlight w:val="none"/>
        </w:rPr>
      </w:pPr>
      <w:r>
        <w:rPr>
          <w:rFonts w:hint="eastAsia" w:ascii="黑体" w:hAnsi="宋体" w:eastAsia="黑体"/>
          <w:color w:val="auto"/>
          <w:sz w:val="24"/>
          <w:highlight w:val="none"/>
        </w:rPr>
        <w:t>28．开标</w:t>
      </w:r>
    </w:p>
    <w:p w14:paraId="41336DFC">
      <w:pPr>
        <w:ind w:firstLine="420" w:firstLineChars="200"/>
        <w:rPr>
          <w:rFonts w:ascii="宋体" w:hAnsi="宋体"/>
          <w:color w:val="auto"/>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1</w:t>
      </w:r>
      <w:r>
        <w:rPr>
          <w:rFonts w:hint="eastAsia" w:ascii="宋体" w:hAnsi="宋体"/>
          <w:color w:val="auto"/>
          <w:highlight w:val="none"/>
        </w:rPr>
        <w:t>投标人须在开标当日的开标时间至解密截止时间内进行解密，逾期未解密的作无效处理。</w:t>
      </w:r>
    </w:p>
    <w:p w14:paraId="31EB116E">
      <w:pPr>
        <w:ind w:firstLine="359" w:firstLineChars="171"/>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8.2 </w:t>
      </w:r>
      <w:r>
        <w:rPr>
          <w:rFonts w:hint="eastAsia" w:ascii="宋体" w:hAnsi="宋体"/>
          <w:color w:val="auto"/>
          <w:szCs w:val="21"/>
          <w:highlight w:val="none"/>
        </w:rPr>
        <w:t>政府集中采购机构将在满足开标条件（</w:t>
      </w:r>
      <w:r>
        <w:rPr>
          <w:rFonts w:hint="eastAsia" w:ascii="宋体" w:hAnsi="宋体" w:cs="宋体"/>
          <w:color w:val="auto"/>
          <w:sz w:val="20"/>
          <w:szCs w:val="20"/>
          <w:highlight w:val="none"/>
        </w:rPr>
        <w:t>①</w:t>
      </w:r>
      <w:r>
        <w:rPr>
          <w:rFonts w:hint="eastAsia" w:ascii="宋体" w:hAnsi="宋体"/>
          <w:color w:val="auto"/>
          <w:szCs w:val="21"/>
          <w:highlight w:val="none"/>
        </w:rPr>
        <w:t>解密时间结束，解密后的投标供应商数量满足开标要求或</w:t>
      </w:r>
      <w:r>
        <w:rPr>
          <w:rFonts w:hint="eastAsia" w:ascii="宋体" w:hAnsi="宋体" w:cs="宋体"/>
          <w:color w:val="auto"/>
          <w:sz w:val="20"/>
          <w:szCs w:val="20"/>
          <w:highlight w:val="none"/>
        </w:rPr>
        <w:t>②</w:t>
      </w:r>
      <w:r>
        <w:rPr>
          <w:rFonts w:hint="eastAsia" w:ascii="宋体" w:hAnsi="宋体"/>
          <w:color w:val="auto"/>
          <w:szCs w:val="21"/>
          <w:highlight w:val="none"/>
        </w:rPr>
        <w:t>解密时间结束前所有投标供应商均完成投标文件解密）后，对投标文件进行开标，并在网上公布开标结果。</w:t>
      </w:r>
    </w:p>
    <w:p w14:paraId="246CF54A">
      <w:pPr>
        <w:pStyle w:val="7"/>
        <w:numPr>
          <w:ilvl w:val="0"/>
          <w:numId w:val="0"/>
        </w:numPr>
        <w:tabs>
          <w:tab w:val="left" w:pos="360"/>
        </w:tabs>
        <w:spacing w:before="120" w:beforeLines="50" w:after="120" w:afterLines="50"/>
        <w:ind w:leftChars="0" w:firstLine="2811" w:firstLineChars="1000"/>
        <w:jc w:val="both"/>
        <w:rPr>
          <w:color w:val="auto"/>
          <w:sz w:val="28"/>
          <w:szCs w:val="28"/>
          <w:highlight w:val="none"/>
        </w:rPr>
      </w:pPr>
      <w:r>
        <w:rPr>
          <w:rFonts w:hint="eastAsia"/>
          <w:color w:val="auto"/>
          <w:sz w:val="28"/>
          <w:szCs w:val="28"/>
          <w:highlight w:val="none"/>
          <w:lang w:val="en-US" w:eastAsia="zh-CN"/>
        </w:rPr>
        <w:t xml:space="preserve">第六章   </w:t>
      </w:r>
      <w:r>
        <w:rPr>
          <w:rFonts w:hint="eastAsia"/>
          <w:color w:val="auto"/>
          <w:sz w:val="28"/>
          <w:szCs w:val="28"/>
          <w:highlight w:val="none"/>
        </w:rPr>
        <w:t>评审要求</w:t>
      </w:r>
    </w:p>
    <w:p w14:paraId="7D001016">
      <w:pPr>
        <w:rPr>
          <w:rFonts w:ascii="黑体" w:hAnsi="宋体" w:eastAsia="黑体"/>
          <w:color w:val="auto"/>
          <w:sz w:val="24"/>
          <w:highlight w:val="none"/>
        </w:rPr>
      </w:pPr>
      <w:r>
        <w:rPr>
          <w:rFonts w:hint="eastAsia" w:ascii="黑体" w:hAnsi="宋体" w:eastAsia="黑体"/>
          <w:color w:val="auto"/>
          <w:sz w:val="24"/>
          <w:highlight w:val="none"/>
        </w:rPr>
        <w:t>29．评审委员会组成</w:t>
      </w:r>
    </w:p>
    <w:p w14:paraId="3D733336">
      <w:pPr>
        <w:ind w:firstLine="411" w:firstLineChars="196"/>
        <w:rPr>
          <w:rFonts w:ascii="宋体" w:hAnsi="宋体"/>
          <w:color w:val="auto"/>
          <w:highlight w:val="none"/>
        </w:rPr>
      </w:pPr>
      <w:r>
        <w:rPr>
          <w:rFonts w:hint="eastAsia" w:ascii="宋体" w:hAnsi="宋体"/>
          <w:color w:val="auto"/>
          <w:highlight w:val="none"/>
        </w:rPr>
        <w:t>29.1网上开标结束后召开评审会议，</w:t>
      </w:r>
      <w:r>
        <w:rPr>
          <w:rFonts w:hint="eastAsia" w:ascii="宋体" w:hAnsi="宋体"/>
          <w:color w:val="auto"/>
          <w:szCs w:val="21"/>
          <w:highlight w:val="none"/>
        </w:rPr>
        <w:t>评审委员会</w:t>
      </w:r>
      <w:r>
        <w:rPr>
          <w:rFonts w:hint="eastAsia" w:ascii="宋体" w:hAnsi="宋体"/>
          <w:color w:val="auto"/>
          <w:highlight w:val="none"/>
        </w:rPr>
        <w:t>由政府集中采购机构依法组建，负责评审活动。</w:t>
      </w:r>
    </w:p>
    <w:p w14:paraId="4468A3B7">
      <w:pPr>
        <w:ind w:firstLine="411" w:firstLineChars="196"/>
        <w:rPr>
          <w:rFonts w:ascii="宋体" w:hAnsi="宋体"/>
          <w:color w:val="auto"/>
          <w:highlight w:val="none"/>
        </w:rPr>
      </w:pPr>
      <w:bookmarkStart w:id="92" w:name="_Hlk72436580"/>
      <w:r>
        <w:rPr>
          <w:rFonts w:hint="eastAsia" w:ascii="宋体" w:hAnsi="宋体"/>
          <w:color w:val="auto"/>
          <w:highlight w:val="none"/>
        </w:rPr>
        <w:t>评审委员会由采购人代表和评审专家组成，成员人数应当为</w:t>
      </w:r>
      <w:r>
        <w:rPr>
          <w:rFonts w:hint="eastAsia" w:ascii="宋体" w:hAnsi="宋体"/>
          <w:color w:val="auto"/>
          <w:highlight w:val="none"/>
          <w:lang w:val="en-US" w:eastAsia="zh-CN"/>
        </w:rPr>
        <w:t>3</w:t>
      </w:r>
      <w:r>
        <w:rPr>
          <w:rFonts w:hint="eastAsia" w:ascii="宋体" w:hAnsi="宋体"/>
          <w:color w:val="auto"/>
          <w:highlight w:val="none"/>
        </w:rPr>
        <w:t>人以上单数（部分条件下为7人以上单数），其中评审专家不得少于成员总数的三分之二。</w:t>
      </w:r>
      <w:bookmarkEnd w:id="92"/>
      <w:r>
        <w:rPr>
          <w:rFonts w:hint="eastAsia" w:ascii="宋体" w:hAnsi="宋体"/>
          <w:color w:val="auto"/>
          <w:szCs w:val="21"/>
          <w:highlight w:val="none"/>
        </w:rPr>
        <w:t>评审专家一般是</w:t>
      </w:r>
      <w:r>
        <w:rPr>
          <w:rFonts w:hint="eastAsia" w:ascii="宋体" w:hAnsi="宋体"/>
          <w:color w:val="auto"/>
          <w:highlight w:val="none"/>
        </w:rPr>
        <w:t>从</w:t>
      </w:r>
      <w:r>
        <w:rPr>
          <w:rFonts w:hint="eastAsia" w:ascii="宋体" w:hAnsi="宋体"/>
          <w:color w:val="auto"/>
          <w:highlight w:val="none"/>
          <w:lang w:val="en-US" w:eastAsia="zh-CN"/>
        </w:rPr>
        <w:t>新疆政采云平台</w:t>
      </w:r>
      <w:r>
        <w:rPr>
          <w:rFonts w:hint="eastAsia" w:ascii="宋体" w:hAnsi="宋体"/>
          <w:color w:val="auto"/>
          <w:highlight w:val="none"/>
        </w:rPr>
        <w:t>政府采购评审专家库中随机抽取。采购人代表须持采购人出具的《评审授权书》参加评审。</w:t>
      </w:r>
    </w:p>
    <w:p w14:paraId="0A99FBC0">
      <w:pPr>
        <w:ind w:firstLine="411" w:firstLineChars="196"/>
        <w:rPr>
          <w:rFonts w:ascii="宋体" w:hAnsi="宋体"/>
          <w:color w:val="auto"/>
          <w:highlight w:val="none"/>
        </w:rPr>
      </w:pPr>
      <w:r>
        <w:rPr>
          <w:rFonts w:hint="eastAsia" w:ascii="宋体" w:hAnsi="宋体"/>
          <w:color w:val="auto"/>
          <w:highlight w:val="none"/>
        </w:rPr>
        <w:t>29.2评审定标应当遵循公平、公正、科学、择优的原则。</w:t>
      </w:r>
    </w:p>
    <w:p w14:paraId="4F84B5EB">
      <w:pPr>
        <w:ind w:firstLine="411" w:firstLineChars="196"/>
        <w:rPr>
          <w:rFonts w:ascii="宋体" w:hAnsi="宋体"/>
          <w:color w:val="auto"/>
          <w:highlight w:val="none"/>
        </w:rPr>
      </w:pPr>
      <w:r>
        <w:rPr>
          <w:rFonts w:hint="eastAsia" w:ascii="宋体" w:hAnsi="宋体"/>
          <w:color w:val="auto"/>
          <w:highlight w:val="none"/>
        </w:rPr>
        <w:t>29.3评审活动依法进行，任何单位和个人不得非法干预评标过程和结果。</w:t>
      </w:r>
    </w:p>
    <w:p w14:paraId="42924BD3">
      <w:pPr>
        <w:ind w:firstLine="411" w:firstLineChars="196"/>
        <w:rPr>
          <w:rFonts w:ascii="宋体" w:hAnsi="宋体"/>
          <w:color w:val="auto"/>
          <w:highlight w:val="none"/>
        </w:rPr>
      </w:pPr>
      <w:r>
        <w:rPr>
          <w:rFonts w:hint="eastAsia" w:ascii="宋体" w:hAnsi="宋体"/>
          <w:color w:val="auto"/>
          <w:highlight w:val="none"/>
        </w:rPr>
        <w:t>29.4评审过程中不允许违背评标程序或采用招标文件未载明的评标方法或评标因素进行评标。</w:t>
      </w:r>
    </w:p>
    <w:p w14:paraId="4A1A08AB">
      <w:pPr>
        <w:ind w:firstLine="411" w:firstLineChars="196"/>
        <w:rPr>
          <w:rFonts w:ascii="宋体" w:hAnsi="宋体"/>
          <w:bCs/>
          <w:color w:val="auto"/>
          <w:highlight w:val="none"/>
        </w:rPr>
      </w:pPr>
      <w:r>
        <w:rPr>
          <w:rFonts w:hint="eastAsia" w:ascii="宋体" w:hAnsi="宋体"/>
          <w:bCs/>
          <w:color w:val="auto"/>
          <w:highlight w:val="none"/>
        </w:rPr>
        <w:t>29.5 开标后，直到签订合同为止，凡属于对投标文件的审查、澄清、评价和比较的有关资料以及中标候选人的推荐情况、与评审有关的其他任何情况均严格保密（</w:t>
      </w:r>
      <w:r>
        <w:rPr>
          <w:rFonts w:hint="eastAsia"/>
          <w:color w:val="auto"/>
          <w:highlight w:val="none"/>
        </w:rPr>
        <w:t>信息公开的内容除外</w:t>
      </w:r>
      <w:r>
        <w:rPr>
          <w:rFonts w:hint="eastAsia" w:ascii="宋体" w:hAnsi="宋体"/>
          <w:bCs/>
          <w:color w:val="auto"/>
          <w:highlight w:val="none"/>
        </w:rPr>
        <w:t>）。</w:t>
      </w:r>
    </w:p>
    <w:p w14:paraId="436DE414">
      <w:pPr>
        <w:rPr>
          <w:rFonts w:ascii="黑体" w:hAnsi="宋体" w:eastAsia="黑体"/>
          <w:color w:val="auto"/>
          <w:sz w:val="24"/>
          <w:highlight w:val="none"/>
        </w:rPr>
      </w:pPr>
      <w:r>
        <w:rPr>
          <w:rFonts w:hint="eastAsia" w:ascii="黑体" w:hAnsi="宋体" w:eastAsia="黑体"/>
          <w:color w:val="auto"/>
          <w:sz w:val="24"/>
          <w:highlight w:val="none"/>
        </w:rPr>
        <w:t>30．向评审委员会提供的资料</w:t>
      </w:r>
    </w:p>
    <w:p w14:paraId="2446830B">
      <w:pPr>
        <w:ind w:firstLine="411" w:firstLineChars="196"/>
        <w:rPr>
          <w:rFonts w:ascii="宋体" w:hAnsi="宋体"/>
          <w:color w:val="auto"/>
          <w:highlight w:val="none"/>
        </w:rPr>
      </w:pPr>
      <w:r>
        <w:rPr>
          <w:rFonts w:hint="eastAsia" w:ascii="宋体" w:hAnsi="宋体"/>
          <w:color w:val="auto"/>
          <w:highlight w:val="none"/>
        </w:rPr>
        <w:t>30.1公开发布的招标文件，包括图纸、服务清单、答疑文件等；</w:t>
      </w:r>
    </w:p>
    <w:p w14:paraId="19570E6A">
      <w:pPr>
        <w:ind w:firstLine="411" w:firstLineChars="196"/>
        <w:rPr>
          <w:rFonts w:ascii="宋体" w:hAnsi="宋体"/>
          <w:color w:val="auto"/>
          <w:highlight w:val="none"/>
        </w:rPr>
      </w:pPr>
      <w:r>
        <w:rPr>
          <w:rFonts w:hint="eastAsia" w:ascii="宋体" w:hAnsi="宋体"/>
          <w:color w:val="auto"/>
          <w:highlight w:val="none"/>
        </w:rPr>
        <w:t>30.2其他评标必须的资料。</w:t>
      </w:r>
    </w:p>
    <w:p w14:paraId="5C4470AC">
      <w:pPr>
        <w:ind w:firstLine="411" w:firstLineChars="196"/>
        <w:rPr>
          <w:rFonts w:ascii="宋体" w:hAnsi="宋体"/>
          <w:color w:val="auto"/>
          <w:highlight w:val="none"/>
        </w:rPr>
      </w:pPr>
      <w:r>
        <w:rPr>
          <w:rFonts w:hint="eastAsia" w:ascii="宋体" w:hAnsi="宋体"/>
          <w:color w:val="auto"/>
          <w:highlight w:val="none"/>
        </w:rPr>
        <w:t>30.3</w:t>
      </w:r>
      <w:r>
        <w:rPr>
          <w:rFonts w:hint="eastAsia" w:ascii="宋体" w:hAnsi="宋体"/>
          <w:color w:val="auto"/>
          <w:szCs w:val="21"/>
          <w:highlight w:val="none"/>
        </w:rPr>
        <w:t>评审委员会</w:t>
      </w:r>
      <w:r>
        <w:rPr>
          <w:rFonts w:hint="eastAsia" w:ascii="宋体" w:hAnsi="宋体"/>
          <w:color w:val="auto"/>
          <w:highlight w:val="none"/>
        </w:rPr>
        <w:t>应当认真研究招标文件，至少应了解熟悉以下内容：</w:t>
      </w:r>
    </w:p>
    <w:p w14:paraId="729895C0">
      <w:pPr>
        <w:ind w:firstLine="411" w:firstLineChars="196"/>
        <w:rPr>
          <w:rFonts w:ascii="宋体" w:hAnsi="宋体"/>
          <w:color w:val="auto"/>
          <w:highlight w:val="none"/>
        </w:rPr>
      </w:pPr>
      <w:r>
        <w:rPr>
          <w:rFonts w:hint="eastAsia" w:ascii="宋体" w:hAnsi="宋体"/>
          <w:color w:val="auto"/>
          <w:highlight w:val="none"/>
        </w:rPr>
        <w:t>（1）招标的目的；</w:t>
      </w:r>
    </w:p>
    <w:p w14:paraId="11C2F552">
      <w:pPr>
        <w:ind w:firstLine="411" w:firstLineChars="196"/>
        <w:rPr>
          <w:rFonts w:ascii="宋体" w:hAnsi="宋体"/>
          <w:color w:val="auto"/>
          <w:highlight w:val="none"/>
        </w:rPr>
      </w:pPr>
      <w:r>
        <w:rPr>
          <w:rFonts w:hint="eastAsia" w:ascii="宋体" w:hAnsi="宋体"/>
          <w:color w:val="auto"/>
          <w:highlight w:val="none"/>
        </w:rPr>
        <w:t>（2）招标项目需求的范围和性质；</w:t>
      </w:r>
    </w:p>
    <w:p w14:paraId="67C68815">
      <w:pPr>
        <w:ind w:firstLine="411" w:firstLineChars="196"/>
        <w:rPr>
          <w:rFonts w:ascii="宋体" w:hAnsi="宋体"/>
          <w:color w:val="auto"/>
          <w:highlight w:val="none"/>
        </w:rPr>
      </w:pPr>
      <w:r>
        <w:rPr>
          <w:rFonts w:hint="eastAsia" w:ascii="宋体" w:hAnsi="宋体"/>
          <w:color w:val="auto"/>
          <w:highlight w:val="none"/>
        </w:rPr>
        <w:t>（3）招标文件规定的投标人的资格、预算金额、商务条款；</w:t>
      </w:r>
    </w:p>
    <w:p w14:paraId="3D15F369">
      <w:pPr>
        <w:ind w:firstLine="411" w:firstLineChars="196"/>
        <w:rPr>
          <w:rFonts w:ascii="宋体" w:hAnsi="宋体"/>
          <w:color w:val="auto"/>
          <w:highlight w:val="none"/>
        </w:rPr>
      </w:pPr>
      <w:r>
        <w:rPr>
          <w:rFonts w:hint="eastAsia" w:ascii="宋体" w:hAnsi="宋体"/>
          <w:color w:val="auto"/>
          <w:highlight w:val="none"/>
        </w:rPr>
        <w:t>（4）招标文件规定的评标程序、评标方法和评标因素；</w:t>
      </w:r>
    </w:p>
    <w:p w14:paraId="349FBCE1">
      <w:pPr>
        <w:ind w:firstLine="411" w:firstLineChars="196"/>
        <w:rPr>
          <w:rFonts w:ascii="宋体" w:hAnsi="宋体"/>
          <w:color w:val="auto"/>
          <w:highlight w:val="none"/>
        </w:rPr>
      </w:pPr>
      <w:r>
        <w:rPr>
          <w:rFonts w:hint="eastAsia" w:ascii="宋体" w:hAnsi="宋体"/>
          <w:color w:val="auto"/>
          <w:highlight w:val="none"/>
        </w:rPr>
        <w:t>（5）招标文件所列示的资格性审查表及符合性审查表。</w:t>
      </w:r>
    </w:p>
    <w:p w14:paraId="639EE72F">
      <w:pPr>
        <w:rPr>
          <w:rFonts w:ascii="黑体" w:hAnsi="宋体" w:eastAsia="黑体"/>
          <w:color w:val="auto"/>
          <w:sz w:val="24"/>
          <w:highlight w:val="none"/>
        </w:rPr>
      </w:pPr>
      <w:r>
        <w:rPr>
          <w:rFonts w:hint="eastAsia" w:ascii="黑体" w:hAnsi="宋体" w:eastAsia="黑体"/>
          <w:color w:val="auto"/>
          <w:sz w:val="24"/>
          <w:highlight w:val="none"/>
        </w:rPr>
        <w:t>31．独立评审</w:t>
      </w:r>
    </w:p>
    <w:p w14:paraId="0B8D4F9D">
      <w:pPr>
        <w:ind w:firstLine="411" w:firstLineChars="196"/>
        <w:rPr>
          <w:rFonts w:hint="eastAsia" w:ascii="宋体" w:hAnsi="宋体"/>
          <w:bCs/>
          <w:color w:val="auto"/>
          <w:highlight w:val="none"/>
        </w:rPr>
      </w:pP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.1</w:t>
      </w:r>
      <w:r>
        <w:rPr>
          <w:rFonts w:hint="eastAsia" w:ascii="宋体" w:hAnsi="宋体"/>
          <w:color w:val="auto"/>
          <w:szCs w:val="21"/>
          <w:highlight w:val="none"/>
        </w:rPr>
        <w:t>评审委员会</w:t>
      </w:r>
      <w:r>
        <w:rPr>
          <w:rFonts w:hint="eastAsia" w:ascii="宋体" w:hAnsi="宋体"/>
          <w:bCs/>
          <w:color w:val="auto"/>
          <w:highlight w:val="none"/>
        </w:rPr>
        <w:t>成员的评标活动应当独立进行，并应遵循投标文件初审、澄清有关问题、比较与评价、确定中标供应商、编写评审报告的工作程序。</w:t>
      </w:r>
    </w:p>
    <w:p w14:paraId="3CA16B63">
      <w:pPr>
        <w:pStyle w:val="2"/>
        <w:rPr>
          <w:color w:val="auto"/>
          <w:highlight w:val="none"/>
        </w:rPr>
      </w:pPr>
    </w:p>
    <w:p w14:paraId="11F810F9">
      <w:pPr>
        <w:pStyle w:val="7"/>
        <w:numPr>
          <w:ilvl w:val="0"/>
          <w:numId w:val="0"/>
        </w:numPr>
        <w:tabs>
          <w:tab w:val="left" w:pos="360"/>
        </w:tabs>
        <w:spacing w:before="120" w:beforeLines="50" w:after="120" w:afterLines="50"/>
        <w:ind w:leftChars="0" w:firstLine="2249" w:firstLineChars="800"/>
        <w:jc w:val="both"/>
        <w:rPr>
          <w:color w:val="auto"/>
          <w:sz w:val="28"/>
          <w:szCs w:val="28"/>
          <w:highlight w:val="none"/>
        </w:rPr>
      </w:pPr>
      <w:r>
        <w:rPr>
          <w:rFonts w:hint="eastAsia"/>
          <w:color w:val="auto"/>
          <w:sz w:val="28"/>
          <w:szCs w:val="28"/>
          <w:highlight w:val="none"/>
          <w:lang w:val="en-US" w:eastAsia="zh-CN"/>
        </w:rPr>
        <w:t xml:space="preserve">第七章  </w:t>
      </w:r>
      <w:r>
        <w:rPr>
          <w:rFonts w:hint="eastAsia"/>
          <w:color w:val="auto"/>
          <w:sz w:val="28"/>
          <w:szCs w:val="28"/>
          <w:highlight w:val="none"/>
        </w:rPr>
        <w:t>评审程序及评审方法</w:t>
      </w:r>
    </w:p>
    <w:p w14:paraId="71AD350F">
      <w:pPr>
        <w:rPr>
          <w:rFonts w:ascii="黑体" w:hAnsi="宋体" w:eastAsia="黑体"/>
          <w:color w:val="auto"/>
          <w:sz w:val="24"/>
          <w:highlight w:val="none"/>
        </w:rPr>
      </w:pPr>
      <w:r>
        <w:rPr>
          <w:rFonts w:hint="eastAsia" w:ascii="黑体" w:hAnsi="宋体" w:eastAsia="黑体"/>
          <w:color w:val="auto"/>
          <w:sz w:val="24"/>
          <w:highlight w:val="none"/>
        </w:rPr>
        <w:t>32．投标文件初审</w:t>
      </w:r>
    </w:p>
    <w:p w14:paraId="1127884F">
      <w:pPr>
        <w:ind w:firstLine="411" w:firstLineChars="196"/>
        <w:rPr>
          <w:rFonts w:ascii="宋体" w:hAnsi="宋体"/>
          <w:color w:val="auto"/>
          <w:highlight w:val="none"/>
        </w:rPr>
      </w:pPr>
      <w:r>
        <w:rPr>
          <w:rFonts w:hint="eastAsia" w:ascii="宋体" w:hAnsi="宋体"/>
          <w:color w:val="auto"/>
          <w:highlight w:val="none"/>
        </w:rPr>
        <w:t>32.1投标文件初审包括资格性审查和符合性审查。</w:t>
      </w:r>
    </w:p>
    <w:p w14:paraId="1AC96102">
      <w:pPr>
        <w:ind w:firstLine="411" w:firstLineChars="196"/>
        <w:rPr>
          <w:rFonts w:ascii="宋体" w:hAnsi="宋体"/>
          <w:color w:val="auto"/>
          <w:highlight w:val="none"/>
        </w:rPr>
      </w:pPr>
      <w:r>
        <w:rPr>
          <w:rFonts w:hint="eastAsia" w:ascii="宋体" w:hAnsi="宋体"/>
          <w:color w:val="auto"/>
          <w:highlight w:val="none"/>
        </w:rPr>
        <w:t>资格性审查：依据法律法规和招标文件的规定，对投标文件中的资格证明等进行审查，以确定投标供应商是否具备投标资格。</w:t>
      </w:r>
    </w:p>
    <w:p w14:paraId="7409B8CA">
      <w:pPr>
        <w:ind w:firstLine="411" w:firstLineChars="196"/>
        <w:rPr>
          <w:rFonts w:ascii="宋体" w:hAnsi="宋体"/>
          <w:color w:val="auto"/>
          <w:highlight w:val="none"/>
        </w:rPr>
      </w:pPr>
      <w:r>
        <w:rPr>
          <w:rFonts w:hint="eastAsia" w:ascii="宋体" w:hAnsi="宋体"/>
          <w:color w:val="auto"/>
          <w:highlight w:val="none"/>
        </w:rPr>
        <w:t>符合性审查：依据招标文件的规定，对投标文件的有效性、完整性和对招标文件的响应程度进行审查，以确定是否满足符合性审查的要求。</w:t>
      </w:r>
    </w:p>
    <w:p w14:paraId="2B898C2D">
      <w:pPr>
        <w:ind w:firstLine="411" w:firstLineChars="196"/>
        <w:rPr>
          <w:rFonts w:ascii="宋体" w:hAnsi="宋体"/>
          <w:color w:val="auto"/>
          <w:highlight w:val="none"/>
        </w:rPr>
      </w:pPr>
      <w:r>
        <w:rPr>
          <w:rFonts w:hint="eastAsia" w:ascii="宋体" w:hAnsi="宋体"/>
          <w:color w:val="auto"/>
          <w:highlight w:val="none"/>
        </w:rPr>
        <w:t>32.2 投标文件初审内容请详见《资格性审查表》和《符合性审查表》部分。投标人若有一条审查不通过则按投标无效处理。</w:t>
      </w:r>
    </w:p>
    <w:p w14:paraId="07FA0129">
      <w:pPr>
        <w:ind w:firstLine="411" w:firstLineChars="196"/>
        <w:rPr>
          <w:rFonts w:ascii="宋体" w:hAnsi="宋体"/>
          <w:bCs/>
          <w:color w:val="auto"/>
          <w:highlight w:val="none"/>
        </w:rPr>
      </w:pPr>
      <w:r>
        <w:rPr>
          <w:rFonts w:hint="eastAsia" w:ascii="宋体" w:hAnsi="宋体"/>
          <w:bCs/>
          <w:color w:val="auto"/>
          <w:highlight w:val="none"/>
        </w:rPr>
        <w:t>32.3 投标文件初审中关于供应商家数的计算:</w:t>
      </w:r>
    </w:p>
    <w:p w14:paraId="10D4A30C">
      <w:pPr>
        <w:ind w:firstLine="411" w:firstLineChars="196"/>
        <w:rPr>
          <w:rFonts w:ascii="宋体" w:hAnsi="宋体"/>
          <w:bCs/>
          <w:color w:val="auto"/>
          <w:highlight w:val="none"/>
        </w:rPr>
      </w:pPr>
      <w:r>
        <w:rPr>
          <w:rFonts w:hint="eastAsia" w:ascii="宋体" w:hAnsi="宋体"/>
          <w:bCs/>
          <w:color w:val="auto"/>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427B021">
      <w:pPr>
        <w:ind w:firstLine="411" w:firstLineChars="196"/>
        <w:rPr>
          <w:rFonts w:ascii="宋体" w:hAnsi="宋体"/>
          <w:bCs/>
          <w:color w:val="auto"/>
          <w:highlight w:val="none"/>
        </w:rPr>
      </w:pPr>
      <w:r>
        <w:rPr>
          <w:rFonts w:hint="eastAsia" w:ascii="宋体" w:hAnsi="宋体"/>
          <w:bCs/>
          <w:color w:val="auto"/>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color w:val="auto"/>
          <w:szCs w:val="21"/>
          <w:highlight w:val="none"/>
        </w:rPr>
        <w:t>评审委员会</w:t>
      </w:r>
      <w:r>
        <w:rPr>
          <w:rFonts w:hint="eastAsia" w:ascii="宋体" w:hAnsi="宋体"/>
          <w:bCs/>
          <w:color w:val="auto"/>
          <w:highlight w:val="none"/>
        </w:rPr>
        <w:t>按照招标文件规定的方式确定一个投标人获得中标人推荐资格，招标文件未规定的采取随机抽取方式确定，其他同品牌投标人不作为中标候选人。</w:t>
      </w:r>
    </w:p>
    <w:p w14:paraId="5BFC41BD">
      <w:pPr>
        <w:ind w:firstLine="411" w:firstLineChars="196"/>
        <w:rPr>
          <w:rFonts w:ascii="宋体" w:hAnsi="宋体"/>
          <w:bCs/>
          <w:color w:val="auto"/>
          <w:highlight w:val="none"/>
        </w:rPr>
      </w:pPr>
      <w:r>
        <w:rPr>
          <w:rFonts w:hint="eastAsia" w:ascii="宋体" w:hAnsi="宋体"/>
          <w:bCs/>
          <w:color w:val="auto"/>
          <w:highlight w:val="none"/>
        </w:rPr>
        <w:t>32.3.3非单一产品采购项目，采购人应当根据采购项目技术构成、产品价格比重等合理确定核心产品，并在招标文件中载明。多家投标人提供的核心产品品牌相同的，按前两款规定处理。</w:t>
      </w:r>
    </w:p>
    <w:p w14:paraId="2C9DF6F4">
      <w:pPr>
        <w:ind w:firstLine="411" w:firstLineChars="196"/>
        <w:rPr>
          <w:rFonts w:ascii="宋体" w:hAnsi="宋体"/>
          <w:color w:val="auto"/>
          <w:highlight w:val="none"/>
        </w:rPr>
      </w:pPr>
      <w:r>
        <w:rPr>
          <w:rFonts w:hint="eastAsia" w:ascii="宋体" w:hAnsi="宋体"/>
          <w:color w:val="auto"/>
          <w:highlight w:val="none"/>
        </w:rPr>
        <w:t>32.4投标人投标文件作无效处理的情形，具体包括但不限于以下：</w:t>
      </w:r>
    </w:p>
    <w:p w14:paraId="646C3AC3">
      <w:pPr>
        <w:ind w:firstLine="411" w:firstLineChars="196"/>
        <w:rPr>
          <w:color w:val="auto"/>
          <w:highlight w:val="none"/>
        </w:rPr>
      </w:pPr>
      <w:r>
        <w:rPr>
          <w:rFonts w:hint="eastAsia" w:ascii="宋体" w:hAnsi="宋体"/>
          <w:color w:val="auto"/>
          <w:highlight w:val="none"/>
        </w:rPr>
        <w:t>32.4.1</w:t>
      </w:r>
      <w:r>
        <w:rPr>
          <w:rFonts w:hint="eastAsia"/>
          <w:color w:val="auto"/>
          <w:highlight w:val="none"/>
        </w:rPr>
        <w:t>不同投标人的投标文件由同一单位或者同一个人编制，或者由同一个人分阶段参与编制；</w:t>
      </w:r>
    </w:p>
    <w:p w14:paraId="7E2CC430">
      <w:pPr>
        <w:ind w:firstLine="411" w:firstLineChars="196"/>
        <w:rPr>
          <w:color w:val="auto"/>
          <w:highlight w:val="none"/>
        </w:rPr>
      </w:pPr>
      <w:r>
        <w:rPr>
          <w:rFonts w:ascii="宋体" w:hAnsi="宋体"/>
          <w:color w:val="auto"/>
          <w:highlight w:val="none"/>
        </w:rPr>
        <w:t>32.4.</w:t>
      </w:r>
      <w:r>
        <w:rPr>
          <w:rFonts w:hint="eastAsia" w:ascii="宋体" w:hAnsi="宋体"/>
          <w:color w:val="auto"/>
          <w:highlight w:val="none"/>
        </w:rPr>
        <w:t>2</w:t>
      </w:r>
      <w:r>
        <w:rPr>
          <w:rFonts w:hint="eastAsia"/>
          <w:color w:val="auto"/>
          <w:highlight w:val="none"/>
        </w:rPr>
        <w:t>不同投标人委托同一单位或者个人办理投标事宜；</w:t>
      </w:r>
    </w:p>
    <w:p w14:paraId="356BF1C8">
      <w:pPr>
        <w:ind w:firstLine="411" w:firstLineChars="196"/>
        <w:rPr>
          <w:rFonts w:ascii="宋体" w:hAnsi="宋体"/>
          <w:color w:val="auto"/>
          <w:highlight w:val="none"/>
        </w:rPr>
      </w:pPr>
      <w:r>
        <w:rPr>
          <w:rFonts w:hint="eastAsia" w:ascii="宋体" w:hAnsi="宋体"/>
          <w:color w:val="auto"/>
          <w:highlight w:val="none"/>
        </w:rPr>
        <w:t>32.4.3不同投标人的投标文件载明的项目管理成员或者联系人员为同一人；</w:t>
      </w:r>
    </w:p>
    <w:p w14:paraId="406B000D">
      <w:pPr>
        <w:ind w:firstLine="411" w:firstLineChars="196"/>
        <w:rPr>
          <w:rFonts w:ascii="宋体" w:hAnsi="宋体"/>
          <w:color w:val="auto"/>
          <w:highlight w:val="none"/>
        </w:rPr>
      </w:pPr>
      <w:r>
        <w:rPr>
          <w:rFonts w:hint="eastAsia" w:ascii="宋体" w:hAnsi="宋体"/>
          <w:color w:val="auto"/>
          <w:highlight w:val="none"/>
        </w:rPr>
        <w:t>32.4.4不同投标人的投标文件异常一致或者投标报价呈规律性差异；</w:t>
      </w:r>
    </w:p>
    <w:p w14:paraId="58F51D02">
      <w:pPr>
        <w:ind w:firstLine="411" w:firstLineChars="196"/>
        <w:rPr>
          <w:rFonts w:ascii="宋体" w:hAnsi="宋体"/>
          <w:color w:val="auto"/>
          <w:highlight w:val="none"/>
        </w:rPr>
      </w:pPr>
      <w:r>
        <w:rPr>
          <w:rFonts w:hint="eastAsia" w:ascii="宋体" w:hAnsi="宋体"/>
          <w:color w:val="auto"/>
          <w:highlight w:val="none"/>
        </w:rPr>
        <w:t>32.4.5</w:t>
      </w:r>
      <w:r>
        <w:rPr>
          <w:rFonts w:ascii="宋体" w:hAnsi="宋体"/>
          <w:color w:val="auto"/>
          <w:highlight w:val="none"/>
        </w:rPr>
        <w:t>不同投标供应商的投标文件或部分投标文件相互混装</w:t>
      </w:r>
      <w:r>
        <w:rPr>
          <w:rFonts w:hint="eastAsia" w:ascii="宋体" w:hAnsi="宋体"/>
          <w:color w:val="auto"/>
          <w:highlight w:val="none"/>
        </w:rPr>
        <w:t>；</w:t>
      </w:r>
    </w:p>
    <w:p w14:paraId="7CDAA545">
      <w:pPr>
        <w:ind w:firstLine="411" w:firstLineChars="196"/>
        <w:rPr>
          <w:rFonts w:ascii="宋体" w:hAnsi="宋体"/>
          <w:color w:val="auto"/>
          <w:highlight w:val="none"/>
        </w:rPr>
      </w:pPr>
      <w:r>
        <w:rPr>
          <w:rFonts w:hint="eastAsia" w:ascii="宋体" w:hAnsi="宋体"/>
          <w:color w:val="auto"/>
          <w:highlight w:val="none"/>
        </w:rPr>
        <w:t>32.4.6投标供应商之间相互约定给予未中标的供应商利益补偿；</w:t>
      </w:r>
    </w:p>
    <w:p w14:paraId="4BCF4ECD">
      <w:pPr>
        <w:ind w:firstLine="411" w:firstLineChars="196"/>
        <w:rPr>
          <w:rFonts w:ascii="宋体" w:hAnsi="宋体"/>
          <w:color w:val="auto"/>
          <w:highlight w:val="none"/>
        </w:rPr>
      </w:pPr>
      <w:r>
        <w:rPr>
          <w:rFonts w:hint="eastAsia" w:ascii="宋体" w:hAnsi="宋体"/>
          <w:color w:val="auto"/>
          <w:highlight w:val="none"/>
        </w:rPr>
        <w:t>32.4.7不同投标供应商的法定代表人、主要经营负责人、项目投标授权代表人、项目负责人、主要技术人员为同一人、属同一单位或者同一单位缴纳社会保险；</w:t>
      </w:r>
    </w:p>
    <w:p w14:paraId="6B846D28">
      <w:pPr>
        <w:ind w:firstLine="411" w:firstLineChars="196"/>
        <w:rPr>
          <w:rFonts w:ascii="宋体" w:hAnsi="宋体"/>
          <w:color w:val="auto"/>
          <w:highlight w:val="none"/>
        </w:rPr>
      </w:pPr>
      <w:r>
        <w:rPr>
          <w:rFonts w:hint="eastAsia" w:ascii="宋体" w:hAnsi="宋体"/>
          <w:color w:val="auto"/>
          <w:highlight w:val="none"/>
        </w:rPr>
        <w:t>32.4.8不同投标供应商的投标文件内容存在非正常一致；</w:t>
      </w:r>
    </w:p>
    <w:p w14:paraId="78677E3F">
      <w:pPr>
        <w:ind w:firstLine="411" w:firstLineChars="196"/>
        <w:rPr>
          <w:rFonts w:ascii="宋体" w:hAnsi="宋体"/>
          <w:color w:val="auto"/>
          <w:highlight w:val="none"/>
        </w:rPr>
      </w:pPr>
      <w:r>
        <w:rPr>
          <w:rFonts w:hint="eastAsia" w:ascii="宋体" w:hAnsi="宋体"/>
          <w:color w:val="auto"/>
          <w:highlight w:val="none"/>
        </w:rPr>
        <w:t>32.4.9在同一单位工作人员为两家以上（含两家）供应商进行同一项投标活动；</w:t>
      </w:r>
    </w:p>
    <w:p w14:paraId="2A459490">
      <w:pPr>
        <w:ind w:firstLine="411" w:firstLineChars="196"/>
        <w:rPr>
          <w:rFonts w:ascii="宋体" w:hAnsi="宋体"/>
          <w:color w:val="auto"/>
          <w:highlight w:val="none"/>
        </w:rPr>
      </w:pPr>
      <w:r>
        <w:rPr>
          <w:rFonts w:hint="eastAsia" w:ascii="宋体" w:hAnsi="宋体"/>
          <w:color w:val="auto"/>
          <w:highlight w:val="none"/>
        </w:rPr>
        <w:t>32.4.10主管部门依照法律、法规认定的其他情形。</w:t>
      </w:r>
    </w:p>
    <w:p w14:paraId="4D8B6D71">
      <w:pPr>
        <w:ind w:firstLine="411" w:firstLineChars="196"/>
        <w:rPr>
          <w:rFonts w:ascii="宋体" w:hAnsi="宋体"/>
          <w:color w:val="auto"/>
          <w:highlight w:val="none"/>
        </w:rPr>
      </w:pPr>
      <w:r>
        <w:rPr>
          <w:rFonts w:hint="eastAsia" w:ascii="宋体" w:hAnsi="宋体"/>
          <w:color w:val="auto"/>
          <w:highlight w:val="none"/>
        </w:rPr>
        <w:t>32.5对不属于《资格性审查表》和《符合性审查表》所列的其他情形，除专用条款另有规定和32.4条款所列情形外，不得作为投标无效的理由。</w:t>
      </w:r>
    </w:p>
    <w:p w14:paraId="783860BE">
      <w:pPr>
        <w:ind w:firstLine="420" w:firstLineChars="200"/>
        <w:rPr>
          <w:rFonts w:ascii="黑体" w:hAnsi="宋体" w:eastAsia="黑体"/>
          <w:color w:val="auto"/>
          <w:sz w:val="24"/>
          <w:highlight w:val="none"/>
        </w:rPr>
      </w:pPr>
      <w:r>
        <w:rPr>
          <w:color w:val="auto"/>
          <w:highlight w:val="none"/>
        </w:rPr>
        <w:t>32.6不同投标人的“文件制作时间”“文件制作机器码”“文件创建标识码”“IP”“上传时间”等信息异常一致的，不得作为投标无效的理由。如出现上述异常情况，应报主管部门处理。</w:t>
      </w:r>
      <w:r>
        <w:rPr>
          <w:rFonts w:hint="eastAsia" w:ascii="黑体" w:hAnsi="宋体" w:eastAsia="黑体"/>
          <w:color w:val="auto"/>
          <w:sz w:val="24"/>
          <w:highlight w:val="none"/>
        </w:rPr>
        <w:t>33．澄清有关问题</w:t>
      </w:r>
    </w:p>
    <w:p w14:paraId="59465918">
      <w:pPr>
        <w:ind w:firstLine="411" w:firstLineChars="196"/>
        <w:rPr>
          <w:rFonts w:ascii="宋体" w:hAnsi="宋体"/>
          <w:color w:val="auto"/>
          <w:highlight w:val="none"/>
        </w:rPr>
      </w:pPr>
      <w:bookmarkStart w:id="93" w:name="_Hlk71407321"/>
      <w:r>
        <w:rPr>
          <w:rFonts w:hint="eastAsia" w:ascii="宋体" w:hAnsi="宋体"/>
          <w:color w:val="auto"/>
          <w:highlight w:val="none"/>
        </w:rPr>
        <w:t>3</w:t>
      </w:r>
      <w:r>
        <w:rPr>
          <w:rFonts w:ascii="宋体" w:hAnsi="宋体"/>
          <w:color w:val="auto"/>
          <w:highlight w:val="none"/>
        </w:rPr>
        <w:t>3.1</w:t>
      </w:r>
      <w:r>
        <w:rPr>
          <w:rFonts w:hint="eastAsia" w:ascii="宋体" w:hAnsi="宋体"/>
          <w:color w:val="auto"/>
          <w:highlight w:val="none"/>
        </w:rPr>
        <w:t>对招标文件中描述有歧义或前后不一致的地方（不含</w:t>
      </w:r>
      <w:r>
        <w:rPr>
          <w:color w:val="auto"/>
          <w:szCs w:val="21"/>
          <w:highlight w:val="none"/>
        </w:rPr>
        <w:t>招标文件存在歧义、重大缺陷导致评</w:t>
      </w:r>
      <w:r>
        <w:rPr>
          <w:rFonts w:hint="eastAsia"/>
          <w:color w:val="auto"/>
          <w:szCs w:val="21"/>
          <w:highlight w:val="none"/>
        </w:rPr>
        <w:t>审</w:t>
      </w:r>
      <w:r>
        <w:rPr>
          <w:color w:val="auto"/>
          <w:szCs w:val="21"/>
          <w:highlight w:val="none"/>
        </w:rPr>
        <w:t>工作无法进行</w:t>
      </w:r>
      <w:r>
        <w:rPr>
          <w:rFonts w:hint="eastAsia"/>
          <w:color w:val="auto"/>
          <w:szCs w:val="21"/>
          <w:highlight w:val="none"/>
        </w:rPr>
        <w:t>的情况）</w:t>
      </w:r>
      <w:r>
        <w:rPr>
          <w:rFonts w:hint="eastAsia" w:ascii="宋体" w:hAnsi="宋体"/>
          <w:color w:val="auto"/>
          <w:highlight w:val="none"/>
        </w:rPr>
        <w:t>，评审委员会有权进行评判，但对同一条款的评判应适用于每个投标人。</w:t>
      </w:r>
      <w:bookmarkEnd w:id="93"/>
    </w:p>
    <w:p w14:paraId="2D4780E2">
      <w:pPr>
        <w:ind w:firstLine="411" w:firstLineChars="196"/>
        <w:rPr>
          <w:rFonts w:ascii="宋体" w:hAnsi="宋体"/>
          <w:color w:val="auto"/>
          <w:highlight w:val="none"/>
        </w:rPr>
      </w:pPr>
      <w:r>
        <w:rPr>
          <w:rFonts w:hint="eastAsia" w:ascii="宋体" w:hAnsi="宋体"/>
          <w:color w:val="auto"/>
          <w:highlight w:val="none"/>
        </w:rPr>
        <w:t>3</w:t>
      </w:r>
      <w:r>
        <w:rPr>
          <w:rFonts w:ascii="宋体" w:hAnsi="宋体"/>
          <w:color w:val="auto"/>
          <w:highlight w:val="none"/>
        </w:rPr>
        <w:t>3.2</w:t>
      </w:r>
      <w:r>
        <w:rPr>
          <w:color w:val="auto"/>
          <w:szCs w:val="21"/>
          <w:highlight w:val="none"/>
        </w:rPr>
        <w:t>评</w:t>
      </w:r>
      <w:r>
        <w:rPr>
          <w:rFonts w:hint="eastAsia"/>
          <w:color w:val="auto"/>
          <w:szCs w:val="21"/>
          <w:highlight w:val="none"/>
        </w:rPr>
        <w:t>审</w:t>
      </w:r>
      <w:r>
        <w:rPr>
          <w:color w:val="auto"/>
          <w:szCs w:val="21"/>
          <w:highlight w:val="none"/>
        </w:rPr>
        <w:t>委员会发现招标文件存在歧义、重大缺陷导致评</w:t>
      </w:r>
      <w:r>
        <w:rPr>
          <w:rFonts w:hint="eastAsia"/>
          <w:color w:val="auto"/>
          <w:szCs w:val="21"/>
          <w:highlight w:val="none"/>
        </w:rPr>
        <w:t>审</w:t>
      </w:r>
      <w:r>
        <w:rPr>
          <w:color w:val="auto"/>
          <w:szCs w:val="21"/>
          <w:highlight w:val="none"/>
        </w:rPr>
        <w:t>工作无法进行，或者招标文件内容违反国家有关强制性规定的，应当停止评</w:t>
      </w:r>
      <w:r>
        <w:rPr>
          <w:rFonts w:hint="eastAsia"/>
          <w:color w:val="auto"/>
          <w:szCs w:val="21"/>
          <w:highlight w:val="none"/>
        </w:rPr>
        <w:t>审</w:t>
      </w:r>
      <w:r>
        <w:rPr>
          <w:color w:val="auto"/>
          <w:szCs w:val="21"/>
          <w:highlight w:val="none"/>
        </w:rPr>
        <w:t>工作，与</w:t>
      </w:r>
      <w:r>
        <w:rPr>
          <w:rFonts w:hint="eastAsia"/>
          <w:color w:val="auto"/>
          <w:szCs w:val="21"/>
          <w:highlight w:val="none"/>
        </w:rPr>
        <w:t>政府集中采购机构</w:t>
      </w:r>
      <w:r>
        <w:rPr>
          <w:color w:val="auto"/>
          <w:szCs w:val="21"/>
          <w:highlight w:val="none"/>
        </w:rPr>
        <w:t>沟通并作书面记录。</w:t>
      </w:r>
      <w:r>
        <w:rPr>
          <w:rFonts w:hint="eastAsia"/>
          <w:color w:val="auto"/>
          <w:szCs w:val="21"/>
          <w:highlight w:val="none"/>
        </w:rPr>
        <w:t>经</w:t>
      </w:r>
      <w:r>
        <w:rPr>
          <w:color w:val="auto"/>
          <w:szCs w:val="21"/>
          <w:highlight w:val="none"/>
        </w:rPr>
        <w:t>确认后，</w:t>
      </w:r>
      <w:r>
        <w:rPr>
          <w:rFonts w:hint="eastAsia"/>
          <w:color w:val="auto"/>
          <w:szCs w:val="21"/>
          <w:highlight w:val="none"/>
        </w:rPr>
        <w:t>项目</w:t>
      </w:r>
      <w:r>
        <w:rPr>
          <w:color w:val="auto"/>
          <w:szCs w:val="21"/>
          <w:highlight w:val="none"/>
        </w:rPr>
        <w:t>应当修改招标文件，重新组织采购活动。</w:t>
      </w:r>
    </w:p>
    <w:p w14:paraId="4F295396">
      <w:pPr>
        <w:ind w:firstLine="411" w:firstLineChars="196"/>
        <w:rPr>
          <w:rFonts w:ascii="宋体" w:hAnsi="宋体"/>
          <w:color w:val="auto"/>
          <w:highlight w:val="none"/>
        </w:rPr>
      </w:pPr>
      <w:r>
        <w:rPr>
          <w:rFonts w:ascii="宋体" w:hAnsi="宋体"/>
          <w:color w:val="auto"/>
          <w:highlight w:val="none"/>
        </w:rPr>
        <w:t>33.3</w:t>
      </w:r>
      <w:r>
        <w:rPr>
          <w:rFonts w:hint="eastAsia" w:ascii="宋体" w:hAnsi="宋体"/>
          <w:color w:val="auto"/>
          <w:highlight w:val="none"/>
        </w:rPr>
        <w:t>对于投标文件中含义不明确、同类问题表述不一致或者有明显文字和计算错误的内容，评审委员会应当以书面形式要求投标人作出必要的澄清、说明或者补正。</w:t>
      </w:r>
    </w:p>
    <w:p w14:paraId="55CE7E35">
      <w:pPr>
        <w:ind w:firstLine="411" w:firstLineChars="196"/>
        <w:rPr>
          <w:rFonts w:ascii="宋体" w:hAnsi="宋体"/>
          <w:color w:val="auto"/>
          <w:highlight w:val="none"/>
        </w:rPr>
      </w:pPr>
      <w:r>
        <w:rPr>
          <w:rFonts w:hint="eastAsia" w:ascii="宋体" w:hAnsi="宋体"/>
          <w:color w:val="auto"/>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FD03579">
      <w:pPr>
        <w:ind w:firstLine="411" w:firstLineChars="196"/>
        <w:rPr>
          <w:rFonts w:ascii="宋体" w:hAnsi="宋体"/>
          <w:color w:val="auto"/>
          <w:szCs w:val="21"/>
          <w:highlight w:val="none"/>
        </w:rPr>
      </w:pPr>
      <w:r>
        <w:rPr>
          <w:rFonts w:hint="eastAsia" w:ascii="宋体" w:hAnsi="宋体"/>
          <w:color w:val="auto"/>
          <w:szCs w:val="21"/>
          <w:highlight w:val="none"/>
        </w:rPr>
        <w:t>根据本通用条款第34条，凡属于评审委员会在评审中发现的算术错误进行核实的修改不在此列。</w:t>
      </w:r>
    </w:p>
    <w:p w14:paraId="323195F5">
      <w:pPr>
        <w:rPr>
          <w:rFonts w:ascii="黑体" w:hAnsi="宋体" w:eastAsia="黑体"/>
          <w:color w:val="auto"/>
          <w:sz w:val="24"/>
          <w:highlight w:val="none"/>
        </w:rPr>
      </w:pPr>
      <w:bookmarkStart w:id="94" w:name="_Toc73518151"/>
      <w:bookmarkStart w:id="95" w:name="_Toc73521669"/>
      <w:bookmarkStart w:id="96" w:name="_Toc73517673"/>
      <w:bookmarkStart w:id="97" w:name="_Toc100052400"/>
      <w:bookmarkStart w:id="98" w:name="_Toc73521581"/>
      <w:r>
        <w:rPr>
          <w:rFonts w:hint="eastAsia" w:ascii="黑体" w:hAnsi="宋体" w:eastAsia="黑体"/>
          <w:color w:val="auto"/>
          <w:sz w:val="24"/>
          <w:highlight w:val="none"/>
        </w:rPr>
        <w:t>34．错误的修正</w:t>
      </w:r>
      <w:bookmarkEnd w:id="94"/>
      <w:bookmarkEnd w:id="95"/>
      <w:bookmarkEnd w:id="96"/>
      <w:bookmarkEnd w:id="97"/>
      <w:bookmarkEnd w:id="98"/>
    </w:p>
    <w:p w14:paraId="0ABB7DDD">
      <w:pPr>
        <w:ind w:firstLine="411" w:firstLineChars="196"/>
        <w:rPr>
          <w:rFonts w:ascii="宋体" w:hAnsi="宋体"/>
          <w:color w:val="auto"/>
          <w:szCs w:val="21"/>
          <w:highlight w:val="none"/>
        </w:rPr>
      </w:pPr>
      <w:r>
        <w:rPr>
          <w:rFonts w:hint="eastAsia" w:ascii="宋体" w:hAnsi="宋体"/>
          <w:color w:val="auto"/>
          <w:szCs w:val="21"/>
          <w:highlight w:val="none"/>
        </w:rPr>
        <w:t>投标文件报价出现前后不一致的，除专用条款另有规定外，按照下列规定修正：</w:t>
      </w:r>
    </w:p>
    <w:p w14:paraId="4C84084E">
      <w:pPr>
        <w:ind w:firstLine="411" w:firstLineChars="196"/>
        <w:rPr>
          <w:rFonts w:ascii="宋体" w:hAnsi="宋体"/>
          <w:color w:val="auto"/>
          <w:szCs w:val="21"/>
          <w:highlight w:val="none"/>
        </w:rPr>
      </w:pPr>
      <w:r>
        <w:rPr>
          <w:rFonts w:hint="eastAsia" w:ascii="宋体" w:hAnsi="宋体"/>
          <w:color w:val="auto"/>
          <w:szCs w:val="21"/>
          <w:highlight w:val="none"/>
        </w:rPr>
        <w:t>34.1投标文件中开标一览表投标报价内容与投标文件中投标报价相应内容不一致的，以开标一览表为准；</w:t>
      </w:r>
    </w:p>
    <w:p w14:paraId="34193E75">
      <w:pPr>
        <w:ind w:firstLine="411" w:firstLineChars="196"/>
        <w:rPr>
          <w:rFonts w:ascii="宋体" w:hAnsi="宋体"/>
          <w:color w:val="auto"/>
          <w:szCs w:val="21"/>
          <w:highlight w:val="none"/>
        </w:rPr>
      </w:pPr>
      <w:r>
        <w:rPr>
          <w:rFonts w:hint="eastAsia" w:ascii="宋体" w:hAnsi="宋体"/>
          <w:color w:val="auto"/>
          <w:szCs w:val="21"/>
          <w:highlight w:val="none"/>
        </w:rPr>
        <w:t>34.2大写金额和小写金额不一致的，以大写金额为准；</w:t>
      </w:r>
    </w:p>
    <w:p w14:paraId="50BE23F0">
      <w:pPr>
        <w:ind w:firstLine="411" w:firstLineChars="196"/>
        <w:rPr>
          <w:rFonts w:ascii="宋体" w:hAnsi="宋体"/>
          <w:color w:val="auto"/>
          <w:szCs w:val="21"/>
          <w:highlight w:val="none"/>
        </w:rPr>
      </w:pPr>
      <w:r>
        <w:rPr>
          <w:rFonts w:hint="eastAsia" w:ascii="宋体" w:hAnsi="宋体"/>
          <w:color w:val="auto"/>
          <w:szCs w:val="21"/>
          <w:highlight w:val="none"/>
        </w:rPr>
        <w:t>34.3单价金额小数点或者百分比有明显错位，以开标一览表的总价为准，并修改单价；</w:t>
      </w:r>
    </w:p>
    <w:p w14:paraId="60F1CDFF">
      <w:pPr>
        <w:ind w:firstLine="411" w:firstLineChars="196"/>
        <w:rPr>
          <w:rFonts w:ascii="宋体" w:hAnsi="宋体"/>
          <w:color w:val="auto"/>
          <w:szCs w:val="21"/>
          <w:highlight w:val="none"/>
        </w:rPr>
      </w:pPr>
      <w:r>
        <w:rPr>
          <w:rFonts w:hint="eastAsia" w:ascii="宋体" w:hAnsi="宋体"/>
          <w:color w:val="auto"/>
          <w:szCs w:val="21"/>
          <w:highlight w:val="none"/>
        </w:rPr>
        <w:t>34.4总价金额与按单价汇总金额不一致的，以单价金额计算结果为准。</w:t>
      </w:r>
    </w:p>
    <w:p w14:paraId="373AA84C">
      <w:pPr>
        <w:ind w:firstLine="411" w:firstLineChars="196"/>
        <w:rPr>
          <w:rFonts w:ascii="宋体" w:hAnsi="宋体"/>
          <w:color w:val="auto"/>
          <w:szCs w:val="21"/>
          <w:highlight w:val="none"/>
        </w:rPr>
      </w:pPr>
      <w:r>
        <w:rPr>
          <w:rFonts w:hint="eastAsia" w:ascii="宋体" w:hAnsi="宋体"/>
          <w:color w:val="auto"/>
          <w:szCs w:val="21"/>
          <w:highlight w:val="none"/>
        </w:rPr>
        <w:t>34.5同时出现两种以上不一致的，按照前款规定的顺序修正。修正后的报价按照本通用条款33条的规定，经投标人确认后产生约束力，投标人不确认的，其投标无效。</w:t>
      </w:r>
    </w:p>
    <w:p w14:paraId="452C82AE">
      <w:pPr>
        <w:rPr>
          <w:rFonts w:ascii="黑体" w:hAnsi="宋体" w:eastAsia="黑体"/>
          <w:color w:val="auto"/>
          <w:sz w:val="24"/>
          <w:highlight w:val="none"/>
        </w:rPr>
      </w:pPr>
      <w:r>
        <w:rPr>
          <w:rFonts w:hint="eastAsia" w:ascii="黑体" w:hAnsi="宋体" w:eastAsia="黑体"/>
          <w:color w:val="auto"/>
          <w:sz w:val="24"/>
          <w:highlight w:val="none"/>
        </w:rPr>
        <w:t>35．投标文件的比较与评价</w:t>
      </w:r>
    </w:p>
    <w:p w14:paraId="1DBDDC52">
      <w:pPr>
        <w:ind w:firstLine="411" w:firstLineChars="196"/>
        <w:rPr>
          <w:rFonts w:ascii="宋体" w:hAnsi="宋体"/>
          <w:color w:val="auto"/>
          <w:szCs w:val="21"/>
          <w:highlight w:val="none"/>
        </w:rPr>
      </w:pPr>
      <w:r>
        <w:rPr>
          <w:rFonts w:hint="eastAsia" w:ascii="宋体" w:hAnsi="宋体"/>
          <w:color w:val="auto"/>
          <w:szCs w:val="21"/>
          <w:highlight w:val="none"/>
        </w:rPr>
        <w:t>评审委员会将按照政府采购法律法规，仅对通过资格性审查和符合性审查的投标文件进行综合比较与评价。</w:t>
      </w:r>
    </w:p>
    <w:p w14:paraId="1BA4E98B">
      <w:pPr>
        <w:ind w:firstLine="411" w:firstLineChars="196"/>
        <w:rPr>
          <w:rFonts w:ascii="宋体" w:hAnsi="宋体"/>
          <w:color w:val="auto"/>
          <w:szCs w:val="21"/>
          <w:highlight w:val="none"/>
        </w:rPr>
      </w:pPr>
      <w:r>
        <w:rPr>
          <w:rFonts w:hint="eastAsia" w:ascii="宋体" w:hAnsi="宋体"/>
          <w:color w:val="auto"/>
          <w:szCs w:val="21"/>
          <w:highlight w:val="none"/>
        </w:rPr>
        <w:t>评审委员会成员对需要共同认定的事项存在争议的，应当按照少数服从多数的原则作出结论。持不同意见的评审委员会成员应当书面作出说明，否则视为无异议。</w:t>
      </w:r>
    </w:p>
    <w:p w14:paraId="19B1AE22">
      <w:pPr>
        <w:rPr>
          <w:rFonts w:ascii="黑体" w:hAnsi="宋体" w:eastAsia="黑体"/>
          <w:color w:val="auto"/>
          <w:sz w:val="24"/>
          <w:highlight w:val="none"/>
        </w:rPr>
      </w:pPr>
      <w:r>
        <w:rPr>
          <w:rFonts w:hint="eastAsia" w:ascii="黑体" w:hAnsi="宋体" w:eastAsia="黑体"/>
          <w:color w:val="auto"/>
          <w:sz w:val="24"/>
          <w:highlight w:val="none"/>
        </w:rPr>
        <w:t>36. 实地考察或资料查验</w:t>
      </w:r>
    </w:p>
    <w:p w14:paraId="140C2568">
      <w:pPr>
        <w:ind w:firstLine="411" w:firstLineChars="196"/>
        <w:rPr>
          <w:rFonts w:ascii="宋体" w:hAnsi="宋体"/>
          <w:color w:val="auto"/>
          <w:szCs w:val="21"/>
          <w:highlight w:val="none"/>
        </w:rPr>
      </w:pPr>
      <w:r>
        <w:rPr>
          <w:rFonts w:hint="eastAsia" w:ascii="宋体" w:hAnsi="宋体"/>
          <w:color w:val="auto"/>
          <w:szCs w:val="21"/>
          <w:highlight w:val="none"/>
        </w:rPr>
        <w:t>36.1在评审过程中，评审委员会有权决定是否对本项目投标人进行实地考察或资料查验（原件）。投标人应随时做好接受实地考察或资料查验的准备。</w:t>
      </w:r>
    </w:p>
    <w:p w14:paraId="49820938">
      <w:pPr>
        <w:rPr>
          <w:rFonts w:ascii="黑体" w:hAnsi="宋体" w:eastAsia="黑体"/>
          <w:color w:val="auto"/>
          <w:sz w:val="24"/>
          <w:highlight w:val="none"/>
        </w:rPr>
      </w:pPr>
      <w:r>
        <w:rPr>
          <w:rFonts w:hint="eastAsia" w:ascii="黑体" w:hAnsi="宋体" w:eastAsia="黑体"/>
          <w:color w:val="auto"/>
          <w:sz w:val="24"/>
          <w:highlight w:val="none"/>
        </w:rPr>
        <w:t>37．评审方法</w:t>
      </w:r>
    </w:p>
    <w:p w14:paraId="5237110E">
      <w:pPr>
        <w:ind w:firstLine="413" w:firstLineChars="196"/>
        <w:rPr>
          <w:rFonts w:ascii="宋体" w:hAnsi="宋体"/>
          <w:b/>
          <w:bCs/>
          <w:color w:val="auto"/>
          <w:szCs w:val="21"/>
          <w:highlight w:val="none"/>
        </w:rPr>
      </w:pPr>
      <w:r>
        <w:rPr>
          <w:rFonts w:hint="eastAsia" w:ascii="宋体" w:hAnsi="宋体"/>
          <w:b/>
          <w:bCs/>
          <w:color w:val="auto"/>
          <w:szCs w:val="21"/>
          <w:highlight w:val="none"/>
        </w:rPr>
        <w:t>37.1.1最低价法</w:t>
      </w:r>
    </w:p>
    <w:p w14:paraId="0FB96C25">
      <w:pPr>
        <w:ind w:firstLine="411" w:firstLineChars="196"/>
        <w:rPr>
          <w:rFonts w:ascii="ˎ̥" w:hAnsi="ˎ̥"/>
          <w:color w:val="auto"/>
          <w:highlight w:val="none"/>
        </w:rPr>
      </w:pPr>
      <w:bookmarkStart w:id="99" w:name="_Hlk72438142"/>
      <w:r>
        <w:rPr>
          <w:rFonts w:ascii="ˎ̥" w:hAnsi="ˎ̥"/>
          <w:color w:val="auto"/>
          <w:highlight w:val="none"/>
        </w:rPr>
        <w:t>最低价法，是指</w:t>
      </w:r>
      <w:r>
        <w:rPr>
          <w:rFonts w:hint="eastAsia" w:ascii="ˎ̥" w:hAnsi="ˎ̥"/>
          <w:color w:val="auto"/>
          <w:highlight w:val="none"/>
        </w:rPr>
        <w:t>完全</w:t>
      </w:r>
      <w:r>
        <w:rPr>
          <w:rFonts w:ascii="ˎ̥" w:hAnsi="ˎ̥"/>
          <w:color w:val="auto"/>
          <w:highlight w:val="none"/>
        </w:rPr>
        <w:t>满足招标文件实质性要求，</w:t>
      </w:r>
      <w:r>
        <w:rPr>
          <w:rFonts w:hint="eastAsia" w:ascii="ˎ̥" w:hAnsi="ˎ̥"/>
          <w:color w:val="auto"/>
          <w:highlight w:val="none"/>
        </w:rPr>
        <w:t>按照报价由低到高的顺序，依据招标文件中规定的数量或者比例推荐候选中标供应商。</w:t>
      </w:r>
    </w:p>
    <w:p w14:paraId="28FE7F67">
      <w:pPr>
        <w:ind w:firstLine="413" w:firstLineChars="196"/>
        <w:rPr>
          <w:rFonts w:ascii="宋体" w:hAnsi="宋体"/>
          <w:b/>
          <w:bCs/>
          <w:color w:val="auto"/>
          <w:szCs w:val="21"/>
          <w:highlight w:val="none"/>
        </w:rPr>
      </w:pPr>
      <w:r>
        <w:rPr>
          <w:rFonts w:hint="eastAsia" w:ascii="宋体" w:hAnsi="宋体"/>
          <w:b/>
          <w:bCs/>
          <w:color w:val="auto"/>
          <w:szCs w:val="21"/>
          <w:highlight w:val="none"/>
        </w:rPr>
        <w:t>37.1.2综合评分法</w:t>
      </w:r>
    </w:p>
    <w:p w14:paraId="159E39C3">
      <w:pPr>
        <w:ind w:firstLine="411" w:firstLineChars="196"/>
        <w:rPr>
          <w:rFonts w:ascii="ˎ̥" w:hAnsi="ˎ̥"/>
          <w:color w:val="auto"/>
          <w:highlight w:val="none"/>
        </w:rPr>
      </w:pPr>
      <w:r>
        <w:rPr>
          <w:rFonts w:ascii="ˎ̥" w:hAnsi="ˎ̥"/>
          <w:color w:val="auto"/>
          <w:highlight w:val="none"/>
        </w:rPr>
        <w:t>综合评分法，是指</w:t>
      </w:r>
      <w:r>
        <w:rPr>
          <w:rFonts w:hint="eastAsia" w:ascii="ˎ̥" w:hAnsi="ˎ̥"/>
          <w:color w:val="auto"/>
          <w:highlight w:val="none"/>
        </w:rPr>
        <w:t>在</w:t>
      </w:r>
      <w:r>
        <w:rPr>
          <w:rFonts w:ascii="ˎ̥" w:hAnsi="ˎ̥"/>
          <w:color w:val="auto"/>
          <w:highlight w:val="none"/>
        </w:rPr>
        <w:t>满足招标文件全部实质性要求</w:t>
      </w:r>
      <w:r>
        <w:rPr>
          <w:rFonts w:hint="eastAsia" w:ascii="ˎ̥" w:hAnsi="ˎ̥"/>
          <w:color w:val="auto"/>
          <w:highlight w:val="none"/>
        </w:rPr>
        <w:t>的前提下</w:t>
      </w:r>
      <w:r>
        <w:rPr>
          <w:rFonts w:ascii="ˎ̥" w:hAnsi="ˎ̥"/>
          <w:color w:val="auto"/>
          <w:highlight w:val="none"/>
        </w:rPr>
        <w:t>，</w:t>
      </w:r>
      <w:r>
        <w:rPr>
          <w:rFonts w:hint="eastAsia" w:ascii="ˎ̥" w:hAnsi="ˎ̥"/>
          <w:color w:val="auto"/>
          <w:highlight w:val="none"/>
        </w:rPr>
        <w:t>按照招标文件中规定的各项因素进行综合评审，评审总得分排名前列的投标人，作为推荐的候选中标供应商。</w:t>
      </w:r>
      <w:bookmarkEnd w:id="99"/>
    </w:p>
    <w:p w14:paraId="0C155423">
      <w:pPr>
        <w:ind w:firstLine="413" w:firstLineChars="196"/>
        <w:rPr>
          <w:rFonts w:ascii="宋体" w:hAnsi="宋体"/>
          <w:b/>
          <w:bCs/>
          <w:color w:val="auto"/>
          <w:szCs w:val="21"/>
          <w:highlight w:val="none"/>
        </w:rPr>
      </w:pPr>
      <w:r>
        <w:rPr>
          <w:rFonts w:hint="eastAsia" w:ascii="宋体" w:hAnsi="宋体"/>
          <w:b/>
          <w:bCs/>
          <w:color w:val="auto"/>
          <w:szCs w:val="21"/>
          <w:highlight w:val="none"/>
        </w:rPr>
        <w:t>37.2 本项目采用的评审方法见本项目招标文件第一册“专用条款”的相关内容。</w:t>
      </w:r>
    </w:p>
    <w:p w14:paraId="23180A61">
      <w:pPr>
        <w:ind w:firstLine="413" w:firstLineChars="196"/>
        <w:rPr>
          <w:rFonts w:ascii="宋体" w:hAnsi="宋体"/>
          <w:b/>
          <w:bCs/>
          <w:color w:val="auto"/>
          <w:szCs w:val="21"/>
          <w:highlight w:val="none"/>
        </w:rPr>
      </w:pPr>
      <w:r>
        <w:rPr>
          <w:rFonts w:hint="eastAsia" w:ascii="宋体" w:hAnsi="宋体"/>
          <w:b/>
          <w:bCs/>
          <w:color w:val="auto"/>
          <w:szCs w:val="21"/>
          <w:highlight w:val="none"/>
        </w:rPr>
        <w:t>37.3重新评审的情形</w:t>
      </w:r>
    </w:p>
    <w:p w14:paraId="0374353D">
      <w:pPr>
        <w:ind w:firstLine="411" w:firstLineChars="196"/>
        <w:rPr>
          <w:rFonts w:ascii="宋体" w:hAnsi="宋体"/>
          <w:b/>
          <w:bCs/>
          <w:color w:val="auto"/>
          <w:szCs w:val="21"/>
          <w:highlight w:val="none"/>
        </w:rPr>
      </w:pPr>
      <w:r>
        <w:rPr>
          <w:rFonts w:hint="eastAsia" w:ascii="宋体" w:hAnsi="宋体" w:cs="宋体"/>
          <w:color w:val="auto"/>
          <w:kern w:val="0"/>
          <w:szCs w:val="21"/>
          <w:highlight w:val="none"/>
        </w:rPr>
        <w:t>评审结果汇总完成后，除下列情形外，任何人不得修改评审结果：</w:t>
      </w:r>
    </w:p>
    <w:p w14:paraId="1653CE20">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37.3.1分值汇总计算错误的；</w:t>
      </w:r>
    </w:p>
    <w:p w14:paraId="4906F881">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37.3.2分项评分超出评分标准范围的；</w:t>
      </w:r>
    </w:p>
    <w:p w14:paraId="42CA98B9">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37.3.3评审委员会成员对客观评审因素评分不一致的；</w:t>
      </w:r>
    </w:p>
    <w:p w14:paraId="36B94302">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37.3.4经评审委员会认定评分畸高、畸低的。</w:t>
      </w:r>
    </w:p>
    <w:p w14:paraId="43AD217E">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1901816">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投标人对本条第一款情形提出质疑的，采购人或者采购代理机构可以组织原评审委员会进行重新评审，重新评审改变评审结果的，应当书面报告本级财政部门。</w:t>
      </w:r>
    </w:p>
    <w:p w14:paraId="23AD32E0">
      <w:pPr>
        <w:ind w:firstLine="413" w:firstLineChars="196"/>
        <w:rPr>
          <w:rFonts w:ascii="宋体" w:hAnsi="宋体"/>
          <w:b/>
          <w:bCs/>
          <w:color w:val="auto"/>
          <w:szCs w:val="21"/>
          <w:highlight w:val="none"/>
        </w:rPr>
      </w:pPr>
      <w:r>
        <w:rPr>
          <w:rFonts w:hint="eastAsia" w:ascii="宋体" w:hAnsi="宋体"/>
          <w:b/>
          <w:bCs/>
          <w:color w:val="auto"/>
          <w:szCs w:val="21"/>
          <w:highlight w:val="none"/>
        </w:rPr>
        <w:t xml:space="preserve"> 37.4重新组建评审委员会的情形</w:t>
      </w:r>
    </w:p>
    <w:p w14:paraId="03F6E307">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评审委员会或者其成员存在下列情形导致评审结果无效的，重新组建评审委员会进行评标，并书面报告本级财政部门：</w:t>
      </w:r>
    </w:p>
    <w:p w14:paraId="7F9F0675">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37.4.1评审委员会组成不符合《政府采购货物和服务招标投标管理办法》规定的；</w:t>
      </w:r>
    </w:p>
    <w:p w14:paraId="26CCBF4E">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37.4.2有《政府采购货物和服务招标投标管理办法》第六十二条第一至五项情形的；</w:t>
      </w:r>
    </w:p>
    <w:p w14:paraId="20681E08">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37.4.3评审委员会及其成员独立评标受到非法干预的；</w:t>
      </w:r>
    </w:p>
    <w:p w14:paraId="0FD5ED0C">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37.4.4有政府采购法实施条例第七十五条规定的违法行为的。</w:t>
      </w:r>
    </w:p>
    <w:p w14:paraId="34B83D7C">
      <w:pPr>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有违法违规行为的原评审委员会成员不得参加重新组建的评审委员会。</w:t>
      </w:r>
    </w:p>
    <w:p w14:paraId="661EE4FA">
      <w:pPr>
        <w:pStyle w:val="7"/>
        <w:numPr>
          <w:ilvl w:val="0"/>
          <w:numId w:val="0"/>
        </w:numPr>
        <w:tabs>
          <w:tab w:val="left" w:pos="360"/>
        </w:tabs>
        <w:spacing w:before="120" w:beforeLines="50" w:after="120" w:afterLines="50"/>
        <w:ind w:leftChars="0" w:firstLine="2530" w:firstLineChars="900"/>
        <w:jc w:val="both"/>
        <w:rPr>
          <w:color w:val="auto"/>
          <w:sz w:val="28"/>
          <w:szCs w:val="28"/>
          <w:highlight w:val="none"/>
        </w:rPr>
      </w:pPr>
      <w:r>
        <w:rPr>
          <w:rFonts w:hint="eastAsia"/>
          <w:color w:val="auto"/>
          <w:sz w:val="28"/>
          <w:szCs w:val="28"/>
          <w:highlight w:val="none"/>
          <w:lang w:val="en-US" w:eastAsia="zh-CN"/>
        </w:rPr>
        <w:t xml:space="preserve">第八章  </w:t>
      </w:r>
      <w:r>
        <w:rPr>
          <w:rFonts w:hint="eastAsia"/>
          <w:color w:val="auto"/>
          <w:sz w:val="28"/>
          <w:szCs w:val="28"/>
          <w:highlight w:val="none"/>
        </w:rPr>
        <w:t>定标及公示</w:t>
      </w:r>
    </w:p>
    <w:p w14:paraId="2585BE17">
      <w:pPr>
        <w:rPr>
          <w:rFonts w:ascii="黑体" w:hAnsi="宋体" w:eastAsia="黑体"/>
          <w:color w:val="auto"/>
          <w:sz w:val="24"/>
          <w:highlight w:val="none"/>
        </w:rPr>
      </w:pPr>
      <w:r>
        <w:rPr>
          <w:rFonts w:hint="eastAsia" w:ascii="黑体" w:hAnsi="宋体" w:eastAsia="黑体"/>
          <w:color w:val="auto"/>
          <w:sz w:val="24"/>
          <w:highlight w:val="none"/>
        </w:rPr>
        <w:t>38．定标方法</w:t>
      </w:r>
    </w:p>
    <w:p w14:paraId="31A66625">
      <w:pPr>
        <w:ind w:firstLine="411" w:firstLineChars="196"/>
        <w:rPr>
          <w:rFonts w:ascii="宋体" w:hAnsi="宋体"/>
          <w:color w:val="auto"/>
          <w:szCs w:val="21"/>
          <w:highlight w:val="none"/>
        </w:rPr>
      </w:pPr>
      <w:bookmarkStart w:id="100" w:name="_Hlk73782795"/>
      <w:r>
        <w:rPr>
          <w:rFonts w:hint="eastAsia" w:ascii="宋体" w:hAnsi="宋体"/>
          <w:color w:val="auto"/>
          <w:szCs w:val="21"/>
          <w:highlight w:val="none"/>
        </w:rPr>
        <w:t>38.1非评定分离项目定标方法</w:t>
      </w:r>
    </w:p>
    <w:p w14:paraId="30CDEAE1">
      <w:pPr>
        <w:ind w:firstLine="411" w:firstLineChars="196"/>
        <w:rPr>
          <w:rFonts w:ascii="宋体" w:hAnsi="宋体"/>
          <w:color w:val="auto"/>
          <w:szCs w:val="21"/>
          <w:highlight w:val="none"/>
        </w:rPr>
      </w:pPr>
      <w:r>
        <w:rPr>
          <w:rFonts w:hint="eastAsia" w:ascii="宋体" w:hAnsi="宋体"/>
          <w:color w:val="auto"/>
          <w:szCs w:val="21"/>
          <w:highlight w:val="none"/>
        </w:rPr>
        <w:t>38</w:t>
      </w:r>
      <w:r>
        <w:rPr>
          <w:rFonts w:ascii="宋体" w:hAnsi="宋体"/>
          <w:color w:val="auto"/>
          <w:szCs w:val="21"/>
          <w:highlight w:val="none"/>
        </w:rPr>
        <w:t>.</w:t>
      </w:r>
      <w:r>
        <w:rPr>
          <w:rFonts w:hint="eastAsia" w:ascii="宋体" w:hAnsi="宋体"/>
          <w:color w:val="auto"/>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03C9A2FA">
      <w:pPr>
        <w:ind w:firstLine="411" w:firstLineChars="196"/>
        <w:rPr>
          <w:rFonts w:ascii="ˎ̥" w:hAnsi="ˎ̥"/>
          <w:color w:val="auto"/>
          <w:highlight w:val="none"/>
        </w:rPr>
      </w:pPr>
      <w:r>
        <w:rPr>
          <w:rFonts w:hint="eastAsia" w:ascii="宋体" w:hAnsi="宋体"/>
          <w:color w:val="auto"/>
          <w:szCs w:val="21"/>
          <w:highlight w:val="none"/>
        </w:rPr>
        <w:t>38</w:t>
      </w:r>
      <w:r>
        <w:rPr>
          <w:rFonts w:ascii="宋体" w:hAnsi="宋体"/>
          <w:color w:val="auto"/>
          <w:szCs w:val="21"/>
          <w:highlight w:val="none"/>
        </w:rPr>
        <w:t>.</w:t>
      </w:r>
      <w:r>
        <w:rPr>
          <w:rFonts w:hint="eastAsia" w:ascii="宋体" w:hAnsi="宋体"/>
          <w:color w:val="auto"/>
          <w:szCs w:val="21"/>
          <w:highlight w:val="none"/>
        </w:rPr>
        <w:t>1.2</w:t>
      </w:r>
      <w:r>
        <w:rPr>
          <w:rFonts w:ascii="ˎ̥" w:hAnsi="ˎ̥"/>
          <w:color w:val="auto"/>
          <w:highlight w:val="none"/>
        </w:rPr>
        <w:t>采用最低价法的，评</w:t>
      </w:r>
      <w:r>
        <w:rPr>
          <w:rFonts w:hint="eastAsia" w:ascii="ˎ̥" w:hAnsi="ˎ̥"/>
          <w:color w:val="auto"/>
          <w:highlight w:val="none"/>
        </w:rPr>
        <w:t>审</w:t>
      </w:r>
      <w:r>
        <w:rPr>
          <w:rFonts w:ascii="ˎ̥" w:hAnsi="ˎ̥"/>
          <w:color w:val="auto"/>
          <w:highlight w:val="none"/>
        </w:rPr>
        <w:t>结果按投标报价由低到高顺序排列。投标报价相同的并列。投标文件满足招标文件全部实质性要求且投标报价最低的</w:t>
      </w:r>
      <w:r>
        <w:rPr>
          <w:rFonts w:hint="eastAsia" w:ascii="ˎ̥" w:hAnsi="ˎ̥"/>
          <w:color w:val="auto"/>
          <w:highlight w:val="none"/>
        </w:rPr>
        <w:t>投标人为</w:t>
      </w:r>
      <w:bookmarkStart w:id="101" w:name="_Hlk73821177"/>
      <w:r>
        <w:rPr>
          <w:rFonts w:hint="eastAsia" w:ascii="ˎ̥" w:hAnsi="ˎ̥"/>
          <w:color w:val="auto"/>
          <w:highlight w:val="none"/>
        </w:rPr>
        <w:t>中标供应商</w:t>
      </w:r>
      <w:r>
        <w:rPr>
          <w:rFonts w:ascii="ˎ̥" w:hAnsi="ˎ̥"/>
          <w:color w:val="auto"/>
          <w:highlight w:val="none"/>
        </w:rPr>
        <w:t>（</w:t>
      </w:r>
      <w:r>
        <w:rPr>
          <w:rFonts w:hint="eastAsia" w:ascii="ˎ̥" w:hAnsi="ˎ̥"/>
          <w:color w:val="auto"/>
          <w:highlight w:val="none"/>
        </w:rPr>
        <w:t>排名</w:t>
      </w:r>
      <w:r>
        <w:rPr>
          <w:rFonts w:ascii="ˎ̥" w:hAnsi="ˎ̥"/>
          <w:color w:val="auto"/>
          <w:highlight w:val="none"/>
        </w:rPr>
        <w:t>第二</w:t>
      </w:r>
      <w:r>
        <w:rPr>
          <w:rFonts w:hint="eastAsia" w:ascii="ˎ̥" w:hAnsi="ˎ̥"/>
          <w:color w:val="auto"/>
          <w:highlight w:val="none"/>
        </w:rPr>
        <w:t>的投标人为第一替补中标候选人、排名</w:t>
      </w:r>
      <w:r>
        <w:rPr>
          <w:rFonts w:ascii="ˎ̥" w:hAnsi="ˎ̥"/>
          <w:color w:val="auto"/>
          <w:highlight w:val="none"/>
        </w:rPr>
        <w:t>第</w:t>
      </w:r>
      <w:r>
        <w:rPr>
          <w:rFonts w:hint="eastAsia" w:ascii="ˎ̥" w:hAnsi="ˎ̥"/>
          <w:color w:val="auto"/>
          <w:highlight w:val="none"/>
        </w:rPr>
        <w:t>三的投标人为第二替补中标候选人</w:t>
      </w:r>
      <w:bookmarkEnd w:id="101"/>
      <w:r>
        <w:rPr>
          <w:rFonts w:ascii="ˎ̥" w:hAnsi="ˎ̥"/>
          <w:color w:val="auto"/>
          <w:highlight w:val="none"/>
        </w:rPr>
        <w:t>）。</w:t>
      </w:r>
    </w:p>
    <w:p w14:paraId="6C7DB04D">
      <w:pPr>
        <w:ind w:firstLine="411" w:firstLineChars="196"/>
        <w:rPr>
          <w:rFonts w:ascii="ˎ̥" w:hAnsi="ˎ̥"/>
          <w:color w:val="auto"/>
          <w:highlight w:val="none"/>
        </w:rPr>
      </w:pPr>
      <w:r>
        <w:rPr>
          <w:rFonts w:hint="eastAsia" w:ascii="宋体" w:hAnsi="宋体"/>
          <w:color w:val="auto"/>
          <w:szCs w:val="21"/>
          <w:highlight w:val="none"/>
        </w:rPr>
        <w:t>38</w:t>
      </w:r>
      <w:r>
        <w:rPr>
          <w:rFonts w:ascii="宋体" w:hAnsi="宋体"/>
          <w:color w:val="auto"/>
          <w:szCs w:val="21"/>
          <w:highlight w:val="none"/>
        </w:rPr>
        <w:t>.</w:t>
      </w:r>
      <w:r>
        <w:rPr>
          <w:rFonts w:hint="eastAsia" w:ascii="宋体" w:hAnsi="宋体"/>
          <w:color w:val="auto"/>
          <w:szCs w:val="21"/>
          <w:highlight w:val="none"/>
        </w:rPr>
        <w:t>1.3</w:t>
      </w:r>
      <w:r>
        <w:rPr>
          <w:rFonts w:ascii="宋体" w:hAnsi="宋体"/>
          <w:color w:val="auto"/>
          <w:szCs w:val="21"/>
          <w:highlight w:val="none"/>
        </w:rPr>
        <w:t>采</w:t>
      </w:r>
      <w:r>
        <w:rPr>
          <w:rFonts w:ascii="ˎ̥" w:hAnsi="ˎ̥"/>
          <w:color w:val="auto"/>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color w:val="auto"/>
          <w:highlight w:val="none"/>
        </w:rPr>
        <w:t>为中标供应商</w:t>
      </w:r>
      <w:r>
        <w:rPr>
          <w:rFonts w:ascii="ˎ̥" w:hAnsi="ˎ̥"/>
          <w:color w:val="auto"/>
          <w:highlight w:val="none"/>
        </w:rPr>
        <w:t>（</w:t>
      </w:r>
      <w:r>
        <w:rPr>
          <w:rFonts w:hint="eastAsia" w:ascii="ˎ̥" w:hAnsi="ˎ̥"/>
          <w:color w:val="auto"/>
          <w:highlight w:val="none"/>
        </w:rPr>
        <w:t>排名</w:t>
      </w:r>
      <w:r>
        <w:rPr>
          <w:rFonts w:ascii="ˎ̥" w:hAnsi="ˎ̥"/>
          <w:color w:val="auto"/>
          <w:highlight w:val="none"/>
        </w:rPr>
        <w:t>第二</w:t>
      </w:r>
      <w:r>
        <w:rPr>
          <w:rFonts w:hint="eastAsia" w:ascii="ˎ̥" w:hAnsi="ˎ̥"/>
          <w:color w:val="auto"/>
          <w:highlight w:val="none"/>
        </w:rPr>
        <w:t>的投标人为第一替补中标候选人、排名</w:t>
      </w:r>
      <w:r>
        <w:rPr>
          <w:rFonts w:ascii="ˎ̥" w:hAnsi="ˎ̥"/>
          <w:color w:val="auto"/>
          <w:highlight w:val="none"/>
        </w:rPr>
        <w:t>第</w:t>
      </w:r>
      <w:r>
        <w:rPr>
          <w:rFonts w:hint="eastAsia" w:ascii="ˎ̥" w:hAnsi="ˎ̥"/>
          <w:color w:val="auto"/>
          <w:highlight w:val="none"/>
        </w:rPr>
        <w:t>三的投标人为第二替补中标候选人</w:t>
      </w:r>
      <w:r>
        <w:rPr>
          <w:rFonts w:ascii="ˎ̥" w:hAnsi="ˎ̥"/>
          <w:color w:val="auto"/>
          <w:highlight w:val="none"/>
        </w:rPr>
        <w:t>）。</w:t>
      </w:r>
      <w:r>
        <w:rPr>
          <w:rFonts w:hint="eastAsia" w:ascii="ˎ̥" w:hAnsi="ˎ̥"/>
          <w:color w:val="auto"/>
          <w:highlight w:val="none"/>
        </w:rPr>
        <w:t>出现</w:t>
      </w:r>
      <w:r>
        <w:rPr>
          <w:rFonts w:ascii="ˎ̥" w:hAnsi="ˎ̥"/>
          <w:color w:val="auto"/>
          <w:highlight w:val="none"/>
        </w:rPr>
        <w:t>得分且投标报价相同的并列</w:t>
      </w:r>
      <w:r>
        <w:rPr>
          <w:rFonts w:hint="eastAsia" w:ascii="ˎ̥" w:hAnsi="ˎ̥"/>
          <w:color w:val="auto"/>
          <w:highlight w:val="none"/>
        </w:rPr>
        <w:t>情况时，采取随机抽取的方式确定，具体操作办法及流程由评审委员会确定。</w:t>
      </w:r>
    </w:p>
    <w:p w14:paraId="07524DDF">
      <w:pPr>
        <w:ind w:firstLine="411" w:firstLineChars="196"/>
        <w:rPr>
          <w:rFonts w:ascii="宋体" w:hAnsi="宋体"/>
          <w:color w:val="auto"/>
          <w:szCs w:val="21"/>
          <w:highlight w:val="none"/>
        </w:rPr>
      </w:pPr>
      <w:r>
        <w:rPr>
          <w:rFonts w:hint="eastAsia" w:ascii="宋体" w:hAnsi="宋体"/>
          <w:color w:val="auto"/>
          <w:szCs w:val="21"/>
          <w:highlight w:val="none"/>
        </w:rPr>
        <w:t>38.2评定分离项目定标方法</w:t>
      </w:r>
    </w:p>
    <w:p w14:paraId="54771FA8">
      <w:pPr>
        <w:ind w:firstLine="411" w:firstLineChars="196"/>
        <w:rPr>
          <w:rFonts w:ascii="宋体" w:hAnsi="宋体"/>
          <w:color w:val="auto"/>
          <w:szCs w:val="21"/>
          <w:highlight w:val="none"/>
        </w:rPr>
      </w:pPr>
      <w:r>
        <w:rPr>
          <w:rFonts w:hint="eastAsia" w:ascii="宋体" w:hAnsi="宋体"/>
          <w:color w:val="auto"/>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6A0CADC">
      <w:pPr>
        <w:ind w:firstLine="411" w:firstLineChars="196"/>
        <w:rPr>
          <w:color w:val="auto"/>
          <w:highlight w:val="none"/>
        </w:rPr>
      </w:pPr>
      <w:r>
        <w:rPr>
          <w:rFonts w:ascii="宋体" w:hAnsi="宋体"/>
          <w:color w:val="auto"/>
          <w:szCs w:val="21"/>
          <w:highlight w:val="none"/>
        </w:rPr>
        <w:t xml:space="preserve">38.2.2 </w:t>
      </w:r>
      <w:bookmarkStart w:id="102" w:name="_Hlk71469733"/>
      <w:r>
        <w:rPr>
          <w:color w:val="auto"/>
          <w:highlight w:val="none"/>
        </w:rPr>
        <w:t>适用评定分离的政府采购项目，采用综合评分法评</w:t>
      </w:r>
      <w:r>
        <w:rPr>
          <w:rFonts w:hint="eastAsia"/>
          <w:color w:val="auto"/>
          <w:highlight w:val="none"/>
        </w:rPr>
        <w:t>审。</w:t>
      </w:r>
      <w:r>
        <w:rPr>
          <w:rFonts w:hint="eastAsia" w:ascii="宋体" w:hAnsi="宋体"/>
          <w:color w:val="auto"/>
          <w:szCs w:val="21"/>
          <w:highlight w:val="none"/>
        </w:rPr>
        <w:t>评审委员会按照评审结果，推荐</w:t>
      </w:r>
      <w:r>
        <w:rPr>
          <w:color w:val="auto"/>
          <w:highlight w:val="none"/>
        </w:rPr>
        <w:t>三个合格的候选中标供应商。</w:t>
      </w:r>
    </w:p>
    <w:p w14:paraId="6C909900">
      <w:pPr>
        <w:ind w:firstLine="411" w:firstLineChars="196"/>
        <w:rPr>
          <w:rFonts w:ascii="宋体" w:hAnsi="宋体"/>
          <w:color w:val="auto"/>
          <w:szCs w:val="21"/>
          <w:highlight w:val="none"/>
        </w:rPr>
      </w:pPr>
      <w:r>
        <w:rPr>
          <w:rFonts w:hint="eastAsia" w:ascii="宋体" w:hAnsi="宋体"/>
          <w:color w:val="auto"/>
          <w:szCs w:val="21"/>
          <w:highlight w:val="none"/>
        </w:rPr>
        <w:t>38.2.3</w:t>
      </w:r>
      <w:bookmarkStart w:id="103" w:name="_Hlk71469688"/>
      <w:r>
        <w:rPr>
          <w:color w:val="auto"/>
          <w:highlight w:val="none"/>
        </w:rPr>
        <w:t>适用评定分离的政府采购项目，</w:t>
      </w:r>
      <w:r>
        <w:rPr>
          <w:rFonts w:hint="eastAsia" w:ascii="宋体" w:hAnsi="宋体"/>
          <w:color w:val="auto"/>
          <w:szCs w:val="21"/>
          <w:highlight w:val="none"/>
        </w:rPr>
        <w:t>按照自定法确定中标供应商：自定法是指采购人组织定标委员会，由定标委员会在三家候选中标供应商中确定中标供应商。</w:t>
      </w:r>
      <w:bookmarkEnd w:id="102"/>
      <w:bookmarkEnd w:id="103"/>
    </w:p>
    <w:p w14:paraId="107B0D64">
      <w:pPr>
        <w:ind w:firstLine="411" w:firstLineChars="196"/>
        <w:rPr>
          <w:rFonts w:ascii="宋体" w:hAnsi="宋体"/>
          <w:color w:val="auto"/>
          <w:szCs w:val="21"/>
          <w:highlight w:val="none"/>
        </w:rPr>
      </w:pPr>
      <w:r>
        <w:rPr>
          <w:rFonts w:ascii="宋体" w:hAnsi="宋体"/>
          <w:color w:val="auto"/>
          <w:szCs w:val="21"/>
          <w:highlight w:val="none"/>
        </w:rPr>
        <w:t>38.2.4</w:t>
      </w:r>
      <w:r>
        <w:rPr>
          <w:rFonts w:hint="eastAsia" w:ascii="宋体" w:hAnsi="宋体"/>
          <w:color w:val="auto"/>
          <w:szCs w:val="21"/>
          <w:highlight w:val="none"/>
        </w:rPr>
        <w:t>政府集中采购机构</w:t>
      </w:r>
      <w:r>
        <w:rPr>
          <w:color w:val="auto"/>
          <w:highlight w:val="none"/>
        </w:rPr>
        <w:t>应当自评审结束之日起两个工作日内将候选中标供应商名单及其投标文件、评审报告送交采购人</w:t>
      </w:r>
      <w:r>
        <w:rPr>
          <w:rFonts w:hint="eastAsia" w:ascii="宋体" w:hAnsi="宋体"/>
          <w:color w:val="auto"/>
          <w:szCs w:val="21"/>
          <w:highlight w:val="none"/>
        </w:rPr>
        <w:t>。</w:t>
      </w:r>
      <w:r>
        <w:rPr>
          <w:color w:val="auto"/>
          <w:highlight w:val="none"/>
        </w:rPr>
        <w:t>采购人应当安排专人对定标过程进行书面记录，形成定标报告，作为采购文件的组成部分存档，并及时将定标结果反馈</w:t>
      </w:r>
      <w:r>
        <w:rPr>
          <w:rFonts w:hint="eastAsia"/>
          <w:color w:val="auto"/>
          <w:highlight w:val="none"/>
        </w:rPr>
        <w:t>政府集中采购机构。</w:t>
      </w:r>
      <w:r>
        <w:rPr>
          <w:rFonts w:hint="eastAsia" w:ascii="宋体" w:hAnsi="宋体"/>
          <w:color w:val="auto"/>
          <w:szCs w:val="21"/>
          <w:highlight w:val="none"/>
        </w:rPr>
        <w:t>说明：采购人及投标供应商应按照上述方法提前做好相关准备。</w:t>
      </w:r>
    </w:p>
    <w:p w14:paraId="7E83EF02">
      <w:pPr>
        <w:ind w:firstLine="411" w:firstLineChars="196"/>
        <w:rPr>
          <w:rFonts w:ascii="宋体" w:hAnsi="宋体"/>
          <w:color w:val="auto"/>
          <w:szCs w:val="21"/>
          <w:highlight w:val="none"/>
        </w:rPr>
      </w:pPr>
      <w:r>
        <w:rPr>
          <w:rFonts w:hint="eastAsia" w:ascii="宋体" w:hAnsi="宋体"/>
          <w:color w:val="auto"/>
          <w:szCs w:val="21"/>
          <w:highlight w:val="none"/>
        </w:rPr>
        <w:t>38.3专用条款另有规定的，按专用条款相关要求定标。</w:t>
      </w:r>
      <w:bookmarkEnd w:id="100"/>
    </w:p>
    <w:p w14:paraId="3D6BB731">
      <w:pPr>
        <w:rPr>
          <w:rFonts w:ascii="黑体" w:hAnsi="宋体" w:eastAsia="黑体"/>
          <w:color w:val="auto"/>
          <w:sz w:val="24"/>
          <w:highlight w:val="none"/>
        </w:rPr>
      </w:pPr>
      <w:r>
        <w:rPr>
          <w:rFonts w:hint="eastAsia" w:ascii="黑体" w:hAnsi="宋体" w:eastAsia="黑体"/>
          <w:color w:val="auto"/>
          <w:sz w:val="24"/>
          <w:highlight w:val="none"/>
        </w:rPr>
        <w:t>39．编写评审报告</w:t>
      </w:r>
    </w:p>
    <w:p w14:paraId="3599E5DA">
      <w:pPr>
        <w:ind w:firstLine="411" w:firstLineChars="196"/>
        <w:rPr>
          <w:rFonts w:ascii="宋体" w:hAnsi="宋体"/>
          <w:color w:val="auto"/>
          <w:szCs w:val="21"/>
          <w:highlight w:val="none"/>
        </w:rPr>
      </w:pPr>
      <w:r>
        <w:rPr>
          <w:rFonts w:hint="eastAsia" w:ascii="宋体" w:hAnsi="宋体"/>
          <w:color w:val="auto"/>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3F4AE25">
      <w:pPr>
        <w:rPr>
          <w:rFonts w:ascii="黑体" w:hAnsi="宋体" w:eastAsia="黑体"/>
          <w:color w:val="auto"/>
          <w:sz w:val="24"/>
          <w:highlight w:val="none"/>
        </w:rPr>
      </w:pPr>
      <w:r>
        <w:rPr>
          <w:rFonts w:hint="eastAsia" w:ascii="黑体" w:hAnsi="宋体" w:eastAsia="黑体"/>
          <w:color w:val="auto"/>
          <w:sz w:val="24"/>
          <w:highlight w:val="none"/>
        </w:rPr>
        <w:t>40．中标公告</w:t>
      </w:r>
    </w:p>
    <w:p w14:paraId="70AC689E">
      <w:pPr>
        <w:ind w:firstLine="411" w:firstLineChars="196"/>
        <w:rPr>
          <w:rFonts w:ascii="宋体" w:hAnsi="宋体"/>
          <w:color w:val="auto"/>
          <w:szCs w:val="21"/>
          <w:highlight w:val="none"/>
        </w:rPr>
      </w:pPr>
      <w:r>
        <w:rPr>
          <w:rFonts w:hint="eastAsia" w:ascii="宋体" w:hAnsi="宋体"/>
          <w:color w:val="auto"/>
          <w:szCs w:val="21"/>
          <w:highlight w:val="none"/>
        </w:rPr>
        <w:t>40.1</w:t>
      </w:r>
      <w:bookmarkStart w:id="104" w:name="_Hlk72438709"/>
      <w:r>
        <w:rPr>
          <w:rFonts w:hint="eastAsia" w:ascii="宋体" w:hAnsi="宋体"/>
          <w:color w:val="auto"/>
          <w:szCs w:val="21"/>
          <w:highlight w:val="none"/>
        </w:rPr>
        <w:t>为体现“公开、公平、公正”的原则，评审结束后经采购人确认（确定）评审结果，政府集中采购机构将在“</w:t>
      </w:r>
      <w:r>
        <w:rPr>
          <w:rFonts w:hint="eastAsia" w:ascii="宋体" w:hAnsi="宋体"/>
          <w:color w:val="auto"/>
          <w:szCs w:val="21"/>
          <w:highlight w:val="none"/>
          <w:lang w:val="en-US" w:eastAsia="zh-CN"/>
        </w:rPr>
        <w:t>新疆政采云平台</w:t>
      </w:r>
      <w:r>
        <w:rPr>
          <w:rFonts w:hint="eastAsia" w:ascii="宋体" w:hAnsi="宋体"/>
          <w:color w:val="auto"/>
          <w:szCs w:val="21"/>
          <w:highlight w:val="none"/>
        </w:rPr>
        <w:t>”上发布中标结果公告。</w:t>
      </w:r>
      <w:bookmarkEnd w:id="104"/>
      <w:bookmarkStart w:id="105" w:name="_Hlk72438751"/>
      <w:r>
        <w:rPr>
          <w:rFonts w:hint="eastAsia" w:ascii="宋体" w:hAnsi="宋体"/>
          <w:color w:val="auto"/>
          <w:szCs w:val="21"/>
          <w:highlight w:val="none"/>
        </w:rPr>
        <w:t>供应商如对评审结果有异议，</w:t>
      </w:r>
      <w:r>
        <w:rPr>
          <w:rFonts w:ascii="宋体" w:hAnsi="宋体"/>
          <w:color w:val="auto"/>
          <w:szCs w:val="21"/>
          <w:highlight w:val="none"/>
        </w:rPr>
        <w:t>可在发布公示日期起</w:t>
      </w:r>
      <w:r>
        <w:rPr>
          <w:rFonts w:hint="eastAsia" w:ascii="宋体" w:hAnsi="宋体"/>
          <w:color w:val="auto"/>
          <w:szCs w:val="21"/>
          <w:highlight w:val="none"/>
        </w:rPr>
        <w:t>七</w:t>
      </w:r>
      <w:r>
        <w:rPr>
          <w:rFonts w:ascii="宋体" w:hAnsi="宋体"/>
          <w:color w:val="auto"/>
          <w:szCs w:val="21"/>
          <w:highlight w:val="none"/>
        </w:rPr>
        <w:t>个工作日内向</w:t>
      </w:r>
      <w:r>
        <w:rPr>
          <w:rFonts w:hint="eastAsia" w:ascii="宋体" w:hAnsi="宋体"/>
          <w:color w:val="auto"/>
          <w:szCs w:val="21"/>
          <w:highlight w:val="none"/>
        </w:rPr>
        <w:t>政府集中采购机构</w:t>
      </w:r>
      <w:r>
        <w:rPr>
          <w:rFonts w:ascii="宋体" w:hAnsi="宋体"/>
          <w:color w:val="auto"/>
          <w:szCs w:val="21"/>
          <w:highlight w:val="none"/>
        </w:rPr>
        <w:t>提出。 监督电话：</w:t>
      </w:r>
      <w:r>
        <w:rPr>
          <w:rFonts w:hint="eastAsia" w:ascii="宋体" w:hAnsi="宋体"/>
          <w:color w:val="auto"/>
          <w:szCs w:val="21"/>
          <w:highlight w:val="none"/>
          <w:lang w:val="en-US" w:eastAsia="zh-CN"/>
        </w:rPr>
        <w:t>0996-2024012</w:t>
      </w:r>
      <w:r>
        <w:rPr>
          <w:rFonts w:ascii="宋体" w:hAnsi="宋体"/>
          <w:color w:val="auto"/>
          <w:szCs w:val="21"/>
          <w:highlight w:val="none"/>
        </w:rPr>
        <w:t>。</w:t>
      </w:r>
      <w:r>
        <w:rPr>
          <w:rFonts w:hint="eastAsia" w:ascii="宋体" w:hAnsi="宋体"/>
          <w:color w:val="auto"/>
          <w:szCs w:val="21"/>
          <w:highlight w:val="none"/>
        </w:rPr>
        <w:t>若在公示期内未提出质疑，则视为认同该评审结果。</w:t>
      </w:r>
    </w:p>
    <w:bookmarkEnd w:id="105"/>
    <w:p w14:paraId="02685FF2">
      <w:pPr>
        <w:ind w:firstLine="411" w:firstLineChars="196"/>
        <w:rPr>
          <w:rFonts w:ascii="宋体" w:hAnsi="宋体"/>
          <w:color w:val="auto"/>
          <w:szCs w:val="21"/>
          <w:highlight w:val="none"/>
        </w:rPr>
      </w:pPr>
      <w:r>
        <w:rPr>
          <w:rFonts w:hint="eastAsia" w:ascii="宋体" w:hAnsi="宋体"/>
          <w:color w:val="auto"/>
          <w:szCs w:val="21"/>
          <w:highlight w:val="none"/>
        </w:rPr>
        <w:t>40.2质疑、投诉供应商应保证质疑、投诉内容的真实性和可靠性，并承担相应的法律责任。</w:t>
      </w:r>
    </w:p>
    <w:p w14:paraId="7FF75FF4">
      <w:pPr>
        <w:rPr>
          <w:rFonts w:ascii="黑体" w:hAnsi="宋体" w:eastAsia="黑体"/>
          <w:color w:val="auto"/>
          <w:sz w:val="24"/>
          <w:highlight w:val="none"/>
        </w:rPr>
      </w:pPr>
      <w:r>
        <w:rPr>
          <w:rFonts w:hint="eastAsia" w:ascii="黑体" w:hAnsi="宋体" w:eastAsia="黑体"/>
          <w:color w:val="auto"/>
          <w:sz w:val="24"/>
          <w:highlight w:val="none"/>
        </w:rPr>
        <w:t>41．中标通知书</w:t>
      </w:r>
    </w:p>
    <w:p w14:paraId="02FEED97">
      <w:pPr>
        <w:ind w:firstLine="411" w:firstLineChars="196"/>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w:t>
      </w:r>
      <w:r>
        <w:rPr>
          <w:rFonts w:hint="eastAsia" w:ascii="宋体" w:hAnsi="宋体"/>
          <w:color w:val="auto"/>
          <w:szCs w:val="21"/>
          <w:highlight w:val="none"/>
        </w:rPr>
        <w:t>1</w:t>
      </w:r>
      <w:bookmarkStart w:id="106" w:name="_Hlk72438863"/>
      <w:r>
        <w:rPr>
          <w:rFonts w:hint="eastAsia" w:ascii="宋体" w:hAnsi="宋体"/>
          <w:color w:val="auto"/>
          <w:szCs w:val="21"/>
          <w:highlight w:val="none"/>
        </w:rPr>
        <w:t>中标公告公布以后无异常的情况下,中标供应商和采购人可自行在“</w:t>
      </w:r>
      <w:r>
        <w:rPr>
          <w:rFonts w:hint="eastAsia" w:ascii="宋体" w:hAnsi="宋体"/>
          <w:color w:val="auto"/>
          <w:szCs w:val="21"/>
          <w:highlight w:val="none"/>
          <w:lang w:val="en-US" w:eastAsia="zh-CN"/>
        </w:rPr>
        <w:t>新疆政采云平台</w:t>
      </w:r>
      <w:r>
        <w:rPr>
          <w:rFonts w:hint="eastAsia" w:ascii="宋体" w:hAnsi="宋体"/>
          <w:color w:val="auto"/>
          <w:szCs w:val="21"/>
          <w:highlight w:val="none"/>
        </w:rPr>
        <w:t>）”上打印</w:t>
      </w:r>
      <w:r>
        <w:rPr>
          <w:rFonts w:hint="eastAsia" w:ascii="宋体" w:hAnsi="宋体"/>
          <w:color w:val="auto"/>
          <w:szCs w:val="21"/>
          <w:highlight w:val="none"/>
          <w:lang w:val="en-US" w:eastAsia="zh-CN"/>
        </w:rPr>
        <w:t>电子</w:t>
      </w:r>
      <w:r>
        <w:rPr>
          <w:rFonts w:hint="eastAsia" w:ascii="宋体" w:hAnsi="宋体"/>
          <w:b w:val="0"/>
          <w:bCs/>
          <w:color w:val="auto"/>
          <w:szCs w:val="21"/>
          <w:highlight w:val="none"/>
        </w:rPr>
        <w:t>中标通知书。</w:t>
      </w:r>
      <w:bookmarkEnd w:id="106"/>
    </w:p>
    <w:p w14:paraId="758C8A92">
      <w:pPr>
        <w:ind w:firstLine="411" w:firstLineChars="196"/>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.2</w:t>
      </w:r>
      <w:r>
        <w:rPr>
          <w:rFonts w:hint="eastAsia" w:ascii="宋体" w:hAnsi="宋体"/>
          <w:color w:val="auto"/>
          <w:szCs w:val="21"/>
          <w:highlight w:val="none"/>
        </w:rPr>
        <w:t>中标通知书是合同的重要组成部分。</w:t>
      </w:r>
    </w:p>
    <w:p w14:paraId="31563A71">
      <w:pPr>
        <w:ind w:firstLine="411" w:firstLineChars="196"/>
        <w:rPr>
          <w:rFonts w:ascii="宋体" w:hAnsi="宋体"/>
          <w:color w:val="auto"/>
          <w:szCs w:val="21"/>
          <w:highlight w:val="none"/>
        </w:rPr>
      </w:pPr>
      <w:bookmarkStart w:id="107" w:name="_Hlk71407340"/>
      <w:r>
        <w:rPr>
          <w:rFonts w:hint="eastAsia" w:ascii="宋体" w:hAnsi="宋体"/>
          <w:color w:val="auto"/>
          <w:szCs w:val="21"/>
          <w:highlight w:val="none"/>
        </w:rPr>
        <w:t>41.3因质疑投诉或其它原因导致项目结果变更或采购终止的，政府集中采购机构有权吊销中标通知书。</w:t>
      </w:r>
    </w:p>
    <w:bookmarkEnd w:id="107"/>
    <w:p w14:paraId="5B3C93ED">
      <w:pPr>
        <w:pStyle w:val="7"/>
        <w:numPr>
          <w:ilvl w:val="0"/>
          <w:numId w:val="0"/>
        </w:numPr>
        <w:tabs>
          <w:tab w:val="left" w:pos="360"/>
        </w:tabs>
        <w:spacing w:before="120" w:beforeLines="50" w:after="120" w:afterLines="50"/>
        <w:ind w:leftChars="0" w:firstLine="2249" w:firstLineChars="800"/>
        <w:jc w:val="both"/>
        <w:rPr>
          <w:color w:val="auto"/>
          <w:sz w:val="28"/>
          <w:szCs w:val="28"/>
          <w:highlight w:val="none"/>
        </w:rPr>
      </w:pPr>
      <w:r>
        <w:rPr>
          <w:rFonts w:hint="eastAsia"/>
          <w:color w:val="auto"/>
          <w:sz w:val="28"/>
          <w:szCs w:val="28"/>
          <w:highlight w:val="none"/>
          <w:lang w:val="en-US" w:eastAsia="zh-CN"/>
        </w:rPr>
        <w:t xml:space="preserve">第九章  </w:t>
      </w:r>
      <w:r>
        <w:rPr>
          <w:rFonts w:hint="eastAsia"/>
          <w:color w:val="auto"/>
          <w:sz w:val="28"/>
          <w:szCs w:val="28"/>
          <w:highlight w:val="none"/>
        </w:rPr>
        <w:t>公开招标失败的后续处理</w:t>
      </w:r>
    </w:p>
    <w:p w14:paraId="506BC5B3">
      <w:pPr>
        <w:rPr>
          <w:rFonts w:ascii="黑体" w:hAnsi="宋体" w:eastAsia="黑体"/>
          <w:color w:val="auto"/>
          <w:sz w:val="24"/>
          <w:highlight w:val="none"/>
        </w:rPr>
      </w:pPr>
      <w:r>
        <w:rPr>
          <w:rFonts w:hint="eastAsia" w:ascii="黑体" w:hAnsi="宋体" w:eastAsia="黑体"/>
          <w:color w:val="auto"/>
          <w:sz w:val="24"/>
          <w:highlight w:val="none"/>
        </w:rPr>
        <w:t>42．公开招标失败的处理</w:t>
      </w:r>
    </w:p>
    <w:p w14:paraId="5E8A641A">
      <w:pPr>
        <w:ind w:firstLine="411" w:firstLineChars="196"/>
        <w:rPr>
          <w:rFonts w:ascii="宋体" w:hAnsi="宋体"/>
          <w:color w:val="auto"/>
          <w:highlight w:val="none"/>
        </w:rPr>
      </w:pPr>
      <w:r>
        <w:rPr>
          <w:rFonts w:hint="eastAsia" w:ascii="宋体" w:hAnsi="宋体"/>
          <w:color w:val="auto"/>
          <w:szCs w:val="21"/>
          <w:highlight w:val="none"/>
        </w:rPr>
        <w:t>42.1本项目公开招标过程中若由于投标截止后</w:t>
      </w:r>
      <w:r>
        <w:rPr>
          <w:rFonts w:hint="eastAsia" w:ascii="宋体" w:hAnsi="宋体"/>
          <w:color w:val="auto"/>
          <w:highlight w:val="none"/>
        </w:rPr>
        <w:t>实际递交</w:t>
      </w:r>
      <w:r>
        <w:rPr>
          <w:rFonts w:ascii="宋体" w:hAnsi="宋体"/>
          <w:color w:val="auto"/>
          <w:highlight w:val="none"/>
        </w:rPr>
        <w:t>投标</w:t>
      </w:r>
      <w:r>
        <w:rPr>
          <w:rFonts w:hint="eastAsia" w:ascii="宋体" w:hAnsi="宋体"/>
          <w:color w:val="auto"/>
          <w:highlight w:val="none"/>
        </w:rPr>
        <w:t>文件的供应商数量不足、经</w:t>
      </w:r>
      <w:r>
        <w:rPr>
          <w:rFonts w:hint="eastAsia" w:ascii="宋体" w:hAnsi="宋体"/>
          <w:color w:val="auto"/>
          <w:szCs w:val="21"/>
          <w:highlight w:val="none"/>
        </w:rPr>
        <w:t>评审委员会</w:t>
      </w:r>
      <w:r>
        <w:rPr>
          <w:rFonts w:hint="eastAsia" w:ascii="宋体" w:hAnsi="宋体"/>
          <w:color w:val="auto"/>
          <w:highlight w:val="none"/>
        </w:rPr>
        <w:t>评审对招标文件作实质响应的供应商不足等原因造成公开招标失败，可由</w:t>
      </w:r>
      <w:r>
        <w:rPr>
          <w:rFonts w:hint="eastAsia" w:ascii="宋体" w:hAnsi="宋体" w:cs="宋体"/>
          <w:color w:val="auto"/>
          <w:highlight w:val="none"/>
        </w:rPr>
        <w:t>政府集中采购机构</w:t>
      </w:r>
      <w:r>
        <w:rPr>
          <w:rFonts w:hint="eastAsia" w:ascii="宋体" w:hAnsi="宋体"/>
          <w:color w:val="auto"/>
          <w:highlight w:val="none"/>
        </w:rPr>
        <w:t>重新组织采购。</w:t>
      </w:r>
    </w:p>
    <w:p w14:paraId="05A505B4">
      <w:pPr>
        <w:ind w:firstLine="411" w:firstLineChars="196"/>
        <w:rPr>
          <w:rFonts w:ascii="宋体" w:hAnsi="宋体"/>
          <w:color w:val="auto"/>
          <w:szCs w:val="21"/>
          <w:highlight w:val="none"/>
        </w:rPr>
      </w:pPr>
      <w:r>
        <w:rPr>
          <w:rFonts w:hint="eastAsia" w:ascii="宋体" w:hAnsi="宋体"/>
          <w:color w:val="auto"/>
          <w:szCs w:val="21"/>
          <w:highlight w:val="none"/>
        </w:rPr>
        <w:t>42.2对公开招标失败的项目，评审委员会在出具该项目招标失败结论的同时，可以提出重新采购组织形式的建议，以及进一步完善招标文件的资格、技术、商务要求的修改建议。</w:t>
      </w:r>
    </w:p>
    <w:p w14:paraId="1CCBBCC0">
      <w:pPr>
        <w:ind w:firstLine="411" w:firstLineChars="196"/>
        <w:rPr>
          <w:rFonts w:ascii="宋体" w:hAnsi="宋体"/>
          <w:color w:val="auto"/>
          <w:szCs w:val="21"/>
          <w:highlight w:val="none"/>
        </w:rPr>
      </w:pPr>
      <w:r>
        <w:rPr>
          <w:rFonts w:hint="eastAsia" w:ascii="宋体" w:hAnsi="宋体"/>
          <w:color w:val="auto"/>
          <w:szCs w:val="21"/>
          <w:highlight w:val="none"/>
        </w:rPr>
        <w:t>42.3重新组织采购有以下两种组织形式：</w:t>
      </w:r>
    </w:p>
    <w:p w14:paraId="0D0CB1CE">
      <w:pPr>
        <w:ind w:firstLine="411" w:firstLineChars="196"/>
        <w:rPr>
          <w:rFonts w:ascii="宋体" w:hAnsi="宋体"/>
          <w:color w:val="auto"/>
          <w:highlight w:val="none"/>
        </w:rPr>
      </w:pPr>
      <w:r>
        <w:rPr>
          <w:rFonts w:hint="eastAsia" w:ascii="宋体" w:hAnsi="宋体"/>
          <w:color w:val="auto"/>
          <w:highlight w:val="none"/>
        </w:rPr>
        <w:t>（1）由政府集中采购机构重新组织公开招标；</w:t>
      </w:r>
    </w:p>
    <w:p w14:paraId="350DEFC9">
      <w:pPr>
        <w:ind w:firstLine="411" w:firstLineChars="196"/>
        <w:rPr>
          <w:rFonts w:ascii="宋体" w:hAnsi="宋体"/>
          <w:color w:val="auto"/>
          <w:highlight w:val="none"/>
        </w:rPr>
      </w:pPr>
      <w:r>
        <w:rPr>
          <w:rFonts w:hint="eastAsia" w:ascii="宋体" w:hAnsi="宋体"/>
          <w:color w:val="auto"/>
          <w:highlight w:val="none"/>
        </w:rPr>
        <w:t>（2）根据实际情况需要向同级财政部门提出非公开招标方式申请，经同级财政部门批准，公开招标失败采购项目可转为竞争性谈判或单一来源谈判方式采购。</w:t>
      </w:r>
    </w:p>
    <w:p w14:paraId="4D35EB17">
      <w:pPr>
        <w:ind w:firstLine="411" w:firstLineChars="196"/>
        <w:rPr>
          <w:rFonts w:ascii="宋体" w:hAnsi="宋体"/>
          <w:color w:val="auto"/>
          <w:highlight w:val="none"/>
        </w:rPr>
      </w:pPr>
      <w:r>
        <w:rPr>
          <w:rFonts w:hint="eastAsia" w:ascii="宋体" w:hAnsi="宋体"/>
          <w:color w:val="auto"/>
          <w:highlight w:val="none"/>
        </w:rPr>
        <w:t>42.4公开招标失败的采购项目重新组织公开招标，由政府集中采购机构重新按公开招标流程组织采购活动。</w:t>
      </w:r>
    </w:p>
    <w:p w14:paraId="36DB2250">
      <w:pPr>
        <w:ind w:firstLine="420" w:firstLineChars="200"/>
        <w:rPr>
          <w:rFonts w:ascii="宋体" w:hAnsi="宋体"/>
          <w:color w:val="auto"/>
          <w:highlight w:val="none"/>
        </w:rPr>
      </w:pPr>
      <w:r>
        <w:rPr>
          <w:rFonts w:hint="eastAsia" w:ascii="宋体" w:hAnsi="宋体"/>
          <w:color w:val="auto"/>
          <w:highlight w:val="none"/>
        </w:rPr>
        <w:t>42.5公开招标失败的采购项目经同级财政部门批准转为竞争性谈判或单一来源谈判方式采购的，按规定要求组织政府采购工作。</w:t>
      </w:r>
    </w:p>
    <w:p w14:paraId="0F24646A">
      <w:pPr>
        <w:pStyle w:val="7"/>
        <w:numPr>
          <w:ilvl w:val="0"/>
          <w:numId w:val="0"/>
        </w:numPr>
        <w:tabs>
          <w:tab w:val="left" w:pos="360"/>
        </w:tabs>
        <w:spacing w:before="120" w:beforeLines="50" w:after="120" w:afterLines="50"/>
        <w:ind w:leftChars="0" w:firstLine="2811" w:firstLineChars="1000"/>
        <w:jc w:val="both"/>
        <w:rPr>
          <w:color w:val="auto"/>
          <w:sz w:val="28"/>
          <w:szCs w:val="28"/>
          <w:highlight w:val="none"/>
        </w:rPr>
      </w:pPr>
      <w:bookmarkStart w:id="108" w:name="_Hlk72439043"/>
      <w:r>
        <w:rPr>
          <w:rFonts w:hint="eastAsia"/>
          <w:color w:val="auto"/>
          <w:sz w:val="28"/>
          <w:szCs w:val="28"/>
          <w:highlight w:val="none"/>
          <w:lang w:val="en-US" w:eastAsia="zh-CN"/>
        </w:rPr>
        <w:t xml:space="preserve">第十章  </w:t>
      </w:r>
      <w:r>
        <w:rPr>
          <w:rFonts w:hint="eastAsia"/>
          <w:color w:val="auto"/>
          <w:sz w:val="28"/>
          <w:szCs w:val="28"/>
          <w:highlight w:val="none"/>
        </w:rPr>
        <w:t>合同的授予与备案</w:t>
      </w:r>
      <w:bookmarkEnd w:id="108"/>
    </w:p>
    <w:p w14:paraId="6CC8C49A">
      <w:pPr>
        <w:rPr>
          <w:rFonts w:ascii="黑体" w:hAnsi="宋体" w:eastAsia="黑体"/>
          <w:color w:val="auto"/>
          <w:sz w:val="24"/>
          <w:highlight w:val="none"/>
        </w:rPr>
      </w:pPr>
      <w:bookmarkStart w:id="109" w:name="_Toc73517679"/>
      <w:bookmarkStart w:id="110" w:name="_Toc100052408"/>
      <w:bookmarkStart w:id="111" w:name="_Toc73518157"/>
      <w:bookmarkStart w:id="112" w:name="_Toc73521586"/>
      <w:bookmarkStart w:id="113" w:name="_Toc73521674"/>
      <w:bookmarkStart w:id="114" w:name="_Hlk72439088"/>
      <w:r>
        <w:rPr>
          <w:rFonts w:hint="eastAsia" w:ascii="黑体" w:hAnsi="宋体" w:eastAsia="黑体"/>
          <w:color w:val="auto"/>
          <w:sz w:val="24"/>
          <w:highlight w:val="none"/>
        </w:rPr>
        <w:t>43．合同授予标准</w:t>
      </w:r>
      <w:bookmarkEnd w:id="109"/>
      <w:bookmarkEnd w:id="110"/>
      <w:bookmarkEnd w:id="111"/>
      <w:bookmarkEnd w:id="112"/>
      <w:bookmarkEnd w:id="113"/>
    </w:p>
    <w:p w14:paraId="4A7EDEE8">
      <w:pPr>
        <w:ind w:firstLine="411" w:firstLineChars="196"/>
        <w:rPr>
          <w:rFonts w:ascii="宋体" w:hAnsi="宋体"/>
          <w:color w:val="auto"/>
          <w:szCs w:val="21"/>
          <w:highlight w:val="none"/>
        </w:rPr>
      </w:pPr>
      <w:r>
        <w:rPr>
          <w:rFonts w:hint="eastAsia" w:ascii="宋体" w:hAnsi="宋体"/>
          <w:color w:val="auto"/>
          <w:szCs w:val="21"/>
          <w:highlight w:val="none"/>
        </w:rPr>
        <w:t>本项目的合同将授予经本招标文件规定评审确定的中标供应商。</w:t>
      </w:r>
    </w:p>
    <w:p w14:paraId="29BB0DBA">
      <w:pPr>
        <w:rPr>
          <w:rFonts w:ascii="黑体" w:hAnsi="宋体" w:eastAsia="黑体"/>
          <w:color w:val="auto"/>
          <w:sz w:val="24"/>
          <w:highlight w:val="none"/>
        </w:rPr>
      </w:pPr>
      <w:bookmarkStart w:id="115" w:name="_Toc73518158"/>
      <w:bookmarkStart w:id="116" w:name="_Toc73521587"/>
      <w:bookmarkStart w:id="117" w:name="_Toc73517680"/>
      <w:bookmarkStart w:id="118" w:name="_Toc100052409"/>
      <w:bookmarkStart w:id="119" w:name="_Toc73521675"/>
      <w:r>
        <w:rPr>
          <w:rFonts w:hint="eastAsia" w:ascii="黑体" w:hAnsi="宋体" w:eastAsia="黑体"/>
          <w:color w:val="auto"/>
          <w:sz w:val="24"/>
          <w:highlight w:val="none"/>
        </w:rPr>
        <w:t>44．</w:t>
      </w:r>
      <w:bookmarkEnd w:id="115"/>
      <w:bookmarkEnd w:id="116"/>
      <w:bookmarkEnd w:id="117"/>
      <w:bookmarkEnd w:id="118"/>
      <w:bookmarkEnd w:id="119"/>
      <w:r>
        <w:rPr>
          <w:rFonts w:hint="eastAsia" w:ascii="黑体" w:hAnsi="宋体" w:eastAsia="黑体"/>
          <w:color w:val="auto"/>
          <w:sz w:val="24"/>
          <w:highlight w:val="none"/>
        </w:rPr>
        <w:t>接受和拒绝任何或所有投标的权力</w:t>
      </w:r>
    </w:p>
    <w:p w14:paraId="3B946485">
      <w:pPr>
        <w:ind w:firstLine="411" w:firstLineChars="196"/>
        <w:rPr>
          <w:rFonts w:ascii="宋体" w:hAnsi="宋体"/>
          <w:color w:val="auto"/>
          <w:szCs w:val="21"/>
          <w:highlight w:val="none"/>
        </w:rPr>
      </w:pPr>
      <w:r>
        <w:rPr>
          <w:rFonts w:hint="eastAsia" w:ascii="宋体" w:hAnsi="宋体"/>
          <w:color w:val="auto"/>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0B00A31">
      <w:pPr>
        <w:rPr>
          <w:rFonts w:ascii="黑体" w:hAnsi="宋体" w:eastAsia="黑体"/>
          <w:color w:val="auto"/>
          <w:sz w:val="24"/>
          <w:highlight w:val="none"/>
        </w:rPr>
      </w:pPr>
      <w:bookmarkStart w:id="120" w:name="_Toc73521589"/>
      <w:bookmarkStart w:id="121" w:name="_Toc73521677"/>
      <w:bookmarkStart w:id="122" w:name="_Toc100052410"/>
      <w:bookmarkStart w:id="123" w:name="_Toc73518160"/>
      <w:bookmarkStart w:id="124" w:name="_Toc73517682"/>
      <w:r>
        <w:rPr>
          <w:rFonts w:hint="eastAsia" w:ascii="黑体" w:hAnsi="宋体" w:eastAsia="黑体"/>
          <w:color w:val="auto"/>
          <w:sz w:val="24"/>
          <w:highlight w:val="none"/>
        </w:rPr>
        <w:t>45．合同的签订</w:t>
      </w:r>
      <w:bookmarkEnd w:id="120"/>
      <w:bookmarkEnd w:id="121"/>
      <w:bookmarkEnd w:id="122"/>
      <w:bookmarkEnd w:id="123"/>
      <w:bookmarkEnd w:id="124"/>
    </w:p>
    <w:p w14:paraId="778EB38F">
      <w:pPr>
        <w:ind w:firstLine="411" w:firstLineChars="196"/>
        <w:rPr>
          <w:rFonts w:ascii="宋体" w:hAnsi="宋体"/>
          <w:color w:val="auto"/>
          <w:szCs w:val="21"/>
          <w:highlight w:val="none"/>
        </w:rPr>
      </w:pPr>
      <w:r>
        <w:rPr>
          <w:rFonts w:hint="eastAsia" w:ascii="宋体" w:hAnsi="宋体"/>
          <w:color w:val="auto"/>
          <w:szCs w:val="21"/>
          <w:highlight w:val="none"/>
        </w:rPr>
        <w:t>45.1中标人将于中标通知书发出之日起十个工作日内，按照采购文件（招标文件和投标文件等）内容与采购人签订政府采购合同；合同的实质性内容应当符合招标文件的规定；</w:t>
      </w:r>
    </w:p>
    <w:p w14:paraId="54FB8385">
      <w:pPr>
        <w:ind w:firstLine="411" w:firstLineChars="196"/>
        <w:rPr>
          <w:rFonts w:ascii="宋体" w:hAnsi="宋体"/>
          <w:color w:val="auto"/>
          <w:szCs w:val="21"/>
          <w:highlight w:val="none"/>
        </w:rPr>
      </w:pPr>
      <w:r>
        <w:rPr>
          <w:rFonts w:hint="eastAsia" w:ascii="宋体" w:hAnsi="宋体"/>
          <w:color w:val="auto"/>
          <w:szCs w:val="21"/>
          <w:highlight w:val="none"/>
        </w:rPr>
        <w:t>45.2中标人如不按本通用条款第45</w:t>
      </w:r>
      <w:r>
        <w:rPr>
          <w:rFonts w:ascii="宋体" w:hAnsi="宋体"/>
          <w:color w:val="auto"/>
          <w:szCs w:val="21"/>
          <w:highlight w:val="none"/>
        </w:rPr>
        <w:t>.1</w:t>
      </w:r>
      <w:r>
        <w:rPr>
          <w:rFonts w:hint="eastAsia" w:ascii="宋体" w:hAnsi="宋体"/>
          <w:color w:val="auto"/>
          <w:szCs w:val="21"/>
          <w:highlight w:val="none"/>
        </w:rPr>
        <w:t>款的规定与采购人签订合同，</w:t>
      </w:r>
      <w:r>
        <w:rPr>
          <w:rFonts w:ascii="宋体" w:hAnsi="宋体" w:cs="宋体"/>
          <w:color w:val="auto"/>
          <w:kern w:val="0"/>
          <w:szCs w:val="21"/>
          <w:highlight w:val="none"/>
        </w:rPr>
        <w:t>情节严重的，由</w:t>
      </w:r>
      <w:r>
        <w:rPr>
          <w:rFonts w:hint="eastAsia" w:ascii="宋体" w:hAnsi="宋体" w:cs="宋体"/>
          <w:color w:val="auto"/>
          <w:kern w:val="0"/>
          <w:szCs w:val="21"/>
          <w:highlight w:val="none"/>
        </w:rPr>
        <w:t>同级财政</w:t>
      </w:r>
      <w:r>
        <w:rPr>
          <w:rFonts w:ascii="宋体" w:hAnsi="宋体" w:cs="宋体"/>
          <w:color w:val="auto"/>
          <w:kern w:val="0"/>
          <w:szCs w:val="21"/>
          <w:highlight w:val="none"/>
        </w:rPr>
        <w:t>部门记入供应商诚信档案，予以通报</w:t>
      </w:r>
      <w:r>
        <w:rPr>
          <w:rFonts w:hint="eastAsia" w:ascii="宋体" w:hAnsi="宋体"/>
          <w:color w:val="auto"/>
          <w:szCs w:val="21"/>
          <w:highlight w:val="none"/>
        </w:rPr>
        <w:t>；</w:t>
      </w:r>
    </w:p>
    <w:p w14:paraId="0F2C1A8C">
      <w:pPr>
        <w:ind w:firstLine="411" w:firstLineChars="196"/>
        <w:rPr>
          <w:rFonts w:ascii="宋体" w:hAnsi="宋体"/>
          <w:color w:val="auto"/>
          <w:szCs w:val="21"/>
          <w:highlight w:val="none"/>
        </w:rPr>
      </w:pPr>
      <w:r>
        <w:rPr>
          <w:rFonts w:hint="eastAsia" w:ascii="宋体" w:hAnsi="宋体"/>
          <w:color w:val="auto"/>
          <w:szCs w:val="21"/>
          <w:highlight w:val="none"/>
        </w:rPr>
        <w:t>45.3中标人应当按照合同约定履行义务，完成中标项目，不得将中标项目转让（转包）给他人。</w:t>
      </w:r>
    </w:p>
    <w:p w14:paraId="584248C6">
      <w:pPr>
        <w:rPr>
          <w:rFonts w:ascii="黑体" w:hAnsi="宋体" w:eastAsia="黑体"/>
          <w:color w:val="auto"/>
          <w:sz w:val="24"/>
          <w:highlight w:val="none"/>
        </w:rPr>
      </w:pPr>
      <w:bookmarkStart w:id="125" w:name="_Toc73517683"/>
      <w:bookmarkStart w:id="126" w:name="_Toc73518161"/>
      <w:bookmarkStart w:id="127" w:name="_Toc73521590"/>
      <w:bookmarkStart w:id="128" w:name="_Toc100052411"/>
      <w:bookmarkStart w:id="129" w:name="_Toc73521678"/>
      <w:r>
        <w:rPr>
          <w:rFonts w:hint="eastAsia" w:ascii="黑体" w:hAnsi="宋体" w:eastAsia="黑体"/>
          <w:color w:val="auto"/>
          <w:sz w:val="24"/>
          <w:highlight w:val="none"/>
        </w:rPr>
        <w:t>46．履约担保</w:t>
      </w:r>
      <w:bookmarkEnd w:id="125"/>
      <w:bookmarkEnd w:id="126"/>
      <w:bookmarkEnd w:id="127"/>
      <w:bookmarkEnd w:id="128"/>
      <w:bookmarkEnd w:id="129"/>
    </w:p>
    <w:p w14:paraId="6D530817">
      <w:pPr>
        <w:ind w:firstLine="411" w:firstLineChars="196"/>
        <w:rPr>
          <w:rFonts w:ascii="宋体" w:hAnsi="宋体"/>
          <w:color w:val="auto"/>
          <w:szCs w:val="21"/>
          <w:highlight w:val="none"/>
        </w:rPr>
      </w:pPr>
      <w:r>
        <w:rPr>
          <w:rFonts w:hint="eastAsia" w:ascii="宋体" w:hAnsi="宋体"/>
          <w:color w:val="auto"/>
          <w:szCs w:val="21"/>
          <w:highlight w:val="none"/>
        </w:rPr>
        <w:t>46.1在签订项目合同的同时，中标人应按“对通用条款的补充内容”中规定的金额向采购人提交履约担保；</w:t>
      </w:r>
    </w:p>
    <w:p w14:paraId="0A0867D1">
      <w:pPr>
        <w:ind w:firstLine="411" w:firstLineChars="196"/>
        <w:rPr>
          <w:rFonts w:ascii="宋体" w:hAnsi="宋体"/>
          <w:color w:val="auto"/>
          <w:szCs w:val="21"/>
          <w:highlight w:val="none"/>
        </w:rPr>
      </w:pPr>
      <w:r>
        <w:rPr>
          <w:rFonts w:hint="eastAsia" w:ascii="宋体" w:hAnsi="宋体"/>
          <w:color w:val="auto"/>
          <w:szCs w:val="21"/>
          <w:highlight w:val="none"/>
        </w:rPr>
        <w:t>46.2，允许供应商自主选择以支票、汇票、本票、保函等非现金方式提交履约担保；</w:t>
      </w:r>
      <w:r>
        <w:rPr>
          <w:color w:val="auto"/>
          <w:highlight w:val="none"/>
        </w:rPr>
        <w:t>中标</w:t>
      </w:r>
      <w:r>
        <w:rPr>
          <w:rFonts w:hint="eastAsia"/>
          <w:color w:val="auto"/>
          <w:highlight w:val="none"/>
        </w:rPr>
        <w:t>人</w:t>
      </w:r>
      <w:r>
        <w:rPr>
          <w:color w:val="auto"/>
          <w:highlight w:val="none"/>
        </w:rPr>
        <w:t>提交履约</w:t>
      </w:r>
      <w:r>
        <w:rPr>
          <w:rFonts w:hint="eastAsia"/>
          <w:color w:val="auto"/>
          <w:highlight w:val="none"/>
        </w:rPr>
        <w:t>担保不是</w:t>
      </w:r>
      <w:r>
        <w:rPr>
          <w:color w:val="auto"/>
          <w:highlight w:val="none"/>
        </w:rPr>
        <w:t>合同签订的</w:t>
      </w:r>
      <w:r>
        <w:rPr>
          <w:rFonts w:hint="eastAsia"/>
          <w:color w:val="auto"/>
          <w:highlight w:val="none"/>
        </w:rPr>
        <w:t>前提</w:t>
      </w:r>
      <w:r>
        <w:rPr>
          <w:color w:val="auto"/>
          <w:highlight w:val="none"/>
        </w:rPr>
        <w:t>条件，不要求中标</w:t>
      </w:r>
      <w:r>
        <w:rPr>
          <w:rFonts w:hint="eastAsia"/>
          <w:color w:val="auto"/>
          <w:highlight w:val="none"/>
        </w:rPr>
        <w:t>人</w:t>
      </w:r>
      <w:r>
        <w:rPr>
          <w:color w:val="auto"/>
          <w:highlight w:val="none"/>
        </w:rPr>
        <w:t>提供除法律、法规明确规定外的其他担保</w:t>
      </w:r>
      <w:r>
        <w:rPr>
          <w:rFonts w:hint="eastAsia"/>
          <w:color w:val="auto"/>
          <w:highlight w:val="none"/>
        </w:rPr>
        <w:t>。</w:t>
      </w:r>
    </w:p>
    <w:p w14:paraId="07A5BC1D">
      <w:pPr>
        <w:rPr>
          <w:rFonts w:ascii="黑体" w:hAnsi="宋体" w:eastAsia="黑体"/>
          <w:color w:val="auto"/>
          <w:sz w:val="24"/>
          <w:highlight w:val="none"/>
        </w:rPr>
      </w:pPr>
      <w:r>
        <w:rPr>
          <w:rFonts w:hint="eastAsia" w:ascii="黑体" w:hAnsi="宋体" w:eastAsia="黑体"/>
          <w:color w:val="auto"/>
          <w:sz w:val="24"/>
          <w:highlight w:val="none"/>
        </w:rPr>
        <w:t>47. 合同备案</w:t>
      </w:r>
    </w:p>
    <w:p w14:paraId="1A5FD79F">
      <w:pPr>
        <w:ind w:firstLine="411" w:firstLineChars="196"/>
        <w:rPr>
          <w:rFonts w:ascii="宋体" w:hAnsi="宋体"/>
          <w:color w:val="auto"/>
          <w:szCs w:val="21"/>
          <w:highlight w:val="none"/>
        </w:rPr>
      </w:pPr>
      <w:r>
        <w:rPr>
          <w:rFonts w:hint="eastAsia" w:ascii="宋体" w:hAnsi="宋体"/>
          <w:color w:val="auto"/>
          <w:szCs w:val="21"/>
          <w:highlight w:val="none"/>
        </w:rPr>
        <w:t>采购人与中标人应于合同签订之日起十日内，由采购人或委托中标人将采购合同副本抄送合同备案工作实施机构备案。</w:t>
      </w:r>
    </w:p>
    <w:p w14:paraId="16C31B20">
      <w:pPr>
        <w:rPr>
          <w:rFonts w:ascii="黑体" w:hAnsi="宋体" w:eastAsia="黑体"/>
          <w:color w:val="auto"/>
          <w:sz w:val="24"/>
          <w:highlight w:val="none"/>
        </w:rPr>
      </w:pPr>
      <w:r>
        <w:rPr>
          <w:rFonts w:hint="eastAsia" w:ascii="黑体" w:hAnsi="宋体" w:eastAsia="黑体"/>
          <w:color w:val="auto"/>
          <w:sz w:val="24"/>
          <w:highlight w:val="none"/>
        </w:rPr>
        <w:t>48. 合同变更</w:t>
      </w:r>
    </w:p>
    <w:p w14:paraId="7E512D08">
      <w:pPr>
        <w:ind w:firstLine="411" w:firstLineChars="196"/>
        <w:rPr>
          <w:rFonts w:ascii="宋体" w:hAnsi="宋体"/>
          <w:color w:val="auto"/>
          <w:szCs w:val="21"/>
          <w:highlight w:val="none"/>
        </w:rPr>
      </w:pPr>
      <w:r>
        <w:rPr>
          <w:rFonts w:hint="eastAsia" w:ascii="宋体" w:hAnsi="宋体"/>
          <w:color w:val="auto"/>
          <w:szCs w:val="21"/>
          <w:highlight w:val="none"/>
        </w:rPr>
        <w:t>合同变更事宜按</w:t>
      </w:r>
      <w:r>
        <w:rPr>
          <w:rFonts w:hint="eastAsia" w:ascii="宋体" w:hAnsi="宋体"/>
          <w:color w:val="auto"/>
          <w:szCs w:val="21"/>
          <w:highlight w:val="none"/>
          <w:lang w:val="en-US" w:eastAsia="zh-CN"/>
        </w:rPr>
        <w:t>财政部门</w:t>
      </w:r>
      <w:r>
        <w:rPr>
          <w:rFonts w:hint="eastAsia" w:ascii="宋体" w:hAnsi="宋体"/>
          <w:color w:val="auto"/>
          <w:szCs w:val="21"/>
          <w:highlight w:val="none"/>
        </w:rPr>
        <w:t>相关规定执行。</w:t>
      </w:r>
    </w:p>
    <w:p w14:paraId="1ED3B6E0">
      <w:pPr>
        <w:rPr>
          <w:rFonts w:ascii="黑体" w:hAnsi="宋体" w:eastAsia="黑体"/>
          <w:color w:val="auto"/>
          <w:sz w:val="24"/>
          <w:highlight w:val="none"/>
        </w:rPr>
      </w:pPr>
      <w:r>
        <w:rPr>
          <w:rFonts w:hint="eastAsia" w:ascii="黑体" w:hAnsi="宋体" w:eastAsia="黑体"/>
          <w:color w:val="auto"/>
          <w:sz w:val="24"/>
          <w:highlight w:val="none"/>
        </w:rPr>
        <w:t>49. 项目验收</w:t>
      </w:r>
    </w:p>
    <w:p w14:paraId="2C7BA7A7">
      <w:pPr>
        <w:widowControl/>
        <w:ind w:right="176" w:firstLine="420"/>
        <w:jc w:val="left"/>
        <w:rPr>
          <w:rFonts w:ascii="宋体" w:hAnsi="宋体"/>
          <w:color w:val="auto"/>
          <w:highlight w:val="none"/>
        </w:rPr>
      </w:pPr>
      <w:r>
        <w:rPr>
          <w:rFonts w:hint="eastAsia" w:ascii="宋体" w:hAnsi="宋体"/>
          <w:color w:val="auto"/>
          <w:highlight w:val="none"/>
        </w:rPr>
        <w:t>49.1采购人应当按照招标文件和合同规定的标准和方法，及时组织验收。</w:t>
      </w:r>
    </w:p>
    <w:p w14:paraId="7B1BEEB0">
      <w:pPr>
        <w:rPr>
          <w:rFonts w:ascii="黑体" w:hAnsi="宋体" w:eastAsia="黑体"/>
          <w:color w:val="auto"/>
          <w:sz w:val="24"/>
          <w:highlight w:val="none"/>
        </w:rPr>
      </w:pPr>
      <w:r>
        <w:rPr>
          <w:rFonts w:hint="eastAsia" w:ascii="黑体" w:hAnsi="宋体" w:eastAsia="黑体"/>
          <w:color w:val="auto"/>
          <w:sz w:val="24"/>
          <w:highlight w:val="none"/>
        </w:rPr>
        <w:t>50. 宣传</w:t>
      </w:r>
    </w:p>
    <w:p w14:paraId="4547450B">
      <w:pPr>
        <w:ind w:left="210" w:leftChars="100" w:firstLine="411" w:firstLineChars="196"/>
        <w:rPr>
          <w:rFonts w:ascii="宋体" w:hAnsi="宋体"/>
          <w:color w:val="auto"/>
          <w:highlight w:val="none"/>
        </w:rPr>
      </w:pPr>
      <w:r>
        <w:rPr>
          <w:rFonts w:hint="eastAsia" w:ascii="宋体" w:hAnsi="宋体"/>
          <w:color w:val="auto"/>
          <w:highlight w:val="none"/>
        </w:rPr>
        <w:t>凡与政府采购活动有关的宣传或广告，若当中提及政府采购，</w:t>
      </w:r>
      <w:r>
        <w:rPr>
          <w:rFonts w:ascii="宋体" w:hAnsi="宋体"/>
          <w:color w:val="auto"/>
          <w:highlight w:val="none"/>
        </w:rPr>
        <w:t>必须事先将具体对外宣传方案报</w:t>
      </w:r>
      <w:r>
        <w:rPr>
          <w:rFonts w:hint="eastAsia" w:ascii="宋体" w:hAnsi="宋体"/>
          <w:color w:val="auto"/>
          <w:highlight w:val="none"/>
        </w:rPr>
        <w:t>同级财政部门</w:t>
      </w:r>
      <w:r>
        <w:rPr>
          <w:rFonts w:ascii="宋体" w:hAnsi="宋体"/>
          <w:color w:val="auto"/>
          <w:highlight w:val="none"/>
        </w:rPr>
        <w:t>和</w:t>
      </w:r>
      <w:r>
        <w:rPr>
          <w:rFonts w:hint="eastAsia" w:ascii="宋体" w:hAnsi="宋体"/>
          <w:color w:val="auto"/>
          <w:highlight w:val="none"/>
        </w:rPr>
        <w:t>政府集中采购机构</w:t>
      </w:r>
      <w:r>
        <w:rPr>
          <w:rFonts w:ascii="宋体" w:hAnsi="宋体"/>
          <w:color w:val="auto"/>
          <w:highlight w:val="none"/>
        </w:rPr>
        <w:t>，并征得其同意。对外市场宣传包括但不限于以下形式：</w:t>
      </w:r>
    </w:p>
    <w:p w14:paraId="5807A688">
      <w:pPr>
        <w:ind w:left="210" w:leftChars="100" w:firstLine="411" w:firstLineChars="196"/>
        <w:rPr>
          <w:rFonts w:ascii="宋体" w:hAnsi="宋体"/>
          <w:color w:val="auto"/>
          <w:highlight w:val="none"/>
        </w:rPr>
      </w:pPr>
      <w:r>
        <w:rPr>
          <w:rFonts w:ascii="宋体" w:hAnsi="宋体"/>
          <w:color w:val="auto"/>
          <w:highlight w:val="none"/>
        </w:rPr>
        <w:t>a.名片、宣传册、广告标语等；</w:t>
      </w:r>
    </w:p>
    <w:p w14:paraId="2BB9E872">
      <w:pPr>
        <w:ind w:left="210" w:leftChars="100" w:firstLine="411" w:firstLineChars="196"/>
        <w:rPr>
          <w:rFonts w:ascii="宋体" w:hAnsi="宋体"/>
          <w:color w:val="auto"/>
          <w:highlight w:val="none"/>
        </w:rPr>
      </w:pPr>
      <w:r>
        <w:rPr>
          <w:rFonts w:ascii="宋体" w:hAnsi="宋体"/>
          <w:color w:val="auto"/>
          <w:highlight w:val="none"/>
        </w:rPr>
        <w:t>b.案例介绍、推广等；</w:t>
      </w:r>
    </w:p>
    <w:p w14:paraId="7A4A5721">
      <w:pPr>
        <w:ind w:left="210" w:leftChars="100" w:firstLine="411" w:firstLineChars="196"/>
        <w:rPr>
          <w:rFonts w:ascii="宋体" w:hAnsi="宋体"/>
          <w:color w:val="auto"/>
          <w:highlight w:val="none"/>
        </w:rPr>
      </w:pPr>
      <w:r>
        <w:rPr>
          <w:rFonts w:hint="eastAsia" w:ascii="宋体" w:hAnsi="宋体"/>
          <w:color w:val="auto"/>
          <w:highlight w:val="none"/>
        </w:rPr>
        <w:t>c.工作</w:t>
      </w:r>
      <w:r>
        <w:rPr>
          <w:rFonts w:ascii="宋体" w:hAnsi="宋体"/>
          <w:color w:val="auto"/>
          <w:highlight w:val="none"/>
        </w:rPr>
        <w:t>人员向其他消费群体宣传。</w:t>
      </w:r>
    </w:p>
    <w:p w14:paraId="44CB71EF">
      <w:pPr>
        <w:rPr>
          <w:rFonts w:ascii="黑体" w:hAnsi="宋体" w:eastAsia="黑体"/>
          <w:color w:val="auto"/>
          <w:sz w:val="24"/>
          <w:highlight w:val="none"/>
        </w:rPr>
      </w:pPr>
      <w:r>
        <w:rPr>
          <w:rFonts w:hint="eastAsia" w:ascii="黑体" w:hAnsi="宋体" w:eastAsia="黑体"/>
          <w:color w:val="auto"/>
          <w:sz w:val="24"/>
          <w:highlight w:val="none"/>
        </w:rPr>
        <w:t>51. 供应商违法责任</w:t>
      </w:r>
    </w:p>
    <w:p w14:paraId="55CE2C3A">
      <w:pPr>
        <w:ind w:firstLine="411" w:firstLineChars="196"/>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1.1</w:t>
      </w:r>
      <w:r>
        <w:rPr>
          <w:rFonts w:hint="eastAsia" w:ascii="宋体" w:hAnsi="宋体"/>
          <w:color w:val="auto"/>
          <w:szCs w:val="21"/>
          <w:highlight w:val="none"/>
        </w:rPr>
        <w:t>供应商在政府采购中，有下列行为之一的，一至三年内禁止其参与本市政府采购，并由主管部门记入供应商诚信档案，处以采购金额千分之十以上千分之二十以下的罚款；情节严重的，取消其参与本</w:t>
      </w:r>
      <w:r>
        <w:rPr>
          <w:rFonts w:hint="eastAsia" w:ascii="宋体" w:hAnsi="宋体"/>
          <w:color w:val="auto"/>
          <w:szCs w:val="21"/>
          <w:highlight w:val="none"/>
          <w:lang w:val="en-US" w:eastAsia="zh-CN"/>
        </w:rPr>
        <w:t>地区</w:t>
      </w:r>
      <w:r>
        <w:rPr>
          <w:rFonts w:hint="eastAsia" w:ascii="宋体" w:hAnsi="宋体"/>
          <w:color w:val="auto"/>
          <w:szCs w:val="21"/>
          <w:highlight w:val="none"/>
        </w:rPr>
        <w:t>政府采购资格，处以采购金额千分之二十以上千分之三十以下的罚款，并由市场监管部门依法吊销其营业执照；给他人造成损失的，依法承担赔偿责任；构成犯罪的，依法追究刑事责任：</w:t>
      </w:r>
    </w:p>
    <w:p w14:paraId="22B21724">
      <w:pPr>
        <w:ind w:firstLine="411" w:firstLineChars="196"/>
        <w:rPr>
          <w:rFonts w:ascii="宋体" w:hAnsi="宋体"/>
          <w:color w:val="auto"/>
          <w:szCs w:val="21"/>
          <w:highlight w:val="none"/>
        </w:rPr>
      </w:pPr>
      <w:r>
        <w:rPr>
          <w:rFonts w:hint="eastAsia" w:ascii="宋体" w:hAnsi="宋体"/>
          <w:color w:val="auto"/>
          <w:szCs w:val="21"/>
          <w:highlight w:val="none"/>
        </w:rPr>
        <w:t>（1）在采购活动中应当回避而未回避的；</w:t>
      </w:r>
    </w:p>
    <w:p w14:paraId="09025CFF">
      <w:pPr>
        <w:ind w:firstLine="411" w:firstLineChars="196"/>
        <w:rPr>
          <w:rFonts w:ascii="宋体" w:hAnsi="宋体"/>
          <w:color w:val="auto"/>
          <w:szCs w:val="21"/>
          <w:highlight w:val="none"/>
        </w:rPr>
      </w:pPr>
      <w:r>
        <w:rPr>
          <w:rFonts w:hint="eastAsia" w:ascii="宋体" w:hAnsi="宋体"/>
          <w:color w:val="auto"/>
          <w:szCs w:val="21"/>
          <w:highlight w:val="none"/>
        </w:rPr>
        <w:t>（2）未按本条例规定签订、履行采购合同，造成严重后果的；</w:t>
      </w:r>
    </w:p>
    <w:p w14:paraId="6FCC49AA">
      <w:pPr>
        <w:ind w:firstLine="411" w:firstLineChars="196"/>
        <w:rPr>
          <w:rFonts w:ascii="宋体" w:hAnsi="宋体"/>
          <w:color w:val="auto"/>
          <w:szCs w:val="21"/>
          <w:highlight w:val="none"/>
        </w:rPr>
      </w:pPr>
      <w:r>
        <w:rPr>
          <w:rFonts w:hint="eastAsia" w:ascii="宋体" w:hAnsi="宋体"/>
          <w:color w:val="auto"/>
          <w:szCs w:val="21"/>
          <w:highlight w:val="none"/>
        </w:rPr>
        <w:t>（3）隐瞒真实情况，提供虚假资料的；</w:t>
      </w:r>
    </w:p>
    <w:p w14:paraId="6C1E3F54">
      <w:pPr>
        <w:ind w:firstLine="411" w:firstLineChars="196"/>
        <w:rPr>
          <w:rFonts w:ascii="宋体" w:hAnsi="宋体"/>
          <w:color w:val="auto"/>
          <w:szCs w:val="21"/>
          <w:highlight w:val="none"/>
        </w:rPr>
      </w:pPr>
      <w:r>
        <w:rPr>
          <w:rFonts w:hint="eastAsia" w:ascii="宋体" w:hAnsi="宋体"/>
          <w:color w:val="auto"/>
          <w:szCs w:val="21"/>
          <w:highlight w:val="none"/>
        </w:rPr>
        <w:t>（4）以非法手段排斥其他供应商参与竞争的；</w:t>
      </w:r>
    </w:p>
    <w:p w14:paraId="7643A292">
      <w:pPr>
        <w:ind w:firstLine="411" w:firstLineChars="196"/>
        <w:rPr>
          <w:rFonts w:ascii="宋体" w:hAnsi="宋体"/>
          <w:color w:val="auto"/>
          <w:szCs w:val="21"/>
          <w:highlight w:val="none"/>
        </w:rPr>
      </w:pPr>
      <w:r>
        <w:rPr>
          <w:rFonts w:hint="eastAsia" w:ascii="宋体" w:hAnsi="宋体"/>
          <w:color w:val="auto"/>
          <w:szCs w:val="21"/>
          <w:highlight w:val="none"/>
        </w:rPr>
        <w:t>（5）与其他采购参加人串通投标的；</w:t>
      </w:r>
    </w:p>
    <w:p w14:paraId="72914A75">
      <w:pPr>
        <w:ind w:firstLine="411" w:firstLineChars="196"/>
        <w:rPr>
          <w:rFonts w:ascii="宋体" w:hAnsi="宋体"/>
          <w:color w:val="auto"/>
          <w:szCs w:val="21"/>
          <w:highlight w:val="none"/>
        </w:rPr>
      </w:pPr>
      <w:r>
        <w:rPr>
          <w:rFonts w:hint="eastAsia" w:ascii="宋体" w:hAnsi="宋体"/>
          <w:color w:val="auto"/>
          <w:szCs w:val="21"/>
          <w:highlight w:val="none"/>
        </w:rPr>
        <w:t>（6）恶意投诉的；</w:t>
      </w:r>
    </w:p>
    <w:p w14:paraId="1A4F24B2">
      <w:pPr>
        <w:ind w:firstLine="411" w:firstLineChars="196"/>
        <w:rPr>
          <w:rFonts w:ascii="宋体" w:hAnsi="宋体"/>
          <w:color w:val="auto"/>
          <w:szCs w:val="21"/>
          <w:highlight w:val="none"/>
        </w:rPr>
      </w:pPr>
      <w:r>
        <w:rPr>
          <w:rFonts w:hint="eastAsia" w:ascii="宋体" w:hAnsi="宋体"/>
          <w:color w:val="auto"/>
          <w:szCs w:val="21"/>
          <w:highlight w:val="none"/>
        </w:rPr>
        <w:t>（7）向采购项目相关人行贿或者提供其他不当利益的；</w:t>
      </w:r>
    </w:p>
    <w:p w14:paraId="07E0F987">
      <w:pPr>
        <w:ind w:firstLine="411" w:firstLineChars="196"/>
        <w:rPr>
          <w:rFonts w:ascii="宋体" w:hAnsi="宋体"/>
          <w:color w:val="auto"/>
          <w:szCs w:val="21"/>
          <w:highlight w:val="none"/>
        </w:rPr>
      </w:pPr>
      <w:r>
        <w:rPr>
          <w:rFonts w:hint="eastAsia" w:ascii="宋体" w:hAnsi="宋体"/>
          <w:color w:val="auto"/>
          <w:szCs w:val="21"/>
          <w:highlight w:val="none"/>
        </w:rPr>
        <w:t>（8）阻碍、抗拒主管部门监督检查的；</w:t>
      </w:r>
    </w:p>
    <w:p w14:paraId="591CB042">
      <w:pPr>
        <w:ind w:firstLine="411" w:firstLineChars="196"/>
        <w:rPr>
          <w:rFonts w:ascii="宋体" w:hAnsi="宋体"/>
          <w:color w:val="auto"/>
          <w:szCs w:val="21"/>
          <w:highlight w:val="none"/>
        </w:rPr>
      </w:pPr>
      <w:r>
        <w:rPr>
          <w:rFonts w:hint="eastAsia" w:ascii="宋体" w:hAnsi="宋体"/>
          <w:color w:val="auto"/>
          <w:szCs w:val="21"/>
          <w:highlight w:val="none"/>
        </w:rPr>
        <w:t>（9）其他违反本条例规定的行为。</w:t>
      </w:r>
    </w:p>
    <w:p w14:paraId="4E978EBD">
      <w:pPr>
        <w:ind w:firstLine="411" w:firstLineChars="196"/>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1.2 </w:t>
      </w:r>
      <w:r>
        <w:rPr>
          <w:rFonts w:hint="eastAsia" w:ascii="宋体" w:hAnsi="宋体"/>
          <w:color w:val="auto"/>
          <w:szCs w:val="21"/>
          <w:highlight w:val="none"/>
          <w:lang w:val="en-US" w:eastAsia="zh-CN"/>
        </w:rPr>
        <w:t>有下述</w:t>
      </w:r>
      <w:r>
        <w:rPr>
          <w:rFonts w:hint="eastAsia" w:ascii="宋体" w:hAnsi="宋体"/>
          <w:color w:val="auto"/>
          <w:szCs w:val="21"/>
          <w:highlight w:val="none"/>
        </w:rPr>
        <w:t>四条所列情形的，</w:t>
      </w:r>
      <w:bookmarkStart w:id="130" w:name="_Hlk72440769"/>
      <w:r>
        <w:rPr>
          <w:rFonts w:hint="eastAsia" w:ascii="宋体" w:hAnsi="宋体"/>
          <w:color w:val="auto"/>
          <w:szCs w:val="21"/>
          <w:highlight w:val="none"/>
        </w:rPr>
        <w:t>采购人或政府集中采购机构</w:t>
      </w:r>
      <w:bookmarkEnd w:id="130"/>
      <w:r>
        <w:rPr>
          <w:rFonts w:hint="eastAsia" w:ascii="宋体" w:hAnsi="宋体"/>
          <w:color w:val="auto"/>
          <w:szCs w:val="21"/>
          <w:highlight w:val="none"/>
        </w:rPr>
        <w:t>可将有关情况报同级财政部门，由财政部门根据实际情况记入供应商诚信档案，予以通报：</w:t>
      </w:r>
    </w:p>
    <w:p w14:paraId="78EF3498">
      <w:pPr>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）投标截止后，撤销投标的；</w:t>
      </w:r>
    </w:p>
    <w:p w14:paraId="2346E654">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）中标后无正当理由未在规定期限内签订合同的；</w:t>
      </w:r>
    </w:p>
    <w:p w14:paraId="708EA874">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）将中标项目转让给他人、或者在投标文件中未说明且未经采购人、采购招标机构同意，将中标项目分包给他人的；</w:t>
      </w:r>
    </w:p>
    <w:p w14:paraId="399AB2B5">
      <w:pPr>
        <w:ind w:firstLine="411" w:firstLineChars="196"/>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）拒绝履行合同义务的</w:t>
      </w:r>
      <w:r>
        <w:rPr>
          <w:rFonts w:hint="eastAsia" w:ascii="宋体" w:hAnsi="宋体"/>
          <w:color w:val="auto"/>
          <w:szCs w:val="21"/>
          <w:highlight w:val="none"/>
        </w:rPr>
        <w:t>。</w:t>
      </w:r>
    </w:p>
    <w:bookmarkEnd w:id="114"/>
    <w:p w14:paraId="36A63E8E">
      <w:pPr>
        <w:pStyle w:val="7"/>
        <w:numPr>
          <w:ilvl w:val="0"/>
          <w:numId w:val="0"/>
        </w:numPr>
        <w:tabs>
          <w:tab w:val="left" w:pos="360"/>
        </w:tabs>
        <w:spacing w:before="120" w:beforeLines="50" w:after="120" w:afterLines="50"/>
        <w:ind w:leftChars="0" w:firstLine="2530" w:firstLineChars="900"/>
        <w:jc w:val="both"/>
        <w:rPr>
          <w:color w:val="auto"/>
          <w:sz w:val="28"/>
          <w:szCs w:val="28"/>
          <w:highlight w:val="none"/>
        </w:rPr>
      </w:pPr>
      <w:r>
        <w:rPr>
          <w:rFonts w:hint="eastAsia"/>
          <w:color w:val="auto"/>
          <w:sz w:val="28"/>
          <w:szCs w:val="28"/>
          <w:highlight w:val="none"/>
          <w:lang w:val="en-US" w:eastAsia="zh-CN"/>
        </w:rPr>
        <w:t xml:space="preserve">第十一章  </w:t>
      </w:r>
      <w:r>
        <w:rPr>
          <w:rFonts w:hint="eastAsia"/>
          <w:color w:val="auto"/>
          <w:sz w:val="28"/>
          <w:szCs w:val="28"/>
          <w:highlight w:val="none"/>
        </w:rPr>
        <w:t>质疑处理</w:t>
      </w:r>
    </w:p>
    <w:p w14:paraId="47715568">
      <w:pPr>
        <w:rPr>
          <w:rFonts w:ascii="黑体" w:hAnsi="宋体" w:eastAsia="黑体"/>
          <w:color w:val="auto"/>
          <w:sz w:val="24"/>
          <w:highlight w:val="none"/>
        </w:rPr>
      </w:pPr>
      <w:bookmarkStart w:id="131" w:name="_Hlk72439706"/>
      <w:r>
        <w:rPr>
          <w:rFonts w:hint="eastAsia" w:ascii="黑体" w:hAnsi="宋体" w:eastAsia="黑体"/>
          <w:color w:val="auto"/>
          <w:sz w:val="24"/>
          <w:highlight w:val="none"/>
        </w:rPr>
        <w:t>52.质疑提出与答复</w:t>
      </w:r>
    </w:p>
    <w:p w14:paraId="4A7851FE">
      <w:pPr>
        <w:rPr>
          <w:rFonts w:ascii="宋体" w:hAnsi="宋体"/>
          <w:color w:val="auto"/>
          <w:szCs w:val="21"/>
          <w:highlight w:val="none"/>
        </w:rPr>
      </w:pPr>
      <w:r>
        <w:rPr>
          <w:rFonts w:hint="eastAsia" w:ascii="宋体" w:hAnsi="宋体"/>
          <w:color w:val="auto"/>
          <w:szCs w:val="21"/>
          <w:highlight w:val="none"/>
        </w:rPr>
        <w:t xml:space="preserve">    52.1提出质疑</w:t>
      </w:r>
    </w:p>
    <w:p w14:paraId="4E097B30">
      <w:pPr>
        <w:rPr>
          <w:rFonts w:ascii="宋体" w:hAnsi="宋体"/>
          <w:color w:val="auto"/>
          <w:szCs w:val="21"/>
          <w:highlight w:val="none"/>
        </w:rPr>
      </w:pPr>
      <w:r>
        <w:rPr>
          <w:rFonts w:hint="eastAsia" w:ascii="宋体" w:hAnsi="宋体"/>
          <w:color w:val="auto"/>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5DCEBF6">
      <w:pPr>
        <w:rPr>
          <w:rFonts w:ascii="宋体" w:hAnsi="宋体"/>
          <w:color w:val="auto"/>
          <w:szCs w:val="21"/>
          <w:highlight w:val="none"/>
        </w:rPr>
      </w:pPr>
      <w:r>
        <w:rPr>
          <w:rFonts w:hint="eastAsia" w:ascii="宋体" w:hAnsi="宋体"/>
          <w:color w:val="auto"/>
          <w:szCs w:val="21"/>
          <w:highlight w:val="none"/>
        </w:rPr>
        <w:t xml:space="preserve">    52.2</w:t>
      </w:r>
      <w:r>
        <w:rPr>
          <w:rFonts w:ascii="宋体" w:hAnsi="宋体"/>
          <w:color w:val="auto"/>
          <w:szCs w:val="21"/>
          <w:highlight w:val="none"/>
        </w:rPr>
        <w:t>法律依据</w:t>
      </w:r>
    </w:p>
    <w:p w14:paraId="76B303A5">
      <w:pPr>
        <w:rPr>
          <w:rFonts w:ascii="宋体" w:hAnsi="宋体"/>
          <w:color w:val="auto"/>
          <w:szCs w:val="21"/>
          <w:highlight w:val="none"/>
        </w:rPr>
      </w:pPr>
      <w:r>
        <w:rPr>
          <w:rFonts w:hint="eastAsia" w:ascii="宋体" w:hAnsi="宋体"/>
          <w:color w:val="auto"/>
          <w:szCs w:val="21"/>
          <w:highlight w:val="none"/>
        </w:rPr>
        <w:t xml:space="preserve">    《中华人民共和国政府采购法》、《中华人民共和国政府采购法实施条例》、《政府采购质疑和投诉办法》（财政部令第94号）和其他有关法律法规规定。</w:t>
      </w:r>
    </w:p>
    <w:p w14:paraId="55C1458D">
      <w:pPr>
        <w:rPr>
          <w:rFonts w:ascii="宋体" w:hAnsi="宋体"/>
          <w:color w:val="auto"/>
          <w:szCs w:val="21"/>
          <w:highlight w:val="none"/>
        </w:rPr>
      </w:pPr>
      <w:r>
        <w:rPr>
          <w:rFonts w:hint="eastAsia" w:ascii="宋体" w:hAnsi="宋体"/>
          <w:color w:val="auto"/>
          <w:szCs w:val="21"/>
          <w:highlight w:val="none"/>
        </w:rPr>
        <w:t>52.3质疑条件</w:t>
      </w:r>
    </w:p>
    <w:p w14:paraId="5AD90B95">
      <w:pPr>
        <w:rPr>
          <w:rFonts w:ascii="宋体" w:hAnsi="宋体"/>
          <w:color w:val="auto"/>
          <w:szCs w:val="21"/>
          <w:highlight w:val="none"/>
        </w:rPr>
      </w:pPr>
      <w:r>
        <w:rPr>
          <w:rFonts w:hint="eastAsia" w:ascii="宋体" w:hAnsi="宋体"/>
          <w:color w:val="auto"/>
          <w:szCs w:val="21"/>
          <w:highlight w:val="none"/>
        </w:rPr>
        <w:t xml:space="preserve">    52.3.1提出质疑的供应商应当是参与所质疑项目采购活动的供应商；</w:t>
      </w:r>
      <w:bookmarkStart w:id="132" w:name="_Hlk75374941"/>
      <w:r>
        <w:rPr>
          <w:rFonts w:hint="eastAsia" w:ascii="宋体" w:hAnsi="宋体"/>
          <w:color w:val="auto"/>
          <w:szCs w:val="21"/>
          <w:highlight w:val="none"/>
        </w:rPr>
        <w:t>以联合体形式参与的，质疑应当由组成联合体的所有成员共同提出</w:t>
      </w:r>
      <w:bookmarkEnd w:id="132"/>
      <w:r>
        <w:rPr>
          <w:rFonts w:hint="eastAsia" w:ascii="宋体" w:hAnsi="宋体"/>
          <w:color w:val="auto"/>
          <w:szCs w:val="21"/>
          <w:highlight w:val="none"/>
        </w:rPr>
        <w:t>；</w:t>
      </w:r>
    </w:p>
    <w:p w14:paraId="56D20CED">
      <w:pPr>
        <w:rPr>
          <w:rFonts w:ascii="宋体" w:hAnsi="宋体"/>
          <w:color w:val="auto"/>
          <w:szCs w:val="21"/>
          <w:highlight w:val="none"/>
        </w:rPr>
      </w:pPr>
      <w:r>
        <w:rPr>
          <w:rFonts w:hint="eastAsia" w:ascii="宋体" w:hAnsi="宋体"/>
          <w:color w:val="auto"/>
          <w:szCs w:val="21"/>
          <w:highlight w:val="none"/>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43DDDA3">
      <w:pPr>
        <w:ind w:firstLine="420"/>
        <w:rPr>
          <w:rFonts w:ascii="宋体" w:hAnsi="宋体"/>
          <w:color w:val="auto"/>
          <w:szCs w:val="21"/>
          <w:highlight w:val="none"/>
        </w:rPr>
      </w:pPr>
      <w:r>
        <w:rPr>
          <w:rFonts w:hint="eastAsia" w:ascii="宋体" w:hAnsi="宋体"/>
          <w:color w:val="auto"/>
          <w:szCs w:val="21"/>
          <w:highlight w:val="none"/>
        </w:rPr>
        <w:t>52.3.3应提交书面质疑函，质疑函应当包括以下内容：</w:t>
      </w:r>
    </w:p>
    <w:p w14:paraId="1C29C438">
      <w:pPr>
        <w:ind w:firstLine="420"/>
        <w:rPr>
          <w:rFonts w:ascii="宋体" w:hAnsi="宋体"/>
          <w:color w:val="auto"/>
          <w:szCs w:val="21"/>
          <w:highlight w:val="none"/>
        </w:rPr>
      </w:pPr>
      <w:r>
        <w:rPr>
          <w:rFonts w:hint="eastAsia" w:ascii="宋体" w:hAnsi="宋体"/>
          <w:color w:val="auto"/>
          <w:szCs w:val="21"/>
          <w:highlight w:val="none"/>
        </w:rPr>
        <w:t>（1）供应商的名称（或者姓名）、地址、邮编、邮箱、联系人及联系电话；</w:t>
      </w:r>
    </w:p>
    <w:p w14:paraId="666743A4">
      <w:pPr>
        <w:ind w:firstLine="420" w:firstLineChars="200"/>
        <w:rPr>
          <w:rFonts w:ascii="宋体" w:hAnsi="宋体"/>
          <w:color w:val="auto"/>
          <w:szCs w:val="21"/>
          <w:highlight w:val="none"/>
        </w:rPr>
      </w:pPr>
      <w:r>
        <w:rPr>
          <w:rFonts w:hint="eastAsia" w:ascii="宋体" w:hAnsi="宋体"/>
          <w:color w:val="auto"/>
          <w:szCs w:val="21"/>
          <w:highlight w:val="none"/>
        </w:rPr>
        <w:t>（2）质疑项目的名称、编号；</w:t>
      </w:r>
    </w:p>
    <w:p w14:paraId="2B9A0631">
      <w:pPr>
        <w:ind w:firstLine="420" w:firstLineChars="200"/>
        <w:rPr>
          <w:rFonts w:ascii="宋体" w:hAnsi="宋体"/>
          <w:color w:val="auto"/>
          <w:szCs w:val="21"/>
          <w:highlight w:val="none"/>
        </w:rPr>
      </w:pPr>
      <w:r>
        <w:rPr>
          <w:rFonts w:hint="eastAsia" w:ascii="宋体" w:hAnsi="宋体"/>
          <w:color w:val="auto"/>
          <w:szCs w:val="21"/>
          <w:highlight w:val="none"/>
        </w:rPr>
        <w:t>（3）具体、明确的质疑对象、质疑事项和质疑请求；</w:t>
      </w:r>
    </w:p>
    <w:p w14:paraId="45D5AB54">
      <w:pPr>
        <w:ind w:firstLine="420" w:firstLineChars="200"/>
        <w:rPr>
          <w:rFonts w:ascii="宋体" w:hAnsi="宋体"/>
          <w:color w:val="auto"/>
          <w:szCs w:val="21"/>
          <w:highlight w:val="none"/>
        </w:rPr>
      </w:pPr>
      <w:r>
        <w:rPr>
          <w:rFonts w:hint="eastAsia" w:ascii="宋体" w:hAnsi="宋体"/>
          <w:color w:val="auto"/>
          <w:szCs w:val="21"/>
          <w:highlight w:val="none"/>
        </w:rPr>
        <w:t>（4）因质疑事项而受损害的权益；</w:t>
      </w:r>
    </w:p>
    <w:p w14:paraId="1A862491">
      <w:pPr>
        <w:ind w:firstLine="420" w:firstLineChars="200"/>
        <w:rPr>
          <w:rFonts w:ascii="宋体" w:hAnsi="宋体"/>
          <w:color w:val="auto"/>
          <w:szCs w:val="21"/>
          <w:highlight w:val="none"/>
        </w:rPr>
      </w:pPr>
      <w:r>
        <w:rPr>
          <w:rFonts w:hint="eastAsia" w:ascii="宋体" w:hAnsi="宋体"/>
          <w:color w:val="auto"/>
          <w:szCs w:val="21"/>
          <w:highlight w:val="none"/>
        </w:rPr>
        <w:t>（5）事实依据；</w:t>
      </w:r>
    </w:p>
    <w:p w14:paraId="46165A7B">
      <w:pPr>
        <w:ind w:firstLine="420" w:firstLineChars="200"/>
        <w:rPr>
          <w:rFonts w:ascii="宋体" w:hAnsi="宋体"/>
          <w:color w:val="auto"/>
          <w:szCs w:val="21"/>
          <w:highlight w:val="none"/>
        </w:rPr>
      </w:pPr>
      <w:r>
        <w:rPr>
          <w:rFonts w:hint="eastAsia" w:ascii="宋体" w:hAnsi="宋体"/>
          <w:color w:val="auto"/>
          <w:szCs w:val="21"/>
          <w:highlight w:val="none"/>
        </w:rPr>
        <w:t>（6）必要的法律依据；</w:t>
      </w:r>
    </w:p>
    <w:p w14:paraId="3841F33A">
      <w:pPr>
        <w:ind w:firstLine="420" w:firstLineChars="200"/>
        <w:rPr>
          <w:rFonts w:ascii="宋体" w:hAnsi="宋体"/>
          <w:color w:val="auto"/>
          <w:szCs w:val="21"/>
          <w:highlight w:val="none"/>
        </w:rPr>
      </w:pPr>
      <w:r>
        <w:rPr>
          <w:rFonts w:hint="eastAsia" w:ascii="宋体" w:hAnsi="宋体"/>
          <w:color w:val="auto"/>
          <w:szCs w:val="21"/>
          <w:highlight w:val="none"/>
        </w:rPr>
        <w:t>（7）提出质疑的日期。</w:t>
      </w:r>
    </w:p>
    <w:p w14:paraId="7D55C958">
      <w:pPr>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供应商为自然人的，应当由本人签字；供应商为法人或者其他组织的，应当由法定代表人（负责人），或者其授权代理人签字或者盖章，并加盖公章。</w:t>
      </w:r>
    </w:p>
    <w:p w14:paraId="0804D936">
      <w:pPr>
        <w:ind w:firstLine="420" w:firstLineChars="200"/>
        <w:rPr>
          <w:rFonts w:ascii="宋体" w:hAnsi="宋体"/>
          <w:color w:val="auto"/>
          <w:szCs w:val="21"/>
          <w:highlight w:val="none"/>
        </w:rPr>
      </w:pPr>
      <w:r>
        <w:rPr>
          <w:rFonts w:hint="eastAsia" w:ascii="宋体" w:hAnsi="宋体"/>
          <w:color w:val="auto"/>
          <w:szCs w:val="21"/>
          <w:highlight w:val="none"/>
        </w:rPr>
        <w:t>52.4提交</w:t>
      </w:r>
      <w:r>
        <w:rPr>
          <w:rFonts w:ascii="宋体" w:hAnsi="宋体"/>
          <w:color w:val="auto"/>
          <w:szCs w:val="21"/>
          <w:highlight w:val="none"/>
        </w:rPr>
        <w:t>材料</w:t>
      </w:r>
    </w:p>
    <w:p w14:paraId="6CFE7D24">
      <w:pPr>
        <w:ind w:firstLine="420" w:firstLineChars="200"/>
        <w:rPr>
          <w:rFonts w:ascii="宋体" w:hAnsi="宋体"/>
          <w:color w:val="auto"/>
          <w:szCs w:val="21"/>
          <w:highlight w:val="none"/>
        </w:rPr>
      </w:pPr>
      <w:r>
        <w:rPr>
          <w:rFonts w:hint="eastAsia" w:ascii="宋体" w:hAnsi="宋体"/>
          <w:color w:val="auto"/>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1AC751C8">
      <w:pPr>
        <w:ind w:firstLine="420" w:firstLineChars="200"/>
        <w:rPr>
          <w:rFonts w:ascii="宋体" w:hAnsi="宋体"/>
          <w:color w:val="auto"/>
          <w:szCs w:val="21"/>
          <w:highlight w:val="none"/>
        </w:rPr>
      </w:pPr>
      <w:r>
        <w:rPr>
          <w:rFonts w:hint="eastAsia" w:ascii="宋体" w:hAnsi="宋体"/>
          <w:color w:val="auto"/>
          <w:szCs w:val="21"/>
          <w:highlight w:val="none"/>
        </w:rPr>
        <w:t>供应商可以委托代理人进行质疑。</w:t>
      </w:r>
      <w:r>
        <w:rPr>
          <w:rFonts w:ascii="宋体" w:hAnsi="宋体"/>
          <w:color w:val="auto"/>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4EFF75">
      <w:pPr>
        <w:ind w:firstLine="420" w:firstLineChars="200"/>
        <w:rPr>
          <w:rFonts w:ascii="宋体" w:hAnsi="宋体"/>
          <w:color w:val="auto"/>
          <w:szCs w:val="21"/>
          <w:highlight w:val="none"/>
        </w:rPr>
      </w:pPr>
      <w:r>
        <w:rPr>
          <w:rFonts w:hint="eastAsia" w:ascii="宋体" w:hAnsi="宋体"/>
          <w:color w:val="auto"/>
          <w:szCs w:val="21"/>
          <w:highlight w:val="none"/>
        </w:rPr>
        <w:t>52.5提交方式</w:t>
      </w:r>
    </w:p>
    <w:p w14:paraId="2A3A1BB4">
      <w:pPr>
        <w:ind w:firstLine="420" w:firstLineChars="200"/>
        <w:rPr>
          <w:rFonts w:ascii="宋体" w:hAnsi="宋体"/>
          <w:b/>
          <w:bCs/>
          <w:color w:val="auto"/>
          <w:szCs w:val="21"/>
          <w:highlight w:val="none"/>
        </w:rPr>
      </w:pPr>
      <w:r>
        <w:rPr>
          <w:rFonts w:hint="eastAsia" w:ascii="宋体" w:hAnsi="宋体"/>
          <w:color w:val="auto"/>
          <w:szCs w:val="21"/>
          <w:highlight w:val="none"/>
        </w:rPr>
        <w:t>5</w:t>
      </w:r>
      <w:r>
        <w:rPr>
          <w:rFonts w:ascii="宋体" w:hAnsi="宋体"/>
          <w:color w:val="auto"/>
          <w:szCs w:val="21"/>
          <w:highlight w:val="none"/>
        </w:rPr>
        <w:t>2.5.</w:t>
      </w:r>
      <w:r>
        <w:rPr>
          <w:rFonts w:hint="eastAsia" w:ascii="宋体" w:hAnsi="宋体"/>
          <w:color w:val="auto"/>
          <w:szCs w:val="21"/>
          <w:highlight w:val="none"/>
          <w:lang w:val="en-US" w:eastAsia="zh-CN"/>
        </w:rPr>
        <w:t>1</w:t>
      </w:r>
      <w:r>
        <w:rPr>
          <w:rFonts w:hint="eastAsia" w:ascii="宋体" w:hAnsi="宋体"/>
          <w:color w:val="auto"/>
          <w:szCs w:val="21"/>
          <w:highlight w:val="none"/>
        </w:rPr>
        <w:t>请质疑供应商根据</w:t>
      </w:r>
      <w:r>
        <w:rPr>
          <w:rFonts w:hint="eastAsia" w:ascii="宋体" w:hAnsi="宋体"/>
          <w:color w:val="auto"/>
          <w:szCs w:val="21"/>
          <w:highlight w:val="none"/>
          <w:lang w:val="en-US" w:eastAsia="zh-CN"/>
        </w:rPr>
        <w:t>附件质疑函范本</w:t>
      </w:r>
      <w:r>
        <w:rPr>
          <w:rFonts w:hint="eastAsia" w:ascii="宋体" w:hAnsi="宋体"/>
          <w:color w:val="auto"/>
          <w:szCs w:val="21"/>
          <w:highlight w:val="none"/>
        </w:rPr>
        <w:t>所发布的质疑指引、质疑函模板填写质疑函并提交</w:t>
      </w:r>
      <w:r>
        <w:rPr>
          <w:rFonts w:hint="eastAsia" w:ascii="宋体" w:hAnsi="宋体"/>
          <w:color w:val="auto"/>
          <w:szCs w:val="21"/>
          <w:highlight w:val="none"/>
          <w:lang w:val="en-US" w:eastAsia="zh-CN"/>
        </w:rPr>
        <w:t>书面</w:t>
      </w:r>
      <w:r>
        <w:rPr>
          <w:rFonts w:hint="eastAsia" w:ascii="宋体" w:hAnsi="宋体"/>
          <w:color w:val="auto"/>
          <w:szCs w:val="21"/>
          <w:highlight w:val="none"/>
        </w:rPr>
        <w:t>质疑材料。</w:t>
      </w:r>
      <w:r>
        <w:rPr>
          <w:rFonts w:hint="eastAsia" w:ascii="宋体" w:hAnsi="宋体"/>
          <w:b/>
          <w:bCs/>
          <w:color w:val="auto"/>
          <w:szCs w:val="21"/>
          <w:highlight w:val="none"/>
        </w:rPr>
        <w:t>地址：</w:t>
      </w:r>
      <w:r>
        <w:rPr>
          <w:rFonts w:hint="eastAsia" w:ascii="宋体" w:hAnsi="宋体"/>
          <w:b/>
          <w:bCs/>
          <w:color w:val="auto"/>
          <w:szCs w:val="21"/>
          <w:highlight w:val="none"/>
          <w:lang w:val="en-US" w:eastAsia="zh-CN"/>
        </w:rPr>
        <w:t>新疆库尔勒市索克巴格路州住建大厦14楼政府采购交易科，</w:t>
      </w:r>
      <w:r>
        <w:rPr>
          <w:rFonts w:hint="eastAsia" w:ascii="宋体" w:hAnsi="宋体"/>
          <w:b/>
          <w:bCs/>
          <w:color w:val="auto"/>
          <w:szCs w:val="21"/>
          <w:highlight w:val="none"/>
        </w:rPr>
        <w:t>质疑咨询电话：</w:t>
      </w:r>
      <w:r>
        <w:rPr>
          <w:rFonts w:hint="eastAsia" w:ascii="宋体" w:hAnsi="宋体"/>
          <w:b/>
          <w:bCs/>
          <w:color w:val="auto"/>
          <w:szCs w:val="21"/>
          <w:highlight w:val="none"/>
          <w:lang w:val="en-US" w:eastAsia="zh-CN"/>
        </w:rPr>
        <w:t>0996-2035295</w:t>
      </w:r>
      <w:r>
        <w:rPr>
          <w:rFonts w:hint="eastAsia" w:ascii="宋体" w:hAnsi="宋体"/>
          <w:b/>
          <w:bCs/>
          <w:color w:val="auto"/>
          <w:szCs w:val="21"/>
          <w:highlight w:val="none"/>
        </w:rPr>
        <w:t>。</w:t>
      </w:r>
    </w:p>
    <w:p w14:paraId="58F1F7DC">
      <w:pPr>
        <w:ind w:firstLine="420" w:firstLineChars="200"/>
        <w:rPr>
          <w:rFonts w:ascii="宋体" w:hAnsi="宋体"/>
          <w:color w:val="auto"/>
          <w:szCs w:val="21"/>
          <w:highlight w:val="none"/>
        </w:rPr>
      </w:pPr>
      <w:r>
        <w:rPr>
          <w:rFonts w:hint="eastAsia" w:ascii="宋体" w:hAnsi="宋体"/>
          <w:color w:val="auto"/>
          <w:szCs w:val="21"/>
          <w:highlight w:val="none"/>
        </w:rPr>
        <w:t>52.6收文办理</w:t>
      </w:r>
      <w:r>
        <w:rPr>
          <w:rFonts w:ascii="宋体" w:hAnsi="宋体"/>
          <w:color w:val="auto"/>
          <w:szCs w:val="21"/>
          <w:highlight w:val="none"/>
        </w:rPr>
        <w:t>程序</w:t>
      </w:r>
    </w:p>
    <w:p w14:paraId="37B11969">
      <w:pPr>
        <w:ind w:firstLine="420" w:firstLineChars="200"/>
        <w:rPr>
          <w:rFonts w:ascii="宋体" w:hAnsi="宋体"/>
          <w:color w:val="auto"/>
          <w:szCs w:val="21"/>
          <w:highlight w:val="none"/>
        </w:rPr>
      </w:pPr>
      <w:r>
        <w:rPr>
          <w:rFonts w:hint="eastAsia" w:ascii="宋体" w:hAnsi="宋体"/>
          <w:color w:val="auto"/>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4C7723A">
      <w:pPr>
        <w:ind w:firstLine="420" w:firstLineChars="200"/>
        <w:rPr>
          <w:rFonts w:ascii="仿宋" w:hAnsi="仿宋" w:eastAsia="仿宋"/>
          <w:color w:val="auto"/>
          <w:sz w:val="28"/>
          <w:szCs w:val="28"/>
          <w:highlight w:val="none"/>
        </w:rPr>
      </w:pPr>
      <w:r>
        <w:rPr>
          <w:rFonts w:hint="eastAsia" w:ascii="宋体" w:hAnsi="宋体"/>
          <w:color w:val="auto"/>
          <w:szCs w:val="21"/>
          <w:highlight w:val="none"/>
        </w:rPr>
        <w:t>52.6.2供应商提交的质疑材料不符合质疑条件的，视情况处理：</w:t>
      </w:r>
    </w:p>
    <w:p w14:paraId="69D0AB37">
      <w:pPr>
        <w:ind w:firstLine="420" w:firstLineChars="200"/>
        <w:rPr>
          <w:rFonts w:ascii="宋体" w:hAnsi="宋体"/>
          <w:color w:val="auto"/>
          <w:szCs w:val="21"/>
          <w:highlight w:val="none"/>
        </w:rPr>
      </w:pPr>
      <w:r>
        <w:rPr>
          <w:rFonts w:hint="eastAsia" w:ascii="宋体" w:hAnsi="宋体"/>
          <w:color w:val="auto"/>
          <w:szCs w:val="21"/>
          <w:highlight w:val="none"/>
        </w:rPr>
        <w:t>供应商提交的质疑材料不全或者未按要求签字或者盖章的，政府集中采购机构应当一次性告知供应商需补正的内容和补正期限。</w:t>
      </w:r>
    </w:p>
    <w:p w14:paraId="34CB7077">
      <w:pPr>
        <w:ind w:firstLine="420" w:firstLineChars="200"/>
        <w:rPr>
          <w:rFonts w:ascii="宋体" w:hAnsi="宋体"/>
          <w:color w:val="auto"/>
          <w:szCs w:val="21"/>
          <w:highlight w:val="none"/>
        </w:rPr>
      </w:pPr>
      <w:r>
        <w:rPr>
          <w:rFonts w:hint="eastAsia" w:ascii="宋体" w:hAnsi="宋体"/>
          <w:color w:val="auto"/>
          <w:szCs w:val="21"/>
          <w:highlight w:val="none"/>
        </w:rPr>
        <w:t>供应商提交的质疑存在下列情形之一的，不予受理：</w:t>
      </w:r>
    </w:p>
    <w:p w14:paraId="54A035E3">
      <w:pPr>
        <w:ind w:firstLine="420" w:firstLineChars="200"/>
        <w:rPr>
          <w:rFonts w:ascii="宋体" w:hAnsi="宋体"/>
          <w:color w:val="auto"/>
          <w:szCs w:val="21"/>
          <w:highlight w:val="none"/>
        </w:rPr>
      </w:pPr>
      <w:r>
        <w:rPr>
          <w:rFonts w:hint="eastAsia" w:ascii="宋体" w:hAnsi="宋体"/>
          <w:color w:val="auto"/>
          <w:szCs w:val="21"/>
          <w:highlight w:val="none"/>
        </w:rPr>
        <w:t>（1）质疑主体不满足要求的；</w:t>
      </w:r>
    </w:p>
    <w:p w14:paraId="35EAB686">
      <w:pPr>
        <w:ind w:firstLine="420" w:firstLineChars="200"/>
        <w:rPr>
          <w:rFonts w:ascii="宋体" w:hAnsi="宋体"/>
          <w:color w:val="auto"/>
          <w:szCs w:val="21"/>
          <w:highlight w:val="none"/>
        </w:rPr>
      </w:pPr>
      <w:r>
        <w:rPr>
          <w:rFonts w:hint="eastAsia" w:ascii="宋体" w:hAnsi="宋体"/>
          <w:color w:val="auto"/>
          <w:szCs w:val="21"/>
          <w:highlight w:val="none"/>
        </w:rPr>
        <w:t>（2）供应商自身权益未受到损害的；</w:t>
      </w:r>
    </w:p>
    <w:p w14:paraId="107CACD9">
      <w:pPr>
        <w:ind w:firstLine="420" w:firstLineChars="200"/>
        <w:rPr>
          <w:rFonts w:ascii="宋体" w:hAnsi="宋体"/>
          <w:color w:val="auto"/>
          <w:szCs w:val="21"/>
          <w:highlight w:val="none"/>
        </w:rPr>
      </w:pPr>
      <w:r>
        <w:rPr>
          <w:rFonts w:hint="eastAsia" w:ascii="宋体" w:hAnsi="宋体"/>
          <w:color w:val="auto"/>
          <w:szCs w:val="21"/>
          <w:highlight w:val="none"/>
        </w:rPr>
        <w:t>（3）供应商未在法定质疑期限内提出质疑的；</w:t>
      </w:r>
    </w:p>
    <w:p w14:paraId="76128D41">
      <w:pPr>
        <w:ind w:firstLine="420" w:firstLineChars="200"/>
        <w:rPr>
          <w:rFonts w:ascii="宋体" w:hAnsi="宋体"/>
          <w:color w:val="auto"/>
          <w:szCs w:val="21"/>
          <w:highlight w:val="none"/>
        </w:rPr>
      </w:pPr>
      <w:r>
        <w:rPr>
          <w:rFonts w:hint="eastAsia" w:ascii="宋体" w:hAnsi="宋体"/>
          <w:color w:val="auto"/>
          <w:szCs w:val="21"/>
          <w:highlight w:val="none"/>
        </w:rPr>
        <w:t>（4）质疑材料不全或者未按要求签字或者盖章的情况下，要求补正后，逾期未补正或者补正后仍不符合规定的；</w:t>
      </w:r>
    </w:p>
    <w:p w14:paraId="4781CB52">
      <w:pPr>
        <w:ind w:firstLine="420" w:firstLineChars="200"/>
        <w:rPr>
          <w:rFonts w:ascii="宋体" w:hAnsi="宋体"/>
          <w:color w:val="auto"/>
          <w:szCs w:val="21"/>
          <w:highlight w:val="none"/>
        </w:rPr>
      </w:pPr>
      <w:r>
        <w:rPr>
          <w:rFonts w:hint="eastAsia" w:ascii="宋体" w:hAnsi="宋体"/>
          <w:color w:val="auto"/>
          <w:szCs w:val="21"/>
          <w:highlight w:val="none"/>
        </w:rPr>
        <w:t>（5）其他不符合受理条件情形的。</w:t>
      </w:r>
    </w:p>
    <w:p w14:paraId="1FE01571">
      <w:pPr>
        <w:ind w:firstLine="420" w:firstLineChars="200"/>
        <w:rPr>
          <w:rFonts w:ascii="宋体" w:hAnsi="宋体"/>
          <w:color w:val="auto"/>
          <w:szCs w:val="21"/>
          <w:highlight w:val="none"/>
        </w:rPr>
      </w:pPr>
      <w:r>
        <w:rPr>
          <w:rFonts w:hint="eastAsia" w:ascii="宋体" w:hAnsi="宋体"/>
          <w:color w:val="auto"/>
          <w:szCs w:val="21"/>
          <w:highlight w:val="none"/>
        </w:rPr>
        <w:t>质疑事项不予受理的，政府集中采购机构应当向供应商出具不符合质疑条件告知书。</w:t>
      </w:r>
    </w:p>
    <w:p w14:paraId="72C347EF">
      <w:pPr>
        <w:rPr>
          <w:rFonts w:ascii="宋体" w:hAnsi="宋体"/>
          <w:color w:val="auto"/>
          <w:szCs w:val="21"/>
          <w:highlight w:val="none"/>
        </w:rPr>
      </w:pPr>
      <w:r>
        <w:rPr>
          <w:rFonts w:hint="eastAsia" w:ascii="宋体" w:hAnsi="宋体"/>
          <w:color w:val="auto"/>
          <w:szCs w:val="21"/>
          <w:highlight w:val="none"/>
        </w:rPr>
        <w:t xml:space="preserve">  52.7质疑答复时限</w:t>
      </w:r>
    </w:p>
    <w:p w14:paraId="439C0466">
      <w:pPr>
        <w:rPr>
          <w:rFonts w:ascii="宋体" w:hAnsi="宋体"/>
          <w:color w:val="auto"/>
          <w:szCs w:val="21"/>
          <w:highlight w:val="none"/>
        </w:rPr>
      </w:pPr>
      <w:r>
        <w:rPr>
          <w:rFonts w:hint="eastAsia" w:ascii="宋体" w:hAnsi="宋体"/>
          <w:color w:val="auto"/>
          <w:szCs w:val="21"/>
          <w:highlight w:val="none"/>
        </w:rPr>
        <w:t xml:space="preserve">    自收文之日起七个工作日内。</w:t>
      </w:r>
    </w:p>
    <w:p w14:paraId="56D2EBB5">
      <w:pPr>
        <w:rPr>
          <w:rFonts w:ascii="宋体" w:hAnsi="宋体"/>
          <w:color w:val="auto"/>
          <w:szCs w:val="21"/>
          <w:highlight w:val="none"/>
        </w:rPr>
      </w:pPr>
      <w:r>
        <w:rPr>
          <w:rFonts w:hint="eastAsia" w:ascii="宋体" w:hAnsi="宋体"/>
          <w:color w:val="auto"/>
          <w:szCs w:val="21"/>
          <w:highlight w:val="none"/>
        </w:rPr>
        <w:t xml:space="preserve">    52.8投诉</w:t>
      </w:r>
    </w:p>
    <w:p w14:paraId="7AA3B6AE">
      <w:pPr>
        <w:rPr>
          <w:rFonts w:ascii="宋体" w:hAnsi="宋体"/>
          <w:color w:val="auto"/>
          <w:szCs w:val="21"/>
          <w:highlight w:val="none"/>
        </w:rPr>
      </w:pPr>
      <w:r>
        <w:rPr>
          <w:rFonts w:hint="eastAsia" w:ascii="宋体" w:hAnsi="宋体"/>
          <w:color w:val="auto"/>
          <w:szCs w:val="21"/>
          <w:highlight w:val="none"/>
        </w:rPr>
        <w:t xml:space="preserve">    对质疑答复不满意或者未在规定时间内答复的，提出质疑的供应商可以在答复期满后15个工作日内向同级财政部门投诉。</w:t>
      </w:r>
    </w:p>
    <w:p w14:paraId="6E57DBEB">
      <w:pPr>
        <w:rPr>
          <w:rFonts w:ascii="黑体" w:hAnsi="宋体" w:eastAsia="黑体"/>
          <w:color w:val="auto"/>
          <w:sz w:val="24"/>
          <w:highlight w:val="none"/>
        </w:rPr>
      </w:pPr>
      <w:r>
        <w:rPr>
          <w:rFonts w:hint="eastAsia" w:ascii="黑体" w:hAnsi="宋体" w:eastAsia="黑体"/>
          <w:color w:val="auto"/>
          <w:sz w:val="24"/>
          <w:highlight w:val="none"/>
        </w:rPr>
        <w:t>53. 质疑后续处理</w:t>
      </w:r>
    </w:p>
    <w:p w14:paraId="055632CB">
      <w:pPr>
        <w:rPr>
          <w:rFonts w:ascii="宋体" w:hAnsi="宋体"/>
          <w:color w:val="auto"/>
          <w:szCs w:val="21"/>
          <w:highlight w:val="none"/>
        </w:rPr>
      </w:pPr>
      <w:r>
        <w:rPr>
          <w:rFonts w:hint="eastAsia" w:ascii="宋体" w:hAnsi="宋体"/>
          <w:color w:val="auto"/>
          <w:szCs w:val="21"/>
          <w:highlight w:val="none"/>
        </w:rPr>
        <w:t xml:space="preserve">    53.1供应商质疑不成立，或者成立但未对中标、成交结果构成影响的，继续开展采购活动。</w:t>
      </w:r>
    </w:p>
    <w:p w14:paraId="7E1C6302">
      <w:pPr>
        <w:rPr>
          <w:rFonts w:ascii="宋体" w:hAnsi="宋体"/>
          <w:color w:val="auto"/>
          <w:szCs w:val="21"/>
          <w:highlight w:val="none"/>
        </w:rPr>
      </w:pPr>
      <w:r>
        <w:rPr>
          <w:rFonts w:hint="eastAsia" w:ascii="宋体" w:hAnsi="宋体"/>
          <w:color w:val="auto"/>
          <w:szCs w:val="21"/>
          <w:highlight w:val="none"/>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bookmarkEnd w:id="131"/>
    <w:p w14:paraId="26D05DE5">
      <w:pPr>
        <w:rPr>
          <w:rFonts w:ascii="宋体" w:hAnsi="宋体"/>
          <w:color w:val="auto"/>
          <w:szCs w:val="21"/>
          <w:highlight w:val="none"/>
        </w:rPr>
      </w:pPr>
    </w:p>
    <w:p w14:paraId="4F893314">
      <w:pPr>
        <w:rPr>
          <w:rFonts w:ascii="宋体" w:hAnsi="宋体"/>
          <w:b/>
          <w:bCs/>
          <w:color w:val="auto"/>
          <w:kern w:val="0"/>
          <w:sz w:val="28"/>
          <w:szCs w:val="28"/>
          <w:highlight w:val="none"/>
        </w:rPr>
      </w:pPr>
    </w:p>
    <w:p w14:paraId="0A987767">
      <w:pPr>
        <w:jc w:val="both"/>
        <w:rPr>
          <w:rFonts w:hint="eastAsia" w:ascii="方正黑体_GBK" w:hAnsi="方正黑体_GBK" w:eastAsia="方正黑体_GBK" w:cs="方正黑体_GBK"/>
          <w:b/>
          <w:bCs/>
          <w:color w:val="auto"/>
          <w:sz w:val="30"/>
          <w:szCs w:val="30"/>
          <w:highlight w:val="none"/>
        </w:rPr>
      </w:pPr>
    </w:p>
    <w:p w14:paraId="6FAEBE0F">
      <w:pPr>
        <w:jc w:val="center"/>
        <w:rPr>
          <w:rFonts w:hint="eastAsia" w:ascii="方正黑体_GBK" w:hAnsi="方正黑体_GBK" w:eastAsia="方正黑体_GBK" w:cs="方正黑体_GBK"/>
          <w:b/>
          <w:bCs/>
          <w:color w:val="auto"/>
          <w:sz w:val="30"/>
          <w:szCs w:val="30"/>
          <w:highlight w:val="none"/>
        </w:rPr>
      </w:pPr>
      <w:r>
        <w:rPr>
          <w:rFonts w:hint="eastAsia" w:ascii="方正黑体_GBK" w:hAnsi="方正黑体_GBK" w:eastAsia="方正黑体_GBK" w:cs="方正黑体_GBK"/>
          <w:b/>
          <w:bCs/>
          <w:color w:val="auto"/>
          <w:sz w:val="30"/>
          <w:szCs w:val="30"/>
          <w:highlight w:val="none"/>
        </w:rPr>
        <w:t>质疑函范本</w:t>
      </w:r>
    </w:p>
    <w:p w14:paraId="7C3EEB28">
      <w:pPr>
        <w:adjustRightInd w:val="0"/>
        <w:snapToGrid w:val="0"/>
        <w:spacing w:before="312" w:beforeLines="100"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一、质疑供应商基本信息</w:t>
      </w:r>
    </w:p>
    <w:p w14:paraId="0059E5CA">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质疑供应商：</w:t>
      </w:r>
    </w:p>
    <w:p w14:paraId="6DFC0AE8">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地址：                             邮编：                                    </w:t>
      </w:r>
    </w:p>
    <w:p w14:paraId="646A54A6">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联系人：                           联系电话：                                       </w:t>
      </w:r>
    </w:p>
    <w:p w14:paraId="1DB77096">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授权代表：</w:t>
      </w:r>
    </w:p>
    <w:p w14:paraId="12EAC713">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联系电话：</w:t>
      </w:r>
    </w:p>
    <w:p w14:paraId="61B98C95">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地址：                              邮编：                                     </w:t>
      </w:r>
    </w:p>
    <w:p w14:paraId="2CFEC965">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二、质疑项目基本情况</w:t>
      </w:r>
    </w:p>
    <w:p w14:paraId="48DC1CF4">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质疑项目的名称：</w:t>
      </w:r>
    </w:p>
    <w:p w14:paraId="1996595B">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质疑项目的编号：                         包号：                           </w:t>
      </w:r>
    </w:p>
    <w:p w14:paraId="55BB9A10">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采购人名称：</w:t>
      </w:r>
    </w:p>
    <w:p w14:paraId="605DEBC6">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采购文件获取日期：</w:t>
      </w:r>
    </w:p>
    <w:p w14:paraId="1D5D8214">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三、质疑事项具体内容</w:t>
      </w:r>
    </w:p>
    <w:p w14:paraId="42954BC1">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质疑事项1：</w:t>
      </w:r>
    </w:p>
    <w:p w14:paraId="0B05BF3A">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事实依据：</w:t>
      </w:r>
    </w:p>
    <w:p w14:paraId="45F7E2CD">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法律依据：</w:t>
      </w:r>
    </w:p>
    <w:p w14:paraId="283B0805">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质疑事项2</w:t>
      </w:r>
    </w:p>
    <w:p w14:paraId="470D5197">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w:t>
      </w:r>
    </w:p>
    <w:p w14:paraId="1F7B4237">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四、与质疑事项相关的质疑请求</w:t>
      </w:r>
    </w:p>
    <w:p w14:paraId="7DD61C11">
      <w:pPr>
        <w:adjustRightInd w:val="0"/>
        <w:snapToGrid w:val="0"/>
        <w:spacing w:line="36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请求：</w:t>
      </w:r>
    </w:p>
    <w:p w14:paraId="69806E25">
      <w:pPr>
        <w:spacing w:line="24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签字(签章)：                   公章：                      </w:t>
      </w:r>
    </w:p>
    <w:p w14:paraId="21FF47CC">
      <w:pPr>
        <w:spacing w:line="240" w:lineRule="auto"/>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 xml:space="preserve">日期：    </w:t>
      </w:r>
    </w:p>
    <w:p w14:paraId="0015CD07">
      <w:pPr>
        <w:spacing w:line="400" w:lineRule="exact"/>
        <w:rPr>
          <w:rFonts w:hint="eastAsia" w:ascii="宋体" w:hAnsi="宋体" w:eastAsia="宋体" w:cs="宋体"/>
          <w:color w:val="auto"/>
          <w:spacing w:val="-4"/>
          <w:kern w:val="0"/>
          <w:sz w:val="21"/>
          <w:szCs w:val="21"/>
          <w:highlight w:val="none"/>
          <w:lang w:val="en-US" w:eastAsia="zh-CN" w:bidi="ar-SA"/>
        </w:rPr>
      </w:pPr>
    </w:p>
    <w:p w14:paraId="4D4E2F4F">
      <w:pPr>
        <w:spacing w:line="400" w:lineRule="exact"/>
        <w:rPr>
          <w:rFonts w:hint="eastAsia" w:ascii="宋体" w:hAnsi="宋体" w:eastAsia="宋体" w:cs="宋体"/>
          <w:b/>
          <w:bCs/>
          <w:color w:val="auto"/>
          <w:spacing w:val="-4"/>
          <w:kern w:val="0"/>
          <w:sz w:val="21"/>
          <w:szCs w:val="21"/>
          <w:highlight w:val="none"/>
          <w:lang w:val="en-US" w:eastAsia="zh-CN" w:bidi="ar-SA"/>
        </w:rPr>
      </w:pPr>
      <w:r>
        <w:rPr>
          <w:rFonts w:hint="eastAsia" w:ascii="宋体" w:hAnsi="宋体" w:eastAsia="宋体" w:cs="宋体"/>
          <w:b/>
          <w:bCs/>
          <w:color w:val="auto"/>
          <w:spacing w:val="-4"/>
          <w:kern w:val="0"/>
          <w:sz w:val="21"/>
          <w:szCs w:val="21"/>
          <w:highlight w:val="none"/>
          <w:lang w:val="en-US" w:eastAsia="zh-CN" w:bidi="ar-SA"/>
        </w:rPr>
        <w:t>质疑函制作说明：</w:t>
      </w:r>
    </w:p>
    <w:p w14:paraId="4A863EF6">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1.供应商提出质疑时，应提交质疑函和必要的证明材料。</w:t>
      </w:r>
    </w:p>
    <w:p w14:paraId="2E0B23C9">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B46ABE">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3.质疑供应商若对项目的某一分包进行质疑，质疑函中应列明具体分包号。</w:t>
      </w:r>
    </w:p>
    <w:p w14:paraId="54E41C08">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4.质疑函的质疑事项应具体、明确，并有必要的事实依据和法律依据。</w:t>
      </w:r>
    </w:p>
    <w:p w14:paraId="2960E641">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5.质疑函的质疑请求应与质疑事项相关。</w:t>
      </w:r>
    </w:p>
    <w:p w14:paraId="4CAD2ADE">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6.质疑供应商为自然人的，质疑函应由本人签字；质疑供应商为法人或者其他组织的，质疑函应由法定代表人、主要负责人，或者其授权代表签字或者盖章，并加盖公章。</w:t>
      </w:r>
    </w:p>
    <w:p w14:paraId="7F6798A6">
      <w:pPr>
        <w:widowControl/>
        <w:spacing w:line="400" w:lineRule="exact"/>
        <w:ind w:firstLine="404" w:firstLineChars="200"/>
        <w:jc w:val="left"/>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7.质疑函份数要求：一式三份。</w:t>
      </w:r>
    </w:p>
    <w:p w14:paraId="70B0111A">
      <w:pPr>
        <w:ind w:firstLine="2650" w:firstLineChars="600"/>
        <w:rPr>
          <w:rFonts w:hint="eastAsia" w:ascii="黑体" w:hAnsi="Arial" w:eastAsia="黑体" w:cs="Arial"/>
          <w:b/>
          <w:bCs/>
          <w:color w:val="auto"/>
          <w:kern w:val="2"/>
          <w:sz w:val="44"/>
          <w:szCs w:val="44"/>
          <w:highlight w:val="none"/>
          <w:lang w:val="en-US" w:eastAsia="zh-CN" w:bidi="ar-SA"/>
        </w:rPr>
      </w:pPr>
    </w:p>
    <w:p w14:paraId="1618FC8B">
      <w:pPr>
        <w:ind w:firstLine="2650" w:firstLineChars="600"/>
        <w:rPr>
          <w:rFonts w:hint="eastAsia" w:ascii="黑体" w:hAnsi="Arial" w:eastAsia="黑体" w:cs="Arial"/>
          <w:b/>
          <w:bCs/>
          <w:color w:val="auto"/>
          <w:kern w:val="2"/>
          <w:sz w:val="44"/>
          <w:szCs w:val="44"/>
          <w:highlight w:val="none"/>
          <w:lang w:val="en-US" w:eastAsia="zh-CN" w:bidi="ar-SA"/>
        </w:rPr>
      </w:pPr>
    </w:p>
    <w:p w14:paraId="4B30AED1">
      <w:pPr>
        <w:ind w:firstLine="2650" w:firstLineChars="600"/>
        <w:rPr>
          <w:rFonts w:hint="eastAsia" w:ascii="黑体" w:hAnsi="Arial" w:eastAsia="黑体" w:cs="Arial"/>
          <w:b/>
          <w:bCs/>
          <w:color w:val="auto"/>
          <w:kern w:val="2"/>
          <w:sz w:val="44"/>
          <w:szCs w:val="44"/>
          <w:highlight w:val="none"/>
          <w:lang w:val="en-US" w:eastAsia="zh-CN" w:bidi="ar-SA"/>
        </w:rPr>
      </w:pPr>
    </w:p>
    <w:p w14:paraId="494DADDF">
      <w:pPr>
        <w:jc w:val="center"/>
        <w:rPr>
          <w:color w:val="auto"/>
          <w:highlight w:val="none"/>
        </w:rPr>
      </w:pPr>
      <w:r>
        <w:rPr>
          <w:color w:val="auto"/>
          <w:highlight w:val="none"/>
        </w:rPr>
        <w:t>---- END ----</w:t>
      </w:r>
    </w:p>
    <w:p w14:paraId="7377D5D1">
      <w:pPr>
        <w:rPr>
          <w:rFonts w:hint="eastAsia" w:ascii="黑体" w:hAnsi="Arial" w:eastAsia="黑体" w:cs="Arial"/>
          <w:b/>
          <w:bCs/>
          <w:color w:val="auto"/>
          <w:kern w:val="2"/>
          <w:sz w:val="44"/>
          <w:szCs w:val="44"/>
          <w:highlight w:val="none"/>
          <w:lang w:val="en-US" w:eastAsia="zh-CN" w:bidi="ar-SA"/>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4"/>
    <w:bookmarkEnd w:id="5"/>
    <w:bookmarkEnd w:id="6"/>
    <w:bookmarkEnd w:id="7"/>
    <w:bookmarkEnd w:id="8"/>
    <w:p w14:paraId="22A3F670">
      <w:pPr>
        <w:tabs>
          <w:tab w:val="left" w:pos="2556"/>
        </w:tabs>
        <w:bidi w:val="0"/>
        <w:ind w:firstLine="5040" w:firstLineChars="1400"/>
        <w:jc w:val="both"/>
        <w:rPr>
          <w:rFonts w:hint="eastAsia" w:ascii="方正黑体_GBK" w:hAnsi="方正黑体_GBK" w:eastAsia="方正黑体_GBK" w:cs="方正黑体_GBK"/>
          <w:color w:val="auto"/>
          <w:sz w:val="36"/>
          <w:szCs w:val="36"/>
          <w:highlight w:val="none"/>
        </w:rPr>
      </w:pPr>
      <w:bookmarkStart w:id="133" w:name="_Toc26554093"/>
      <w:bookmarkStart w:id="134" w:name="_Toc479757211"/>
      <w:bookmarkStart w:id="135" w:name="_Toc462564139"/>
      <w:bookmarkStart w:id="136" w:name="_Toc120614281"/>
      <w:bookmarkStart w:id="137" w:name="_Toc49090575"/>
      <w:r>
        <w:rPr>
          <w:rFonts w:hint="eastAsia" w:ascii="方正黑体_GBK" w:hAnsi="方正黑体_GBK" w:eastAsia="方正黑体_GBK" w:cs="方正黑体_GBK"/>
          <w:color w:val="auto"/>
          <w:sz w:val="36"/>
          <w:szCs w:val="36"/>
          <w:highlight w:val="none"/>
          <w:lang w:val="en-US" w:eastAsia="zh-CN"/>
        </w:rPr>
        <w:t>项目采购前期</w:t>
      </w:r>
      <w:r>
        <w:rPr>
          <w:rFonts w:hint="eastAsia" w:ascii="方正黑体_GBK" w:hAnsi="方正黑体_GBK" w:eastAsia="方正黑体_GBK" w:cs="方正黑体_GBK"/>
          <w:color w:val="auto"/>
          <w:sz w:val="36"/>
          <w:szCs w:val="36"/>
          <w:highlight w:val="none"/>
        </w:rPr>
        <w:t>现场踏勘记录表</w:t>
      </w:r>
    </w:p>
    <w:tbl>
      <w:tblPr>
        <w:tblStyle w:val="41"/>
        <w:tblW w:w="1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057"/>
        <w:gridCol w:w="1508"/>
        <w:gridCol w:w="3052"/>
        <w:gridCol w:w="1812"/>
        <w:gridCol w:w="5365"/>
      </w:tblGrid>
      <w:tr w14:paraId="7FC9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44" w:type="dxa"/>
            <w:noWrap w:val="0"/>
            <w:vAlign w:val="center"/>
          </w:tcPr>
          <w:p w14:paraId="6F4332F6">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5617" w:type="dxa"/>
            <w:gridSpan w:val="3"/>
            <w:noWrap w:val="0"/>
            <w:vAlign w:val="center"/>
          </w:tcPr>
          <w:p w14:paraId="2891ED0A">
            <w:pPr>
              <w:jc w:val="center"/>
              <w:rPr>
                <w:rFonts w:hint="eastAsia" w:ascii="宋体" w:hAnsi="宋体" w:eastAsia="宋体" w:cs="宋体"/>
                <w:color w:val="auto"/>
                <w:sz w:val="21"/>
                <w:szCs w:val="21"/>
                <w:highlight w:val="none"/>
                <w:vertAlign w:val="baseline"/>
              </w:rPr>
            </w:pPr>
          </w:p>
        </w:tc>
        <w:tc>
          <w:tcPr>
            <w:tcW w:w="1812" w:type="dxa"/>
            <w:noWrap w:val="0"/>
            <w:vAlign w:val="center"/>
          </w:tcPr>
          <w:p w14:paraId="266DC45D">
            <w:pPr>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采购单位</w:t>
            </w:r>
          </w:p>
        </w:tc>
        <w:tc>
          <w:tcPr>
            <w:tcW w:w="5365" w:type="dxa"/>
            <w:noWrap w:val="0"/>
            <w:vAlign w:val="center"/>
          </w:tcPr>
          <w:p w14:paraId="647D73B6">
            <w:pPr>
              <w:jc w:val="center"/>
              <w:rPr>
                <w:rFonts w:hint="eastAsia" w:ascii="宋体" w:hAnsi="宋体" w:eastAsia="宋体" w:cs="宋体"/>
                <w:color w:val="auto"/>
                <w:sz w:val="21"/>
                <w:szCs w:val="21"/>
                <w:highlight w:val="none"/>
                <w:vertAlign w:val="baseline"/>
              </w:rPr>
            </w:pPr>
          </w:p>
        </w:tc>
      </w:tr>
      <w:tr w14:paraId="0BA4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44" w:type="dxa"/>
            <w:noWrap w:val="0"/>
            <w:vAlign w:val="center"/>
          </w:tcPr>
          <w:p w14:paraId="5ADB58AB">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勘察日期</w:t>
            </w:r>
          </w:p>
        </w:tc>
        <w:tc>
          <w:tcPr>
            <w:tcW w:w="5617" w:type="dxa"/>
            <w:gridSpan w:val="3"/>
            <w:noWrap w:val="0"/>
            <w:vAlign w:val="center"/>
          </w:tcPr>
          <w:p w14:paraId="16137810">
            <w:pPr>
              <w:jc w:val="center"/>
              <w:rPr>
                <w:rFonts w:hint="eastAsia" w:ascii="宋体" w:hAnsi="宋体" w:eastAsia="宋体" w:cs="宋体"/>
                <w:color w:val="auto"/>
                <w:sz w:val="21"/>
                <w:szCs w:val="21"/>
                <w:highlight w:val="none"/>
                <w:vertAlign w:val="baseline"/>
              </w:rPr>
            </w:pPr>
          </w:p>
        </w:tc>
        <w:tc>
          <w:tcPr>
            <w:tcW w:w="1812" w:type="dxa"/>
            <w:noWrap w:val="0"/>
            <w:vAlign w:val="center"/>
          </w:tcPr>
          <w:p w14:paraId="340D482D">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工程地点</w:t>
            </w:r>
          </w:p>
        </w:tc>
        <w:tc>
          <w:tcPr>
            <w:tcW w:w="5365" w:type="dxa"/>
            <w:noWrap w:val="0"/>
            <w:vAlign w:val="center"/>
          </w:tcPr>
          <w:p w14:paraId="6FA349A6">
            <w:pPr>
              <w:jc w:val="center"/>
              <w:rPr>
                <w:rFonts w:hint="eastAsia" w:ascii="宋体" w:hAnsi="宋体" w:eastAsia="宋体" w:cs="宋体"/>
                <w:color w:val="auto"/>
                <w:sz w:val="21"/>
                <w:szCs w:val="21"/>
                <w:highlight w:val="none"/>
                <w:vertAlign w:val="baseline"/>
              </w:rPr>
            </w:pPr>
          </w:p>
        </w:tc>
      </w:tr>
      <w:tr w14:paraId="1FD6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4" w:type="dxa"/>
            <w:noWrap w:val="0"/>
            <w:vAlign w:val="center"/>
          </w:tcPr>
          <w:p w14:paraId="5EE3119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踏勘供应商</w:t>
            </w:r>
          </w:p>
        </w:tc>
        <w:tc>
          <w:tcPr>
            <w:tcW w:w="5617" w:type="dxa"/>
            <w:gridSpan w:val="3"/>
            <w:noWrap w:val="0"/>
            <w:vAlign w:val="center"/>
          </w:tcPr>
          <w:p w14:paraId="31591FDC">
            <w:pPr>
              <w:jc w:val="center"/>
              <w:rPr>
                <w:rFonts w:hint="eastAsia" w:ascii="宋体" w:hAnsi="宋体" w:eastAsia="宋体" w:cs="宋体"/>
                <w:color w:val="auto"/>
                <w:sz w:val="21"/>
                <w:szCs w:val="21"/>
                <w:highlight w:val="none"/>
                <w:vertAlign w:val="baseline"/>
              </w:rPr>
            </w:pPr>
          </w:p>
        </w:tc>
        <w:tc>
          <w:tcPr>
            <w:tcW w:w="1812" w:type="dxa"/>
            <w:noWrap w:val="0"/>
            <w:vAlign w:val="center"/>
          </w:tcPr>
          <w:p w14:paraId="2F546C26">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供应商</w:t>
            </w:r>
          </w:p>
          <w:p w14:paraId="22664C62">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联系人、联系电话</w:t>
            </w:r>
          </w:p>
        </w:tc>
        <w:tc>
          <w:tcPr>
            <w:tcW w:w="5365" w:type="dxa"/>
            <w:noWrap w:val="0"/>
            <w:vAlign w:val="center"/>
          </w:tcPr>
          <w:p w14:paraId="393DAC91">
            <w:pPr>
              <w:jc w:val="center"/>
              <w:rPr>
                <w:rFonts w:hint="eastAsia" w:ascii="宋体" w:hAnsi="宋体" w:eastAsia="宋体" w:cs="宋体"/>
                <w:color w:val="auto"/>
                <w:sz w:val="21"/>
                <w:szCs w:val="21"/>
                <w:highlight w:val="none"/>
                <w:vertAlign w:val="baseline"/>
              </w:rPr>
            </w:pPr>
          </w:p>
        </w:tc>
      </w:tr>
      <w:tr w14:paraId="214A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44" w:type="dxa"/>
            <w:vMerge w:val="restart"/>
            <w:noWrap w:val="0"/>
            <w:vAlign w:val="center"/>
          </w:tcPr>
          <w:p w14:paraId="3E7F940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现场踏勘</w:t>
            </w:r>
          </w:p>
          <w:p w14:paraId="5AB7743B">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提交资料</w:t>
            </w:r>
          </w:p>
        </w:tc>
        <w:tc>
          <w:tcPr>
            <w:tcW w:w="2565" w:type="dxa"/>
            <w:gridSpan w:val="2"/>
            <w:noWrap w:val="0"/>
            <w:vAlign w:val="center"/>
          </w:tcPr>
          <w:p w14:paraId="452ECBF5">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授权委托书原件（盖公章）</w:t>
            </w:r>
          </w:p>
        </w:tc>
        <w:tc>
          <w:tcPr>
            <w:tcW w:w="10229" w:type="dxa"/>
            <w:gridSpan w:val="3"/>
            <w:noWrap w:val="0"/>
            <w:vAlign w:val="center"/>
          </w:tcPr>
          <w:p w14:paraId="4A2FABB1">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eastAsia="宋体" w:cs="宋体"/>
                <w:color w:val="auto"/>
                <w:sz w:val="21"/>
                <w:szCs w:val="21"/>
                <w:highlight w:val="none"/>
                <w:vertAlign w:val="baseline"/>
                <w:lang w:val="en-US" w:eastAsia="zh-CN"/>
              </w:rPr>
              <w:t xml:space="preserve">符合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eastAsia="宋体" w:cs="宋体"/>
                <w:color w:val="auto"/>
                <w:sz w:val="21"/>
                <w:szCs w:val="21"/>
                <w:highlight w:val="none"/>
                <w:vertAlign w:val="baseline"/>
                <w:lang w:val="en-US" w:eastAsia="zh-CN"/>
              </w:rPr>
              <w:t>不符合</w:t>
            </w:r>
          </w:p>
        </w:tc>
      </w:tr>
      <w:tr w14:paraId="30D3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4" w:type="dxa"/>
            <w:vMerge w:val="continue"/>
            <w:noWrap w:val="0"/>
            <w:vAlign w:val="center"/>
          </w:tcPr>
          <w:p w14:paraId="3B916A3F">
            <w:pPr>
              <w:jc w:val="center"/>
              <w:rPr>
                <w:rFonts w:hint="eastAsia" w:ascii="宋体" w:hAnsi="宋体" w:eastAsia="宋体" w:cs="宋体"/>
                <w:color w:val="auto"/>
                <w:sz w:val="21"/>
                <w:szCs w:val="21"/>
                <w:highlight w:val="none"/>
                <w:vertAlign w:val="baseline"/>
              </w:rPr>
            </w:pPr>
          </w:p>
        </w:tc>
        <w:tc>
          <w:tcPr>
            <w:tcW w:w="2565" w:type="dxa"/>
            <w:gridSpan w:val="2"/>
            <w:noWrap w:val="0"/>
            <w:vAlign w:val="center"/>
          </w:tcPr>
          <w:p w14:paraId="70C0AE13">
            <w:pPr>
              <w:jc w:val="center"/>
              <w:rPr>
                <w:rFonts w:hint="default"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本人身份证原件</w:t>
            </w:r>
          </w:p>
        </w:tc>
        <w:tc>
          <w:tcPr>
            <w:tcW w:w="10229" w:type="dxa"/>
            <w:gridSpan w:val="3"/>
            <w:noWrap w:val="0"/>
            <w:vAlign w:val="center"/>
          </w:tcPr>
          <w:p w14:paraId="153606B2">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eastAsia="宋体" w:cs="宋体"/>
                <w:color w:val="auto"/>
                <w:sz w:val="21"/>
                <w:szCs w:val="21"/>
                <w:highlight w:val="none"/>
                <w:vertAlign w:val="baseline"/>
                <w:lang w:val="en-US" w:eastAsia="zh-CN"/>
              </w:rPr>
              <w:t xml:space="preserve">符合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eastAsia="宋体" w:cs="宋体"/>
                <w:color w:val="auto"/>
                <w:sz w:val="21"/>
                <w:szCs w:val="21"/>
                <w:highlight w:val="none"/>
                <w:vertAlign w:val="baseline"/>
                <w:lang w:val="en-US" w:eastAsia="zh-CN"/>
              </w:rPr>
              <w:t>不符合</w:t>
            </w:r>
          </w:p>
        </w:tc>
      </w:tr>
      <w:tr w14:paraId="6922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61" w:type="dxa"/>
            <w:gridSpan w:val="4"/>
            <w:noWrap w:val="0"/>
            <w:vAlign w:val="center"/>
          </w:tcPr>
          <w:p w14:paraId="2FF4FEA7">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确认勘察内容</w:t>
            </w:r>
          </w:p>
        </w:tc>
        <w:tc>
          <w:tcPr>
            <w:tcW w:w="7177" w:type="dxa"/>
            <w:gridSpan w:val="2"/>
            <w:noWrap w:val="0"/>
            <w:vAlign w:val="center"/>
          </w:tcPr>
          <w:p w14:paraId="54448083">
            <w:pPr>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确认情况</w:t>
            </w:r>
          </w:p>
          <w:p w14:paraId="2D44B63F">
            <w:pPr>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如“否”请说明情况</w:t>
            </w:r>
          </w:p>
        </w:tc>
      </w:tr>
      <w:tr w14:paraId="3FD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14:paraId="42D40637">
            <w:pPr>
              <w:jc w:val="lef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7177" w:type="dxa"/>
            <w:gridSpan w:val="2"/>
            <w:noWrap w:val="0"/>
            <w:vAlign w:val="center"/>
          </w:tcPr>
          <w:p w14:paraId="052EE66C">
            <w:pPr>
              <w:ind w:firstLine="420" w:firstLineChars="200"/>
              <w:jc w:val="left"/>
              <w:rPr>
                <w:rFonts w:hint="default"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 xml:space="preserve">是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否</w:t>
            </w:r>
          </w:p>
        </w:tc>
      </w:tr>
      <w:tr w14:paraId="7F94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14:paraId="6B800E15">
            <w:pPr>
              <w:jc w:val="left"/>
              <w:rPr>
                <w:color w:val="auto"/>
                <w:sz w:val="21"/>
                <w:szCs w:val="21"/>
                <w:highlight w:val="none"/>
              </w:rPr>
            </w:pPr>
            <w:r>
              <w:rPr>
                <w:rFonts w:hint="eastAsia" w:ascii="宋体" w:hAnsi="宋体" w:cs="宋体"/>
                <w:color w:val="auto"/>
                <w:sz w:val="21"/>
                <w:szCs w:val="21"/>
                <w:highlight w:val="none"/>
                <w:vertAlign w:val="baseline"/>
                <w:lang w:val="en-US" w:eastAsia="zh-CN"/>
              </w:rPr>
              <w:t>2、</w:t>
            </w:r>
          </w:p>
        </w:tc>
        <w:tc>
          <w:tcPr>
            <w:tcW w:w="7177" w:type="dxa"/>
            <w:gridSpan w:val="2"/>
            <w:noWrap w:val="0"/>
            <w:vAlign w:val="center"/>
          </w:tcPr>
          <w:p w14:paraId="19CDD397">
            <w:pPr>
              <w:ind w:firstLine="420" w:firstLineChars="200"/>
              <w:jc w:val="left"/>
              <w:rPr>
                <w:rFonts w:hint="eastAsia"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 xml:space="preserve">是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否</w:t>
            </w:r>
          </w:p>
        </w:tc>
      </w:tr>
      <w:tr w14:paraId="039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14:paraId="19AA2267">
            <w:pPr>
              <w:jc w:val="left"/>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3、</w:t>
            </w:r>
          </w:p>
        </w:tc>
        <w:tc>
          <w:tcPr>
            <w:tcW w:w="7177" w:type="dxa"/>
            <w:gridSpan w:val="2"/>
            <w:noWrap w:val="0"/>
            <w:vAlign w:val="center"/>
          </w:tcPr>
          <w:p w14:paraId="2428D62D">
            <w:pPr>
              <w:ind w:firstLine="420" w:firstLineChars="200"/>
              <w:jc w:val="left"/>
              <w:rPr>
                <w:rFonts w:hint="eastAsia"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 xml:space="preserve">是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否</w:t>
            </w:r>
          </w:p>
        </w:tc>
      </w:tr>
      <w:tr w14:paraId="615E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14:paraId="62990093">
            <w:pPr>
              <w:jc w:val="left"/>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4、</w:t>
            </w:r>
          </w:p>
        </w:tc>
        <w:tc>
          <w:tcPr>
            <w:tcW w:w="7177" w:type="dxa"/>
            <w:gridSpan w:val="2"/>
            <w:noWrap w:val="0"/>
            <w:vAlign w:val="center"/>
          </w:tcPr>
          <w:p w14:paraId="12F13C06">
            <w:pPr>
              <w:ind w:firstLine="420" w:firstLineChars="200"/>
              <w:jc w:val="left"/>
              <w:rPr>
                <w:rFonts w:hint="eastAsia" w:ascii="宋体" w:hAnsi="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 xml:space="preserve">是  </w:t>
            </w:r>
            <w:r>
              <w:rPr>
                <w:rFonts w:hint="eastAsia" w:ascii="宋体" w:hAnsi="宋体" w:eastAsia="宋体" w:cs="宋体"/>
                <w:color w:val="auto"/>
                <w:sz w:val="21"/>
                <w:szCs w:val="21"/>
                <w:highlight w:val="none"/>
                <w:vertAlign w:val="baseline"/>
                <w:lang w:val="en-US" w:eastAsia="zh-CN"/>
              </w:rPr>
              <w:sym w:font="Wingdings" w:char="00A8"/>
            </w:r>
            <w:r>
              <w:rPr>
                <w:rFonts w:hint="eastAsia" w:ascii="宋体" w:hAnsi="宋体" w:cs="宋体"/>
                <w:color w:val="auto"/>
                <w:sz w:val="21"/>
                <w:szCs w:val="21"/>
                <w:highlight w:val="none"/>
                <w:vertAlign w:val="baseline"/>
                <w:lang w:val="en-US" w:eastAsia="zh-CN"/>
              </w:rPr>
              <w:t>否</w:t>
            </w:r>
          </w:p>
        </w:tc>
      </w:tr>
      <w:tr w14:paraId="7BED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01" w:type="dxa"/>
            <w:gridSpan w:val="2"/>
            <w:noWrap w:val="0"/>
            <w:vAlign w:val="center"/>
          </w:tcPr>
          <w:p w14:paraId="11C039CE">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其他需要补充说明的情况</w:t>
            </w:r>
          </w:p>
        </w:tc>
        <w:tc>
          <w:tcPr>
            <w:tcW w:w="11737" w:type="dxa"/>
            <w:gridSpan w:val="4"/>
            <w:noWrap w:val="0"/>
            <w:vAlign w:val="center"/>
          </w:tcPr>
          <w:p w14:paraId="32849DF6">
            <w:pPr>
              <w:jc w:val="center"/>
              <w:rPr>
                <w:rFonts w:hint="eastAsia" w:ascii="宋体" w:hAnsi="宋体" w:eastAsia="宋体" w:cs="宋体"/>
                <w:color w:val="auto"/>
                <w:sz w:val="21"/>
                <w:szCs w:val="21"/>
                <w:highlight w:val="none"/>
                <w:vertAlign w:val="baseline"/>
              </w:rPr>
            </w:pPr>
          </w:p>
        </w:tc>
      </w:tr>
      <w:tr w14:paraId="300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44" w:type="dxa"/>
            <w:noWrap w:val="0"/>
            <w:vAlign w:val="center"/>
          </w:tcPr>
          <w:p w14:paraId="79506A32">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采购单位确认（盖章）</w:t>
            </w:r>
          </w:p>
        </w:tc>
        <w:tc>
          <w:tcPr>
            <w:tcW w:w="5617" w:type="dxa"/>
            <w:gridSpan w:val="3"/>
            <w:noWrap w:val="0"/>
            <w:vAlign w:val="bottom"/>
          </w:tcPr>
          <w:p w14:paraId="2B37C396">
            <w:pPr>
              <w:jc w:val="right"/>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  月  日</w:t>
            </w:r>
          </w:p>
        </w:tc>
        <w:tc>
          <w:tcPr>
            <w:tcW w:w="1812" w:type="dxa"/>
            <w:noWrap w:val="0"/>
            <w:vAlign w:val="center"/>
          </w:tcPr>
          <w:p w14:paraId="641D70A3">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踏勘供应商签字确认</w:t>
            </w:r>
          </w:p>
        </w:tc>
        <w:tc>
          <w:tcPr>
            <w:tcW w:w="5365" w:type="dxa"/>
            <w:noWrap w:val="0"/>
            <w:vAlign w:val="bottom"/>
          </w:tcPr>
          <w:p w14:paraId="55B84C17">
            <w:pPr>
              <w:jc w:val="righ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  月  日</w:t>
            </w:r>
          </w:p>
        </w:tc>
      </w:tr>
    </w:tbl>
    <w:p w14:paraId="3F517E63">
      <w:pPr>
        <w:jc w:val="left"/>
        <w:rPr>
          <w:rFonts w:hint="eastAsia"/>
          <w:color w:val="auto"/>
          <w:highlight w:val="none"/>
        </w:rPr>
      </w:pPr>
      <w:r>
        <w:rPr>
          <w:rFonts w:hint="eastAsia" w:ascii="宋体" w:hAnsi="宋体" w:eastAsia="宋体" w:cs="宋体"/>
          <w:color w:val="auto"/>
          <w:sz w:val="24"/>
          <w:szCs w:val="24"/>
          <w:highlight w:val="none"/>
        </w:rPr>
        <w:t>注：本表一式两份，</w:t>
      </w:r>
      <w:r>
        <w:rPr>
          <w:rFonts w:hint="eastAsia" w:ascii="宋体" w:hAnsi="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踏勘供应商</w:t>
      </w:r>
      <w:r>
        <w:rPr>
          <w:rFonts w:hint="eastAsia" w:ascii="宋体" w:hAnsi="宋体" w:eastAsia="宋体" w:cs="宋体"/>
          <w:color w:val="auto"/>
          <w:sz w:val="24"/>
          <w:szCs w:val="24"/>
          <w:highlight w:val="none"/>
        </w:rPr>
        <w:t>各持一份。</w:t>
      </w:r>
      <w:bookmarkEnd w:id="133"/>
      <w:bookmarkEnd w:id="134"/>
      <w:bookmarkEnd w:id="135"/>
      <w:bookmarkEnd w:id="136"/>
      <w:bookmarkEnd w:id="137"/>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10F752-0E57-40B3-BABF-396DA5B792F4}"/>
  </w:font>
  <w:font w:name="Arial">
    <w:panose1 w:val="020B0604020202020204"/>
    <w:charset w:val="01"/>
    <w:family w:val="swiss"/>
    <w:pitch w:val="default"/>
    <w:sig w:usb0="E0002EFF" w:usb1="C000785B" w:usb2="00000009" w:usb3="00000000" w:csb0="400001FF" w:csb1="FFFF0000"/>
    <w:embedRegular r:id="rId2" w:fontKey="{6EA9F462-2368-41B8-8932-48F8594DFDF8}"/>
  </w:font>
  <w:font w:name="黑体">
    <w:panose1 w:val="02010609060101010101"/>
    <w:charset w:val="86"/>
    <w:family w:val="auto"/>
    <w:pitch w:val="default"/>
    <w:sig w:usb0="800002BF" w:usb1="38CF7CFA" w:usb2="00000016" w:usb3="00000000" w:csb0="00040001" w:csb1="00000000"/>
    <w:embedRegular r:id="rId3" w:fontKey="{94277AB2-2E0F-41AE-BFDA-F926CF6A0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A0CDBEE8-376B-4417-A8B7-63F2C06BCA8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5" w:fontKey="{9B356F10-60E3-4708-8A9F-79AF83C7CD3B}"/>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altName w:val="Times New Roman"/>
    <w:panose1 w:val="02000503000000020004"/>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6" w:fontKey="{78FA3BE0-EBE1-4E3A-83DC-F8E7902B47CA}"/>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7" w:fontKey="{3AD43244-F1BF-4F35-A7CE-C483E95B6A30}"/>
  </w:font>
  <w:font w:name="华文楷体">
    <w:panose1 w:val="02010600040101010101"/>
    <w:charset w:val="86"/>
    <w:family w:val="auto"/>
    <w:pitch w:val="default"/>
    <w:sig w:usb0="A00002BF" w:usb1="78CF7CFB" w:usb2="00000016" w:usb3="00000000" w:csb0="6006009F" w:csb1="DFD70000"/>
    <w:embedRegular r:id="rId8" w:fontKey="{E427FAFB-2A01-49A1-B09D-BBB3A6EA4748}"/>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9" w:fontKey="{D7EA53E5-55D1-4320-A4BB-46E8FEA42D8E}"/>
  </w:font>
  <w:font w:name="汉仪书宋二S">
    <w:altName w:val="宋体"/>
    <w:panose1 w:val="00000000000000000000"/>
    <w:charset w:val="00"/>
    <w:family w:val="auto"/>
    <w:pitch w:val="default"/>
    <w:sig w:usb0="00000000" w:usb1="00000000" w:usb2="00000000" w:usb3="00000000" w:csb0="00040001" w:csb1="00000000"/>
    <w:embedRegular r:id="rId10" w:fontKey="{6E3DAD35-C637-4A4D-900C-244C9AD748EC}"/>
  </w:font>
  <w:font w:name="ˎ̥">
    <w:altName w:val="方正公文小标宋"/>
    <w:panose1 w:val="00000000000000000000"/>
    <w:charset w:val="00"/>
    <w:family w:val="roman"/>
    <w:pitch w:val="default"/>
    <w:sig w:usb0="00000000" w:usb1="00000000" w:usb2="00000000" w:usb3="00000000" w:csb0="00040001" w:csb1="00000000"/>
    <w:embedRegular r:id="rId11" w:fontKey="{8EB48D4F-B815-401C-9C4C-3C514F882F1B}"/>
  </w:font>
  <w:font w:name="方正公文小标宋">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0434">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62C17A">
                          <w:pPr>
                            <w:pStyle w:val="27"/>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962C17A">
                    <w:pPr>
                      <w:pStyle w:val="2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CDD2">
    <w:pPr>
      <w:pStyle w:val="27"/>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37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CE43">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A1FF7">
                          <w:pPr>
                            <w:pStyle w:val="27"/>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14:paraId="2EEA1FF7">
                    <w:pPr>
                      <w:pStyle w:val="27"/>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8316">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9AF35">
                          <w:pPr>
                            <w:pStyle w:val="27"/>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aMH8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8mjB/LAQAAnAMAAA4AAAAAAAAAAQAgAAAAHgEAAGRycy9lMm9E&#10;b2MueG1sUEsFBgAAAAAGAAYAWQEAAFsFAAAAAA==&#10;">
              <v:fill on="f" focussize="0,0"/>
              <v:stroke on="f"/>
              <v:imagedata o:title=""/>
              <o:lock v:ext="edit" aspectratio="f"/>
              <v:textbox inset="0mm,0mm,0mm,0mm" style="mso-fit-shape-to-text:t;">
                <w:txbxContent>
                  <w:p w14:paraId="7189AF35">
                    <w:pPr>
                      <w:pStyle w:val="27"/>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956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3782">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F1907">
                          <w:pPr>
                            <w:pStyle w:val="27"/>
                            <w:jc w:val="center"/>
                          </w:pPr>
                          <w:r>
                            <w:fldChar w:fldCharType="begin"/>
                          </w:r>
                          <w:r>
                            <w:instrText xml:space="preserve"> PAGE   \* MERGEFORMAT </w:instrText>
                          </w:r>
                          <w:r>
                            <w:fldChar w:fldCharType="separate"/>
                          </w:r>
                          <w:r>
                            <w:rPr>
                              <w:lang w:val="zh-CN"/>
                            </w:rPr>
                            <w:t>20</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SGpOEBAADBAwAADgAAAGRycy9lMm9Eb2MueG1srVPBjtMwEL0j8Q+W&#10;7zRpQ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uuKvOHPC0sDPv36ef/89//nB&#10;5uXLeVKo82FFiTeeUmP/Fnram8kfyJmI9w3a9CdKjOKk7+mir+ojk+nScrFclhSSFJsOhF/cXfcY&#10;4nsFliWj4kgDzLqK48cQh9QpJVVzcK2NyUM07j8HYSZPkXofekxW7Hf9SGgH9Yn40EugOi3gd846&#10;2oOKO1p7zswHRzKnlZkMnIzdZAgn6WLFI2eD+S4Oq3XwqPdtXrbUVPBvDpE6zQRSG0PtsTuabJZg&#10;3MK0Ov+ec9bdy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1tIak4QEAAMEDAAAOAAAA&#10;AAAAAAEAIAAAAB4BAABkcnMvZTJvRG9jLnhtbFBLBQYAAAAABgAGAFkBAABxBQAAAAA=&#10;">
              <v:fill on="f" focussize="0,0"/>
              <v:stroke on="f"/>
              <v:imagedata o:title=""/>
              <o:lock v:ext="edit" aspectratio="f"/>
              <v:textbox inset="0mm,0mm,0mm,0mm" style="mso-fit-shape-to-text:t;">
                <w:txbxContent>
                  <w:p w14:paraId="3A4F1907">
                    <w:pPr>
                      <w:pStyle w:val="27"/>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C04A">
    <w:pPr>
      <w:pStyle w:val="28"/>
      <w:pBdr>
        <w:bottom w:val="double" w:color="auto" w:sz="8" w:space="1"/>
      </w:pBdr>
      <w:jc w:val="both"/>
      <w:rPr>
        <w:rFonts w:hint="eastAsia" w:eastAsia="宋体"/>
        <w:lang w:val="en-US" w:eastAsia="zh-CN"/>
      </w:rPr>
    </w:pPr>
    <w:r>
      <w:rPr>
        <w:rFonts w:hint="eastAsia"/>
        <w:sz w:val="21"/>
        <w:szCs w:val="21"/>
      </w:rPr>
      <w:t xml:space="preserve">巴州政务服务和公共资源交易中心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711B">
    <w:pPr>
      <w:pStyle w:val="28"/>
      <w:pBdr>
        <w:bottom w:val="double" w:color="auto" w:sz="8" w:space="1"/>
      </w:pBdr>
      <w:jc w:val="both"/>
      <w:rPr>
        <w:rFonts w:hint="default"/>
        <w:lang w:val="en-US"/>
      </w:rPr>
    </w:pPr>
    <w:r>
      <w:rPr>
        <w:rFonts w:hint="eastAsia"/>
        <w:sz w:val="21"/>
        <w:szCs w:val="21"/>
      </w:rPr>
      <w:t xml:space="preserve">巴州政务服务和公共资源交易中心                              </w:t>
    </w:r>
    <w:r>
      <w:rPr>
        <w:rFonts w:hint="eastAsia"/>
        <w:sz w:val="21"/>
        <w:szCs w:val="21"/>
        <w:lang w:val="en-US" w:eastAsia="zh-CN"/>
      </w:rPr>
      <w:t xml:space="preserve">          公开招标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19B">
    <w:pPr>
      <w:pStyle w:val="28"/>
      <w:pBdr>
        <w:bottom w:val="double" w:color="auto" w:sz="8" w:space="1"/>
      </w:pBd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巴州政务服务和公共资源交易中心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D3F7">
    <w:pPr>
      <w:pStyle w:val="28"/>
      <w:rPr>
        <w:rFonts w:hint="default" w:eastAsia="宋体"/>
        <w:sz w:val="21"/>
        <w:szCs w:val="21"/>
        <w:lang w:val="en-US" w:eastAsia="zh-CN"/>
      </w:rPr>
    </w:pPr>
    <w:r>
      <w:rPr>
        <w:rFonts w:hint="eastAsia"/>
        <w:sz w:val="21"/>
        <w:szCs w:val="21"/>
        <w:lang w:val="en-US" w:eastAsia="zh-CN"/>
      </w:rPr>
      <w:t>巴州政务服务和公共资源交易中心                             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6784D56"/>
    <w:multiLevelType w:val="singleLevel"/>
    <w:tmpl w:val="06784D56"/>
    <w:lvl w:ilvl="0" w:tentative="0">
      <w:start w:val="1"/>
      <w:numFmt w:val="upperLetter"/>
      <w:pStyle w:val="110"/>
      <w:lvlText w:val="附录%1."/>
      <w:lvlJc w:val="left"/>
      <w:pPr>
        <w:tabs>
          <w:tab w:val="left" w:pos="907"/>
        </w:tabs>
        <w:ind w:left="907" w:hanging="907"/>
      </w:pPr>
      <w:rPr>
        <w:rFonts w:hint="eastAsia"/>
      </w:rPr>
    </w:lvl>
  </w:abstractNum>
  <w:abstractNum w:abstractNumId="8">
    <w:nsid w:val="403A4245"/>
    <w:multiLevelType w:val="singleLevel"/>
    <w:tmpl w:val="403A4245"/>
    <w:lvl w:ilvl="0" w:tentative="0">
      <w:start w:val="2"/>
      <w:numFmt w:val="chineseCounting"/>
      <w:suff w:val="nothing"/>
      <w:lvlText w:val="%1、"/>
      <w:lvlJc w:val="left"/>
      <w:rPr>
        <w:rFonts w:hint="eastAsia" w:ascii="黑体" w:hAnsi="黑体" w:eastAsia="黑体" w:cs="黑体"/>
        <w:sz w:val="28"/>
        <w:szCs w:val="28"/>
      </w:rPr>
    </w:lvl>
  </w:abstractNum>
  <w:abstractNum w:abstractNumId="9">
    <w:nsid w:val="420C153B"/>
    <w:multiLevelType w:val="multilevel"/>
    <w:tmpl w:val="420C153B"/>
    <w:lvl w:ilvl="0" w:tentative="0">
      <w:start w:val="1"/>
      <w:numFmt w:val="decimal"/>
      <w:pStyle w:val="10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4C0C1BFB"/>
    <w:multiLevelType w:val="singleLevel"/>
    <w:tmpl w:val="4C0C1BFB"/>
    <w:lvl w:ilvl="0" w:tentative="0">
      <w:start w:val="1"/>
      <w:numFmt w:val="decimal"/>
      <w:pStyle w:val="109"/>
      <w:lvlText w:val="（%1）"/>
      <w:lvlJc w:val="left"/>
      <w:pPr>
        <w:tabs>
          <w:tab w:val="left" w:pos="810"/>
        </w:tabs>
        <w:ind w:left="810" w:hanging="810"/>
      </w:pPr>
      <w:rPr>
        <w:rFonts w:hint="eastAsia"/>
      </w:rPr>
    </w:lvl>
  </w:abstractNum>
  <w:abstractNum w:abstractNumId="11">
    <w:nsid w:val="54CE886D"/>
    <w:multiLevelType w:val="singleLevel"/>
    <w:tmpl w:val="54CE886D"/>
    <w:lvl w:ilvl="0" w:tentative="0">
      <w:start w:val="1"/>
      <w:numFmt w:val="decimal"/>
      <w:suff w:val="nothing"/>
      <w:lvlText w:val="%1、"/>
      <w:lvlJc w:val="left"/>
    </w:lvl>
  </w:abstractNum>
  <w:abstractNum w:abstractNumId="1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3">
    <w:nsid w:val="67149A6F"/>
    <w:multiLevelType w:val="singleLevel"/>
    <w:tmpl w:val="67149A6F"/>
    <w:lvl w:ilvl="0" w:tentative="0">
      <w:start w:val="5"/>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2"/>
  </w:num>
  <w:num w:numId="2">
    <w:abstractNumId w:val="9"/>
  </w:num>
  <w:num w:numId="3">
    <w:abstractNumId w:val="10"/>
  </w:num>
  <w:num w:numId="4">
    <w:abstractNumId w:val="7"/>
  </w:num>
  <w:num w:numId="5">
    <w:abstractNumId w:val="13"/>
  </w:num>
  <w:num w:numId="6">
    <w:abstractNumId w:val="8"/>
  </w:num>
  <w:num w:numId="7">
    <w:abstractNumId w:val="11"/>
  </w:num>
  <w:num w:numId="8">
    <w:abstractNumId w:val="0"/>
  </w:num>
  <w:num w:numId="9">
    <w:abstractNumId w:val="14"/>
  </w:num>
  <w:num w:numId="10">
    <w:abstractNumId w:val="2"/>
  </w:num>
  <w:num w:numId="11">
    <w:abstractNumId w:val="6"/>
  </w:num>
  <w:num w:numId="12">
    <w:abstractNumId w:val="4"/>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OTg2MzNhNTY2YjFhODdmYTI4N2VlOTU2ODQxNGQifQ=="/>
  </w:docVars>
  <w:rsids>
    <w:rsidRoot w:val="00D37234"/>
    <w:rsid w:val="00000B50"/>
    <w:rsid w:val="000012AD"/>
    <w:rsid w:val="00002023"/>
    <w:rsid w:val="000021C3"/>
    <w:rsid w:val="00002A41"/>
    <w:rsid w:val="00003038"/>
    <w:rsid w:val="000036FB"/>
    <w:rsid w:val="00003E3B"/>
    <w:rsid w:val="000040E6"/>
    <w:rsid w:val="0000553F"/>
    <w:rsid w:val="00006327"/>
    <w:rsid w:val="00006E32"/>
    <w:rsid w:val="00007678"/>
    <w:rsid w:val="00010521"/>
    <w:rsid w:val="00010E39"/>
    <w:rsid w:val="00010EC6"/>
    <w:rsid w:val="00011619"/>
    <w:rsid w:val="00011FF2"/>
    <w:rsid w:val="00012BC2"/>
    <w:rsid w:val="0001340E"/>
    <w:rsid w:val="000134F1"/>
    <w:rsid w:val="000144A3"/>
    <w:rsid w:val="00015CBB"/>
    <w:rsid w:val="000178E0"/>
    <w:rsid w:val="00017D33"/>
    <w:rsid w:val="00020624"/>
    <w:rsid w:val="000214BA"/>
    <w:rsid w:val="000217F4"/>
    <w:rsid w:val="00023805"/>
    <w:rsid w:val="000254B1"/>
    <w:rsid w:val="0002607A"/>
    <w:rsid w:val="00026720"/>
    <w:rsid w:val="000269AE"/>
    <w:rsid w:val="0002771F"/>
    <w:rsid w:val="000300C7"/>
    <w:rsid w:val="00031135"/>
    <w:rsid w:val="000313D5"/>
    <w:rsid w:val="00031400"/>
    <w:rsid w:val="00033D51"/>
    <w:rsid w:val="00034EE1"/>
    <w:rsid w:val="00035B84"/>
    <w:rsid w:val="00035DB5"/>
    <w:rsid w:val="00035FD3"/>
    <w:rsid w:val="00036464"/>
    <w:rsid w:val="000368D5"/>
    <w:rsid w:val="00041C0C"/>
    <w:rsid w:val="00045FCC"/>
    <w:rsid w:val="0004682D"/>
    <w:rsid w:val="0004737D"/>
    <w:rsid w:val="00050598"/>
    <w:rsid w:val="000527CA"/>
    <w:rsid w:val="00052F6E"/>
    <w:rsid w:val="000533AB"/>
    <w:rsid w:val="00054001"/>
    <w:rsid w:val="00055613"/>
    <w:rsid w:val="00055942"/>
    <w:rsid w:val="00055E74"/>
    <w:rsid w:val="0006136C"/>
    <w:rsid w:val="00063CEE"/>
    <w:rsid w:val="00063F19"/>
    <w:rsid w:val="00064391"/>
    <w:rsid w:val="0006639D"/>
    <w:rsid w:val="000664B9"/>
    <w:rsid w:val="0006714F"/>
    <w:rsid w:val="00071811"/>
    <w:rsid w:val="00071CEE"/>
    <w:rsid w:val="0007307E"/>
    <w:rsid w:val="00073596"/>
    <w:rsid w:val="00075DBF"/>
    <w:rsid w:val="000760C9"/>
    <w:rsid w:val="00076D7B"/>
    <w:rsid w:val="00076DB5"/>
    <w:rsid w:val="0007732F"/>
    <w:rsid w:val="00077725"/>
    <w:rsid w:val="00083A9A"/>
    <w:rsid w:val="00083F9C"/>
    <w:rsid w:val="00084F92"/>
    <w:rsid w:val="00087583"/>
    <w:rsid w:val="00091368"/>
    <w:rsid w:val="00091374"/>
    <w:rsid w:val="0009190E"/>
    <w:rsid w:val="000920C7"/>
    <w:rsid w:val="00094CF9"/>
    <w:rsid w:val="0009585A"/>
    <w:rsid w:val="00095E05"/>
    <w:rsid w:val="00097697"/>
    <w:rsid w:val="000A437C"/>
    <w:rsid w:val="000B09F2"/>
    <w:rsid w:val="000B0F3D"/>
    <w:rsid w:val="000B111A"/>
    <w:rsid w:val="000B1318"/>
    <w:rsid w:val="000B2104"/>
    <w:rsid w:val="000C095E"/>
    <w:rsid w:val="000C0CB7"/>
    <w:rsid w:val="000C26EA"/>
    <w:rsid w:val="000C33FA"/>
    <w:rsid w:val="000C4195"/>
    <w:rsid w:val="000C42B7"/>
    <w:rsid w:val="000C5411"/>
    <w:rsid w:val="000C54F2"/>
    <w:rsid w:val="000C676C"/>
    <w:rsid w:val="000C77A1"/>
    <w:rsid w:val="000D0BBA"/>
    <w:rsid w:val="000D2400"/>
    <w:rsid w:val="000D26C1"/>
    <w:rsid w:val="000D26D8"/>
    <w:rsid w:val="000D3EE4"/>
    <w:rsid w:val="000D4D2B"/>
    <w:rsid w:val="000E0173"/>
    <w:rsid w:val="000E0F51"/>
    <w:rsid w:val="000E157E"/>
    <w:rsid w:val="000E1A22"/>
    <w:rsid w:val="000E321A"/>
    <w:rsid w:val="000E5078"/>
    <w:rsid w:val="000F0EB5"/>
    <w:rsid w:val="000F1316"/>
    <w:rsid w:val="000F3923"/>
    <w:rsid w:val="000F4D9E"/>
    <w:rsid w:val="000F5CDE"/>
    <w:rsid w:val="000F5E8A"/>
    <w:rsid w:val="000F7537"/>
    <w:rsid w:val="000F79EE"/>
    <w:rsid w:val="00100053"/>
    <w:rsid w:val="00100A5E"/>
    <w:rsid w:val="00101DB7"/>
    <w:rsid w:val="00102619"/>
    <w:rsid w:val="00102D5E"/>
    <w:rsid w:val="00103454"/>
    <w:rsid w:val="00105903"/>
    <w:rsid w:val="001061A4"/>
    <w:rsid w:val="00107440"/>
    <w:rsid w:val="00107CDA"/>
    <w:rsid w:val="001101E9"/>
    <w:rsid w:val="00111226"/>
    <w:rsid w:val="00111F3D"/>
    <w:rsid w:val="00114CA6"/>
    <w:rsid w:val="001160D7"/>
    <w:rsid w:val="00120A69"/>
    <w:rsid w:val="00121CC9"/>
    <w:rsid w:val="00124CD5"/>
    <w:rsid w:val="001252B0"/>
    <w:rsid w:val="001256AE"/>
    <w:rsid w:val="00127A72"/>
    <w:rsid w:val="00127C63"/>
    <w:rsid w:val="00131277"/>
    <w:rsid w:val="00131881"/>
    <w:rsid w:val="00131A58"/>
    <w:rsid w:val="001333E9"/>
    <w:rsid w:val="0013433C"/>
    <w:rsid w:val="0013477E"/>
    <w:rsid w:val="00134831"/>
    <w:rsid w:val="001372D8"/>
    <w:rsid w:val="00140DFA"/>
    <w:rsid w:val="00141F88"/>
    <w:rsid w:val="0014204A"/>
    <w:rsid w:val="0014483C"/>
    <w:rsid w:val="00146F7C"/>
    <w:rsid w:val="0014735C"/>
    <w:rsid w:val="001477FB"/>
    <w:rsid w:val="001510B7"/>
    <w:rsid w:val="0015158B"/>
    <w:rsid w:val="00152FA5"/>
    <w:rsid w:val="001541B9"/>
    <w:rsid w:val="001544A4"/>
    <w:rsid w:val="0015497E"/>
    <w:rsid w:val="00154CA1"/>
    <w:rsid w:val="001551BF"/>
    <w:rsid w:val="00157E5B"/>
    <w:rsid w:val="00160AE5"/>
    <w:rsid w:val="001613A6"/>
    <w:rsid w:val="001637D2"/>
    <w:rsid w:val="0016437E"/>
    <w:rsid w:val="00164C69"/>
    <w:rsid w:val="00166EFF"/>
    <w:rsid w:val="00170A2D"/>
    <w:rsid w:val="00171360"/>
    <w:rsid w:val="00171D87"/>
    <w:rsid w:val="001749B6"/>
    <w:rsid w:val="00174A31"/>
    <w:rsid w:val="0017505E"/>
    <w:rsid w:val="00176950"/>
    <w:rsid w:val="0018156A"/>
    <w:rsid w:val="00182E37"/>
    <w:rsid w:val="00183EB5"/>
    <w:rsid w:val="00187B49"/>
    <w:rsid w:val="00187C1F"/>
    <w:rsid w:val="00187DC4"/>
    <w:rsid w:val="0019076F"/>
    <w:rsid w:val="00193274"/>
    <w:rsid w:val="00193DAC"/>
    <w:rsid w:val="00194202"/>
    <w:rsid w:val="001946FF"/>
    <w:rsid w:val="00194F22"/>
    <w:rsid w:val="001953B0"/>
    <w:rsid w:val="00195808"/>
    <w:rsid w:val="00195A83"/>
    <w:rsid w:val="001A07C4"/>
    <w:rsid w:val="001A1033"/>
    <w:rsid w:val="001A187D"/>
    <w:rsid w:val="001A18C0"/>
    <w:rsid w:val="001A1D99"/>
    <w:rsid w:val="001A26B5"/>
    <w:rsid w:val="001A304A"/>
    <w:rsid w:val="001A3BFA"/>
    <w:rsid w:val="001A57FF"/>
    <w:rsid w:val="001A6C7F"/>
    <w:rsid w:val="001A7BA0"/>
    <w:rsid w:val="001A7F3C"/>
    <w:rsid w:val="001B2822"/>
    <w:rsid w:val="001B34C4"/>
    <w:rsid w:val="001B37C7"/>
    <w:rsid w:val="001B4172"/>
    <w:rsid w:val="001B52A8"/>
    <w:rsid w:val="001B5378"/>
    <w:rsid w:val="001B6B93"/>
    <w:rsid w:val="001B79B5"/>
    <w:rsid w:val="001C0231"/>
    <w:rsid w:val="001C02D6"/>
    <w:rsid w:val="001C1947"/>
    <w:rsid w:val="001C21EF"/>
    <w:rsid w:val="001C2404"/>
    <w:rsid w:val="001C2454"/>
    <w:rsid w:val="001C29F7"/>
    <w:rsid w:val="001C3136"/>
    <w:rsid w:val="001C37D3"/>
    <w:rsid w:val="001C6670"/>
    <w:rsid w:val="001C69AD"/>
    <w:rsid w:val="001D03CD"/>
    <w:rsid w:val="001D0B04"/>
    <w:rsid w:val="001D0EA3"/>
    <w:rsid w:val="001D1087"/>
    <w:rsid w:val="001D1E13"/>
    <w:rsid w:val="001D3DF4"/>
    <w:rsid w:val="001D4B6D"/>
    <w:rsid w:val="001D4C79"/>
    <w:rsid w:val="001D5588"/>
    <w:rsid w:val="001D6F14"/>
    <w:rsid w:val="001E1785"/>
    <w:rsid w:val="001E19C0"/>
    <w:rsid w:val="001E2A27"/>
    <w:rsid w:val="001E482F"/>
    <w:rsid w:val="001E48AF"/>
    <w:rsid w:val="001E6CFD"/>
    <w:rsid w:val="001F2054"/>
    <w:rsid w:val="001F35A1"/>
    <w:rsid w:val="001F4946"/>
    <w:rsid w:val="001F4B41"/>
    <w:rsid w:val="001F58DB"/>
    <w:rsid w:val="001F6423"/>
    <w:rsid w:val="001F64B1"/>
    <w:rsid w:val="001F6652"/>
    <w:rsid w:val="001F66B6"/>
    <w:rsid w:val="00200726"/>
    <w:rsid w:val="00201570"/>
    <w:rsid w:val="00201AAD"/>
    <w:rsid w:val="002026FD"/>
    <w:rsid w:val="002029A0"/>
    <w:rsid w:val="00203FDB"/>
    <w:rsid w:val="00204B0E"/>
    <w:rsid w:val="00207854"/>
    <w:rsid w:val="00211160"/>
    <w:rsid w:val="002114C5"/>
    <w:rsid w:val="0021150E"/>
    <w:rsid w:val="00211D84"/>
    <w:rsid w:val="002129B4"/>
    <w:rsid w:val="00213305"/>
    <w:rsid w:val="00213554"/>
    <w:rsid w:val="002135F1"/>
    <w:rsid w:val="00213952"/>
    <w:rsid w:val="0021413E"/>
    <w:rsid w:val="002150AA"/>
    <w:rsid w:val="00215D7A"/>
    <w:rsid w:val="0021681C"/>
    <w:rsid w:val="00216D78"/>
    <w:rsid w:val="0022068B"/>
    <w:rsid w:val="00224BF6"/>
    <w:rsid w:val="00224D56"/>
    <w:rsid w:val="002250E1"/>
    <w:rsid w:val="0022514B"/>
    <w:rsid w:val="002251B2"/>
    <w:rsid w:val="00225592"/>
    <w:rsid w:val="00227982"/>
    <w:rsid w:val="00227BB6"/>
    <w:rsid w:val="00227C43"/>
    <w:rsid w:val="0023202D"/>
    <w:rsid w:val="00232077"/>
    <w:rsid w:val="002331F2"/>
    <w:rsid w:val="00235603"/>
    <w:rsid w:val="002369AF"/>
    <w:rsid w:val="00241187"/>
    <w:rsid w:val="00241203"/>
    <w:rsid w:val="00241671"/>
    <w:rsid w:val="00243079"/>
    <w:rsid w:val="00243975"/>
    <w:rsid w:val="002447BD"/>
    <w:rsid w:val="00246130"/>
    <w:rsid w:val="00246C19"/>
    <w:rsid w:val="002479CA"/>
    <w:rsid w:val="00250987"/>
    <w:rsid w:val="00252722"/>
    <w:rsid w:val="002537B2"/>
    <w:rsid w:val="00253E7E"/>
    <w:rsid w:val="00254207"/>
    <w:rsid w:val="00255C8D"/>
    <w:rsid w:val="00255FEB"/>
    <w:rsid w:val="00261A7E"/>
    <w:rsid w:val="002640B2"/>
    <w:rsid w:val="00264902"/>
    <w:rsid w:val="00264FAC"/>
    <w:rsid w:val="002657FF"/>
    <w:rsid w:val="00267D06"/>
    <w:rsid w:val="00267D13"/>
    <w:rsid w:val="002702B6"/>
    <w:rsid w:val="00270609"/>
    <w:rsid w:val="00270858"/>
    <w:rsid w:val="00270E78"/>
    <w:rsid w:val="00270EEE"/>
    <w:rsid w:val="00270F7A"/>
    <w:rsid w:val="0027159B"/>
    <w:rsid w:val="002750C2"/>
    <w:rsid w:val="00275F24"/>
    <w:rsid w:val="0027611E"/>
    <w:rsid w:val="00276467"/>
    <w:rsid w:val="002767AF"/>
    <w:rsid w:val="00276C85"/>
    <w:rsid w:val="002773BE"/>
    <w:rsid w:val="00280CC5"/>
    <w:rsid w:val="00280F98"/>
    <w:rsid w:val="00280F9F"/>
    <w:rsid w:val="00281B22"/>
    <w:rsid w:val="00282FDE"/>
    <w:rsid w:val="0028368D"/>
    <w:rsid w:val="00284F56"/>
    <w:rsid w:val="0028524A"/>
    <w:rsid w:val="0028532D"/>
    <w:rsid w:val="00286E46"/>
    <w:rsid w:val="00287A23"/>
    <w:rsid w:val="0029224A"/>
    <w:rsid w:val="0029269B"/>
    <w:rsid w:val="00293ED7"/>
    <w:rsid w:val="00296412"/>
    <w:rsid w:val="00296520"/>
    <w:rsid w:val="00296EE7"/>
    <w:rsid w:val="00297C93"/>
    <w:rsid w:val="002A1B0C"/>
    <w:rsid w:val="002A35C8"/>
    <w:rsid w:val="002A67A6"/>
    <w:rsid w:val="002A693A"/>
    <w:rsid w:val="002A7962"/>
    <w:rsid w:val="002B084C"/>
    <w:rsid w:val="002B11E6"/>
    <w:rsid w:val="002B1B75"/>
    <w:rsid w:val="002B2BAF"/>
    <w:rsid w:val="002B3E53"/>
    <w:rsid w:val="002B6716"/>
    <w:rsid w:val="002B70EF"/>
    <w:rsid w:val="002C00C1"/>
    <w:rsid w:val="002C067B"/>
    <w:rsid w:val="002C2466"/>
    <w:rsid w:val="002C29A7"/>
    <w:rsid w:val="002C37EC"/>
    <w:rsid w:val="002C3863"/>
    <w:rsid w:val="002C4418"/>
    <w:rsid w:val="002C5E7E"/>
    <w:rsid w:val="002C75A7"/>
    <w:rsid w:val="002D046F"/>
    <w:rsid w:val="002D15D0"/>
    <w:rsid w:val="002D3E1D"/>
    <w:rsid w:val="002D4138"/>
    <w:rsid w:val="002D44AA"/>
    <w:rsid w:val="002D703B"/>
    <w:rsid w:val="002D78A6"/>
    <w:rsid w:val="002D7B1C"/>
    <w:rsid w:val="002D7F6F"/>
    <w:rsid w:val="002E0200"/>
    <w:rsid w:val="002E0576"/>
    <w:rsid w:val="002E1397"/>
    <w:rsid w:val="002E192A"/>
    <w:rsid w:val="002E2B69"/>
    <w:rsid w:val="002E3028"/>
    <w:rsid w:val="002E4A67"/>
    <w:rsid w:val="002E4B77"/>
    <w:rsid w:val="002E4D8D"/>
    <w:rsid w:val="002E761A"/>
    <w:rsid w:val="002E7638"/>
    <w:rsid w:val="002E7FEC"/>
    <w:rsid w:val="002F080F"/>
    <w:rsid w:val="002F0B59"/>
    <w:rsid w:val="002F0E29"/>
    <w:rsid w:val="002F2018"/>
    <w:rsid w:val="002F3C42"/>
    <w:rsid w:val="002F3DAA"/>
    <w:rsid w:val="002F45B0"/>
    <w:rsid w:val="002F4C80"/>
    <w:rsid w:val="002F56BB"/>
    <w:rsid w:val="002F5748"/>
    <w:rsid w:val="002F57C5"/>
    <w:rsid w:val="002F5A9D"/>
    <w:rsid w:val="002F7C78"/>
    <w:rsid w:val="002F7F15"/>
    <w:rsid w:val="00300F2D"/>
    <w:rsid w:val="00301D55"/>
    <w:rsid w:val="00302002"/>
    <w:rsid w:val="00303AB3"/>
    <w:rsid w:val="00303E18"/>
    <w:rsid w:val="003062C7"/>
    <w:rsid w:val="003065CE"/>
    <w:rsid w:val="003077D7"/>
    <w:rsid w:val="00310052"/>
    <w:rsid w:val="00310924"/>
    <w:rsid w:val="003119DF"/>
    <w:rsid w:val="00315D25"/>
    <w:rsid w:val="00316838"/>
    <w:rsid w:val="00316C0E"/>
    <w:rsid w:val="003176F0"/>
    <w:rsid w:val="00317A43"/>
    <w:rsid w:val="00317CA3"/>
    <w:rsid w:val="00320A43"/>
    <w:rsid w:val="00320F55"/>
    <w:rsid w:val="00321DA1"/>
    <w:rsid w:val="003238EE"/>
    <w:rsid w:val="003306B9"/>
    <w:rsid w:val="003320F3"/>
    <w:rsid w:val="0033584E"/>
    <w:rsid w:val="00336151"/>
    <w:rsid w:val="0033681E"/>
    <w:rsid w:val="003375A1"/>
    <w:rsid w:val="0034142F"/>
    <w:rsid w:val="00341757"/>
    <w:rsid w:val="00342DCC"/>
    <w:rsid w:val="00343BB6"/>
    <w:rsid w:val="00344805"/>
    <w:rsid w:val="00344B6D"/>
    <w:rsid w:val="0034542F"/>
    <w:rsid w:val="003458F9"/>
    <w:rsid w:val="0034648C"/>
    <w:rsid w:val="0034699A"/>
    <w:rsid w:val="00346D70"/>
    <w:rsid w:val="00347AB6"/>
    <w:rsid w:val="00350189"/>
    <w:rsid w:val="003508CE"/>
    <w:rsid w:val="00351988"/>
    <w:rsid w:val="00351C56"/>
    <w:rsid w:val="00352EFB"/>
    <w:rsid w:val="003543A9"/>
    <w:rsid w:val="00356239"/>
    <w:rsid w:val="003570D2"/>
    <w:rsid w:val="00357549"/>
    <w:rsid w:val="00357F4D"/>
    <w:rsid w:val="00361201"/>
    <w:rsid w:val="00362C38"/>
    <w:rsid w:val="00363EC7"/>
    <w:rsid w:val="003646CC"/>
    <w:rsid w:val="00364EDB"/>
    <w:rsid w:val="0036776C"/>
    <w:rsid w:val="003715B6"/>
    <w:rsid w:val="00372D3E"/>
    <w:rsid w:val="00373601"/>
    <w:rsid w:val="00373708"/>
    <w:rsid w:val="00373911"/>
    <w:rsid w:val="00375F18"/>
    <w:rsid w:val="0037721C"/>
    <w:rsid w:val="00377CC7"/>
    <w:rsid w:val="00381306"/>
    <w:rsid w:val="0038282F"/>
    <w:rsid w:val="00382FB7"/>
    <w:rsid w:val="00384933"/>
    <w:rsid w:val="003849D4"/>
    <w:rsid w:val="00385B86"/>
    <w:rsid w:val="00386ACE"/>
    <w:rsid w:val="00387097"/>
    <w:rsid w:val="003872C9"/>
    <w:rsid w:val="003919D8"/>
    <w:rsid w:val="00391DF3"/>
    <w:rsid w:val="003931D2"/>
    <w:rsid w:val="00393A1F"/>
    <w:rsid w:val="00394D4B"/>
    <w:rsid w:val="0039611D"/>
    <w:rsid w:val="00396C2C"/>
    <w:rsid w:val="003A0F75"/>
    <w:rsid w:val="003A201F"/>
    <w:rsid w:val="003A2A26"/>
    <w:rsid w:val="003A359F"/>
    <w:rsid w:val="003A3E40"/>
    <w:rsid w:val="003A543B"/>
    <w:rsid w:val="003A6696"/>
    <w:rsid w:val="003A787B"/>
    <w:rsid w:val="003B1B8D"/>
    <w:rsid w:val="003B2DBA"/>
    <w:rsid w:val="003B3157"/>
    <w:rsid w:val="003B4334"/>
    <w:rsid w:val="003B43AD"/>
    <w:rsid w:val="003B515E"/>
    <w:rsid w:val="003B529D"/>
    <w:rsid w:val="003B5AD2"/>
    <w:rsid w:val="003B5EF0"/>
    <w:rsid w:val="003B7727"/>
    <w:rsid w:val="003C0167"/>
    <w:rsid w:val="003C1167"/>
    <w:rsid w:val="003C1CD0"/>
    <w:rsid w:val="003C2871"/>
    <w:rsid w:val="003C2A6D"/>
    <w:rsid w:val="003C351A"/>
    <w:rsid w:val="003C3C93"/>
    <w:rsid w:val="003C45FD"/>
    <w:rsid w:val="003C4D5A"/>
    <w:rsid w:val="003C56E8"/>
    <w:rsid w:val="003C5C27"/>
    <w:rsid w:val="003C70E2"/>
    <w:rsid w:val="003D2469"/>
    <w:rsid w:val="003D3B66"/>
    <w:rsid w:val="003E1622"/>
    <w:rsid w:val="003E18FC"/>
    <w:rsid w:val="003E1E7B"/>
    <w:rsid w:val="003E2237"/>
    <w:rsid w:val="003E264C"/>
    <w:rsid w:val="003E2E2E"/>
    <w:rsid w:val="003E3E53"/>
    <w:rsid w:val="003E4E2B"/>
    <w:rsid w:val="003F0211"/>
    <w:rsid w:val="003F121A"/>
    <w:rsid w:val="003F4303"/>
    <w:rsid w:val="003F4C69"/>
    <w:rsid w:val="003F518D"/>
    <w:rsid w:val="003F55F6"/>
    <w:rsid w:val="003F5F28"/>
    <w:rsid w:val="003F7404"/>
    <w:rsid w:val="00401CB7"/>
    <w:rsid w:val="00401E65"/>
    <w:rsid w:val="0040243C"/>
    <w:rsid w:val="00402F1F"/>
    <w:rsid w:val="00407C08"/>
    <w:rsid w:val="00411EE8"/>
    <w:rsid w:val="004132F7"/>
    <w:rsid w:val="00413748"/>
    <w:rsid w:val="004152A0"/>
    <w:rsid w:val="004177AB"/>
    <w:rsid w:val="00417D89"/>
    <w:rsid w:val="00417DE5"/>
    <w:rsid w:val="00420F30"/>
    <w:rsid w:val="0042107D"/>
    <w:rsid w:val="004222A6"/>
    <w:rsid w:val="00422896"/>
    <w:rsid w:val="00423863"/>
    <w:rsid w:val="0042394B"/>
    <w:rsid w:val="00424246"/>
    <w:rsid w:val="0042442B"/>
    <w:rsid w:val="00425878"/>
    <w:rsid w:val="00425AED"/>
    <w:rsid w:val="00426093"/>
    <w:rsid w:val="004263B3"/>
    <w:rsid w:val="004266DB"/>
    <w:rsid w:val="00426987"/>
    <w:rsid w:val="0043085D"/>
    <w:rsid w:val="00430CEA"/>
    <w:rsid w:val="0043137F"/>
    <w:rsid w:val="00432B25"/>
    <w:rsid w:val="00433E58"/>
    <w:rsid w:val="004342CE"/>
    <w:rsid w:val="004365F0"/>
    <w:rsid w:val="004372D1"/>
    <w:rsid w:val="00440B79"/>
    <w:rsid w:val="00441C99"/>
    <w:rsid w:val="00442013"/>
    <w:rsid w:val="0044504A"/>
    <w:rsid w:val="00445DD0"/>
    <w:rsid w:val="0044618B"/>
    <w:rsid w:val="00446944"/>
    <w:rsid w:val="004472F6"/>
    <w:rsid w:val="004474F1"/>
    <w:rsid w:val="0044786A"/>
    <w:rsid w:val="00451285"/>
    <w:rsid w:val="00451C2C"/>
    <w:rsid w:val="00455551"/>
    <w:rsid w:val="0046004A"/>
    <w:rsid w:val="00460782"/>
    <w:rsid w:val="00461077"/>
    <w:rsid w:val="004613FD"/>
    <w:rsid w:val="00461967"/>
    <w:rsid w:val="00461A67"/>
    <w:rsid w:val="00461A96"/>
    <w:rsid w:val="004629B0"/>
    <w:rsid w:val="004639B1"/>
    <w:rsid w:val="00463AFA"/>
    <w:rsid w:val="004710C4"/>
    <w:rsid w:val="0047189B"/>
    <w:rsid w:val="0047253D"/>
    <w:rsid w:val="00472CBE"/>
    <w:rsid w:val="00473367"/>
    <w:rsid w:val="0047381F"/>
    <w:rsid w:val="00473C95"/>
    <w:rsid w:val="00476ACD"/>
    <w:rsid w:val="0047734E"/>
    <w:rsid w:val="00477ADD"/>
    <w:rsid w:val="00480325"/>
    <w:rsid w:val="004803B5"/>
    <w:rsid w:val="00480999"/>
    <w:rsid w:val="00480DC5"/>
    <w:rsid w:val="00482632"/>
    <w:rsid w:val="00482709"/>
    <w:rsid w:val="00482710"/>
    <w:rsid w:val="00482774"/>
    <w:rsid w:val="004839E9"/>
    <w:rsid w:val="00484112"/>
    <w:rsid w:val="00484166"/>
    <w:rsid w:val="00484277"/>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A00A9"/>
    <w:rsid w:val="004A147C"/>
    <w:rsid w:val="004A1507"/>
    <w:rsid w:val="004A16D9"/>
    <w:rsid w:val="004A1865"/>
    <w:rsid w:val="004A21EF"/>
    <w:rsid w:val="004A2DA5"/>
    <w:rsid w:val="004A3762"/>
    <w:rsid w:val="004B19C1"/>
    <w:rsid w:val="004B246E"/>
    <w:rsid w:val="004B4AF9"/>
    <w:rsid w:val="004B4CC3"/>
    <w:rsid w:val="004B6D38"/>
    <w:rsid w:val="004B6DC9"/>
    <w:rsid w:val="004B6FBF"/>
    <w:rsid w:val="004C35DD"/>
    <w:rsid w:val="004C44BC"/>
    <w:rsid w:val="004C64CB"/>
    <w:rsid w:val="004C6900"/>
    <w:rsid w:val="004C6B7A"/>
    <w:rsid w:val="004C70CE"/>
    <w:rsid w:val="004C774A"/>
    <w:rsid w:val="004D10CE"/>
    <w:rsid w:val="004D1DAE"/>
    <w:rsid w:val="004D20D8"/>
    <w:rsid w:val="004D3D3B"/>
    <w:rsid w:val="004D4416"/>
    <w:rsid w:val="004D5A75"/>
    <w:rsid w:val="004E1641"/>
    <w:rsid w:val="004E1780"/>
    <w:rsid w:val="004E2B96"/>
    <w:rsid w:val="004E4069"/>
    <w:rsid w:val="004E42B6"/>
    <w:rsid w:val="004E59D5"/>
    <w:rsid w:val="004F02F0"/>
    <w:rsid w:val="004F05EC"/>
    <w:rsid w:val="004F0B8C"/>
    <w:rsid w:val="004F1130"/>
    <w:rsid w:val="004F2D73"/>
    <w:rsid w:val="004F2FEF"/>
    <w:rsid w:val="004F3277"/>
    <w:rsid w:val="004F543A"/>
    <w:rsid w:val="004F5614"/>
    <w:rsid w:val="004F5FE8"/>
    <w:rsid w:val="004F6692"/>
    <w:rsid w:val="005000AE"/>
    <w:rsid w:val="00500F24"/>
    <w:rsid w:val="0050144C"/>
    <w:rsid w:val="00502618"/>
    <w:rsid w:val="00503D2C"/>
    <w:rsid w:val="00504875"/>
    <w:rsid w:val="005056C0"/>
    <w:rsid w:val="005069E2"/>
    <w:rsid w:val="00506DCB"/>
    <w:rsid w:val="005109EA"/>
    <w:rsid w:val="00512587"/>
    <w:rsid w:val="005130CC"/>
    <w:rsid w:val="00513312"/>
    <w:rsid w:val="005140BE"/>
    <w:rsid w:val="0051457B"/>
    <w:rsid w:val="0051588C"/>
    <w:rsid w:val="00516F0A"/>
    <w:rsid w:val="00517791"/>
    <w:rsid w:val="0052372F"/>
    <w:rsid w:val="005241ED"/>
    <w:rsid w:val="00524999"/>
    <w:rsid w:val="00524D32"/>
    <w:rsid w:val="00525ABC"/>
    <w:rsid w:val="005274DB"/>
    <w:rsid w:val="0052786A"/>
    <w:rsid w:val="00531126"/>
    <w:rsid w:val="00531461"/>
    <w:rsid w:val="00532144"/>
    <w:rsid w:val="00532583"/>
    <w:rsid w:val="005329C7"/>
    <w:rsid w:val="00533C4E"/>
    <w:rsid w:val="0053652A"/>
    <w:rsid w:val="005370DA"/>
    <w:rsid w:val="00541234"/>
    <w:rsid w:val="005413F9"/>
    <w:rsid w:val="00541D72"/>
    <w:rsid w:val="00542948"/>
    <w:rsid w:val="00544C26"/>
    <w:rsid w:val="0054560C"/>
    <w:rsid w:val="0054695F"/>
    <w:rsid w:val="00550E5A"/>
    <w:rsid w:val="00551CC7"/>
    <w:rsid w:val="00551FA0"/>
    <w:rsid w:val="0055360D"/>
    <w:rsid w:val="00555955"/>
    <w:rsid w:val="00557558"/>
    <w:rsid w:val="0056019B"/>
    <w:rsid w:val="00560D0C"/>
    <w:rsid w:val="00561076"/>
    <w:rsid w:val="0056140C"/>
    <w:rsid w:val="00562990"/>
    <w:rsid w:val="00562D2C"/>
    <w:rsid w:val="00563224"/>
    <w:rsid w:val="0056324E"/>
    <w:rsid w:val="005644FD"/>
    <w:rsid w:val="00564883"/>
    <w:rsid w:val="00564F7B"/>
    <w:rsid w:val="00564F9A"/>
    <w:rsid w:val="00570226"/>
    <w:rsid w:val="00571918"/>
    <w:rsid w:val="0057213D"/>
    <w:rsid w:val="00573D5C"/>
    <w:rsid w:val="00574032"/>
    <w:rsid w:val="0057530D"/>
    <w:rsid w:val="00576232"/>
    <w:rsid w:val="0057660D"/>
    <w:rsid w:val="00580612"/>
    <w:rsid w:val="00580814"/>
    <w:rsid w:val="005815BE"/>
    <w:rsid w:val="00581985"/>
    <w:rsid w:val="00581A36"/>
    <w:rsid w:val="00581CC3"/>
    <w:rsid w:val="00583D3B"/>
    <w:rsid w:val="00584298"/>
    <w:rsid w:val="005862F7"/>
    <w:rsid w:val="00587127"/>
    <w:rsid w:val="005879B9"/>
    <w:rsid w:val="00587EC6"/>
    <w:rsid w:val="00590EE1"/>
    <w:rsid w:val="00594C98"/>
    <w:rsid w:val="005957FD"/>
    <w:rsid w:val="00595D5A"/>
    <w:rsid w:val="00597277"/>
    <w:rsid w:val="005A1802"/>
    <w:rsid w:val="005A1FD8"/>
    <w:rsid w:val="005A4622"/>
    <w:rsid w:val="005A4DAF"/>
    <w:rsid w:val="005B0562"/>
    <w:rsid w:val="005B0D40"/>
    <w:rsid w:val="005B0D5A"/>
    <w:rsid w:val="005B1A8B"/>
    <w:rsid w:val="005B20EB"/>
    <w:rsid w:val="005B2186"/>
    <w:rsid w:val="005B2208"/>
    <w:rsid w:val="005B25E7"/>
    <w:rsid w:val="005B284F"/>
    <w:rsid w:val="005B3EE0"/>
    <w:rsid w:val="005B3F4A"/>
    <w:rsid w:val="005B41AD"/>
    <w:rsid w:val="005B520E"/>
    <w:rsid w:val="005B7AAD"/>
    <w:rsid w:val="005C2806"/>
    <w:rsid w:val="005C2941"/>
    <w:rsid w:val="005C3EAF"/>
    <w:rsid w:val="005C6801"/>
    <w:rsid w:val="005C7620"/>
    <w:rsid w:val="005D0135"/>
    <w:rsid w:val="005D197A"/>
    <w:rsid w:val="005D27E4"/>
    <w:rsid w:val="005D34D5"/>
    <w:rsid w:val="005D452A"/>
    <w:rsid w:val="005D59C2"/>
    <w:rsid w:val="005D6C2B"/>
    <w:rsid w:val="005D7200"/>
    <w:rsid w:val="005D76DA"/>
    <w:rsid w:val="005E22B7"/>
    <w:rsid w:val="005E232E"/>
    <w:rsid w:val="005E30F4"/>
    <w:rsid w:val="005E42AF"/>
    <w:rsid w:val="005E6055"/>
    <w:rsid w:val="005E79EF"/>
    <w:rsid w:val="005E7D55"/>
    <w:rsid w:val="005F0CA7"/>
    <w:rsid w:val="005F2B86"/>
    <w:rsid w:val="005F34E4"/>
    <w:rsid w:val="005F4E1F"/>
    <w:rsid w:val="005F50AA"/>
    <w:rsid w:val="005F5C57"/>
    <w:rsid w:val="005F6E74"/>
    <w:rsid w:val="005F7393"/>
    <w:rsid w:val="00601800"/>
    <w:rsid w:val="006026CF"/>
    <w:rsid w:val="006037E7"/>
    <w:rsid w:val="00604122"/>
    <w:rsid w:val="00604EE1"/>
    <w:rsid w:val="0060514E"/>
    <w:rsid w:val="00605499"/>
    <w:rsid w:val="00606153"/>
    <w:rsid w:val="00607BDE"/>
    <w:rsid w:val="00610478"/>
    <w:rsid w:val="00611B7B"/>
    <w:rsid w:val="006125F6"/>
    <w:rsid w:val="00612E09"/>
    <w:rsid w:val="00613BD4"/>
    <w:rsid w:val="00613EC9"/>
    <w:rsid w:val="00615C60"/>
    <w:rsid w:val="00616B9A"/>
    <w:rsid w:val="00620798"/>
    <w:rsid w:val="00620A02"/>
    <w:rsid w:val="00620FB8"/>
    <w:rsid w:val="0062161E"/>
    <w:rsid w:val="00622100"/>
    <w:rsid w:val="00622BBE"/>
    <w:rsid w:val="006233F1"/>
    <w:rsid w:val="006235A4"/>
    <w:rsid w:val="0063168A"/>
    <w:rsid w:val="006327CA"/>
    <w:rsid w:val="006334DB"/>
    <w:rsid w:val="0063359A"/>
    <w:rsid w:val="0063389F"/>
    <w:rsid w:val="0063484A"/>
    <w:rsid w:val="006366D3"/>
    <w:rsid w:val="00636D68"/>
    <w:rsid w:val="0063764D"/>
    <w:rsid w:val="00637F29"/>
    <w:rsid w:val="00640A52"/>
    <w:rsid w:val="006414AE"/>
    <w:rsid w:val="00641D5B"/>
    <w:rsid w:val="00642C5D"/>
    <w:rsid w:val="00643113"/>
    <w:rsid w:val="00643235"/>
    <w:rsid w:val="006444FB"/>
    <w:rsid w:val="00644F9E"/>
    <w:rsid w:val="00645A43"/>
    <w:rsid w:val="00646E6B"/>
    <w:rsid w:val="006470D3"/>
    <w:rsid w:val="00647B5F"/>
    <w:rsid w:val="00647FFD"/>
    <w:rsid w:val="00652D1E"/>
    <w:rsid w:val="0065333B"/>
    <w:rsid w:val="00656E91"/>
    <w:rsid w:val="006625D5"/>
    <w:rsid w:val="00663AA2"/>
    <w:rsid w:val="006666E7"/>
    <w:rsid w:val="006669B9"/>
    <w:rsid w:val="00666D45"/>
    <w:rsid w:val="0067155D"/>
    <w:rsid w:val="00671D55"/>
    <w:rsid w:val="00672174"/>
    <w:rsid w:val="00672511"/>
    <w:rsid w:val="006727DB"/>
    <w:rsid w:val="00672AC0"/>
    <w:rsid w:val="0067457D"/>
    <w:rsid w:val="006751C3"/>
    <w:rsid w:val="00677215"/>
    <w:rsid w:val="00677D3C"/>
    <w:rsid w:val="006806A0"/>
    <w:rsid w:val="00680FBF"/>
    <w:rsid w:val="00680FD5"/>
    <w:rsid w:val="00681E02"/>
    <w:rsid w:val="00681F60"/>
    <w:rsid w:val="006821F1"/>
    <w:rsid w:val="0068231F"/>
    <w:rsid w:val="00683881"/>
    <w:rsid w:val="00684443"/>
    <w:rsid w:val="0068608D"/>
    <w:rsid w:val="00686C3E"/>
    <w:rsid w:val="00691E5A"/>
    <w:rsid w:val="00692790"/>
    <w:rsid w:val="006932A6"/>
    <w:rsid w:val="006952FE"/>
    <w:rsid w:val="0069530B"/>
    <w:rsid w:val="006965B4"/>
    <w:rsid w:val="00697F18"/>
    <w:rsid w:val="006A0DFB"/>
    <w:rsid w:val="006A2053"/>
    <w:rsid w:val="006A20A7"/>
    <w:rsid w:val="006A2213"/>
    <w:rsid w:val="006A3B05"/>
    <w:rsid w:val="006A530E"/>
    <w:rsid w:val="006A7659"/>
    <w:rsid w:val="006A7E1D"/>
    <w:rsid w:val="006B014A"/>
    <w:rsid w:val="006B2E16"/>
    <w:rsid w:val="006B301E"/>
    <w:rsid w:val="006B39DB"/>
    <w:rsid w:val="006C010E"/>
    <w:rsid w:val="006C24A6"/>
    <w:rsid w:val="006C29A8"/>
    <w:rsid w:val="006C3D35"/>
    <w:rsid w:val="006C6406"/>
    <w:rsid w:val="006D1BFF"/>
    <w:rsid w:val="006D2BBC"/>
    <w:rsid w:val="006D2E1F"/>
    <w:rsid w:val="006D2F88"/>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B9"/>
    <w:rsid w:val="006F109E"/>
    <w:rsid w:val="006F2BF0"/>
    <w:rsid w:val="006F4417"/>
    <w:rsid w:val="006F4A43"/>
    <w:rsid w:val="006F60F7"/>
    <w:rsid w:val="006F7BDC"/>
    <w:rsid w:val="007000A4"/>
    <w:rsid w:val="00702618"/>
    <w:rsid w:val="00703E9E"/>
    <w:rsid w:val="00704E67"/>
    <w:rsid w:val="00705115"/>
    <w:rsid w:val="0070651C"/>
    <w:rsid w:val="00711C3B"/>
    <w:rsid w:val="00711E18"/>
    <w:rsid w:val="00713FFA"/>
    <w:rsid w:val="0071427C"/>
    <w:rsid w:val="007146F7"/>
    <w:rsid w:val="0071631E"/>
    <w:rsid w:val="00716632"/>
    <w:rsid w:val="00716702"/>
    <w:rsid w:val="00720115"/>
    <w:rsid w:val="00721665"/>
    <w:rsid w:val="00721700"/>
    <w:rsid w:val="00722A7B"/>
    <w:rsid w:val="00725A32"/>
    <w:rsid w:val="00726C14"/>
    <w:rsid w:val="007277F0"/>
    <w:rsid w:val="00727A7D"/>
    <w:rsid w:val="00727D39"/>
    <w:rsid w:val="00730977"/>
    <w:rsid w:val="00733908"/>
    <w:rsid w:val="00734542"/>
    <w:rsid w:val="00734AA6"/>
    <w:rsid w:val="00735288"/>
    <w:rsid w:val="00737EBA"/>
    <w:rsid w:val="00740C8C"/>
    <w:rsid w:val="0074531B"/>
    <w:rsid w:val="0074572F"/>
    <w:rsid w:val="00747662"/>
    <w:rsid w:val="007501AF"/>
    <w:rsid w:val="00751574"/>
    <w:rsid w:val="007515CC"/>
    <w:rsid w:val="0075297E"/>
    <w:rsid w:val="00752B83"/>
    <w:rsid w:val="00753568"/>
    <w:rsid w:val="00753D56"/>
    <w:rsid w:val="00755371"/>
    <w:rsid w:val="00760F7A"/>
    <w:rsid w:val="00761783"/>
    <w:rsid w:val="00761DEC"/>
    <w:rsid w:val="00762CE9"/>
    <w:rsid w:val="007638CF"/>
    <w:rsid w:val="0076480E"/>
    <w:rsid w:val="00766A0D"/>
    <w:rsid w:val="0076701E"/>
    <w:rsid w:val="00767FBB"/>
    <w:rsid w:val="007721EB"/>
    <w:rsid w:val="007727D8"/>
    <w:rsid w:val="00774164"/>
    <w:rsid w:val="00775A41"/>
    <w:rsid w:val="00777D52"/>
    <w:rsid w:val="00780CDB"/>
    <w:rsid w:val="00781DC5"/>
    <w:rsid w:val="0078474D"/>
    <w:rsid w:val="00785A40"/>
    <w:rsid w:val="007902B4"/>
    <w:rsid w:val="00790661"/>
    <w:rsid w:val="00791230"/>
    <w:rsid w:val="00791649"/>
    <w:rsid w:val="00794260"/>
    <w:rsid w:val="00794C51"/>
    <w:rsid w:val="007952DF"/>
    <w:rsid w:val="00795557"/>
    <w:rsid w:val="00795A57"/>
    <w:rsid w:val="007A08E7"/>
    <w:rsid w:val="007A383E"/>
    <w:rsid w:val="007A7A18"/>
    <w:rsid w:val="007B0DCE"/>
    <w:rsid w:val="007B14B1"/>
    <w:rsid w:val="007B16DD"/>
    <w:rsid w:val="007B7ABF"/>
    <w:rsid w:val="007C1569"/>
    <w:rsid w:val="007D1506"/>
    <w:rsid w:val="007D3F39"/>
    <w:rsid w:val="007D40E2"/>
    <w:rsid w:val="007D490C"/>
    <w:rsid w:val="007D512D"/>
    <w:rsid w:val="007D5132"/>
    <w:rsid w:val="007D5221"/>
    <w:rsid w:val="007D6351"/>
    <w:rsid w:val="007D68FB"/>
    <w:rsid w:val="007E1466"/>
    <w:rsid w:val="007E2571"/>
    <w:rsid w:val="007E4A08"/>
    <w:rsid w:val="007E4FAB"/>
    <w:rsid w:val="007E5A1C"/>
    <w:rsid w:val="007E5CFD"/>
    <w:rsid w:val="007E7CC0"/>
    <w:rsid w:val="007E7E9F"/>
    <w:rsid w:val="007F2020"/>
    <w:rsid w:val="007F4C3B"/>
    <w:rsid w:val="007F53E2"/>
    <w:rsid w:val="007F561B"/>
    <w:rsid w:val="007F5749"/>
    <w:rsid w:val="007F6F33"/>
    <w:rsid w:val="00800BAC"/>
    <w:rsid w:val="00801272"/>
    <w:rsid w:val="0080467D"/>
    <w:rsid w:val="00804EF2"/>
    <w:rsid w:val="00805C95"/>
    <w:rsid w:val="00806153"/>
    <w:rsid w:val="008063C6"/>
    <w:rsid w:val="008063CB"/>
    <w:rsid w:val="00810100"/>
    <w:rsid w:val="008109B0"/>
    <w:rsid w:val="00810C91"/>
    <w:rsid w:val="008125CA"/>
    <w:rsid w:val="00815852"/>
    <w:rsid w:val="008158EF"/>
    <w:rsid w:val="00816EE6"/>
    <w:rsid w:val="00817A74"/>
    <w:rsid w:val="008205C9"/>
    <w:rsid w:val="00820D79"/>
    <w:rsid w:val="00821091"/>
    <w:rsid w:val="008210D4"/>
    <w:rsid w:val="00821AEF"/>
    <w:rsid w:val="00821FA6"/>
    <w:rsid w:val="00822573"/>
    <w:rsid w:val="00822AC8"/>
    <w:rsid w:val="00822B35"/>
    <w:rsid w:val="00823272"/>
    <w:rsid w:val="008232BD"/>
    <w:rsid w:val="00826134"/>
    <w:rsid w:val="008263E2"/>
    <w:rsid w:val="0082688C"/>
    <w:rsid w:val="00831B06"/>
    <w:rsid w:val="00832016"/>
    <w:rsid w:val="00832E5D"/>
    <w:rsid w:val="00833452"/>
    <w:rsid w:val="0083356B"/>
    <w:rsid w:val="008338D8"/>
    <w:rsid w:val="008355D4"/>
    <w:rsid w:val="008370C1"/>
    <w:rsid w:val="008407E2"/>
    <w:rsid w:val="00840E99"/>
    <w:rsid w:val="00843EED"/>
    <w:rsid w:val="0084407C"/>
    <w:rsid w:val="00845A4C"/>
    <w:rsid w:val="0084647B"/>
    <w:rsid w:val="0084796E"/>
    <w:rsid w:val="00850B80"/>
    <w:rsid w:val="008516E1"/>
    <w:rsid w:val="00851E51"/>
    <w:rsid w:val="008520C9"/>
    <w:rsid w:val="00852B78"/>
    <w:rsid w:val="008539C7"/>
    <w:rsid w:val="00853F4B"/>
    <w:rsid w:val="008547DC"/>
    <w:rsid w:val="00854976"/>
    <w:rsid w:val="00854A2D"/>
    <w:rsid w:val="00855555"/>
    <w:rsid w:val="008568AC"/>
    <w:rsid w:val="00860742"/>
    <w:rsid w:val="00861F00"/>
    <w:rsid w:val="008621BC"/>
    <w:rsid w:val="0086232B"/>
    <w:rsid w:val="00863D85"/>
    <w:rsid w:val="0086712E"/>
    <w:rsid w:val="00867241"/>
    <w:rsid w:val="00870AAD"/>
    <w:rsid w:val="008715E0"/>
    <w:rsid w:val="008742ED"/>
    <w:rsid w:val="00875931"/>
    <w:rsid w:val="00876248"/>
    <w:rsid w:val="0087713C"/>
    <w:rsid w:val="0087740E"/>
    <w:rsid w:val="00880A8D"/>
    <w:rsid w:val="00885FC4"/>
    <w:rsid w:val="00887E94"/>
    <w:rsid w:val="00892DC1"/>
    <w:rsid w:val="00894558"/>
    <w:rsid w:val="00897341"/>
    <w:rsid w:val="008A067E"/>
    <w:rsid w:val="008A0C4A"/>
    <w:rsid w:val="008A1810"/>
    <w:rsid w:val="008A212F"/>
    <w:rsid w:val="008A21EC"/>
    <w:rsid w:val="008A291B"/>
    <w:rsid w:val="008A318E"/>
    <w:rsid w:val="008A5B65"/>
    <w:rsid w:val="008A70C8"/>
    <w:rsid w:val="008A793D"/>
    <w:rsid w:val="008A7B56"/>
    <w:rsid w:val="008B0885"/>
    <w:rsid w:val="008B383A"/>
    <w:rsid w:val="008B4097"/>
    <w:rsid w:val="008B45DD"/>
    <w:rsid w:val="008C0EFC"/>
    <w:rsid w:val="008C2A57"/>
    <w:rsid w:val="008C399B"/>
    <w:rsid w:val="008C4171"/>
    <w:rsid w:val="008C675A"/>
    <w:rsid w:val="008C70A7"/>
    <w:rsid w:val="008C7766"/>
    <w:rsid w:val="008D0021"/>
    <w:rsid w:val="008D199A"/>
    <w:rsid w:val="008D29E2"/>
    <w:rsid w:val="008D4366"/>
    <w:rsid w:val="008D7C24"/>
    <w:rsid w:val="008E206E"/>
    <w:rsid w:val="008E22E9"/>
    <w:rsid w:val="008E296A"/>
    <w:rsid w:val="008E35A7"/>
    <w:rsid w:val="008E3E12"/>
    <w:rsid w:val="008E4BC0"/>
    <w:rsid w:val="008E538F"/>
    <w:rsid w:val="008E5B0E"/>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2139"/>
    <w:rsid w:val="00902860"/>
    <w:rsid w:val="00902D61"/>
    <w:rsid w:val="00910D58"/>
    <w:rsid w:val="00912C3E"/>
    <w:rsid w:val="0091343D"/>
    <w:rsid w:val="00914FB1"/>
    <w:rsid w:val="00917A79"/>
    <w:rsid w:val="0092024E"/>
    <w:rsid w:val="00920842"/>
    <w:rsid w:val="00921D77"/>
    <w:rsid w:val="0092428A"/>
    <w:rsid w:val="009249B4"/>
    <w:rsid w:val="0092501C"/>
    <w:rsid w:val="00926627"/>
    <w:rsid w:val="00927FE6"/>
    <w:rsid w:val="009316D2"/>
    <w:rsid w:val="009319C3"/>
    <w:rsid w:val="00931CE7"/>
    <w:rsid w:val="009334EE"/>
    <w:rsid w:val="00935971"/>
    <w:rsid w:val="009364DE"/>
    <w:rsid w:val="00937108"/>
    <w:rsid w:val="00937B24"/>
    <w:rsid w:val="00941790"/>
    <w:rsid w:val="009438EB"/>
    <w:rsid w:val="00943A59"/>
    <w:rsid w:val="00943F44"/>
    <w:rsid w:val="00945114"/>
    <w:rsid w:val="00945370"/>
    <w:rsid w:val="00945D69"/>
    <w:rsid w:val="00946ABA"/>
    <w:rsid w:val="00946C15"/>
    <w:rsid w:val="00947663"/>
    <w:rsid w:val="00947E99"/>
    <w:rsid w:val="00950FB3"/>
    <w:rsid w:val="0095174A"/>
    <w:rsid w:val="009525C3"/>
    <w:rsid w:val="00953BBB"/>
    <w:rsid w:val="00954BFE"/>
    <w:rsid w:val="00954E69"/>
    <w:rsid w:val="00955155"/>
    <w:rsid w:val="00956694"/>
    <w:rsid w:val="009625D4"/>
    <w:rsid w:val="0096362C"/>
    <w:rsid w:val="009668C2"/>
    <w:rsid w:val="00971E52"/>
    <w:rsid w:val="00971FF7"/>
    <w:rsid w:val="00972AF9"/>
    <w:rsid w:val="00973F66"/>
    <w:rsid w:val="00975A18"/>
    <w:rsid w:val="00976359"/>
    <w:rsid w:val="009800AA"/>
    <w:rsid w:val="009803F5"/>
    <w:rsid w:val="0098223A"/>
    <w:rsid w:val="00982397"/>
    <w:rsid w:val="009824A4"/>
    <w:rsid w:val="009828F8"/>
    <w:rsid w:val="009835BB"/>
    <w:rsid w:val="00983904"/>
    <w:rsid w:val="00983B24"/>
    <w:rsid w:val="0098642B"/>
    <w:rsid w:val="00987188"/>
    <w:rsid w:val="00987369"/>
    <w:rsid w:val="00987EEB"/>
    <w:rsid w:val="00990672"/>
    <w:rsid w:val="00992680"/>
    <w:rsid w:val="009928B8"/>
    <w:rsid w:val="00992D59"/>
    <w:rsid w:val="00994812"/>
    <w:rsid w:val="009948ED"/>
    <w:rsid w:val="00995AF3"/>
    <w:rsid w:val="00995B1C"/>
    <w:rsid w:val="009A0DED"/>
    <w:rsid w:val="009A0FE1"/>
    <w:rsid w:val="009A1207"/>
    <w:rsid w:val="009A12CC"/>
    <w:rsid w:val="009A1E6A"/>
    <w:rsid w:val="009A2E1F"/>
    <w:rsid w:val="009A322D"/>
    <w:rsid w:val="009A4021"/>
    <w:rsid w:val="009A5A12"/>
    <w:rsid w:val="009A5E63"/>
    <w:rsid w:val="009A6718"/>
    <w:rsid w:val="009A6D5C"/>
    <w:rsid w:val="009B00F8"/>
    <w:rsid w:val="009B0EBA"/>
    <w:rsid w:val="009B2512"/>
    <w:rsid w:val="009B3EF7"/>
    <w:rsid w:val="009B4072"/>
    <w:rsid w:val="009B4657"/>
    <w:rsid w:val="009B5096"/>
    <w:rsid w:val="009B79E5"/>
    <w:rsid w:val="009B7E34"/>
    <w:rsid w:val="009B7FEF"/>
    <w:rsid w:val="009C2B21"/>
    <w:rsid w:val="009C3CC4"/>
    <w:rsid w:val="009C57D2"/>
    <w:rsid w:val="009C6D07"/>
    <w:rsid w:val="009C7CC2"/>
    <w:rsid w:val="009D4EA6"/>
    <w:rsid w:val="009D4EB3"/>
    <w:rsid w:val="009D6298"/>
    <w:rsid w:val="009D7D5C"/>
    <w:rsid w:val="009D7F85"/>
    <w:rsid w:val="009E1A2F"/>
    <w:rsid w:val="009E50F7"/>
    <w:rsid w:val="009E7800"/>
    <w:rsid w:val="009F3B3B"/>
    <w:rsid w:val="009F512E"/>
    <w:rsid w:val="009F7CB7"/>
    <w:rsid w:val="00A019F4"/>
    <w:rsid w:val="00A01BA0"/>
    <w:rsid w:val="00A02040"/>
    <w:rsid w:val="00A0357B"/>
    <w:rsid w:val="00A037B8"/>
    <w:rsid w:val="00A03C0A"/>
    <w:rsid w:val="00A03DE2"/>
    <w:rsid w:val="00A045F4"/>
    <w:rsid w:val="00A05F20"/>
    <w:rsid w:val="00A11095"/>
    <w:rsid w:val="00A122DF"/>
    <w:rsid w:val="00A12542"/>
    <w:rsid w:val="00A13BEA"/>
    <w:rsid w:val="00A14171"/>
    <w:rsid w:val="00A15232"/>
    <w:rsid w:val="00A15EDE"/>
    <w:rsid w:val="00A16B79"/>
    <w:rsid w:val="00A16E24"/>
    <w:rsid w:val="00A22C11"/>
    <w:rsid w:val="00A25378"/>
    <w:rsid w:val="00A269BE"/>
    <w:rsid w:val="00A26F02"/>
    <w:rsid w:val="00A27013"/>
    <w:rsid w:val="00A2716D"/>
    <w:rsid w:val="00A27EDD"/>
    <w:rsid w:val="00A31625"/>
    <w:rsid w:val="00A33A76"/>
    <w:rsid w:val="00A33BAB"/>
    <w:rsid w:val="00A34A44"/>
    <w:rsid w:val="00A35926"/>
    <w:rsid w:val="00A35BA2"/>
    <w:rsid w:val="00A35C68"/>
    <w:rsid w:val="00A37278"/>
    <w:rsid w:val="00A37D8B"/>
    <w:rsid w:val="00A40BCD"/>
    <w:rsid w:val="00A411A3"/>
    <w:rsid w:val="00A42DA7"/>
    <w:rsid w:val="00A438A7"/>
    <w:rsid w:val="00A447C7"/>
    <w:rsid w:val="00A467C8"/>
    <w:rsid w:val="00A51444"/>
    <w:rsid w:val="00A51E42"/>
    <w:rsid w:val="00A52F13"/>
    <w:rsid w:val="00A5322E"/>
    <w:rsid w:val="00A53677"/>
    <w:rsid w:val="00A548B5"/>
    <w:rsid w:val="00A56003"/>
    <w:rsid w:val="00A56D55"/>
    <w:rsid w:val="00A57F20"/>
    <w:rsid w:val="00A60262"/>
    <w:rsid w:val="00A60265"/>
    <w:rsid w:val="00A60532"/>
    <w:rsid w:val="00A6109B"/>
    <w:rsid w:val="00A63987"/>
    <w:rsid w:val="00A70CA8"/>
    <w:rsid w:val="00A71E75"/>
    <w:rsid w:val="00A73799"/>
    <w:rsid w:val="00A74DBB"/>
    <w:rsid w:val="00A765DF"/>
    <w:rsid w:val="00A77FB3"/>
    <w:rsid w:val="00A808DD"/>
    <w:rsid w:val="00A820A8"/>
    <w:rsid w:val="00A821B5"/>
    <w:rsid w:val="00A869AC"/>
    <w:rsid w:val="00A86C3B"/>
    <w:rsid w:val="00A90235"/>
    <w:rsid w:val="00A902F6"/>
    <w:rsid w:val="00A90CBF"/>
    <w:rsid w:val="00A90E4D"/>
    <w:rsid w:val="00A91B7E"/>
    <w:rsid w:val="00A954C6"/>
    <w:rsid w:val="00AA0091"/>
    <w:rsid w:val="00AA00AD"/>
    <w:rsid w:val="00AA04CD"/>
    <w:rsid w:val="00AA0888"/>
    <w:rsid w:val="00AA12D7"/>
    <w:rsid w:val="00AA1BDD"/>
    <w:rsid w:val="00AA45A7"/>
    <w:rsid w:val="00AA46B9"/>
    <w:rsid w:val="00AA4F80"/>
    <w:rsid w:val="00AA575E"/>
    <w:rsid w:val="00AA5ADD"/>
    <w:rsid w:val="00AA5D39"/>
    <w:rsid w:val="00AB0265"/>
    <w:rsid w:val="00AB03C2"/>
    <w:rsid w:val="00AB1105"/>
    <w:rsid w:val="00AB2564"/>
    <w:rsid w:val="00AB3BA3"/>
    <w:rsid w:val="00AB490F"/>
    <w:rsid w:val="00AB547D"/>
    <w:rsid w:val="00AC0042"/>
    <w:rsid w:val="00AC01B5"/>
    <w:rsid w:val="00AC0CA1"/>
    <w:rsid w:val="00AC13F4"/>
    <w:rsid w:val="00AC25D1"/>
    <w:rsid w:val="00AC3044"/>
    <w:rsid w:val="00AC3EAF"/>
    <w:rsid w:val="00AC613F"/>
    <w:rsid w:val="00AC6560"/>
    <w:rsid w:val="00AC7A12"/>
    <w:rsid w:val="00AD107E"/>
    <w:rsid w:val="00AD1611"/>
    <w:rsid w:val="00AD26BE"/>
    <w:rsid w:val="00AD3297"/>
    <w:rsid w:val="00AD3405"/>
    <w:rsid w:val="00AD394E"/>
    <w:rsid w:val="00AD5653"/>
    <w:rsid w:val="00AE24D0"/>
    <w:rsid w:val="00AE666E"/>
    <w:rsid w:val="00AE6D69"/>
    <w:rsid w:val="00AE705F"/>
    <w:rsid w:val="00AE71A1"/>
    <w:rsid w:val="00AF2825"/>
    <w:rsid w:val="00AF2E9A"/>
    <w:rsid w:val="00AF3FB7"/>
    <w:rsid w:val="00AF4183"/>
    <w:rsid w:val="00AF4DC6"/>
    <w:rsid w:val="00AF4DEC"/>
    <w:rsid w:val="00AF4FF8"/>
    <w:rsid w:val="00AF50B7"/>
    <w:rsid w:val="00AF6367"/>
    <w:rsid w:val="00B00498"/>
    <w:rsid w:val="00B00823"/>
    <w:rsid w:val="00B01606"/>
    <w:rsid w:val="00B0452E"/>
    <w:rsid w:val="00B0458E"/>
    <w:rsid w:val="00B05012"/>
    <w:rsid w:val="00B05BB3"/>
    <w:rsid w:val="00B10DDB"/>
    <w:rsid w:val="00B10F04"/>
    <w:rsid w:val="00B1130A"/>
    <w:rsid w:val="00B11DC0"/>
    <w:rsid w:val="00B12AF7"/>
    <w:rsid w:val="00B12BDA"/>
    <w:rsid w:val="00B13827"/>
    <w:rsid w:val="00B150B3"/>
    <w:rsid w:val="00B15380"/>
    <w:rsid w:val="00B175A0"/>
    <w:rsid w:val="00B214D3"/>
    <w:rsid w:val="00B23BD4"/>
    <w:rsid w:val="00B2406E"/>
    <w:rsid w:val="00B25B24"/>
    <w:rsid w:val="00B27108"/>
    <w:rsid w:val="00B3037F"/>
    <w:rsid w:val="00B30769"/>
    <w:rsid w:val="00B319DD"/>
    <w:rsid w:val="00B329B6"/>
    <w:rsid w:val="00B3349F"/>
    <w:rsid w:val="00B33DCE"/>
    <w:rsid w:val="00B34013"/>
    <w:rsid w:val="00B34F8F"/>
    <w:rsid w:val="00B353E9"/>
    <w:rsid w:val="00B37542"/>
    <w:rsid w:val="00B4071D"/>
    <w:rsid w:val="00B41D59"/>
    <w:rsid w:val="00B42AC5"/>
    <w:rsid w:val="00B43284"/>
    <w:rsid w:val="00B43C1B"/>
    <w:rsid w:val="00B444B6"/>
    <w:rsid w:val="00B44752"/>
    <w:rsid w:val="00B447B4"/>
    <w:rsid w:val="00B45596"/>
    <w:rsid w:val="00B45AEE"/>
    <w:rsid w:val="00B465BD"/>
    <w:rsid w:val="00B469E5"/>
    <w:rsid w:val="00B471A4"/>
    <w:rsid w:val="00B47BD3"/>
    <w:rsid w:val="00B500DB"/>
    <w:rsid w:val="00B5089C"/>
    <w:rsid w:val="00B51AA4"/>
    <w:rsid w:val="00B54EFD"/>
    <w:rsid w:val="00B555CE"/>
    <w:rsid w:val="00B55836"/>
    <w:rsid w:val="00B55870"/>
    <w:rsid w:val="00B5651F"/>
    <w:rsid w:val="00B56C7F"/>
    <w:rsid w:val="00B579E5"/>
    <w:rsid w:val="00B60ECC"/>
    <w:rsid w:val="00B62EA8"/>
    <w:rsid w:val="00B63002"/>
    <w:rsid w:val="00B6479C"/>
    <w:rsid w:val="00B64F87"/>
    <w:rsid w:val="00B64FE3"/>
    <w:rsid w:val="00B653BB"/>
    <w:rsid w:val="00B65AD5"/>
    <w:rsid w:val="00B66533"/>
    <w:rsid w:val="00B66B50"/>
    <w:rsid w:val="00B6704D"/>
    <w:rsid w:val="00B71427"/>
    <w:rsid w:val="00B71AD4"/>
    <w:rsid w:val="00B72829"/>
    <w:rsid w:val="00B72948"/>
    <w:rsid w:val="00B73520"/>
    <w:rsid w:val="00B7368F"/>
    <w:rsid w:val="00B745FB"/>
    <w:rsid w:val="00B76488"/>
    <w:rsid w:val="00B764B0"/>
    <w:rsid w:val="00B77D12"/>
    <w:rsid w:val="00B8043E"/>
    <w:rsid w:val="00B80864"/>
    <w:rsid w:val="00B817CF"/>
    <w:rsid w:val="00B8269F"/>
    <w:rsid w:val="00B83201"/>
    <w:rsid w:val="00B8338B"/>
    <w:rsid w:val="00B83C43"/>
    <w:rsid w:val="00B83E72"/>
    <w:rsid w:val="00B851FB"/>
    <w:rsid w:val="00B908E7"/>
    <w:rsid w:val="00B93186"/>
    <w:rsid w:val="00B9472A"/>
    <w:rsid w:val="00B94780"/>
    <w:rsid w:val="00B974E5"/>
    <w:rsid w:val="00BA0A43"/>
    <w:rsid w:val="00BA1DC6"/>
    <w:rsid w:val="00BA2102"/>
    <w:rsid w:val="00BA4D63"/>
    <w:rsid w:val="00BB0257"/>
    <w:rsid w:val="00BB02DB"/>
    <w:rsid w:val="00BB19B7"/>
    <w:rsid w:val="00BB32B8"/>
    <w:rsid w:val="00BB4322"/>
    <w:rsid w:val="00BB5B80"/>
    <w:rsid w:val="00BB60B8"/>
    <w:rsid w:val="00BC039A"/>
    <w:rsid w:val="00BC085E"/>
    <w:rsid w:val="00BC5FDF"/>
    <w:rsid w:val="00BC634D"/>
    <w:rsid w:val="00BC7FE9"/>
    <w:rsid w:val="00BD02F5"/>
    <w:rsid w:val="00BD20CF"/>
    <w:rsid w:val="00BD3E0D"/>
    <w:rsid w:val="00BD4529"/>
    <w:rsid w:val="00BD4CA2"/>
    <w:rsid w:val="00BD4E96"/>
    <w:rsid w:val="00BD589C"/>
    <w:rsid w:val="00BD7706"/>
    <w:rsid w:val="00BD77B5"/>
    <w:rsid w:val="00BE095B"/>
    <w:rsid w:val="00BE22B6"/>
    <w:rsid w:val="00BE4C09"/>
    <w:rsid w:val="00BE4D08"/>
    <w:rsid w:val="00BE4FC8"/>
    <w:rsid w:val="00BE5551"/>
    <w:rsid w:val="00BE5DB0"/>
    <w:rsid w:val="00BE7F6A"/>
    <w:rsid w:val="00BF063B"/>
    <w:rsid w:val="00BF08F0"/>
    <w:rsid w:val="00BF195B"/>
    <w:rsid w:val="00BF22AD"/>
    <w:rsid w:val="00BF2B03"/>
    <w:rsid w:val="00BF2D29"/>
    <w:rsid w:val="00BF32B7"/>
    <w:rsid w:val="00BF3DA2"/>
    <w:rsid w:val="00BF4F27"/>
    <w:rsid w:val="00BF6C8C"/>
    <w:rsid w:val="00BF6D0B"/>
    <w:rsid w:val="00BF7E18"/>
    <w:rsid w:val="00C00C3B"/>
    <w:rsid w:val="00C0268E"/>
    <w:rsid w:val="00C0358B"/>
    <w:rsid w:val="00C0449D"/>
    <w:rsid w:val="00C064A7"/>
    <w:rsid w:val="00C07E6C"/>
    <w:rsid w:val="00C102D6"/>
    <w:rsid w:val="00C103E2"/>
    <w:rsid w:val="00C110AA"/>
    <w:rsid w:val="00C11385"/>
    <w:rsid w:val="00C11843"/>
    <w:rsid w:val="00C11AF0"/>
    <w:rsid w:val="00C11EC4"/>
    <w:rsid w:val="00C1217A"/>
    <w:rsid w:val="00C12ED0"/>
    <w:rsid w:val="00C13613"/>
    <w:rsid w:val="00C16CA0"/>
    <w:rsid w:val="00C2149B"/>
    <w:rsid w:val="00C22419"/>
    <w:rsid w:val="00C245D1"/>
    <w:rsid w:val="00C262BA"/>
    <w:rsid w:val="00C2791D"/>
    <w:rsid w:val="00C27D64"/>
    <w:rsid w:val="00C30E16"/>
    <w:rsid w:val="00C35E83"/>
    <w:rsid w:val="00C36115"/>
    <w:rsid w:val="00C410A8"/>
    <w:rsid w:val="00C41C1F"/>
    <w:rsid w:val="00C4245A"/>
    <w:rsid w:val="00C42A53"/>
    <w:rsid w:val="00C44C80"/>
    <w:rsid w:val="00C45335"/>
    <w:rsid w:val="00C52130"/>
    <w:rsid w:val="00C52361"/>
    <w:rsid w:val="00C524ED"/>
    <w:rsid w:val="00C52A0B"/>
    <w:rsid w:val="00C57489"/>
    <w:rsid w:val="00C604BD"/>
    <w:rsid w:val="00C61872"/>
    <w:rsid w:val="00C631D2"/>
    <w:rsid w:val="00C63E2A"/>
    <w:rsid w:val="00C6614D"/>
    <w:rsid w:val="00C66FE8"/>
    <w:rsid w:val="00C67F47"/>
    <w:rsid w:val="00C70B7F"/>
    <w:rsid w:val="00C71983"/>
    <w:rsid w:val="00C721B6"/>
    <w:rsid w:val="00C7234D"/>
    <w:rsid w:val="00C737A6"/>
    <w:rsid w:val="00C74171"/>
    <w:rsid w:val="00C74338"/>
    <w:rsid w:val="00C74C4D"/>
    <w:rsid w:val="00C77337"/>
    <w:rsid w:val="00C801A7"/>
    <w:rsid w:val="00C8036D"/>
    <w:rsid w:val="00C80A33"/>
    <w:rsid w:val="00C80DCA"/>
    <w:rsid w:val="00C81771"/>
    <w:rsid w:val="00C8411E"/>
    <w:rsid w:val="00C84E9B"/>
    <w:rsid w:val="00C86851"/>
    <w:rsid w:val="00C86BF0"/>
    <w:rsid w:val="00C926A4"/>
    <w:rsid w:val="00C92B56"/>
    <w:rsid w:val="00C930DF"/>
    <w:rsid w:val="00C9461A"/>
    <w:rsid w:val="00C94F87"/>
    <w:rsid w:val="00C969D1"/>
    <w:rsid w:val="00C97927"/>
    <w:rsid w:val="00C97A9F"/>
    <w:rsid w:val="00CA0D6F"/>
    <w:rsid w:val="00CA1D21"/>
    <w:rsid w:val="00CA3342"/>
    <w:rsid w:val="00CA33F8"/>
    <w:rsid w:val="00CA3A65"/>
    <w:rsid w:val="00CA735A"/>
    <w:rsid w:val="00CB04A4"/>
    <w:rsid w:val="00CB2002"/>
    <w:rsid w:val="00CB28E7"/>
    <w:rsid w:val="00CB2B77"/>
    <w:rsid w:val="00CB2DEE"/>
    <w:rsid w:val="00CB5475"/>
    <w:rsid w:val="00CB54F4"/>
    <w:rsid w:val="00CB649B"/>
    <w:rsid w:val="00CB6718"/>
    <w:rsid w:val="00CB6BBB"/>
    <w:rsid w:val="00CC0807"/>
    <w:rsid w:val="00CC0852"/>
    <w:rsid w:val="00CC09C8"/>
    <w:rsid w:val="00CC0DF1"/>
    <w:rsid w:val="00CC1E5D"/>
    <w:rsid w:val="00CC257A"/>
    <w:rsid w:val="00CC3662"/>
    <w:rsid w:val="00CC48AC"/>
    <w:rsid w:val="00CC4CA4"/>
    <w:rsid w:val="00CC513F"/>
    <w:rsid w:val="00CC6809"/>
    <w:rsid w:val="00CD17D5"/>
    <w:rsid w:val="00CD3B53"/>
    <w:rsid w:val="00CD5B08"/>
    <w:rsid w:val="00CD76A5"/>
    <w:rsid w:val="00CE08E1"/>
    <w:rsid w:val="00CE114E"/>
    <w:rsid w:val="00CE3355"/>
    <w:rsid w:val="00CE4370"/>
    <w:rsid w:val="00CE43FB"/>
    <w:rsid w:val="00CE55F3"/>
    <w:rsid w:val="00CE660C"/>
    <w:rsid w:val="00CE66EA"/>
    <w:rsid w:val="00CE720B"/>
    <w:rsid w:val="00CE7445"/>
    <w:rsid w:val="00CE7C56"/>
    <w:rsid w:val="00CE7E94"/>
    <w:rsid w:val="00CE7ED3"/>
    <w:rsid w:val="00CF170D"/>
    <w:rsid w:val="00CF2BB7"/>
    <w:rsid w:val="00CF3F63"/>
    <w:rsid w:val="00CF60E0"/>
    <w:rsid w:val="00CF716B"/>
    <w:rsid w:val="00D00673"/>
    <w:rsid w:val="00D00AA2"/>
    <w:rsid w:val="00D0198A"/>
    <w:rsid w:val="00D03AF1"/>
    <w:rsid w:val="00D04237"/>
    <w:rsid w:val="00D0437F"/>
    <w:rsid w:val="00D06750"/>
    <w:rsid w:val="00D06C89"/>
    <w:rsid w:val="00D06FC1"/>
    <w:rsid w:val="00D106B9"/>
    <w:rsid w:val="00D14B38"/>
    <w:rsid w:val="00D14C64"/>
    <w:rsid w:val="00D16B57"/>
    <w:rsid w:val="00D16B59"/>
    <w:rsid w:val="00D21203"/>
    <w:rsid w:val="00D224A3"/>
    <w:rsid w:val="00D226E5"/>
    <w:rsid w:val="00D23717"/>
    <w:rsid w:val="00D23D3B"/>
    <w:rsid w:val="00D25C8B"/>
    <w:rsid w:val="00D25D12"/>
    <w:rsid w:val="00D27188"/>
    <w:rsid w:val="00D27859"/>
    <w:rsid w:val="00D30EF4"/>
    <w:rsid w:val="00D31430"/>
    <w:rsid w:val="00D3376E"/>
    <w:rsid w:val="00D33ACB"/>
    <w:rsid w:val="00D363FD"/>
    <w:rsid w:val="00D37234"/>
    <w:rsid w:val="00D37FE6"/>
    <w:rsid w:val="00D4096C"/>
    <w:rsid w:val="00D40EB1"/>
    <w:rsid w:val="00D416E3"/>
    <w:rsid w:val="00D41EDC"/>
    <w:rsid w:val="00D41F7E"/>
    <w:rsid w:val="00D428A0"/>
    <w:rsid w:val="00D43564"/>
    <w:rsid w:val="00D43750"/>
    <w:rsid w:val="00D43C45"/>
    <w:rsid w:val="00D44AF3"/>
    <w:rsid w:val="00D47001"/>
    <w:rsid w:val="00D5001E"/>
    <w:rsid w:val="00D504EE"/>
    <w:rsid w:val="00D51894"/>
    <w:rsid w:val="00D51AFA"/>
    <w:rsid w:val="00D51B3B"/>
    <w:rsid w:val="00D52153"/>
    <w:rsid w:val="00D5327B"/>
    <w:rsid w:val="00D5379A"/>
    <w:rsid w:val="00D55BDB"/>
    <w:rsid w:val="00D565C9"/>
    <w:rsid w:val="00D57629"/>
    <w:rsid w:val="00D60878"/>
    <w:rsid w:val="00D60ECA"/>
    <w:rsid w:val="00D64531"/>
    <w:rsid w:val="00D647E8"/>
    <w:rsid w:val="00D64944"/>
    <w:rsid w:val="00D67710"/>
    <w:rsid w:val="00D72FEF"/>
    <w:rsid w:val="00D74984"/>
    <w:rsid w:val="00D775DD"/>
    <w:rsid w:val="00D775EF"/>
    <w:rsid w:val="00D77E69"/>
    <w:rsid w:val="00D803E8"/>
    <w:rsid w:val="00D805DB"/>
    <w:rsid w:val="00D819E2"/>
    <w:rsid w:val="00D822F1"/>
    <w:rsid w:val="00D824F4"/>
    <w:rsid w:val="00D8372F"/>
    <w:rsid w:val="00D90332"/>
    <w:rsid w:val="00D9073B"/>
    <w:rsid w:val="00D90A41"/>
    <w:rsid w:val="00D92988"/>
    <w:rsid w:val="00D9377B"/>
    <w:rsid w:val="00D94EAB"/>
    <w:rsid w:val="00D96031"/>
    <w:rsid w:val="00D96ABC"/>
    <w:rsid w:val="00D97067"/>
    <w:rsid w:val="00D9727A"/>
    <w:rsid w:val="00D97622"/>
    <w:rsid w:val="00DA003A"/>
    <w:rsid w:val="00DA2415"/>
    <w:rsid w:val="00DA27AF"/>
    <w:rsid w:val="00DA3A59"/>
    <w:rsid w:val="00DA3CED"/>
    <w:rsid w:val="00DA421F"/>
    <w:rsid w:val="00DA5D20"/>
    <w:rsid w:val="00DA615F"/>
    <w:rsid w:val="00DA6586"/>
    <w:rsid w:val="00DA66CE"/>
    <w:rsid w:val="00DA6B93"/>
    <w:rsid w:val="00DB3AA4"/>
    <w:rsid w:val="00DB50FF"/>
    <w:rsid w:val="00DB5495"/>
    <w:rsid w:val="00DB5C36"/>
    <w:rsid w:val="00DB7367"/>
    <w:rsid w:val="00DC0208"/>
    <w:rsid w:val="00DC09F8"/>
    <w:rsid w:val="00DC195D"/>
    <w:rsid w:val="00DC25D6"/>
    <w:rsid w:val="00DC2612"/>
    <w:rsid w:val="00DC3351"/>
    <w:rsid w:val="00DC3C3D"/>
    <w:rsid w:val="00DC4761"/>
    <w:rsid w:val="00DC4E10"/>
    <w:rsid w:val="00DC54A5"/>
    <w:rsid w:val="00DC55B3"/>
    <w:rsid w:val="00DC5853"/>
    <w:rsid w:val="00DC5DCA"/>
    <w:rsid w:val="00DC79F4"/>
    <w:rsid w:val="00DD16BB"/>
    <w:rsid w:val="00DD32B0"/>
    <w:rsid w:val="00DD341D"/>
    <w:rsid w:val="00DD45D1"/>
    <w:rsid w:val="00DD4895"/>
    <w:rsid w:val="00DE106B"/>
    <w:rsid w:val="00DE2F57"/>
    <w:rsid w:val="00DE496D"/>
    <w:rsid w:val="00DE4D98"/>
    <w:rsid w:val="00DE515C"/>
    <w:rsid w:val="00DE5BB1"/>
    <w:rsid w:val="00DE60C5"/>
    <w:rsid w:val="00DF073F"/>
    <w:rsid w:val="00DF28B5"/>
    <w:rsid w:val="00DF2D4B"/>
    <w:rsid w:val="00DF3107"/>
    <w:rsid w:val="00DF3E3C"/>
    <w:rsid w:val="00DF3E6E"/>
    <w:rsid w:val="00DF47D8"/>
    <w:rsid w:val="00DF4C89"/>
    <w:rsid w:val="00DF617D"/>
    <w:rsid w:val="00E0089B"/>
    <w:rsid w:val="00E01093"/>
    <w:rsid w:val="00E0185C"/>
    <w:rsid w:val="00E02A6B"/>
    <w:rsid w:val="00E02E0E"/>
    <w:rsid w:val="00E030E1"/>
    <w:rsid w:val="00E033BE"/>
    <w:rsid w:val="00E042A2"/>
    <w:rsid w:val="00E04CB5"/>
    <w:rsid w:val="00E06D95"/>
    <w:rsid w:val="00E075CF"/>
    <w:rsid w:val="00E10563"/>
    <w:rsid w:val="00E10819"/>
    <w:rsid w:val="00E10FD4"/>
    <w:rsid w:val="00E118A4"/>
    <w:rsid w:val="00E11C4A"/>
    <w:rsid w:val="00E12F28"/>
    <w:rsid w:val="00E13183"/>
    <w:rsid w:val="00E1445A"/>
    <w:rsid w:val="00E1696F"/>
    <w:rsid w:val="00E17F27"/>
    <w:rsid w:val="00E20A8B"/>
    <w:rsid w:val="00E2125F"/>
    <w:rsid w:val="00E21D8C"/>
    <w:rsid w:val="00E22B48"/>
    <w:rsid w:val="00E233FF"/>
    <w:rsid w:val="00E25019"/>
    <w:rsid w:val="00E2511A"/>
    <w:rsid w:val="00E27092"/>
    <w:rsid w:val="00E32577"/>
    <w:rsid w:val="00E33FBD"/>
    <w:rsid w:val="00E35C21"/>
    <w:rsid w:val="00E360F0"/>
    <w:rsid w:val="00E36B2F"/>
    <w:rsid w:val="00E370FB"/>
    <w:rsid w:val="00E37BDE"/>
    <w:rsid w:val="00E42A0C"/>
    <w:rsid w:val="00E4613C"/>
    <w:rsid w:val="00E4629B"/>
    <w:rsid w:val="00E46AC4"/>
    <w:rsid w:val="00E478EE"/>
    <w:rsid w:val="00E51CE6"/>
    <w:rsid w:val="00E5230E"/>
    <w:rsid w:val="00E52D43"/>
    <w:rsid w:val="00E5526A"/>
    <w:rsid w:val="00E5551B"/>
    <w:rsid w:val="00E55610"/>
    <w:rsid w:val="00E562AB"/>
    <w:rsid w:val="00E56C8B"/>
    <w:rsid w:val="00E601A3"/>
    <w:rsid w:val="00E60794"/>
    <w:rsid w:val="00E60E34"/>
    <w:rsid w:val="00E613FD"/>
    <w:rsid w:val="00E61B17"/>
    <w:rsid w:val="00E6227E"/>
    <w:rsid w:val="00E62669"/>
    <w:rsid w:val="00E638F7"/>
    <w:rsid w:val="00E65370"/>
    <w:rsid w:val="00E65BF4"/>
    <w:rsid w:val="00E663BB"/>
    <w:rsid w:val="00E664A2"/>
    <w:rsid w:val="00E669BF"/>
    <w:rsid w:val="00E72582"/>
    <w:rsid w:val="00E72F5C"/>
    <w:rsid w:val="00E738D5"/>
    <w:rsid w:val="00E747B3"/>
    <w:rsid w:val="00E74A51"/>
    <w:rsid w:val="00E75210"/>
    <w:rsid w:val="00E800B0"/>
    <w:rsid w:val="00E81067"/>
    <w:rsid w:val="00E82405"/>
    <w:rsid w:val="00E83644"/>
    <w:rsid w:val="00E83C7C"/>
    <w:rsid w:val="00E83CC4"/>
    <w:rsid w:val="00E84EF4"/>
    <w:rsid w:val="00E86820"/>
    <w:rsid w:val="00E87244"/>
    <w:rsid w:val="00E873DB"/>
    <w:rsid w:val="00E875C5"/>
    <w:rsid w:val="00E9045F"/>
    <w:rsid w:val="00E90599"/>
    <w:rsid w:val="00E906F2"/>
    <w:rsid w:val="00E911E7"/>
    <w:rsid w:val="00E91CB2"/>
    <w:rsid w:val="00E93979"/>
    <w:rsid w:val="00E94FF5"/>
    <w:rsid w:val="00E96E22"/>
    <w:rsid w:val="00E97752"/>
    <w:rsid w:val="00E97C51"/>
    <w:rsid w:val="00E97D4D"/>
    <w:rsid w:val="00EA0150"/>
    <w:rsid w:val="00EA3015"/>
    <w:rsid w:val="00EA33D9"/>
    <w:rsid w:val="00EA3579"/>
    <w:rsid w:val="00EA3B91"/>
    <w:rsid w:val="00EA3FFB"/>
    <w:rsid w:val="00EA49EF"/>
    <w:rsid w:val="00EA4A0F"/>
    <w:rsid w:val="00EA6769"/>
    <w:rsid w:val="00EA6BFD"/>
    <w:rsid w:val="00EB18C1"/>
    <w:rsid w:val="00EB3D0A"/>
    <w:rsid w:val="00EB3DA1"/>
    <w:rsid w:val="00EB3ED3"/>
    <w:rsid w:val="00EB44E2"/>
    <w:rsid w:val="00EB514D"/>
    <w:rsid w:val="00EB6AB1"/>
    <w:rsid w:val="00EB6E10"/>
    <w:rsid w:val="00EC021F"/>
    <w:rsid w:val="00EC0C4E"/>
    <w:rsid w:val="00EC21F9"/>
    <w:rsid w:val="00EC44AB"/>
    <w:rsid w:val="00EC4A1F"/>
    <w:rsid w:val="00EC4CA9"/>
    <w:rsid w:val="00EC6204"/>
    <w:rsid w:val="00EC720C"/>
    <w:rsid w:val="00EC7C03"/>
    <w:rsid w:val="00ED0230"/>
    <w:rsid w:val="00ED2C73"/>
    <w:rsid w:val="00ED2D71"/>
    <w:rsid w:val="00ED3DCD"/>
    <w:rsid w:val="00ED58B2"/>
    <w:rsid w:val="00ED5A1C"/>
    <w:rsid w:val="00ED6A6E"/>
    <w:rsid w:val="00ED7FA7"/>
    <w:rsid w:val="00EE0555"/>
    <w:rsid w:val="00EE3ED6"/>
    <w:rsid w:val="00EE5504"/>
    <w:rsid w:val="00EE5BE5"/>
    <w:rsid w:val="00EE6C71"/>
    <w:rsid w:val="00EE7B20"/>
    <w:rsid w:val="00EF0017"/>
    <w:rsid w:val="00EF2464"/>
    <w:rsid w:val="00EF2999"/>
    <w:rsid w:val="00EF4A01"/>
    <w:rsid w:val="00EF6956"/>
    <w:rsid w:val="00F02034"/>
    <w:rsid w:val="00F02CAC"/>
    <w:rsid w:val="00F044BE"/>
    <w:rsid w:val="00F05B56"/>
    <w:rsid w:val="00F0624B"/>
    <w:rsid w:val="00F0711A"/>
    <w:rsid w:val="00F10334"/>
    <w:rsid w:val="00F1056F"/>
    <w:rsid w:val="00F11686"/>
    <w:rsid w:val="00F11EC8"/>
    <w:rsid w:val="00F12B32"/>
    <w:rsid w:val="00F1330A"/>
    <w:rsid w:val="00F14F0B"/>
    <w:rsid w:val="00F150FA"/>
    <w:rsid w:val="00F15826"/>
    <w:rsid w:val="00F160C7"/>
    <w:rsid w:val="00F20A51"/>
    <w:rsid w:val="00F2131E"/>
    <w:rsid w:val="00F23C3B"/>
    <w:rsid w:val="00F26400"/>
    <w:rsid w:val="00F30066"/>
    <w:rsid w:val="00F31969"/>
    <w:rsid w:val="00F32880"/>
    <w:rsid w:val="00F334FF"/>
    <w:rsid w:val="00F33A69"/>
    <w:rsid w:val="00F370C1"/>
    <w:rsid w:val="00F40D6E"/>
    <w:rsid w:val="00F41914"/>
    <w:rsid w:val="00F41AF6"/>
    <w:rsid w:val="00F42CDE"/>
    <w:rsid w:val="00F4475E"/>
    <w:rsid w:val="00F44C48"/>
    <w:rsid w:val="00F44C84"/>
    <w:rsid w:val="00F44EF3"/>
    <w:rsid w:val="00F4581C"/>
    <w:rsid w:val="00F524CD"/>
    <w:rsid w:val="00F53CA2"/>
    <w:rsid w:val="00F5401C"/>
    <w:rsid w:val="00F542CA"/>
    <w:rsid w:val="00F5466F"/>
    <w:rsid w:val="00F54DCB"/>
    <w:rsid w:val="00F56116"/>
    <w:rsid w:val="00F56661"/>
    <w:rsid w:val="00F60457"/>
    <w:rsid w:val="00F60F9B"/>
    <w:rsid w:val="00F61917"/>
    <w:rsid w:val="00F61E5E"/>
    <w:rsid w:val="00F62167"/>
    <w:rsid w:val="00F6234C"/>
    <w:rsid w:val="00F62CC1"/>
    <w:rsid w:val="00F6339C"/>
    <w:rsid w:val="00F636A8"/>
    <w:rsid w:val="00F63B77"/>
    <w:rsid w:val="00F64DDC"/>
    <w:rsid w:val="00F653D7"/>
    <w:rsid w:val="00F6609A"/>
    <w:rsid w:val="00F66557"/>
    <w:rsid w:val="00F71770"/>
    <w:rsid w:val="00F717A5"/>
    <w:rsid w:val="00F7304D"/>
    <w:rsid w:val="00F73C1D"/>
    <w:rsid w:val="00F748DD"/>
    <w:rsid w:val="00F753A9"/>
    <w:rsid w:val="00F75E96"/>
    <w:rsid w:val="00F766B8"/>
    <w:rsid w:val="00F77FA4"/>
    <w:rsid w:val="00F829A0"/>
    <w:rsid w:val="00F830BF"/>
    <w:rsid w:val="00F8496D"/>
    <w:rsid w:val="00F855DC"/>
    <w:rsid w:val="00F90B9C"/>
    <w:rsid w:val="00F91316"/>
    <w:rsid w:val="00F91828"/>
    <w:rsid w:val="00F91D71"/>
    <w:rsid w:val="00F91DD2"/>
    <w:rsid w:val="00F93137"/>
    <w:rsid w:val="00F94F34"/>
    <w:rsid w:val="00F94F3F"/>
    <w:rsid w:val="00F9567C"/>
    <w:rsid w:val="00F95967"/>
    <w:rsid w:val="00F9605D"/>
    <w:rsid w:val="00F96BC7"/>
    <w:rsid w:val="00FA09E1"/>
    <w:rsid w:val="00FA15BA"/>
    <w:rsid w:val="00FA2C0E"/>
    <w:rsid w:val="00FA3E08"/>
    <w:rsid w:val="00FA4D54"/>
    <w:rsid w:val="00FA5745"/>
    <w:rsid w:val="00FA67C1"/>
    <w:rsid w:val="00FA7FE2"/>
    <w:rsid w:val="00FB1683"/>
    <w:rsid w:val="00FB391B"/>
    <w:rsid w:val="00FB402B"/>
    <w:rsid w:val="00FB40CB"/>
    <w:rsid w:val="00FB457A"/>
    <w:rsid w:val="00FB4E25"/>
    <w:rsid w:val="00FB6E24"/>
    <w:rsid w:val="00FB772E"/>
    <w:rsid w:val="00FB7D25"/>
    <w:rsid w:val="00FC0F2D"/>
    <w:rsid w:val="00FC0F9E"/>
    <w:rsid w:val="00FC188D"/>
    <w:rsid w:val="00FC3D7F"/>
    <w:rsid w:val="00FC4BB2"/>
    <w:rsid w:val="00FC796E"/>
    <w:rsid w:val="00FD104A"/>
    <w:rsid w:val="00FD207C"/>
    <w:rsid w:val="00FD2B77"/>
    <w:rsid w:val="00FD3E2A"/>
    <w:rsid w:val="00FD5311"/>
    <w:rsid w:val="00FD54C6"/>
    <w:rsid w:val="00FF03A7"/>
    <w:rsid w:val="00FF2FAE"/>
    <w:rsid w:val="00FF38FA"/>
    <w:rsid w:val="00FF5B2A"/>
    <w:rsid w:val="00FF60DA"/>
    <w:rsid w:val="00FF74FF"/>
    <w:rsid w:val="00FF76BA"/>
    <w:rsid w:val="01826A17"/>
    <w:rsid w:val="018C23CB"/>
    <w:rsid w:val="01A821C6"/>
    <w:rsid w:val="01B554DA"/>
    <w:rsid w:val="02402EC0"/>
    <w:rsid w:val="027E3A68"/>
    <w:rsid w:val="028736CF"/>
    <w:rsid w:val="02960F5A"/>
    <w:rsid w:val="02AB256F"/>
    <w:rsid w:val="02AE7397"/>
    <w:rsid w:val="02C46077"/>
    <w:rsid w:val="02EA7C6D"/>
    <w:rsid w:val="03011E31"/>
    <w:rsid w:val="03633249"/>
    <w:rsid w:val="03716DF7"/>
    <w:rsid w:val="03926FEA"/>
    <w:rsid w:val="03D52D80"/>
    <w:rsid w:val="03E365A7"/>
    <w:rsid w:val="03E80CD8"/>
    <w:rsid w:val="040D3583"/>
    <w:rsid w:val="040D646F"/>
    <w:rsid w:val="042F016D"/>
    <w:rsid w:val="04B403C6"/>
    <w:rsid w:val="04C2749E"/>
    <w:rsid w:val="04C602E0"/>
    <w:rsid w:val="051D37F1"/>
    <w:rsid w:val="052014ED"/>
    <w:rsid w:val="052C09EC"/>
    <w:rsid w:val="053C3824"/>
    <w:rsid w:val="059A0103"/>
    <w:rsid w:val="05AF5900"/>
    <w:rsid w:val="0608649D"/>
    <w:rsid w:val="069114AA"/>
    <w:rsid w:val="069F6C6D"/>
    <w:rsid w:val="06A82B4A"/>
    <w:rsid w:val="06B50E10"/>
    <w:rsid w:val="06BB50B1"/>
    <w:rsid w:val="06BF202B"/>
    <w:rsid w:val="06E426D9"/>
    <w:rsid w:val="07210DA5"/>
    <w:rsid w:val="072D607D"/>
    <w:rsid w:val="073935E8"/>
    <w:rsid w:val="074B094A"/>
    <w:rsid w:val="075D5592"/>
    <w:rsid w:val="07C66F31"/>
    <w:rsid w:val="07ED3A3E"/>
    <w:rsid w:val="0828314D"/>
    <w:rsid w:val="087D7CAA"/>
    <w:rsid w:val="0886622F"/>
    <w:rsid w:val="08C43471"/>
    <w:rsid w:val="08FF54D2"/>
    <w:rsid w:val="09170319"/>
    <w:rsid w:val="091805FA"/>
    <w:rsid w:val="0934708E"/>
    <w:rsid w:val="095C2D83"/>
    <w:rsid w:val="0969605B"/>
    <w:rsid w:val="09FA3203"/>
    <w:rsid w:val="0A105711"/>
    <w:rsid w:val="0A2060C8"/>
    <w:rsid w:val="0A3D295B"/>
    <w:rsid w:val="0A3F005D"/>
    <w:rsid w:val="0A934B74"/>
    <w:rsid w:val="0A971D70"/>
    <w:rsid w:val="0AB12F85"/>
    <w:rsid w:val="0AB17097"/>
    <w:rsid w:val="0AB37748"/>
    <w:rsid w:val="0AE83ED5"/>
    <w:rsid w:val="0AF5210A"/>
    <w:rsid w:val="0B047F56"/>
    <w:rsid w:val="0B3A5A02"/>
    <w:rsid w:val="0B532920"/>
    <w:rsid w:val="0B6B051B"/>
    <w:rsid w:val="0B770C6E"/>
    <w:rsid w:val="0B9E10CF"/>
    <w:rsid w:val="0BD87233"/>
    <w:rsid w:val="0BED58C1"/>
    <w:rsid w:val="0CAB771F"/>
    <w:rsid w:val="0CCB5BAD"/>
    <w:rsid w:val="0CD447D9"/>
    <w:rsid w:val="0CF66AAA"/>
    <w:rsid w:val="0D237F01"/>
    <w:rsid w:val="0D51729D"/>
    <w:rsid w:val="0D781E29"/>
    <w:rsid w:val="0D9E52B4"/>
    <w:rsid w:val="0E1F094F"/>
    <w:rsid w:val="0E3570B2"/>
    <w:rsid w:val="0E6B51F6"/>
    <w:rsid w:val="0E7A4ECE"/>
    <w:rsid w:val="0E7F3589"/>
    <w:rsid w:val="0EA832F5"/>
    <w:rsid w:val="0EA9219A"/>
    <w:rsid w:val="0F187335"/>
    <w:rsid w:val="0F4032BB"/>
    <w:rsid w:val="0F460677"/>
    <w:rsid w:val="0F94164E"/>
    <w:rsid w:val="10083054"/>
    <w:rsid w:val="10253855"/>
    <w:rsid w:val="104238F8"/>
    <w:rsid w:val="10431823"/>
    <w:rsid w:val="104D284B"/>
    <w:rsid w:val="10526DE3"/>
    <w:rsid w:val="10573A8F"/>
    <w:rsid w:val="10650ADE"/>
    <w:rsid w:val="10BC0900"/>
    <w:rsid w:val="10D47070"/>
    <w:rsid w:val="10E37230"/>
    <w:rsid w:val="10EB1450"/>
    <w:rsid w:val="112B0016"/>
    <w:rsid w:val="12043C94"/>
    <w:rsid w:val="12144E0B"/>
    <w:rsid w:val="12255CD4"/>
    <w:rsid w:val="12591F6D"/>
    <w:rsid w:val="126A5144"/>
    <w:rsid w:val="127A7296"/>
    <w:rsid w:val="127F1F02"/>
    <w:rsid w:val="128D3160"/>
    <w:rsid w:val="12B11328"/>
    <w:rsid w:val="12DE63E4"/>
    <w:rsid w:val="12F0376A"/>
    <w:rsid w:val="12F279EC"/>
    <w:rsid w:val="131D046B"/>
    <w:rsid w:val="132769B4"/>
    <w:rsid w:val="132B035B"/>
    <w:rsid w:val="135D4DFE"/>
    <w:rsid w:val="13CA54EE"/>
    <w:rsid w:val="144162BD"/>
    <w:rsid w:val="14462ED1"/>
    <w:rsid w:val="1470631C"/>
    <w:rsid w:val="14AC44C5"/>
    <w:rsid w:val="14E73D8D"/>
    <w:rsid w:val="1518152A"/>
    <w:rsid w:val="153A74E0"/>
    <w:rsid w:val="15405C26"/>
    <w:rsid w:val="15563BC1"/>
    <w:rsid w:val="155F3BF4"/>
    <w:rsid w:val="156222A6"/>
    <w:rsid w:val="156E612C"/>
    <w:rsid w:val="15C41643"/>
    <w:rsid w:val="15CF2E52"/>
    <w:rsid w:val="16292E15"/>
    <w:rsid w:val="16531828"/>
    <w:rsid w:val="166D1A61"/>
    <w:rsid w:val="1674297A"/>
    <w:rsid w:val="16972493"/>
    <w:rsid w:val="16A161AD"/>
    <w:rsid w:val="16E15B36"/>
    <w:rsid w:val="17112BC3"/>
    <w:rsid w:val="17213AFE"/>
    <w:rsid w:val="1735378C"/>
    <w:rsid w:val="177A0705"/>
    <w:rsid w:val="17C22731"/>
    <w:rsid w:val="17C870CC"/>
    <w:rsid w:val="17DD06B8"/>
    <w:rsid w:val="17E10BFF"/>
    <w:rsid w:val="18495740"/>
    <w:rsid w:val="18542BF6"/>
    <w:rsid w:val="18766D6B"/>
    <w:rsid w:val="188F350D"/>
    <w:rsid w:val="18B9619D"/>
    <w:rsid w:val="18D01F80"/>
    <w:rsid w:val="190541C2"/>
    <w:rsid w:val="190A3122"/>
    <w:rsid w:val="190F5864"/>
    <w:rsid w:val="193A6730"/>
    <w:rsid w:val="19443A11"/>
    <w:rsid w:val="197F7A91"/>
    <w:rsid w:val="19AE4336"/>
    <w:rsid w:val="19B65058"/>
    <w:rsid w:val="1A024CD3"/>
    <w:rsid w:val="1A475CB0"/>
    <w:rsid w:val="1A704A61"/>
    <w:rsid w:val="1A7D2C10"/>
    <w:rsid w:val="1A9A1348"/>
    <w:rsid w:val="1AA17AB6"/>
    <w:rsid w:val="1ADB092F"/>
    <w:rsid w:val="1AE16617"/>
    <w:rsid w:val="1AE87493"/>
    <w:rsid w:val="1AF30046"/>
    <w:rsid w:val="1B03267A"/>
    <w:rsid w:val="1B032AEA"/>
    <w:rsid w:val="1B15678A"/>
    <w:rsid w:val="1B18209F"/>
    <w:rsid w:val="1B354543"/>
    <w:rsid w:val="1B8547FA"/>
    <w:rsid w:val="1BC515ED"/>
    <w:rsid w:val="1BEB25A8"/>
    <w:rsid w:val="1BF530EC"/>
    <w:rsid w:val="1C123A59"/>
    <w:rsid w:val="1C5172BA"/>
    <w:rsid w:val="1C555234"/>
    <w:rsid w:val="1C604813"/>
    <w:rsid w:val="1C790771"/>
    <w:rsid w:val="1C7E4716"/>
    <w:rsid w:val="1CF539AF"/>
    <w:rsid w:val="1CF6760F"/>
    <w:rsid w:val="1D0A51B3"/>
    <w:rsid w:val="1D163782"/>
    <w:rsid w:val="1D485C27"/>
    <w:rsid w:val="1DA457C4"/>
    <w:rsid w:val="1E446570"/>
    <w:rsid w:val="1E5673D3"/>
    <w:rsid w:val="1E63121F"/>
    <w:rsid w:val="1EA71FB8"/>
    <w:rsid w:val="1EB1403F"/>
    <w:rsid w:val="1EBA1BB5"/>
    <w:rsid w:val="1EBF675C"/>
    <w:rsid w:val="1EDE34C6"/>
    <w:rsid w:val="1F1B0983"/>
    <w:rsid w:val="1F327ABD"/>
    <w:rsid w:val="1F66463E"/>
    <w:rsid w:val="1FC97571"/>
    <w:rsid w:val="1FD93CCC"/>
    <w:rsid w:val="1FED028C"/>
    <w:rsid w:val="20223B7F"/>
    <w:rsid w:val="20375214"/>
    <w:rsid w:val="203E1903"/>
    <w:rsid w:val="20494983"/>
    <w:rsid w:val="20577E1E"/>
    <w:rsid w:val="20672C08"/>
    <w:rsid w:val="2097165D"/>
    <w:rsid w:val="20A10C3D"/>
    <w:rsid w:val="20CB303F"/>
    <w:rsid w:val="20CC737E"/>
    <w:rsid w:val="20DB1848"/>
    <w:rsid w:val="20E02300"/>
    <w:rsid w:val="20E9518E"/>
    <w:rsid w:val="21365EC9"/>
    <w:rsid w:val="214B1BFC"/>
    <w:rsid w:val="214F5D2C"/>
    <w:rsid w:val="21CD07B3"/>
    <w:rsid w:val="21E559DB"/>
    <w:rsid w:val="227238E2"/>
    <w:rsid w:val="22CB7A9A"/>
    <w:rsid w:val="23192159"/>
    <w:rsid w:val="234704F0"/>
    <w:rsid w:val="2366189C"/>
    <w:rsid w:val="23A2562F"/>
    <w:rsid w:val="23E869F5"/>
    <w:rsid w:val="24021436"/>
    <w:rsid w:val="240F1C97"/>
    <w:rsid w:val="2412732E"/>
    <w:rsid w:val="242859CE"/>
    <w:rsid w:val="244D58B6"/>
    <w:rsid w:val="2477274E"/>
    <w:rsid w:val="24854C93"/>
    <w:rsid w:val="249E0AA2"/>
    <w:rsid w:val="24DF0466"/>
    <w:rsid w:val="24E023A0"/>
    <w:rsid w:val="24E0742D"/>
    <w:rsid w:val="24E10292"/>
    <w:rsid w:val="24F77329"/>
    <w:rsid w:val="253D07B7"/>
    <w:rsid w:val="254A0D4A"/>
    <w:rsid w:val="255C0E39"/>
    <w:rsid w:val="25A319FE"/>
    <w:rsid w:val="25A46EB7"/>
    <w:rsid w:val="25CE3781"/>
    <w:rsid w:val="2621342C"/>
    <w:rsid w:val="26312337"/>
    <w:rsid w:val="26315635"/>
    <w:rsid w:val="2633058A"/>
    <w:rsid w:val="26804A23"/>
    <w:rsid w:val="2683215D"/>
    <w:rsid w:val="268C6849"/>
    <w:rsid w:val="26AD2A00"/>
    <w:rsid w:val="27414187"/>
    <w:rsid w:val="274517C9"/>
    <w:rsid w:val="27517288"/>
    <w:rsid w:val="2758525B"/>
    <w:rsid w:val="276227A2"/>
    <w:rsid w:val="27787D8C"/>
    <w:rsid w:val="277E30D9"/>
    <w:rsid w:val="27C25DC4"/>
    <w:rsid w:val="280C22E7"/>
    <w:rsid w:val="282B4E63"/>
    <w:rsid w:val="282E5A37"/>
    <w:rsid w:val="28490223"/>
    <w:rsid w:val="285B5910"/>
    <w:rsid w:val="286036CB"/>
    <w:rsid w:val="28A6600A"/>
    <w:rsid w:val="28D1189C"/>
    <w:rsid w:val="28E517FA"/>
    <w:rsid w:val="2938592D"/>
    <w:rsid w:val="29421908"/>
    <w:rsid w:val="294E3354"/>
    <w:rsid w:val="2972583B"/>
    <w:rsid w:val="2980420F"/>
    <w:rsid w:val="29AA23E9"/>
    <w:rsid w:val="29B551FF"/>
    <w:rsid w:val="2A571F3F"/>
    <w:rsid w:val="2A5C6FDD"/>
    <w:rsid w:val="2A68414C"/>
    <w:rsid w:val="2A7228D5"/>
    <w:rsid w:val="2A7D5FC4"/>
    <w:rsid w:val="2AA42601"/>
    <w:rsid w:val="2AD22322"/>
    <w:rsid w:val="2AE97FC9"/>
    <w:rsid w:val="2B006E0D"/>
    <w:rsid w:val="2B2D108E"/>
    <w:rsid w:val="2B3925B1"/>
    <w:rsid w:val="2B4D1886"/>
    <w:rsid w:val="2B4F5ADE"/>
    <w:rsid w:val="2BD31D0E"/>
    <w:rsid w:val="2C020A11"/>
    <w:rsid w:val="2C0C0F54"/>
    <w:rsid w:val="2C2F02B9"/>
    <w:rsid w:val="2C586F92"/>
    <w:rsid w:val="2C6C79EE"/>
    <w:rsid w:val="2CCC3B5F"/>
    <w:rsid w:val="2D051F11"/>
    <w:rsid w:val="2D274F0B"/>
    <w:rsid w:val="2D276489"/>
    <w:rsid w:val="2D2D77E4"/>
    <w:rsid w:val="2D311D35"/>
    <w:rsid w:val="2D510F8C"/>
    <w:rsid w:val="2D8065FD"/>
    <w:rsid w:val="2E433BD4"/>
    <w:rsid w:val="2E622441"/>
    <w:rsid w:val="2E797ACE"/>
    <w:rsid w:val="2E9238C2"/>
    <w:rsid w:val="2EBA067A"/>
    <w:rsid w:val="2EBD14BC"/>
    <w:rsid w:val="2EC610AD"/>
    <w:rsid w:val="2EC63F29"/>
    <w:rsid w:val="2ECB4CA9"/>
    <w:rsid w:val="2EDB1BAF"/>
    <w:rsid w:val="2EFE6E2D"/>
    <w:rsid w:val="2F32569D"/>
    <w:rsid w:val="2F477FBB"/>
    <w:rsid w:val="2F6C46D1"/>
    <w:rsid w:val="2F7E7BA3"/>
    <w:rsid w:val="2F865112"/>
    <w:rsid w:val="2FBB5B5C"/>
    <w:rsid w:val="2FCE662F"/>
    <w:rsid w:val="2FE33748"/>
    <w:rsid w:val="300509D9"/>
    <w:rsid w:val="30855E10"/>
    <w:rsid w:val="30E64EEC"/>
    <w:rsid w:val="30FC6374"/>
    <w:rsid w:val="311B7998"/>
    <w:rsid w:val="312B6CC7"/>
    <w:rsid w:val="312D2862"/>
    <w:rsid w:val="312F78E9"/>
    <w:rsid w:val="314239BA"/>
    <w:rsid w:val="3161109D"/>
    <w:rsid w:val="316A07AA"/>
    <w:rsid w:val="316B3BD4"/>
    <w:rsid w:val="3171536C"/>
    <w:rsid w:val="31CC4642"/>
    <w:rsid w:val="31EB454A"/>
    <w:rsid w:val="3225037A"/>
    <w:rsid w:val="326055F9"/>
    <w:rsid w:val="32635E3A"/>
    <w:rsid w:val="32C5561F"/>
    <w:rsid w:val="32F90AEB"/>
    <w:rsid w:val="336D632F"/>
    <w:rsid w:val="33876ED8"/>
    <w:rsid w:val="33B54162"/>
    <w:rsid w:val="33D463AE"/>
    <w:rsid w:val="34060532"/>
    <w:rsid w:val="341700D8"/>
    <w:rsid w:val="341B5709"/>
    <w:rsid w:val="342D2FCF"/>
    <w:rsid w:val="349618B6"/>
    <w:rsid w:val="34E34BD5"/>
    <w:rsid w:val="34E96ADE"/>
    <w:rsid w:val="34EB7F3D"/>
    <w:rsid w:val="34F10521"/>
    <w:rsid w:val="34FA0097"/>
    <w:rsid w:val="35280DC0"/>
    <w:rsid w:val="355243FB"/>
    <w:rsid w:val="357566C2"/>
    <w:rsid w:val="35B55FB4"/>
    <w:rsid w:val="35C96A03"/>
    <w:rsid w:val="35DE52C2"/>
    <w:rsid w:val="35EA2439"/>
    <w:rsid w:val="35FE2DA3"/>
    <w:rsid w:val="362A1D58"/>
    <w:rsid w:val="363A1903"/>
    <w:rsid w:val="36452CCA"/>
    <w:rsid w:val="37073F28"/>
    <w:rsid w:val="371B5911"/>
    <w:rsid w:val="373E245D"/>
    <w:rsid w:val="37437631"/>
    <w:rsid w:val="376501BF"/>
    <w:rsid w:val="37875368"/>
    <w:rsid w:val="37944472"/>
    <w:rsid w:val="37A159D2"/>
    <w:rsid w:val="37A65552"/>
    <w:rsid w:val="37E9772E"/>
    <w:rsid w:val="37EF1884"/>
    <w:rsid w:val="37F214F9"/>
    <w:rsid w:val="37F631A9"/>
    <w:rsid w:val="380E6FD8"/>
    <w:rsid w:val="38233656"/>
    <w:rsid w:val="383813C8"/>
    <w:rsid w:val="383C5BD0"/>
    <w:rsid w:val="3869495B"/>
    <w:rsid w:val="38765C86"/>
    <w:rsid w:val="38802E42"/>
    <w:rsid w:val="38923717"/>
    <w:rsid w:val="389E58B4"/>
    <w:rsid w:val="38A464F9"/>
    <w:rsid w:val="38B06E8F"/>
    <w:rsid w:val="38D40692"/>
    <w:rsid w:val="38DB7602"/>
    <w:rsid w:val="3908412D"/>
    <w:rsid w:val="390D7134"/>
    <w:rsid w:val="39355B41"/>
    <w:rsid w:val="396761A8"/>
    <w:rsid w:val="39CC5062"/>
    <w:rsid w:val="39EE3D2F"/>
    <w:rsid w:val="3A1546EF"/>
    <w:rsid w:val="3A250F74"/>
    <w:rsid w:val="3AB50011"/>
    <w:rsid w:val="3B192301"/>
    <w:rsid w:val="3B2929B3"/>
    <w:rsid w:val="3B590E0A"/>
    <w:rsid w:val="3B602E8C"/>
    <w:rsid w:val="3B903503"/>
    <w:rsid w:val="3BB13F7E"/>
    <w:rsid w:val="3BF3026A"/>
    <w:rsid w:val="3BF56584"/>
    <w:rsid w:val="3BFE06FA"/>
    <w:rsid w:val="3C4515BA"/>
    <w:rsid w:val="3C505A61"/>
    <w:rsid w:val="3C5F3155"/>
    <w:rsid w:val="3C81062C"/>
    <w:rsid w:val="3CB32F60"/>
    <w:rsid w:val="3CC920E4"/>
    <w:rsid w:val="3CF14C03"/>
    <w:rsid w:val="3D522A89"/>
    <w:rsid w:val="3D6720FF"/>
    <w:rsid w:val="3DB3244A"/>
    <w:rsid w:val="3DB4204B"/>
    <w:rsid w:val="3DBD74D6"/>
    <w:rsid w:val="3DC221F0"/>
    <w:rsid w:val="3DF022AF"/>
    <w:rsid w:val="3DF64CF7"/>
    <w:rsid w:val="3E214933"/>
    <w:rsid w:val="3E273AD7"/>
    <w:rsid w:val="3E71771E"/>
    <w:rsid w:val="3EEB7EA3"/>
    <w:rsid w:val="3EF64E6C"/>
    <w:rsid w:val="3EFA6EDE"/>
    <w:rsid w:val="3F193E51"/>
    <w:rsid w:val="3F4924E0"/>
    <w:rsid w:val="3F7B41F5"/>
    <w:rsid w:val="3FA353DB"/>
    <w:rsid w:val="3FA9675D"/>
    <w:rsid w:val="3FB452E6"/>
    <w:rsid w:val="3FCD63E7"/>
    <w:rsid w:val="3FFF22C1"/>
    <w:rsid w:val="402E3BE0"/>
    <w:rsid w:val="405536E4"/>
    <w:rsid w:val="405744C2"/>
    <w:rsid w:val="407654D0"/>
    <w:rsid w:val="40A50FEA"/>
    <w:rsid w:val="40EB2F11"/>
    <w:rsid w:val="413E6F01"/>
    <w:rsid w:val="41490B44"/>
    <w:rsid w:val="41597970"/>
    <w:rsid w:val="41762ACE"/>
    <w:rsid w:val="41A448BE"/>
    <w:rsid w:val="41CD352D"/>
    <w:rsid w:val="41F71686"/>
    <w:rsid w:val="425A319C"/>
    <w:rsid w:val="427746B3"/>
    <w:rsid w:val="428761B5"/>
    <w:rsid w:val="42D948AF"/>
    <w:rsid w:val="435116AE"/>
    <w:rsid w:val="43696E36"/>
    <w:rsid w:val="439C1C54"/>
    <w:rsid w:val="439E597D"/>
    <w:rsid w:val="43DF14CB"/>
    <w:rsid w:val="43EC292D"/>
    <w:rsid w:val="44193ACE"/>
    <w:rsid w:val="449057FB"/>
    <w:rsid w:val="44CF7374"/>
    <w:rsid w:val="44DC2DC4"/>
    <w:rsid w:val="44EB7B9D"/>
    <w:rsid w:val="4511435A"/>
    <w:rsid w:val="45161CE6"/>
    <w:rsid w:val="451D4B80"/>
    <w:rsid w:val="454278F1"/>
    <w:rsid w:val="456B2E28"/>
    <w:rsid w:val="45BB49F3"/>
    <w:rsid w:val="45E32240"/>
    <w:rsid w:val="45E510BA"/>
    <w:rsid w:val="45E66A2A"/>
    <w:rsid w:val="45F0744B"/>
    <w:rsid w:val="45FD4563"/>
    <w:rsid w:val="46161889"/>
    <w:rsid w:val="464E1FF0"/>
    <w:rsid w:val="46773C9E"/>
    <w:rsid w:val="468054CC"/>
    <w:rsid w:val="46833448"/>
    <w:rsid w:val="46A17875"/>
    <w:rsid w:val="471B24E8"/>
    <w:rsid w:val="47775FCD"/>
    <w:rsid w:val="47BE4BEA"/>
    <w:rsid w:val="482F1EF9"/>
    <w:rsid w:val="48873801"/>
    <w:rsid w:val="48914210"/>
    <w:rsid w:val="489D100D"/>
    <w:rsid w:val="48AA7564"/>
    <w:rsid w:val="48EB3931"/>
    <w:rsid w:val="490C29F9"/>
    <w:rsid w:val="492822E2"/>
    <w:rsid w:val="4966327A"/>
    <w:rsid w:val="49746F24"/>
    <w:rsid w:val="49825129"/>
    <w:rsid w:val="498E5830"/>
    <w:rsid w:val="49983356"/>
    <w:rsid w:val="4A190B67"/>
    <w:rsid w:val="4A3D22F0"/>
    <w:rsid w:val="4A421E6C"/>
    <w:rsid w:val="4A537A00"/>
    <w:rsid w:val="4A5B1180"/>
    <w:rsid w:val="4A6160A7"/>
    <w:rsid w:val="4A631F37"/>
    <w:rsid w:val="4AA53BCD"/>
    <w:rsid w:val="4AC53546"/>
    <w:rsid w:val="4AE917CD"/>
    <w:rsid w:val="4AEF24ED"/>
    <w:rsid w:val="4AF55130"/>
    <w:rsid w:val="4AF61F4A"/>
    <w:rsid w:val="4B17417C"/>
    <w:rsid w:val="4B2F1727"/>
    <w:rsid w:val="4B5F406D"/>
    <w:rsid w:val="4B8D668D"/>
    <w:rsid w:val="4B95421D"/>
    <w:rsid w:val="4C3F6E03"/>
    <w:rsid w:val="4C5956F7"/>
    <w:rsid w:val="4C5A121F"/>
    <w:rsid w:val="4C673589"/>
    <w:rsid w:val="4C754265"/>
    <w:rsid w:val="4C8C75B0"/>
    <w:rsid w:val="4CBC32F1"/>
    <w:rsid w:val="4CD77387"/>
    <w:rsid w:val="4CF237CB"/>
    <w:rsid w:val="4D2078E1"/>
    <w:rsid w:val="4D2D012D"/>
    <w:rsid w:val="4D3B1641"/>
    <w:rsid w:val="4D57223F"/>
    <w:rsid w:val="4D742AA0"/>
    <w:rsid w:val="4D906B4D"/>
    <w:rsid w:val="4D9D4F6E"/>
    <w:rsid w:val="4DAC7022"/>
    <w:rsid w:val="4DB26136"/>
    <w:rsid w:val="4DDA41E6"/>
    <w:rsid w:val="4DFA6E55"/>
    <w:rsid w:val="4E34712A"/>
    <w:rsid w:val="4EA71048"/>
    <w:rsid w:val="4EF850BF"/>
    <w:rsid w:val="4F316279"/>
    <w:rsid w:val="4F5B1526"/>
    <w:rsid w:val="4F5E4005"/>
    <w:rsid w:val="4F971635"/>
    <w:rsid w:val="4F9A19C9"/>
    <w:rsid w:val="4F9A34F0"/>
    <w:rsid w:val="4F9B48E0"/>
    <w:rsid w:val="4FB777D7"/>
    <w:rsid w:val="4FC135BB"/>
    <w:rsid w:val="5010116A"/>
    <w:rsid w:val="503A7D97"/>
    <w:rsid w:val="50453A9E"/>
    <w:rsid w:val="50530901"/>
    <w:rsid w:val="508D1967"/>
    <w:rsid w:val="50E64646"/>
    <w:rsid w:val="50FD7AEE"/>
    <w:rsid w:val="5103623F"/>
    <w:rsid w:val="510A2FB8"/>
    <w:rsid w:val="5114609D"/>
    <w:rsid w:val="51413A5A"/>
    <w:rsid w:val="51827D47"/>
    <w:rsid w:val="51B65454"/>
    <w:rsid w:val="526E7576"/>
    <w:rsid w:val="532F1EEC"/>
    <w:rsid w:val="53326836"/>
    <w:rsid w:val="53561233"/>
    <w:rsid w:val="537D6E4A"/>
    <w:rsid w:val="539A28EE"/>
    <w:rsid w:val="53B813F1"/>
    <w:rsid w:val="53C208DB"/>
    <w:rsid w:val="53D67E2D"/>
    <w:rsid w:val="53E06252"/>
    <w:rsid w:val="53F83FAD"/>
    <w:rsid w:val="54005B5D"/>
    <w:rsid w:val="542A1CC7"/>
    <w:rsid w:val="542B3971"/>
    <w:rsid w:val="549E05E7"/>
    <w:rsid w:val="54BE4D09"/>
    <w:rsid w:val="54F72943"/>
    <w:rsid w:val="55163DE3"/>
    <w:rsid w:val="557A0C4C"/>
    <w:rsid w:val="55872F1F"/>
    <w:rsid w:val="55F4140B"/>
    <w:rsid w:val="562C1EBD"/>
    <w:rsid w:val="566E7EBE"/>
    <w:rsid w:val="568021E9"/>
    <w:rsid w:val="56A1318A"/>
    <w:rsid w:val="56C0141E"/>
    <w:rsid w:val="56C02E94"/>
    <w:rsid w:val="56C500AD"/>
    <w:rsid w:val="57347C1D"/>
    <w:rsid w:val="573F3A30"/>
    <w:rsid w:val="57494340"/>
    <w:rsid w:val="579E4449"/>
    <w:rsid w:val="57F25496"/>
    <w:rsid w:val="583B12A8"/>
    <w:rsid w:val="584B2C69"/>
    <w:rsid w:val="590A0EB4"/>
    <w:rsid w:val="59241C01"/>
    <w:rsid w:val="59292A0E"/>
    <w:rsid w:val="59D95C1D"/>
    <w:rsid w:val="5A0B7E14"/>
    <w:rsid w:val="5A301B84"/>
    <w:rsid w:val="5A312BC1"/>
    <w:rsid w:val="5A431E0D"/>
    <w:rsid w:val="5A690A56"/>
    <w:rsid w:val="5ACD622B"/>
    <w:rsid w:val="5B0311A3"/>
    <w:rsid w:val="5B0C2D49"/>
    <w:rsid w:val="5B4900D3"/>
    <w:rsid w:val="5B635A41"/>
    <w:rsid w:val="5B6D6465"/>
    <w:rsid w:val="5BF949F3"/>
    <w:rsid w:val="5C054D1C"/>
    <w:rsid w:val="5C2C35E6"/>
    <w:rsid w:val="5C370523"/>
    <w:rsid w:val="5C731040"/>
    <w:rsid w:val="5C87555C"/>
    <w:rsid w:val="5C916327"/>
    <w:rsid w:val="5C965957"/>
    <w:rsid w:val="5C9764DA"/>
    <w:rsid w:val="5CBF559E"/>
    <w:rsid w:val="5CC52489"/>
    <w:rsid w:val="5D1A1EB1"/>
    <w:rsid w:val="5D361E7D"/>
    <w:rsid w:val="5D584DCA"/>
    <w:rsid w:val="5D790367"/>
    <w:rsid w:val="5DA77BB2"/>
    <w:rsid w:val="5DC50992"/>
    <w:rsid w:val="5E4B0A93"/>
    <w:rsid w:val="5EA26338"/>
    <w:rsid w:val="5EB02500"/>
    <w:rsid w:val="5EBA080D"/>
    <w:rsid w:val="5ED602A4"/>
    <w:rsid w:val="5F0936F0"/>
    <w:rsid w:val="5F5106CC"/>
    <w:rsid w:val="5F93775D"/>
    <w:rsid w:val="5FAB4AFF"/>
    <w:rsid w:val="5FB5B2C3"/>
    <w:rsid w:val="5FB73F3B"/>
    <w:rsid w:val="5FD92450"/>
    <w:rsid w:val="5FFA2B9E"/>
    <w:rsid w:val="5FFA4B54"/>
    <w:rsid w:val="600D78DD"/>
    <w:rsid w:val="60490185"/>
    <w:rsid w:val="604B2450"/>
    <w:rsid w:val="60E20D3C"/>
    <w:rsid w:val="61183ACB"/>
    <w:rsid w:val="61282FFB"/>
    <w:rsid w:val="61320D00"/>
    <w:rsid w:val="613B0319"/>
    <w:rsid w:val="615076B3"/>
    <w:rsid w:val="617E4166"/>
    <w:rsid w:val="61A4713D"/>
    <w:rsid w:val="61EE40B9"/>
    <w:rsid w:val="62C757E0"/>
    <w:rsid w:val="62D42B2A"/>
    <w:rsid w:val="630F2AE9"/>
    <w:rsid w:val="63523981"/>
    <w:rsid w:val="635C4C57"/>
    <w:rsid w:val="63D062E3"/>
    <w:rsid w:val="63E167C9"/>
    <w:rsid w:val="64026854"/>
    <w:rsid w:val="64625D4B"/>
    <w:rsid w:val="648839FD"/>
    <w:rsid w:val="64A1440D"/>
    <w:rsid w:val="64A20355"/>
    <w:rsid w:val="64A84855"/>
    <w:rsid w:val="64AE3C3D"/>
    <w:rsid w:val="64FC079E"/>
    <w:rsid w:val="65171FE8"/>
    <w:rsid w:val="652B67C7"/>
    <w:rsid w:val="65691E5F"/>
    <w:rsid w:val="65693C94"/>
    <w:rsid w:val="65A41D82"/>
    <w:rsid w:val="65B46F2A"/>
    <w:rsid w:val="65CD7FF5"/>
    <w:rsid w:val="65EB5843"/>
    <w:rsid w:val="660B3B79"/>
    <w:rsid w:val="66152C41"/>
    <w:rsid w:val="664E7B12"/>
    <w:rsid w:val="667E233A"/>
    <w:rsid w:val="66BC5F1C"/>
    <w:rsid w:val="66C57713"/>
    <w:rsid w:val="66D1483C"/>
    <w:rsid w:val="66E9560E"/>
    <w:rsid w:val="67301980"/>
    <w:rsid w:val="674B7DD4"/>
    <w:rsid w:val="6750388A"/>
    <w:rsid w:val="67577CF2"/>
    <w:rsid w:val="677C0558"/>
    <w:rsid w:val="67BF6452"/>
    <w:rsid w:val="67D5557E"/>
    <w:rsid w:val="680C6062"/>
    <w:rsid w:val="68460ACC"/>
    <w:rsid w:val="6899332F"/>
    <w:rsid w:val="691E5706"/>
    <w:rsid w:val="69381C7D"/>
    <w:rsid w:val="69946030"/>
    <w:rsid w:val="69B00E16"/>
    <w:rsid w:val="69C0179E"/>
    <w:rsid w:val="69C75E1E"/>
    <w:rsid w:val="69D151A9"/>
    <w:rsid w:val="69FD0AF2"/>
    <w:rsid w:val="6A062180"/>
    <w:rsid w:val="6A086555"/>
    <w:rsid w:val="6A222AE4"/>
    <w:rsid w:val="6A5C603F"/>
    <w:rsid w:val="6A716F64"/>
    <w:rsid w:val="6A745C1A"/>
    <w:rsid w:val="6AB704B5"/>
    <w:rsid w:val="6AB73D58"/>
    <w:rsid w:val="6AF96C79"/>
    <w:rsid w:val="6B092642"/>
    <w:rsid w:val="6B410883"/>
    <w:rsid w:val="6B433D86"/>
    <w:rsid w:val="6B60244A"/>
    <w:rsid w:val="6BC14183"/>
    <w:rsid w:val="6BF56E08"/>
    <w:rsid w:val="6C056342"/>
    <w:rsid w:val="6C205100"/>
    <w:rsid w:val="6C75571D"/>
    <w:rsid w:val="6C9E709E"/>
    <w:rsid w:val="6CFA2E05"/>
    <w:rsid w:val="6D19409E"/>
    <w:rsid w:val="6D3D5F38"/>
    <w:rsid w:val="6D512EAF"/>
    <w:rsid w:val="6DC8062D"/>
    <w:rsid w:val="6DCC37B0"/>
    <w:rsid w:val="6E227CFA"/>
    <w:rsid w:val="6E26547D"/>
    <w:rsid w:val="6E4730F9"/>
    <w:rsid w:val="6E6B33D8"/>
    <w:rsid w:val="6E816EBD"/>
    <w:rsid w:val="6EDA7810"/>
    <w:rsid w:val="6F8306AD"/>
    <w:rsid w:val="6F881695"/>
    <w:rsid w:val="6FD12176"/>
    <w:rsid w:val="6FE82E39"/>
    <w:rsid w:val="6FE83720"/>
    <w:rsid w:val="6FF11F92"/>
    <w:rsid w:val="70173375"/>
    <w:rsid w:val="704D37F3"/>
    <w:rsid w:val="704E2A69"/>
    <w:rsid w:val="706F2877"/>
    <w:rsid w:val="709B21B4"/>
    <w:rsid w:val="70A978EC"/>
    <w:rsid w:val="70BB3E83"/>
    <w:rsid w:val="70BD6DA9"/>
    <w:rsid w:val="70C2647F"/>
    <w:rsid w:val="70C76E3D"/>
    <w:rsid w:val="70E25AD6"/>
    <w:rsid w:val="70F34698"/>
    <w:rsid w:val="70F85725"/>
    <w:rsid w:val="71622092"/>
    <w:rsid w:val="719573BC"/>
    <w:rsid w:val="71E3538E"/>
    <w:rsid w:val="72033E1A"/>
    <w:rsid w:val="7244598E"/>
    <w:rsid w:val="72B54E65"/>
    <w:rsid w:val="72E21289"/>
    <w:rsid w:val="731D44F3"/>
    <w:rsid w:val="733529DC"/>
    <w:rsid w:val="737C20FA"/>
    <w:rsid w:val="73B13A3B"/>
    <w:rsid w:val="73CC5B9E"/>
    <w:rsid w:val="73D02943"/>
    <w:rsid w:val="73D63E63"/>
    <w:rsid w:val="741B1685"/>
    <w:rsid w:val="746F28A8"/>
    <w:rsid w:val="748773BC"/>
    <w:rsid w:val="74C01A29"/>
    <w:rsid w:val="74CA631E"/>
    <w:rsid w:val="74E53270"/>
    <w:rsid w:val="7540397C"/>
    <w:rsid w:val="75697F9B"/>
    <w:rsid w:val="757A6A57"/>
    <w:rsid w:val="758C505A"/>
    <w:rsid w:val="75AF5E0D"/>
    <w:rsid w:val="75C70519"/>
    <w:rsid w:val="760E77E5"/>
    <w:rsid w:val="761A4B5D"/>
    <w:rsid w:val="768A40CF"/>
    <w:rsid w:val="76AA651F"/>
    <w:rsid w:val="76C76D66"/>
    <w:rsid w:val="76EF03D6"/>
    <w:rsid w:val="77074F13"/>
    <w:rsid w:val="77333690"/>
    <w:rsid w:val="77484F63"/>
    <w:rsid w:val="77560F47"/>
    <w:rsid w:val="77601172"/>
    <w:rsid w:val="78153E6C"/>
    <w:rsid w:val="781C392B"/>
    <w:rsid w:val="783C0507"/>
    <w:rsid w:val="786C25BA"/>
    <w:rsid w:val="7875635D"/>
    <w:rsid w:val="78941008"/>
    <w:rsid w:val="789E2D74"/>
    <w:rsid w:val="78B57116"/>
    <w:rsid w:val="78D21BB9"/>
    <w:rsid w:val="78FD65D5"/>
    <w:rsid w:val="79282CEB"/>
    <w:rsid w:val="79881FD6"/>
    <w:rsid w:val="79A66679"/>
    <w:rsid w:val="79BD4A21"/>
    <w:rsid w:val="79CE4C1B"/>
    <w:rsid w:val="79D510B7"/>
    <w:rsid w:val="79DE5763"/>
    <w:rsid w:val="79DE7621"/>
    <w:rsid w:val="79E60B0D"/>
    <w:rsid w:val="7A2E4C88"/>
    <w:rsid w:val="7A4F063F"/>
    <w:rsid w:val="7A5332FA"/>
    <w:rsid w:val="7A712C6F"/>
    <w:rsid w:val="7A7D0D77"/>
    <w:rsid w:val="7B1242D4"/>
    <w:rsid w:val="7B3B0A60"/>
    <w:rsid w:val="7B800415"/>
    <w:rsid w:val="7B8C12C0"/>
    <w:rsid w:val="7B8F74E8"/>
    <w:rsid w:val="7BBE70D0"/>
    <w:rsid w:val="7BC62E70"/>
    <w:rsid w:val="7BEC59DF"/>
    <w:rsid w:val="7BF40907"/>
    <w:rsid w:val="7BF852D3"/>
    <w:rsid w:val="7C031D81"/>
    <w:rsid w:val="7C0A7917"/>
    <w:rsid w:val="7C470ACC"/>
    <w:rsid w:val="7C7622A8"/>
    <w:rsid w:val="7CB4634A"/>
    <w:rsid w:val="7CFF6166"/>
    <w:rsid w:val="7D064A03"/>
    <w:rsid w:val="7DA3220B"/>
    <w:rsid w:val="7DEE6429"/>
    <w:rsid w:val="7E046E0B"/>
    <w:rsid w:val="7E3D1A2B"/>
    <w:rsid w:val="7E50331C"/>
    <w:rsid w:val="7E526BA9"/>
    <w:rsid w:val="7E7A7AD0"/>
    <w:rsid w:val="7E861387"/>
    <w:rsid w:val="7EB63DB0"/>
    <w:rsid w:val="7EEDB6B1"/>
    <w:rsid w:val="7F5C7C9F"/>
    <w:rsid w:val="7F727385"/>
    <w:rsid w:val="7F841194"/>
    <w:rsid w:val="7F937F7C"/>
    <w:rsid w:val="7FA46638"/>
    <w:rsid w:val="7FB4167F"/>
    <w:rsid w:val="7FD4460D"/>
    <w:rsid w:val="7FE90D57"/>
    <w:rsid w:val="7FEB4C61"/>
    <w:rsid w:val="B01E98C2"/>
    <w:rsid w:val="B77F19D3"/>
    <w:rsid w:val="DF6E69CF"/>
    <w:rsid w:val="ED7C43D2"/>
    <w:rsid w:val="F7EB0086"/>
    <w:rsid w:val="FBFFE86A"/>
    <w:rsid w:val="FD5FC4D6"/>
    <w:rsid w:val="FFE724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5"/>
    <w:next w:val="1"/>
    <w:link w:val="50"/>
    <w:qFormat/>
    <w:uiPriority w:val="0"/>
    <w:pPr>
      <w:keepNext/>
      <w:jc w:val="center"/>
      <w:outlineLvl w:val="0"/>
    </w:pPr>
    <w:rPr>
      <w:rFonts w:ascii="楷体_GB2312" w:eastAsia="楷体_GB2312"/>
      <w:sz w:val="28"/>
      <w:szCs w:val="28"/>
    </w:rPr>
  </w:style>
  <w:style w:type="paragraph" w:styleId="7">
    <w:name w:val="heading 2"/>
    <w:basedOn w:val="1"/>
    <w:next w:val="1"/>
    <w:link w:val="5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5">
    <w:name w:val="heading 3"/>
    <w:basedOn w:val="6"/>
    <w:next w:val="1"/>
    <w:link w:val="49"/>
    <w:qFormat/>
    <w:uiPriority w:val="0"/>
    <w:pPr>
      <w:keepNext/>
      <w:keepLines/>
      <w:spacing w:before="260" w:after="260" w:line="416" w:lineRule="auto"/>
      <w:outlineLvl w:val="2"/>
    </w:pPr>
    <w:rPr>
      <w:b w:val="0"/>
      <w:bCs/>
      <w:sz w:val="32"/>
      <w:szCs w:val="32"/>
    </w:rPr>
  </w:style>
  <w:style w:type="paragraph" w:styleId="6">
    <w:name w:val="heading 4"/>
    <w:basedOn w:val="1"/>
    <w:next w:val="1"/>
    <w:link w:val="48"/>
    <w:qFormat/>
    <w:uiPriority w:val="0"/>
    <w:pPr>
      <w:keepNext/>
      <w:keepLines/>
      <w:ind w:firstLine="420" w:firstLineChars="150"/>
      <w:outlineLvl w:val="3"/>
    </w:pPr>
    <w:rPr>
      <w:rFonts w:ascii="Arial" w:hAnsi="Arial" w:cs="Arial"/>
      <w:b/>
      <w:sz w:val="28"/>
      <w:szCs w:val="28"/>
    </w:rPr>
  </w:style>
  <w:style w:type="paragraph" w:styleId="8">
    <w:name w:val="heading 5"/>
    <w:basedOn w:val="1"/>
    <w:next w:val="9"/>
    <w:link w:val="52"/>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link w:val="54"/>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55"/>
    <w:qFormat/>
    <w:uiPriority w:val="0"/>
    <w:pPr>
      <w:keepNext/>
      <w:keepLines/>
      <w:numPr>
        <w:ilvl w:val="6"/>
        <w:numId w:val="1"/>
      </w:numPr>
      <w:spacing w:before="240" w:after="64" w:line="320" w:lineRule="auto"/>
      <w:outlineLvl w:val="6"/>
    </w:pPr>
    <w:rPr>
      <w:b/>
      <w:bCs/>
      <w:sz w:val="24"/>
      <w:szCs w:val="24"/>
    </w:rPr>
  </w:style>
  <w:style w:type="paragraph" w:styleId="12">
    <w:name w:val="heading 8"/>
    <w:basedOn w:val="1"/>
    <w:next w:val="1"/>
    <w:link w:val="56"/>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1"/>
    <w:link w:val="5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Body Text"/>
    <w:basedOn w:val="1"/>
    <w:next w:val="3"/>
    <w:link w:val="60"/>
    <w:qFormat/>
    <w:uiPriority w:val="0"/>
    <w:rPr>
      <w:rFonts w:ascii="楷体_GB2312" w:hAnsi="Arial" w:eastAsia="楷体_GB2312"/>
      <w:sz w:val="28"/>
      <w:szCs w:val="28"/>
    </w:rPr>
  </w:style>
  <w:style w:type="paragraph" w:customStyle="1" w:styleId="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9">
    <w:name w:val="Normal Indent"/>
    <w:basedOn w:val="1"/>
    <w:next w:val="1"/>
    <w:link w:val="53"/>
    <w:qFormat/>
    <w:uiPriority w:val="0"/>
    <w:pPr>
      <w:ind w:firstLine="420"/>
    </w:pPr>
  </w:style>
  <w:style w:type="paragraph" w:styleId="14">
    <w:name w:val="List 3"/>
    <w:basedOn w:val="1"/>
    <w:qFormat/>
    <w:uiPriority w:val="0"/>
    <w:pPr>
      <w:ind w:left="100" w:leftChars="400" w:hanging="200" w:hangingChars="200"/>
    </w:pPr>
  </w:style>
  <w:style w:type="paragraph" w:styleId="15">
    <w:name w:val="Document Map"/>
    <w:basedOn w:val="1"/>
    <w:link w:val="58"/>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index 6"/>
    <w:basedOn w:val="1"/>
    <w:next w:val="1"/>
    <w:qFormat/>
    <w:uiPriority w:val="99"/>
    <w:pPr>
      <w:ind w:left="2100"/>
    </w:pPr>
  </w:style>
  <w:style w:type="paragraph" w:styleId="18">
    <w:name w:val="Body Text 3"/>
    <w:basedOn w:val="1"/>
    <w:link w:val="59"/>
    <w:qFormat/>
    <w:uiPriority w:val="0"/>
    <w:rPr>
      <w:rFonts w:ascii="仿宋_GB2312" w:hAnsi="Arial" w:eastAsia="仿宋_GB2312"/>
      <w:sz w:val="32"/>
      <w:szCs w:val="32"/>
    </w:rPr>
  </w:style>
  <w:style w:type="paragraph" w:styleId="19">
    <w:name w:val="Body Text Indent"/>
    <w:basedOn w:val="1"/>
    <w:next w:val="6"/>
    <w:link w:val="6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spacing w:after="120" w:afterLines="0" w:afterAutospacing="0"/>
      <w:ind w:left="1440" w:leftChars="700" w:rightChars="700"/>
    </w:pPr>
  </w:style>
  <w:style w:type="paragraph" w:styleId="22">
    <w:name w:val="toc 3"/>
    <w:basedOn w:val="1"/>
    <w:next w:val="1"/>
    <w:qFormat/>
    <w:uiPriority w:val="39"/>
    <w:pPr>
      <w:ind w:left="840" w:leftChars="400"/>
    </w:pPr>
  </w:style>
  <w:style w:type="paragraph" w:styleId="23">
    <w:name w:val="Plain Text"/>
    <w:basedOn w:val="1"/>
    <w:link w:val="62"/>
    <w:qFormat/>
    <w:uiPriority w:val="0"/>
    <w:rPr>
      <w:rFonts w:ascii="宋体" w:hAnsi="Courier New" w:cs="Courier New"/>
    </w:rPr>
  </w:style>
  <w:style w:type="paragraph" w:styleId="24">
    <w:name w:val="Date"/>
    <w:basedOn w:val="1"/>
    <w:next w:val="1"/>
    <w:link w:val="63"/>
    <w:qFormat/>
    <w:uiPriority w:val="0"/>
    <w:rPr>
      <w:sz w:val="24"/>
      <w:szCs w:val="24"/>
    </w:rPr>
  </w:style>
  <w:style w:type="paragraph" w:styleId="25">
    <w:name w:val="Body Text Indent 2"/>
    <w:basedOn w:val="1"/>
    <w:link w:val="64"/>
    <w:qFormat/>
    <w:uiPriority w:val="0"/>
    <w:pPr>
      <w:ind w:left="630" w:firstLine="645"/>
    </w:pPr>
    <w:rPr>
      <w:rFonts w:ascii="Arial" w:hAnsi="Arial" w:eastAsia="仿宋_GB2312" w:cs="Arial"/>
      <w:sz w:val="32"/>
      <w:szCs w:val="32"/>
    </w:rPr>
  </w:style>
  <w:style w:type="paragraph" w:styleId="26">
    <w:name w:val="Balloon Text"/>
    <w:basedOn w:val="1"/>
    <w:link w:val="65"/>
    <w:semiHidden/>
    <w:qFormat/>
    <w:uiPriority w:val="0"/>
    <w:rPr>
      <w:sz w:val="18"/>
      <w:szCs w:val="18"/>
    </w:rPr>
  </w:style>
  <w:style w:type="paragraph" w:styleId="27">
    <w:name w:val="footer"/>
    <w:basedOn w:val="1"/>
    <w:link w:val="66"/>
    <w:qFormat/>
    <w:uiPriority w:val="0"/>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30">
    <w:name w:val="List"/>
    <w:basedOn w:val="1"/>
    <w:qFormat/>
    <w:uiPriority w:val="0"/>
    <w:pPr>
      <w:ind w:left="200" w:hanging="200" w:hangingChars="200"/>
    </w:pPr>
  </w:style>
  <w:style w:type="paragraph" w:styleId="31">
    <w:name w:val="footnote text"/>
    <w:basedOn w:val="1"/>
    <w:qFormat/>
    <w:uiPriority w:val="0"/>
    <w:pPr>
      <w:snapToGrid w:val="0"/>
      <w:jc w:val="left"/>
    </w:pPr>
    <w:rPr>
      <w:sz w:val="18"/>
    </w:rPr>
  </w:style>
  <w:style w:type="paragraph" w:styleId="32">
    <w:name w:val="Body Text Indent 3"/>
    <w:basedOn w:val="1"/>
    <w:link w:val="68"/>
    <w:qFormat/>
    <w:uiPriority w:val="0"/>
    <w:pPr>
      <w:ind w:left="645" w:firstLine="645"/>
    </w:pPr>
    <w:rPr>
      <w:rFonts w:ascii="Arial" w:hAnsi="Arial" w:eastAsia="仿宋_GB2312" w:cs="Arial"/>
      <w:color w:val="FFFF00"/>
      <w:sz w:val="32"/>
      <w:szCs w:val="32"/>
    </w:rPr>
  </w:style>
  <w:style w:type="paragraph" w:styleId="33">
    <w:name w:val="toc 2"/>
    <w:basedOn w:val="1"/>
    <w:next w:val="1"/>
    <w:qFormat/>
    <w:uiPriority w:val="39"/>
    <w:pPr>
      <w:ind w:left="210"/>
      <w:jc w:val="left"/>
    </w:pPr>
    <w:rPr>
      <w:smallCaps/>
      <w:szCs w:val="24"/>
    </w:rPr>
  </w:style>
  <w:style w:type="paragraph" w:styleId="34">
    <w:name w:val="Body Text 2"/>
    <w:basedOn w:val="1"/>
    <w:link w:val="69"/>
    <w:qFormat/>
    <w:uiPriority w:val="0"/>
    <w:pPr>
      <w:widowControl/>
      <w:jc w:val="center"/>
    </w:pPr>
    <w:rPr>
      <w:rFonts w:ascii="楷体_GB2312" w:eastAsia="楷体_GB2312"/>
      <w:sz w:val="28"/>
      <w:szCs w:val="28"/>
    </w:rPr>
  </w:style>
  <w:style w:type="paragraph" w:styleId="3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annotation subject"/>
    <w:basedOn w:val="16"/>
    <w:next w:val="16"/>
    <w:link w:val="70"/>
    <w:semiHidden/>
    <w:qFormat/>
    <w:uiPriority w:val="0"/>
    <w:rPr>
      <w:b/>
      <w:bCs/>
    </w:rPr>
  </w:style>
  <w:style w:type="paragraph" w:styleId="38">
    <w:name w:val="Body Text First Indent"/>
    <w:basedOn w:val="2"/>
    <w:link w:val="71"/>
    <w:qFormat/>
    <w:uiPriority w:val="0"/>
    <w:pPr>
      <w:spacing w:line="360" w:lineRule="auto"/>
      <w:ind w:firstLine="200" w:firstLineChars="200"/>
    </w:pPr>
    <w:rPr>
      <w:rFonts w:ascii="仿宋_GB2312" w:eastAsia="仿宋_GB2312"/>
      <w:sz w:val="30"/>
      <w:szCs w:val="30"/>
    </w:rPr>
  </w:style>
  <w:style w:type="paragraph" w:styleId="39">
    <w:name w:val="Body Text First Indent 2"/>
    <w:basedOn w:val="19"/>
    <w:next w:val="1"/>
    <w:link w:val="72"/>
    <w:qFormat/>
    <w:uiPriority w:val="0"/>
    <w:pPr>
      <w:spacing w:line="360" w:lineRule="auto"/>
      <w:ind w:firstLine="420" w:firstLineChars="200"/>
    </w:pPr>
    <w:rPr>
      <w:rFonts w:ascii="宋体" w:hAnsi="宋体" w:eastAsia="宋体"/>
      <w:sz w:val="21"/>
      <w:szCs w:val="20"/>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标题 4 Char"/>
    <w:link w:val="6"/>
    <w:qFormat/>
    <w:uiPriority w:val="0"/>
    <w:rPr>
      <w:rFonts w:ascii="Arial" w:hAnsi="Arial" w:eastAsia="宋体" w:cs="Arial"/>
      <w:b/>
      <w:kern w:val="2"/>
      <w:sz w:val="28"/>
      <w:szCs w:val="28"/>
      <w:lang w:val="en-US" w:eastAsia="zh-CN" w:bidi="ar-SA"/>
    </w:rPr>
  </w:style>
  <w:style w:type="character" w:customStyle="1" w:styleId="49">
    <w:name w:val="标题 3 Char"/>
    <w:link w:val="5"/>
    <w:qFormat/>
    <w:uiPriority w:val="0"/>
    <w:rPr>
      <w:rFonts w:eastAsia="宋体"/>
      <w:b/>
      <w:bCs/>
      <w:kern w:val="2"/>
      <w:sz w:val="32"/>
      <w:szCs w:val="32"/>
      <w:lang w:val="en-US" w:eastAsia="zh-CN" w:bidi="ar-SA"/>
    </w:rPr>
  </w:style>
  <w:style w:type="character" w:customStyle="1" w:styleId="50">
    <w:name w:val="标题 1 Char"/>
    <w:link w:val="4"/>
    <w:qFormat/>
    <w:uiPriority w:val="0"/>
    <w:rPr>
      <w:rFonts w:ascii="楷体_GB2312" w:eastAsia="楷体_GB2312"/>
      <w:kern w:val="2"/>
      <w:sz w:val="28"/>
      <w:szCs w:val="28"/>
      <w:lang w:val="en-US" w:eastAsia="zh-CN" w:bidi="ar-SA"/>
    </w:rPr>
  </w:style>
  <w:style w:type="character" w:customStyle="1" w:styleId="51">
    <w:name w:val="标题 2 Char"/>
    <w:link w:val="7"/>
    <w:qFormat/>
    <w:uiPriority w:val="0"/>
    <w:rPr>
      <w:rFonts w:ascii="Arial" w:hAnsi="Arial" w:eastAsia="黑体" w:cs="Arial"/>
      <w:b/>
      <w:bCs/>
      <w:kern w:val="2"/>
      <w:sz w:val="44"/>
      <w:szCs w:val="44"/>
      <w:lang w:val="en-US" w:eastAsia="zh-CN" w:bidi="ar-SA"/>
    </w:rPr>
  </w:style>
  <w:style w:type="character" w:customStyle="1" w:styleId="52">
    <w:name w:val="标题 5 Char"/>
    <w:link w:val="8"/>
    <w:qFormat/>
    <w:uiPriority w:val="0"/>
    <w:rPr>
      <w:rFonts w:ascii="宋体" w:eastAsia="宋体"/>
      <w:color w:val="000000"/>
      <w:sz w:val="28"/>
      <w:szCs w:val="28"/>
      <w:lang w:val="en-US" w:eastAsia="zh-CN" w:bidi="ar-SA"/>
    </w:rPr>
  </w:style>
  <w:style w:type="character" w:customStyle="1" w:styleId="53">
    <w:name w:val="正文缩进 Char1"/>
    <w:link w:val="9"/>
    <w:qFormat/>
    <w:uiPriority w:val="0"/>
    <w:rPr>
      <w:rFonts w:eastAsia="宋体"/>
      <w:kern w:val="2"/>
      <w:sz w:val="21"/>
      <w:szCs w:val="21"/>
      <w:lang w:bidi="ar-SA"/>
    </w:rPr>
  </w:style>
  <w:style w:type="character" w:customStyle="1" w:styleId="54">
    <w:name w:val="标题 6 Char"/>
    <w:link w:val="10"/>
    <w:qFormat/>
    <w:uiPriority w:val="0"/>
    <w:rPr>
      <w:rFonts w:ascii="Arial" w:hAnsi="Arial" w:eastAsia="黑体"/>
      <w:b/>
      <w:bCs/>
      <w:kern w:val="2"/>
      <w:sz w:val="24"/>
      <w:szCs w:val="24"/>
      <w:lang w:val="en-US" w:eastAsia="zh-CN" w:bidi="ar-SA"/>
    </w:rPr>
  </w:style>
  <w:style w:type="character" w:customStyle="1" w:styleId="55">
    <w:name w:val="标题 7 Char"/>
    <w:link w:val="11"/>
    <w:qFormat/>
    <w:uiPriority w:val="0"/>
    <w:rPr>
      <w:rFonts w:eastAsia="宋体"/>
      <w:b/>
      <w:bCs/>
      <w:kern w:val="2"/>
      <w:sz w:val="24"/>
      <w:szCs w:val="24"/>
      <w:lang w:val="en-US" w:eastAsia="zh-CN" w:bidi="ar-SA"/>
    </w:rPr>
  </w:style>
  <w:style w:type="character" w:customStyle="1" w:styleId="56">
    <w:name w:val="标题 8 Char"/>
    <w:link w:val="12"/>
    <w:qFormat/>
    <w:uiPriority w:val="0"/>
    <w:rPr>
      <w:rFonts w:ascii="Arial" w:hAnsi="Arial" w:eastAsia="黑体"/>
      <w:kern w:val="2"/>
      <w:sz w:val="24"/>
      <w:szCs w:val="24"/>
      <w:lang w:val="en-US" w:eastAsia="zh-CN" w:bidi="ar-SA"/>
    </w:rPr>
  </w:style>
  <w:style w:type="character" w:customStyle="1" w:styleId="57">
    <w:name w:val="标题 9 Char"/>
    <w:link w:val="13"/>
    <w:qFormat/>
    <w:uiPriority w:val="0"/>
    <w:rPr>
      <w:rFonts w:ascii="Arial" w:hAnsi="Arial" w:eastAsia="黑体"/>
      <w:kern w:val="2"/>
      <w:sz w:val="21"/>
      <w:szCs w:val="21"/>
      <w:lang w:val="en-US" w:eastAsia="zh-CN" w:bidi="ar-SA"/>
    </w:rPr>
  </w:style>
  <w:style w:type="character" w:customStyle="1" w:styleId="58">
    <w:name w:val="文档结构图 Char"/>
    <w:link w:val="15"/>
    <w:semiHidden/>
    <w:qFormat/>
    <w:uiPriority w:val="0"/>
    <w:rPr>
      <w:rFonts w:eastAsia="宋体"/>
      <w:kern w:val="2"/>
      <w:sz w:val="21"/>
      <w:szCs w:val="21"/>
      <w:lang w:bidi="ar-SA"/>
    </w:rPr>
  </w:style>
  <w:style w:type="character" w:customStyle="1" w:styleId="59">
    <w:name w:val="正文文本 3 Char"/>
    <w:link w:val="18"/>
    <w:qFormat/>
    <w:uiPriority w:val="0"/>
    <w:rPr>
      <w:rFonts w:ascii="仿宋_GB2312" w:hAnsi="Arial" w:eastAsia="仿宋_GB2312"/>
      <w:kern w:val="2"/>
      <w:sz w:val="32"/>
      <w:szCs w:val="32"/>
      <w:lang w:val="en-US" w:eastAsia="zh-CN" w:bidi="ar-SA"/>
    </w:rPr>
  </w:style>
  <w:style w:type="character" w:customStyle="1" w:styleId="60">
    <w:name w:val="正文文本 Char"/>
    <w:link w:val="2"/>
    <w:qFormat/>
    <w:uiPriority w:val="0"/>
    <w:rPr>
      <w:rFonts w:ascii="楷体_GB2312" w:hAnsi="Arial" w:eastAsia="楷体_GB2312"/>
      <w:kern w:val="2"/>
      <w:sz w:val="28"/>
      <w:szCs w:val="28"/>
      <w:lang w:val="en-US" w:eastAsia="zh-CN" w:bidi="ar-SA"/>
    </w:rPr>
  </w:style>
  <w:style w:type="character" w:customStyle="1" w:styleId="61">
    <w:name w:val="正文文本缩进 Char"/>
    <w:link w:val="19"/>
    <w:qFormat/>
    <w:uiPriority w:val="0"/>
    <w:rPr>
      <w:rFonts w:ascii="楷体_GB2312" w:eastAsia="楷体_GB2312"/>
      <w:kern w:val="2"/>
      <w:sz w:val="32"/>
      <w:szCs w:val="32"/>
      <w:lang w:val="en-US" w:eastAsia="zh-CN" w:bidi="ar-SA"/>
    </w:rPr>
  </w:style>
  <w:style w:type="character" w:customStyle="1" w:styleId="62">
    <w:name w:val="纯文本 Char"/>
    <w:link w:val="23"/>
    <w:qFormat/>
    <w:uiPriority w:val="0"/>
    <w:rPr>
      <w:rFonts w:ascii="宋体" w:hAnsi="Courier New" w:eastAsia="宋体" w:cs="Courier New"/>
      <w:kern w:val="2"/>
      <w:sz w:val="21"/>
      <w:szCs w:val="21"/>
      <w:lang w:val="en-US" w:eastAsia="zh-CN" w:bidi="ar-SA"/>
    </w:rPr>
  </w:style>
  <w:style w:type="character" w:customStyle="1" w:styleId="63">
    <w:name w:val="日期 Char"/>
    <w:link w:val="24"/>
    <w:qFormat/>
    <w:uiPriority w:val="0"/>
    <w:rPr>
      <w:rFonts w:eastAsia="宋体"/>
      <w:kern w:val="2"/>
      <w:sz w:val="24"/>
      <w:szCs w:val="24"/>
      <w:lang w:val="en-US" w:eastAsia="zh-CN" w:bidi="ar-SA"/>
    </w:rPr>
  </w:style>
  <w:style w:type="character" w:customStyle="1" w:styleId="64">
    <w:name w:val="正文文本缩进 2 Char"/>
    <w:link w:val="25"/>
    <w:qFormat/>
    <w:uiPriority w:val="0"/>
    <w:rPr>
      <w:rFonts w:ascii="Arial" w:hAnsi="Arial" w:eastAsia="仿宋_GB2312" w:cs="Arial"/>
      <w:kern w:val="2"/>
      <w:sz w:val="32"/>
      <w:szCs w:val="32"/>
      <w:lang w:val="en-US" w:eastAsia="zh-CN" w:bidi="ar-SA"/>
    </w:rPr>
  </w:style>
  <w:style w:type="character" w:customStyle="1" w:styleId="65">
    <w:name w:val="批注框文本 Char"/>
    <w:link w:val="26"/>
    <w:semiHidden/>
    <w:qFormat/>
    <w:uiPriority w:val="0"/>
    <w:rPr>
      <w:rFonts w:eastAsia="宋体"/>
      <w:kern w:val="2"/>
      <w:sz w:val="18"/>
      <w:szCs w:val="18"/>
      <w:lang w:val="en-US" w:eastAsia="zh-CN" w:bidi="ar-SA"/>
    </w:rPr>
  </w:style>
  <w:style w:type="character" w:customStyle="1" w:styleId="66">
    <w:name w:val="页脚 Char"/>
    <w:link w:val="27"/>
    <w:qFormat/>
    <w:uiPriority w:val="0"/>
    <w:rPr>
      <w:rFonts w:eastAsia="宋体"/>
      <w:kern w:val="2"/>
      <w:sz w:val="18"/>
      <w:szCs w:val="18"/>
      <w:lang w:bidi="ar-SA"/>
    </w:rPr>
  </w:style>
  <w:style w:type="character" w:customStyle="1" w:styleId="67">
    <w:name w:val="页眉 Char"/>
    <w:link w:val="28"/>
    <w:qFormat/>
    <w:uiPriority w:val="0"/>
    <w:rPr>
      <w:rFonts w:eastAsia="宋体"/>
      <w:kern w:val="2"/>
      <w:sz w:val="18"/>
      <w:szCs w:val="18"/>
      <w:lang w:val="en-US" w:eastAsia="zh-CN" w:bidi="ar-SA"/>
    </w:rPr>
  </w:style>
  <w:style w:type="character" w:customStyle="1" w:styleId="68">
    <w:name w:val="正文文本缩进 3 Char"/>
    <w:link w:val="32"/>
    <w:qFormat/>
    <w:uiPriority w:val="0"/>
    <w:rPr>
      <w:rFonts w:ascii="Arial" w:hAnsi="Arial" w:eastAsia="仿宋_GB2312" w:cs="Arial"/>
      <w:color w:val="FFFF00"/>
      <w:kern w:val="2"/>
      <w:sz w:val="32"/>
      <w:szCs w:val="32"/>
      <w:lang w:val="en-US" w:eastAsia="zh-CN" w:bidi="ar-SA"/>
    </w:rPr>
  </w:style>
  <w:style w:type="character" w:customStyle="1" w:styleId="69">
    <w:name w:val="正文文本 2 Char"/>
    <w:link w:val="34"/>
    <w:qFormat/>
    <w:uiPriority w:val="0"/>
    <w:rPr>
      <w:rFonts w:ascii="楷体_GB2312" w:eastAsia="楷体_GB2312"/>
      <w:kern w:val="2"/>
      <w:sz w:val="28"/>
      <w:szCs w:val="28"/>
      <w:lang w:val="en-US" w:eastAsia="zh-CN" w:bidi="ar-SA"/>
    </w:rPr>
  </w:style>
  <w:style w:type="character" w:customStyle="1" w:styleId="70">
    <w:name w:val="批注主题 Char"/>
    <w:link w:val="37"/>
    <w:semiHidden/>
    <w:qFormat/>
    <w:uiPriority w:val="0"/>
    <w:rPr>
      <w:rFonts w:eastAsia="宋体"/>
      <w:b/>
      <w:bCs/>
      <w:kern w:val="2"/>
      <w:sz w:val="21"/>
      <w:szCs w:val="21"/>
      <w:lang w:val="en-US" w:eastAsia="zh-CN" w:bidi="ar-SA"/>
    </w:rPr>
  </w:style>
  <w:style w:type="character" w:customStyle="1" w:styleId="71">
    <w:name w:val="正文首行缩进 Char1"/>
    <w:link w:val="38"/>
    <w:qFormat/>
    <w:uiPriority w:val="0"/>
    <w:rPr>
      <w:rFonts w:ascii="仿宋_GB2312" w:eastAsia="仿宋_GB2312"/>
      <w:kern w:val="2"/>
      <w:sz w:val="30"/>
      <w:szCs w:val="30"/>
      <w:lang w:val="en-US" w:eastAsia="zh-CN" w:bidi="ar-SA"/>
    </w:rPr>
  </w:style>
  <w:style w:type="character" w:customStyle="1" w:styleId="72">
    <w:name w:val="正文首行缩进 2 Char"/>
    <w:link w:val="39"/>
    <w:qFormat/>
    <w:uiPriority w:val="0"/>
    <w:rPr>
      <w:rFonts w:ascii="宋体" w:hAnsi="宋体" w:eastAsia="宋体"/>
      <w:kern w:val="2"/>
      <w:sz w:val="21"/>
      <w:lang w:val="en-US" w:eastAsia="zh-CN" w:bidi="ar-SA"/>
    </w:rPr>
  </w:style>
  <w:style w:type="character" w:customStyle="1" w:styleId="73">
    <w:name w:val="正文缩进 Char"/>
    <w:qFormat/>
    <w:uiPriority w:val="0"/>
    <w:rPr>
      <w:kern w:val="2"/>
      <w:sz w:val="21"/>
      <w:szCs w:val="21"/>
    </w:rPr>
  </w:style>
  <w:style w:type="character" w:customStyle="1" w:styleId="74">
    <w:name w:val=" Char Char6"/>
    <w:qFormat/>
    <w:uiPriority w:val="0"/>
    <w:rPr>
      <w:rFonts w:ascii="Times New Roman" w:hAnsi="Times New Roman" w:eastAsia="宋体" w:cs="Times New Roman"/>
      <w:sz w:val="18"/>
      <w:szCs w:val="18"/>
    </w:rPr>
  </w:style>
  <w:style w:type="character" w:customStyle="1" w:styleId="75">
    <w:name w:val="二级目录 Char"/>
    <w:link w:val="76"/>
    <w:qFormat/>
    <w:uiPriority w:val="0"/>
    <w:rPr>
      <w:rFonts w:eastAsia="Times New Roman"/>
      <w:b/>
      <w:kern w:val="2"/>
      <w:sz w:val="30"/>
      <w:szCs w:val="28"/>
      <w:lang w:val="en-US" w:eastAsia="zh-CN" w:bidi="ar-SA"/>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77">
    <w:name w:val="正文首行缩进 Char"/>
    <w:qFormat/>
    <w:uiPriority w:val="0"/>
    <w:rPr>
      <w:rFonts w:ascii="仿宋_GB2312" w:hAnsi="Times New Roman" w:eastAsia="仿宋_GB2312" w:cs="Times New Roman"/>
      <w:kern w:val="2"/>
      <w:sz w:val="30"/>
      <w:szCs w:val="30"/>
    </w:rPr>
  </w:style>
  <w:style w:type="character" w:customStyle="1" w:styleId="78">
    <w:name w:val="列出段落 Char"/>
    <w:link w:val="79"/>
    <w:qFormat/>
    <w:locked/>
    <w:uiPriority w:val="0"/>
    <w:rPr>
      <w:rFonts w:ascii="Calibri" w:hAnsi="Calibri"/>
      <w:sz w:val="24"/>
      <w:szCs w:val="24"/>
      <w:lang w:eastAsia="en-US" w:bidi="en-US"/>
    </w:rPr>
  </w:style>
  <w:style w:type="paragraph" w:customStyle="1" w:styleId="79">
    <w:name w:val="列出段落1"/>
    <w:basedOn w:val="1"/>
    <w:link w:val="78"/>
    <w:qFormat/>
    <w:uiPriority w:val="0"/>
    <w:pPr>
      <w:widowControl/>
      <w:ind w:left="720"/>
      <w:contextualSpacing/>
      <w:jc w:val="left"/>
    </w:pPr>
    <w:rPr>
      <w:kern w:val="0"/>
      <w:sz w:val="24"/>
      <w:szCs w:val="24"/>
      <w:lang w:eastAsia="en-US" w:bidi="en-US"/>
    </w:rPr>
  </w:style>
  <w:style w:type="character" w:customStyle="1" w:styleId="80">
    <w:name w:val="正文格式 Char"/>
    <w:link w:val="81"/>
    <w:qFormat/>
    <w:uiPriority w:val="0"/>
    <w:rPr>
      <w:rFonts w:eastAsia="仿宋_GB2312"/>
      <w:sz w:val="28"/>
      <w:lang w:bidi="ar-SA"/>
    </w:rPr>
  </w:style>
  <w:style w:type="paragraph" w:customStyle="1" w:styleId="81">
    <w:name w:val="正文格式"/>
    <w:basedOn w:val="1"/>
    <w:link w:val="80"/>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2">
    <w:name w:val=" Char Char2"/>
    <w:qFormat/>
    <w:uiPriority w:val="0"/>
    <w:rPr>
      <w:rFonts w:ascii="Times New Roman" w:hAnsi="Times New Roman" w:eastAsia="宋体" w:cs="Times New Roman"/>
      <w:szCs w:val="21"/>
    </w:rPr>
  </w:style>
  <w:style w:type="character" w:customStyle="1" w:styleId="83">
    <w:name w:val="font5 Char"/>
    <w:qFormat/>
    <w:uiPriority w:val="0"/>
    <w:rPr>
      <w:rFonts w:ascii="宋体" w:hAnsi="宋体" w:eastAsia="宋体"/>
      <w:sz w:val="28"/>
      <w:szCs w:val="28"/>
      <w:lang w:val="en-US" w:eastAsia="zh-CN" w:bidi="ar-SA"/>
    </w:rPr>
  </w:style>
  <w:style w:type="character" w:customStyle="1" w:styleId="84">
    <w:name w:val="正文首行缩进（qhb） Char"/>
    <w:link w:val="85"/>
    <w:qFormat/>
    <w:uiPriority w:val="0"/>
    <w:rPr>
      <w:rFonts w:ascii="Arial" w:hAnsi="Arial"/>
      <w:sz w:val="24"/>
      <w:szCs w:val="21"/>
    </w:rPr>
  </w:style>
  <w:style w:type="paragraph" w:customStyle="1" w:styleId="85">
    <w:name w:val="正文首行缩进（qhb）"/>
    <w:basedOn w:val="1"/>
    <w:link w:val="84"/>
    <w:qFormat/>
    <w:uiPriority w:val="0"/>
    <w:pPr>
      <w:widowControl/>
      <w:spacing w:after="50" w:line="360" w:lineRule="auto"/>
      <w:ind w:firstLine="200" w:firstLineChars="200"/>
      <w:jc w:val="left"/>
    </w:pPr>
    <w:rPr>
      <w:rFonts w:ascii="Arial" w:hAnsi="Arial"/>
      <w:kern w:val="0"/>
      <w:sz w:val="24"/>
    </w:rPr>
  </w:style>
  <w:style w:type="paragraph" w:customStyle="1" w:styleId="86">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87">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table_1stline"/>
    <w:basedOn w:val="1"/>
    <w:qFormat/>
    <w:uiPriority w:val="0"/>
    <w:pPr>
      <w:widowControl/>
      <w:spacing w:before="120"/>
      <w:jc w:val="left"/>
    </w:pPr>
    <w:rPr>
      <w:bCs/>
      <w:kern w:val="0"/>
      <w:sz w:val="20"/>
      <w:szCs w:val="20"/>
      <w:lang w:val="de-DE" w:eastAsia="de-DE"/>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2 Char1 Char"/>
    <w:basedOn w:val="1"/>
    <w:qFormat/>
    <w:uiPriority w:val="0"/>
    <w:pPr>
      <w:tabs>
        <w:tab w:val="left" w:pos="360"/>
      </w:tabs>
    </w:pPr>
    <w:rPr>
      <w:rFonts w:eastAsia="方正仿宋简体"/>
      <w:sz w:val="24"/>
      <w:szCs w:val="32"/>
    </w:rPr>
  </w:style>
  <w:style w:type="paragraph" w:customStyle="1" w:styleId="98">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99">
    <w:name w:val="Char Char Char Char"/>
    <w:basedOn w:val="15"/>
    <w:qFormat/>
    <w:uiPriority w:val="0"/>
    <w:pPr>
      <w:adjustRightInd w:val="0"/>
      <w:snapToGrid w:val="0"/>
      <w:spacing w:line="360" w:lineRule="auto"/>
    </w:pPr>
    <w:rPr>
      <w:rFonts w:ascii="Tahoma" w:hAnsi="Tahoma"/>
      <w:sz w:val="24"/>
      <w:szCs w:val="24"/>
    </w:r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4"/>
    <w:basedOn w:val="1"/>
    <w:next w:val="32"/>
    <w:qFormat/>
    <w:uiPriority w:val="0"/>
    <w:pPr>
      <w:spacing w:line="360" w:lineRule="auto"/>
      <w:ind w:firstLine="420"/>
    </w:pPr>
    <w:rPr>
      <w:color w:val="FF0000"/>
      <w:sz w:val="24"/>
      <w:szCs w:val="24"/>
    </w:rPr>
  </w:style>
  <w:style w:type="paragraph" w:styleId="102">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06">
    <w:name w:val="font7"/>
    <w:basedOn w:val="1"/>
    <w:qFormat/>
    <w:uiPriority w:val="0"/>
    <w:pPr>
      <w:widowControl/>
      <w:numPr>
        <w:ilvl w:val="0"/>
        <w:numId w:val="2"/>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7">
    <w:name w:val=" Char"/>
    <w:basedOn w:val="15"/>
    <w:qFormat/>
    <w:uiPriority w:val="0"/>
    <w:rPr>
      <w:rFonts w:ascii="Tahoma" w:hAnsi="Tahoma"/>
      <w:sz w:val="24"/>
      <w:szCs w:val="24"/>
    </w:rPr>
  </w:style>
  <w:style w:type="paragraph" w:customStyle="1" w:styleId="108">
    <w:name w:val="Char Char Char Char1"/>
    <w:basedOn w:val="15"/>
    <w:qFormat/>
    <w:uiPriority w:val="0"/>
    <w:pPr>
      <w:adjustRightInd w:val="0"/>
      <w:snapToGrid w:val="0"/>
      <w:spacing w:line="360" w:lineRule="auto"/>
    </w:pPr>
    <w:rPr>
      <w:rFonts w:ascii="Tahoma" w:hAnsi="Tahoma"/>
      <w:kern w:val="0"/>
      <w:sz w:val="24"/>
      <w:szCs w:val="24"/>
    </w:rPr>
  </w:style>
  <w:style w:type="paragraph" w:customStyle="1" w:styleId="109">
    <w:name w:val="列表内容"/>
    <w:basedOn w:val="1"/>
    <w:next w:val="1"/>
    <w:qFormat/>
    <w:uiPriority w:val="0"/>
    <w:pPr>
      <w:widowControl/>
      <w:numPr>
        <w:ilvl w:val="0"/>
        <w:numId w:val="3"/>
      </w:numPr>
      <w:tabs>
        <w:tab w:val="left" w:pos="840"/>
      </w:tabs>
      <w:jc w:val="left"/>
    </w:pPr>
    <w:rPr>
      <w:kern w:val="0"/>
      <w:sz w:val="18"/>
      <w:szCs w:val="24"/>
    </w:rPr>
  </w:style>
  <w:style w:type="paragraph" w:customStyle="1" w:styleId="110">
    <w:name w:val="font5"/>
    <w:basedOn w:val="1"/>
    <w:qFormat/>
    <w:uiPriority w:val="0"/>
    <w:pPr>
      <w:widowControl/>
      <w:numPr>
        <w:ilvl w:val="0"/>
        <w:numId w:val="4"/>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1">
    <w:name w:val="List Paragraph11"/>
    <w:basedOn w:val="1"/>
    <w:qFormat/>
    <w:uiPriority w:val="99"/>
    <w:pPr>
      <w:ind w:firstLine="420" w:firstLineChars="200"/>
    </w:pPr>
  </w:style>
  <w:style w:type="paragraph" w:customStyle="1" w:styleId="112">
    <w:name w:val="Char1"/>
    <w:basedOn w:val="1"/>
    <w:qFormat/>
    <w:uiPriority w:val="0"/>
    <w:pPr>
      <w:tabs>
        <w:tab w:val="left" w:pos="360"/>
      </w:tabs>
      <w:ind w:firstLine="200" w:firstLineChars="200"/>
    </w:pPr>
    <w:rPr>
      <w:sz w:val="28"/>
      <w:szCs w:val="30"/>
    </w:rPr>
  </w:style>
  <w:style w:type="paragraph" w:customStyle="1" w:styleId="113">
    <w:name w:val="_Style 112"/>
    <w:basedOn w:val="4"/>
    <w:next w:val="1"/>
    <w:qFormat/>
    <w:uiPriority w:val="39"/>
    <w:pPr>
      <w:keepLines/>
      <w:widowControl/>
      <w:spacing w:before="480" w:line="276" w:lineRule="auto"/>
      <w:jc w:val="left"/>
      <w:outlineLvl w:val="9"/>
    </w:pPr>
    <w:rPr>
      <w:rFonts w:ascii="Cambria" w:hAnsi="Cambria" w:eastAsia="宋体"/>
      <w:b/>
      <w:bCs w:val="0"/>
      <w:color w:val="365F91"/>
      <w:kern w:val="0"/>
    </w:rPr>
  </w:style>
  <w:style w:type="paragraph" w:customStyle="1" w:styleId="114">
    <w:name w:val="table_lines"/>
    <w:basedOn w:val="1"/>
    <w:qFormat/>
    <w:uiPriority w:val="0"/>
    <w:pPr>
      <w:widowControl/>
      <w:jc w:val="left"/>
    </w:pPr>
    <w:rPr>
      <w:kern w:val="0"/>
      <w:sz w:val="20"/>
      <w:szCs w:val="20"/>
      <w:lang w:val="de-DE" w:eastAsia="de-DE"/>
    </w:rPr>
  </w:style>
  <w:style w:type="paragraph" w:customStyle="1" w:styleId="11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6">
    <w:name w:val="_Style 4"/>
    <w:basedOn w:val="15"/>
    <w:qFormat/>
    <w:uiPriority w:val="0"/>
    <w:pPr>
      <w:shd w:val="clear" w:color="auto" w:fill="auto"/>
      <w:spacing w:line="360" w:lineRule="auto"/>
      <w:jc w:val="left"/>
    </w:pPr>
    <w:rPr>
      <w:kern w:val="0"/>
      <w:sz w:val="20"/>
      <w:szCs w:val="20"/>
    </w:rPr>
  </w:style>
  <w:style w:type="paragraph" w:customStyle="1" w:styleId="117">
    <w:name w:val=" Char Char Char Char"/>
    <w:basedOn w:val="15"/>
    <w:qFormat/>
    <w:uiPriority w:val="0"/>
    <w:pPr>
      <w:adjustRightInd w:val="0"/>
      <w:snapToGrid w:val="0"/>
      <w:spacing w:line="360" w:lineRule="auto"/>
    </w:pPr>
    <w:rPr>
      <w:rFonts w:ascii="Tahoma" w:hAnsi="Tahoma"/>
      <w:sz w:val="24"/>
      <w:szCs w:val="24"/>
    </w:rPr>
  </w:style>
  <w:style w:type="paragraph" w:customStyle="1" w:styleId="118">
    <w:name w:val="Char Char Char Char Char Char Char Char Char Char"/>
    <w:basedOn w:val="1"/>
    <w:qFormat/>
    <w:uiPriority w:val="0"/>
    <w:pPr>
      <w:adjustRightInd w:val="0"/>
      <w:spacing w:line="360" w:lineRule="auto"/>
    </w:pPr>
    <w:rPr>
      <w:kern w:val="0"/>
      <w:sz w:val="24"/>
      <w:szCs w:val="20"/>
    </w:rPr>
  </w:style>
  <w:style w:type="paragraph" w:customStyle="1" w:styleId="11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Body Text(ch)"/>
    <w:basedOn w:val="1"/>
    <w:next w:val="2"/>
    <w:qFormat/>
    <w:uiPriority w:val="0"/>
    <w:pPr>
      <w:spacing w:after="120"/>
    </w:pPr>
    <w:rPr>
      <w:rFonts w:ascii="宋体" w:hAnsi="Arial"/>
      <w:bCs/>
      <w:iCs/>
      <w:szCs w:val="24"/>
    </w:rPr>
  </w:style>
  <w:style w:type="paragraph" w:customStyle="1" w:styleId="121">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24">
    <w:name w:val="Char"/>
    <w:basedOn w:val="1"/>
    <w:qFormat/>
    <w:uiPriority w:val="0"/>
    <w:pPr>
      <w:tabs>
        <w:tab w:val="left" w:pos="360"/>
      </w:tabs>
      <w:ind w:firstLine="200" w:firstLineChars="200"/>
    </w:pPr>
    <w:rPr>
      <w:sz w:val="28"/>
      <w:szCs w:val="30"/>
    </w:rPr>
  </w:style>
  <w:style w:type="paragraph" w:customStyle="1" w:styleId="12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26">
    <w:name w:val="bookmark-item"/>
    <w:basedOn w:val="42"/>
    <w:qFormat/>
    <w:uiPriority w:val="0"/>
  </w:style>
  <w:style w:type="paragraph" w:customStyle="1" w:styleId="1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8">
    <w:name w:val="Table Paragraph"/>
    <w:basedOn w:val="1"/>
    <w:qFormat/>
    <w:uiPriority w:val="1"/>
    <w:rPr>
      <w:rFonts w:ascii="宋体" w:hAnsi="宋体" w:eastAsia="宋体" w:cs="宋体"/>
      <w:lang w:val="zh-CN" w:eastAsia="zh-CN" w:bidi="zh-CN"/>
    </w:rPr>
  </w:style>
  <w:style w:type="paragraph" w:customStyle="1" w:styleId="129">
    <w:name w:val="正文缩进21"/>
    <w:basedOn w:val="1"/>
    <w:qFormat/>
    <w:uiPriority w:val="0"/>
    <w:rPr>
      <w:rFonts w:ascii="Calibri" w:hAnsi="Calibri"/>
    </w:rPr>
  </w:style>
  <w:style w:type="paragraph" w:customStyle="1" w:styleId="130">
    <w:name w:val="Normal Indent1"/>
    <w:basedOn w:val="1"/>
    <w:qFormat/>
    <w:uiPriority w:val="0"/>
    <w:rPr>
      <w:rFonts w:ascii="Calibri" w:hAnsi="Calibri"/>
      <w:sz w:val="21"/>
    </w:rPr>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List Paragraph1"/>
    <w:basedOn w:val="1"/>
    <w:qFormat/>
    <w:uiPriority w:val="99"/>
    <w:pPr>
      <w:ind w:firstLine="420" w:firstLineChars="200"/>
    </w:pPr>
  </w:style>
  <w:style w:type="paragraph" w:customStyle="1" w:styleId="13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34">
    <w:name w:val="mini-outputtext1"/>
    <w:basedOn w:val="42"/>
    <w:qFormat/>
    <w:uiPriority w:val="0"/>
  </w:style>
  <w:style w:type="paragraph" w:customStyle="1" w:styleId="135">
    <w:name w:val="_Style 1"/>
    <w:basedOn w:val="1"/>
    <w:next w:val="1"/>
    <w:qFormat/>
    <w:uiPriority w:val="99"/>
    <w:pPr>
      <w:ind w:firstLine="420" w:firstLineChars="200"/>
    </w:pPr>
  </w:style>
  <w:style w:type="paragraph" w:customStyle="1" w:styleId="1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7">
    <w:name w:val="cf01"/>
    <w:basedOn w:val="42"/>
    <w:qFormat/>
    <w:uiPriority w:val="0"/>
    <w:rPr>
      <w:rFonts w:hint="eastAsia" w:ascii="Microsoft YaHei UI" w:hAnsi="Microsoft YaHei UI" w:eastAsia="Microsoft YaHei UI"/>
      <w:sz w:val="18"/>
      <w:szCs w:val="18"/>
    </w:rPr>
  </w:style>
  <w:style w:type="character" w:customStyle="1" w:styleId="138">
    <w:name w:val="font11"/>
    <w:basedOn w:val="42"/>
    <w:qFormat/>
    <w:uiPriority w:val="0"/>
    <w:rPr>
      <w:rFonts w:hint="eastAsia" w:ascii="宋体" w:hAnsi="宋体" w:eastAsia="宋体" w:cs="宋体"/>
      <w:color w:val="000000"/>
      <w:sz w:val="24"/>
      <w:szCs w:val="24"/>
      <w:u w:val="none"/>
    </w:rPr>
  </w:style>
  <w:style w:type="character" w:customStyle="1" w:styleId="139">
    <w:name w:val="font41"/>
    <w:basedOn w:val="4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1615</Words>
  <Characters>1746</Characters>
  <Lines>1</Lines>
  <Paragraphs>1</Paragraphs>
  <TotalTime>0</TotalTime>
  <ScaleCrop>false</ScaleCrop>
  <LinksUpToDate>false</LinksUpToDate>
  <CharactersWithSpaces>1808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2019-01-10T01:13:00Z</dcterms:created>
  <dc:creator>yinjian</dc:creator>
  <cp:lastModifiedBy>容我三思一下下</cp:lastModifiedBy>
  <cp:lastPrinted>2023-03-10T19:19:00Z</cp:lastPrinted>
  <dcterms:modified xsi:type="dcterms:W3CDTF">2026-04-13T09:49:03Z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ED9B5212D7A14A40B2AD725A7084F916_13</vt:lpwstr>
  </property>
  <property fmtid="{D5CDD505-2E9C-101B-9397-08002B2CF9AE}" pid="4" name="KSOTemplateDocerSaveRecord">
    <vt:lpwstr>eyJoZGlkIjoiMWZiNzU5YTQzM2E2YjZjZTkxMmQ1ZTk5MDAwZTUwYjUiLCJ1c2VySWQiOiIzMzkwMzk5MjgifQ==</vt:lpwstr>
  </property>
</Properties>
</file>